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52616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outlineLvl w:val="0"/>
        <w:rPr>
          <w:rFonts w:hint="default" w:ascii="Times New Roman" w:hAnsi="Times New Roman" w:eastAsia="楷体_GB2312" w:cs="Times New Roman"/>
          <w:color w:val="auto"/>
          <w:spacing w:val="0"/>
          <w:kern w:val="21"/>
          <w:sz w:val="36"/>
          <w:szCs w:val="36"/>
          <w:u w:val="none" w:color="auto"/>
        </w:rPr>
      </w:pPr>
      <w:bookmarkStart w:id="0" w:name="_Toc3701"/>
      <w:r>
        <w:drawing>
          <wp:inline distT="0" distB="0" distL="114300" distR="114300">
            <wp:extent cx="5572125" cy="7400925"/>
            <wp:effectExtent l="0" t="0" r="9525" b="9525"/>
            <wp:docPr id="1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
                    <pic:cNvPicPr>
                      <a:picLocks noChangeAspect="1"/>
                    </pic:cNvPicPr>
                  </pic:nvPicPr>
                  <pic:blipFill>
                    <a:blip r:embed="rId14"/>
                    <a:stretch>
                      <a:fillRect/>
                    </a:stretch>
                  </pic:blipFill>
                  <pic:spPr>
                    <a:xfrm>
                      <a:off x="0" y="0"/>
                      <a:ext cx="5572125" cy="7400925"/>
                    </a:xfrm>
                    <a:prstGeom prst="rect">
                      <a:avLst/>
                    </a:prstGeom>
                    <a:noFill/>
                    <a:ln>
                      <a:noFill/>
                    </a:ln>
                  </pic:spPr>
                </pic:pic>
              </a:graphicData>
            </a:graphic>
          </wp:inline>
        </w:drawing>
      </w:r>
      <w:bookmarkEnd w:id="0"/>
    </w:p>
    <w:p w14:paraId="7F34EC6D">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outlineLvl w:val="9"/>
        <w:rPr>
          <w:rFonts w:hint="default"/>
          <w:color w:val="FF0000"/>
          <w:u w:val="none" w:color="auto"/>
        </w:rPr>
        <w:sectPr>
          <w:headerReference r:id="rId5" w:type="default"/>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宋体"/>
          <w:color w:val="FF0000"/>
          <w:u w:val="none" w:color="auto"/>
          <w:lang w:eastAsia="zh-CN"/>
        </w:rPr>
        <w:drawing>
          <wp:inline distT="0" distB="0" distL="114300" distR="114300">
            <wp:extent cx="5754370" cy="8195945"/>
            <wp:effectExtent l="0" t="0" r="17780" b="14605"/>
            <wp:docPr id="6" name="图片 6" descr="6a44ef89236de32d09aab633f220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a44ef89236de32d09aab633f2203169"/>
                    <pic:cNvPicPr>
                      <a:picLocks noChangeAspect="1"/>
                    </pic:cNvPicPr>
                  </pic:nvPicPr>
                  <pic:blipFill>
                    <a:blip r:embed="rId15"/>
                    <a:stretch>
                      <a:fillRect/>
                    </a:stretch>
                  </pic:blipFill>
                  <pic:spPr>
                    <a:xfrm>
                      <a:off x="0" y="0"/>
                      <a:ext cx="5754370" cy="8195945"/>
                    </a:xfrm>
                    <a:prstGeom prst="rect">
                      <a:avLst/>
                    </a:prstGeom>
                  </pic:spPr>
                </pic:pic>
              </a:graphicData>
            </a:graphic>
          </wp:inline>
        </w:drawing>
      </w:r>
    </w:p>
    <w:p w14:paraId="7E48B9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outlineLvl w:val="9"/>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Times New Roman" w:hAnsi="Times New Roman" w:eastAsia="宋体" w:cs="Times New Roman"/>
          <w:color w:val="auto"/>
          <w:kern w:val="2"/>
          <w:sz w:val="32"/>
          <w:szCs w:val="32"/>
          <w:u w:val="none" w:color="auto"/>
          <w:lang w:val="en-US" w:eastAsia="zh-CN" w:bidi="ar-SA"/>
        </w:rPr>
        <w:id w:val="147456597"/>
        <w15:color w:val="DBDBDB"/>
        <w:docPartObj>
          <w:docPartGallery w:val="Table of Contents"/>
          <w:docPartUnique/>
        </w:docPartObj>
      </w:sdtPr>
      <w:sdtEndPr>
        <w:rPr>
          <w:rFonts w:ascii="Times New Roman" w:hAnsi="Times New Roman" w:eastAsia="宋体" w:cs="Times New Roman"/>
          <w:color w:val="FF0000"/>
          <w:kern w:val="2"/>
          <w:sz w:val="24"/>
          <w:szCs w:val="24"/>
          <w:u w:val="none" w:color="auto"/>
          <w:lang w:val="en-US" w:eastAsia="zh-CN" w:bidi="ar-SA"/>
        </w:rPr>
      </w:sdtEndPr>
      <w:sdtContent>
        <w:p w14:paraId="61D6B4D2">
          <w:pPr>
            <w:spacing w:before="0" w:beforeLines="0" w:after="0" w:afterLines="0" w:line="240" w:lineRule="auto"/>
            <w:ind w:left="0" w:leftChars="0" w:right="0" w:rightChars="0" w:firstLine="0" w:firstLineChars="0"/>
            <w:jc w:val="center"/>
            <w:rPr>
              <w:rFonts w:ascii="Times New Roman" w:hAnsi="Times New Roman" w:cs="Times New Roman"/>
              <w:color w:val="auto"/>
              <w:sz w:val="32"/>
              <w:szCs w:val="32"/>
              <w:u w:val="none" w:color="auto"/>
            </w:rPr>
          </w:pPr>
          <w:r>
            <w:rPr>
              <w:rFonts w:ascii="Times New Roman" w:hAnsi="Times New Roman" w:eastAsia="宋体" w:cs="Times New Roman"/>
              <w:color w:val="auto"/>
              <w:sz w:val="32"/>
              <w:szCs w:val="32"/>
              <w:u w:val="none" w:color="auto"/>
            </w:rPr>
            <w:t>目</w:t>
          </w:r>
          <w:r>
            <w:rPr>
              <w:rFonts w:hint="default" w:ascii="Times New Roman" w:hAnsi="Times New Roman" w:eastAsia="宋体" w:cs="Times New Roman"/>
              <w:color w:val="auto"/>
              <w:sz w:val="32"/>
              <w:szCs w:val="32"/>
              <w:u w:val="none" w:color="auto"/>
              <w:lang w:val="en-US" w:eastAsia="zh-CN"/>
            </w:rPr>
            <w:t xml:space="preserve"> </w:t>
          </w:r>
          <w:r>
            <w:rPr>
              <w:rFonts w:ascii="Times New Roman" w:hAnsi="Times New Roman" w:eastAsia="宋体" w:cs="Times New Roman"/>
              <w:color w:val="auto"/>
              <w:sz w:val="32"/>
              <w:szCs w:val="32"/>
              <w:u w:val="none" w:color="auto"/>
            </w:rPr>
            <w:t>录</w:t>
          </w:r>
        </w:p>
        <w:p w14:paraId="5F636569">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color w:val="FF0000"/>
              <w:u w:val="none" w:color="auto"/>
            </w:rPr>
            <w:instrText xml:space="preserve">TOC \o "1-3" \h \u </w:instrText>
          </w:r>
          <w:r>
            <w:rPr>
              <w:rFonts w:ascii="Times New Roman" w:hAnsi="Times New Roman" w:cs="Times New Roman"/>
              <w:color w:val="FF0000"/>
              <w:u w:val="none" w:color="auto"/>
            </w:rPr>
            <w:fldChar w:fldCharType="separate"/>
          </w:r>
        </w:p>
        <w:p w14:paraId="15B122C8">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_Toc29123 </w:instrText>
          </w:r>
          <w:r>
            <w:rPr>
              <w:rFonts w:ascii="Times New Roman" w:hAnsi="Times New Roman" w:cs="Times New Roman"/>
            </w:rPr>
            <w:fldChar w:fldCharType="separate"/>
          </w:r>
          <w:r>
            <w:rPr>
              <w:rFonts w:hint="default" w:ascii="Times New Roman" w:hAnsi="Times New Roman" w:cs="Times New Roman"/>
              <w:lang w:val="en-US" w:eastAsia="zh-CN"/>
            </w:rPr>
            <w:t>一、建设项目基本情况</w:t>
          </w:r>
          <w:r>
            <w:tab/>
          </w:r>
          <w:r>
            <w:fldChar w:fldCharType="begin"/>
          </w:r>
          <w:r>
            <w:instrText xml:space="preserve"> PAGEREF _Toc29123 \h </w:instrText>
          </w:r>
          <w:r>
            <w:fldChar w:fldCharType="separate"/>
          </w:r>
          <w:r>
            <w:t>1</w:t>
          </w:r>
          <w:r>
            <w:fldChar w:fldCharType="end"/>
          </w:r>
          <w:r>
            <w:rPr>
              <w:rFonts w:ascii="Times New Roman" w:hAnsi="Times New Roman" w:cs="Times New Roman"/>
              <w:color w:val="FF0000"/>
              <w:u w:val="none" w:color="auto"/>
            </w:rPr>
            <w:fldChar w:fldCharType="end"/>
          </w:r>
        </w:p>
        <w:p w14:paraId="6E4D0C58">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_Toc21617 </w:instrText>
          </w:r>
          <w:r>
            <w:rPr>
              <w:rFonts w:ascii="Times New Roman" w:hAnsi="Times New Roman" w:cs="Times New Roman"/>
            </w:rPr>
            <w:fldChar w:fldCharType="separate"/>
          </w:r>
          <w:r>
            <w:rPr>
              <w:rFonts w:hint="default" w:ascii="Times New Roman" w:hAnsi="Times New Roman" w:cs="Times New Roman"/>
              <w:lang w:val="en-US" w:eastAsia="zh-CN"/>
            </w:rPr>
            <w:t>二、建设项目工程分析</w:t>
          </w:r>
          <w:r>
            <w:tab/>
          </w:r>
          <w:r>
            <w:fldChar w:fldCharType="begin"/>
          </w:r>
          <w:r>
            <w:instrText xml:space="preserve"> PAGEREF _Toc21617 \h </w:instrText>
          </w:r>
          <w:r>
            <w:fldChar w:fldCharType="separate"/>
          </w:r>
          <w:r>
            <w:t>22</w:t>
          </w:r>
          <w:r>
            <w:fldChar w:fldCharType="end"/>
          </w:r>
          <w:r>
            <w:rPr>
              <w:rFonts w:ascii="Times New Roman" w:hAnsi="Times New Roman" w:cs="Times New Roman"/>
              <w:color w:val="FF0000"/>
              <w:u w:val="none" w:color="auto"/>
            </w:rPr>
            <w:fldChar w:fldCharType="end"/>
          </w:r>
        </w:p>
        <w:p w14:paraId="317BDBB6">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_Toc3351 </w:instrText>
          </w:r>
          <w:r>
            <w:rPr>
              <w:rFonts w:ascii="Times New Roman" w:hAnsi="Times New Roman" w:cs="Times New Roman"/>
            </w:rPr>
            <w:fldChar w:fldCharType="separate"/>
          </w:r>
          <w:r>
            <w:rPr>
              <w:rFonts w:hint="eastAsia" w:ascii="Times New Roman" w:hAnsi="Times New Roman" w:cs="Times New Roman"/>
              <w:lang w:val="en-US" w:eastAsia="zh-CN"/>
            </w:rPr>
            <w:t>三、</w:t>
          </w:r>
          <w:r>
            <w:rPr>
              <w:rFonts w:hint="default" w:ascii="Times New Roman" w:hAnsi="Times New Roman" w:cs="Times New Roman"/>
              <w:lang w:val="en-US" w:eastAsia="zh-CN"/>
            </w:rPr>
            <w:t>区域环境质量现状、环境保护目标及评价标准</w:t>
          </w:r>
          <w:r>
            <w:tab/>
          </w:r>
          <w:r>
            <w:fldChar w:fldCharType="begin"/>
          </w:r>
          <w:r>
            <w:instrText xml:space="preserve"> PAGEREF _Toc3351 \h </w:instrText>
          </w:r>
          <w:r>
            <w:fldChar w:fldCharType="separate"/>
          </w:r>
          <w:r>
            <w:t>56</w:t>
          </w:r>
          <w:r>
            <w:fldChar w:fldCharType="end"/>
          </w:r>
          <w:r>
            <w:rPr>
              <w:rFonts w:ascii="Times New Roman" w:hAnsi="Times New Roman" w:cs="Times New Roman"/>
              <w:color w:val="FF0000"/>
              <w:u w:val="none" w:color="auto"/>
            </w:rPr>
            <w:fldChar w:fldCharType="end"/>
          </w:r>
        </w:p>
        <w:p w14:paraId="15E0DBA2">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_Toc13842 </w:instrText>
          </w:r>
          <w:r>
            <w:rPr>
              <w:rFonts w:ascii="Times New Roman" w:hAnsi="Times New Roman" w:cs="Times New Roman"/>
            </w:rPr>
            <w:fldChar w:fldCharType="separate"/>
          </w:r>
          <w:r>
            <w:rPr>
              <w:rFonts w:hint="default" w:ascii="Times New Roman" w:hAnsi="Times New Roman" w:cs="Times New Roman"/>
              <w:lang w:val="en-US" w:eastAsia="zh-CN"/>
            </w:rPr>
            <w:t>四、主要环境影响和保护措施</w:t>
          </w:r>
          <w:r>
            <w:tab/>
          </w:r>
          <w:r>
            <w:fldChar w:fldCharType="begin"/>
          </w:r>
          <w:r>
            <w:instrText xml:space="preserve"> PAGEREF _Toc13842 \h </w:instrText>
          </w:r>
          <w:r>
            <w:fldChar w:fldCharType="separate"/>
          </w:r>
          <w:r>
            <w:t>64</w:t>
          </w:r>
          <w:r>
            <w:fldChar w:fldCharType="end"/>
          </w:r>
          <w:r>
            <w:rPr>
              <w:rFonts w:ascii="Times New Roman" w:hAnsi="Times New Roman" w:cs="Times New Roman"/>
              <w:color w:val="FF0000"/>
              <w:u w:val="none" w:color="auto"/>
            </w:rPr>
            <w:fldChar w:fldCharType="end"/>
          </w:r>
        </w:p>
        <w:p w14:paraId="259E13FB">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_Toc21575 </w:instrText>
          </w:r>
          <w:r>
            <w:rPr>
              <w:rFonts w:ascii="Times New Roman" w:hAnsi="Times New Roman" w:cs="Times New Roman"/>
            </w:rPr>
            <w:fldChar w:fldCharType="separate"/>
          </w:r>
          <w:r>
            <w:rPr>
              <w:rFonts w:hint="default" w:ascii="Times New Roman" w:hAnsi="Times New Roman" w:cs="Times New Roman"/>
              <w:lang w:val="en-US" w:eastAsia="zh-CN"/>
            </w:rPr>
            <w:t>五、环境保护措施督察检查清单</w:t>
          </w:r>
          <w:r>
            <w:tab/>
          </w:r>
          <w:r>
            <w:fldChar w:fldCharType="begin"/>
          </w:r>
          <w:r>
            <w:instrText xml:space="preserve"> PAGEREF _Toc21575 \h </w:instrText>
          </w:r>
          <w:r>
            <w:fldChar w:fldCharType="separate"/>
          </w:r>
          <w:r>
            <w:t>99</w:t>
          </w:r>
          <w:r>
            <w:fldChar w:fldCharType="end"/>
          </w:r>
          <w:r>
            <w:rPr>
              <w:rFonts w:ascii="Times New Roman" w:hAnsi="Times New Roman" w:cs="Times New Roman"/>
              <w:color w:val="FF0000"/>
              <w:u w:val="none" w:color="auto"/>
            </w:rPr>
            <w:fldChar w:fldCharType="end"/>
          </w:r>
        </w:p>
        <w:p w14:paraId="6A6DCEED">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_Toc7748 </w:instrText>
          </w:r>
          <w:r>
            <w:rPr>
              <w:rFonts w:ascii="Times New Roman" w:hAnsi="Times New Roman" w:cs="Times New Roman"/>
            </w:rPr>
            <w:fldChar w:fldCharType="separate"/>
          </w:r>
          <w:r>
            <w:rPr>
              <w:rFonts w:hint="default" w:ascii="Times New Roman" w:hAnsi="Times New Roman" w:cs="Times New Roman"/>
              <w:lang w:val="en-US" w:eastAsia="zh-CN"/>
            </w:rPr>
            <w:t>六、结论</w:t>
          </w:r>
          <w:r>
            <w:tab/>
          </w:r>
          <w:r>
            <w:fldChar w:fldCharType="begin"/>
          </w:r>
          <w:r>
            <w:instrText xml:space="preserve"> PAGEREF _Toc7748 \h </w:instrText>
          </w:r>
          <w:r>
            <w:fldChar w:fldCharType="separate"/>
          </w:r>
          <w:r>
            <w:t>104</w:t>
          </w:r>
          <w:r>
            <w:fldChar w:fldCharType="end"/>
          </w:r>
          <w:r>
            <w:rPr>
              <w:rFonts w:ascii="Times New Roman" w:hAnsi="Times New Roman" w:cs="Times New Roman"/>
              <w:color w:val="FF0000"/>
              <w:u w:val="none" w:color="auto"/>
            </w:rPr>
            <w:fldChar w:fldCharType="end"/>
          </w:r>
        </w:p>
        <w:p w14:paraId="116B37FD">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_Toc29829 </w:instrText>
          </w:r>
          <w:r>
            <w:rPr>
              <w:rFonts w:ascii="Times New Roman" w:hAnsi="Times New Roman" w:cs="Times New Roman"/>
            </w:rPr>
            <w:fldChar w:fldCharType="separate"/>
          </w:r>
          <w:r>
            <w:rPr>
              <w:rFonts w:hint="default" w:ascii="Times New Roman" w:hAnsi="Times New Roman" w:eastAsia="黑体" w:cs="Times New Roman"/>
              <w:bCs/>
              <w:kern w:val="44"/>
              <w:szCs w:val="30"/>
              <w:lang w:val="en-US" w:eastAsia="zh-CN" w:bidi="ar-SA"/>
            </w:rPr>
            <w:t>建设项目污染物排放量汇总表</w:t>
          </w:r>
          <w:r>
            <w:tab/>
          </w:r>
          <w:r>
            <w:fldChar w:fldCharType="begin"/>
          </w:r>
          <w:r>
            <w:instrText xml:space="preserve"> PAGEREF _Toc29829 \h </w:instrText>
          </w:r>
          <w:r>
            <w:fldChar w:fldCharType="separate"/>
          </w:r>
          <w:r>
            <w:t>105</w:t>
          </w:r>
          <w:r>
            <w:fldChar w:fldCharType="end"/>
          </w:r>
          <w:r>
            <w:rPr>
              <w:rFonts w:ascii="Times New Roman" w:hAnsi="Times New Roman" w:cs="Times New Roman"/>
              <w:color w:val="FF0000"/>
              <w:u w:val="none" w:color="auto"/>
            </w:rPr>
            <w:fldChar w:fldCharType="end"/>
          </w:r>
        </w:p>
        <w:p w14:paraId="30A97261">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_Toc17169 </w:instrText>
          </w:r>
          <w:r>
            <w:rPr>
              <w:rFonts w:ascii="Times New Roman" w:hAnsi="Times New Roman" w:cs="Times New Roman"/>
            </w:rPr>
            <w:fldChar w:fldCharType="separate"/>
          </w:r>
          <w:r>
            <w:rPr>
              <w:rFonts w:hint="default" w:ascii="Times New Roman" w:hAnsi="Times New Roman" w:cs="Times New Roman"/>
              <w:lang w:val="en-US" w:eastAsia="zh-CN"/>
            </w:rPr>
            <w:t>附图附件：</w:t>
          </w:r>
          <w:r>
            <w:tab/>
          </w:r>
          <w:r>
            <w:fldChar w:fldCharType="begin"/>
          </w:r>
          <w:r>
            <w:instrText xml:space="preserve"> PAGEREF _Toc17169 \h </w:instrText>
          </w:r>
          <w:r>
            <w:fldChar w:fldCharType="separate"/>
          </w:r>
          <w:r>
            <w:t>107</w:t>
          </w:r>
          <w:r>
            <w:fldChar w:fldCharType="end"/>
          </w:r>
          <w:r>
            <w:rPr>
              <w:rFonts w:ascii="Times New Roman" w:hAnsi="Times New Roman" w:cs="Times New Roman"/>
              <w:color w:val="FF0000"/>
              <w:u w:val="none" w:color="auto"/>
            </w:rPr>
            <w:fldChar w:fldCharType="end"/>
          </w:r>
        </w:p>
        <w:p w14:paraId="2FD237AE">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_Toc29851 </w:instrText>
          </w:r>
          <w:r>
            <w:rPr>
              <w:rFonts w:ascii="Times New Roman" w:hAnsi="Times New Roman" w:cs="Times New Roman"/>
            </w:rPr>
            <w:fldChar w:fldCharType="separate"/>
          </w:r>
          <w:r>
            <w:rPr>
              <w:rFonts w:hint="default" w:ascii="Times New Roman" w:hAnsi="Times New Roman" w:cs="Times New Roman"/>
              <w:lang w:val="en-US" w:eastAsia="zh-CN"/>
            </w:rPr>
            <w:t>附件1：环评委托书</w:t>
          </w:r>
          <w:r>
            <w:tab/>
          </w:r>
          <w:r>
            <w:fldChar w:fldCharType="begin"/>
          </w:r>
          <w:r>
            <w:instrText xml:space="preserve"> PAGEREF _Toc29851 \h </w:instrText>
          </w:r>
          <w:r>
            <w:fldChar w:fldCharType="separate"/>
          </w:r>
          <w:r>
            <w:t>107</w:t>
          </w:r>
          <w:r>
            <w:fldChar w:fldCharType="end"/>
          </w:r>
          <w:r>
            <w:rPr>
              <w:rFonts w:ascii="Times New Roman" w:hAnsi="Times New Roman" w:cs="Times New Roman"/>
              <w:color w:val="FF0000"/>
              <w:u w:val="none" w:color="auto"/>
            </w:rPr>
            <w:fldChar w:fldCharType="end"/>
          </w:r>
        </w:p>
        <w:p w14:paraId="154BEE13">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_Toc20922 </w:instrText>
          </w:r>
          <w:r>
            <w:rPr>
              <w:rFonts w:ascii="Times New Roman" w:hAnsi="Times New Roman" w:cs="Times New Roman"/>
            </w:rPr>
            <w:fldChar w:fldCharType="separate"/>
          </w:r>
          <w:r>
            <w:rPr>
              <w:rFonts w:hint="default" w:ascii="Times New Roman" w:hAnsi="Times New Roman" w:cs="Times New Roman"/>
              <w:lang w:val="en-US" w:eastAsia="zh-CN"/>
            </w:rPr>
            <w:t>附件2：营业执照</w:t>
          </w:r>
          <w:r>
            <w:tab/>
          </w:r>
          <w:r>
            <w:fldChar w:fldCharType="begin"/>
          </w:r>
          <w:r>
            <w:instrText xml:space="preserve"> PAGEREF _Toc20922 \h </w:instrText>
          </w:r>
          <w:r>
            <w:fldChar w:fldCharType="separate"/>
          </w:r>
          <w:r>
            <w:t>108</w:t>
          </w:r>
          <w:r>
            <w:fldChar w:fldCharType="end"/>
          </w:r>
          <w:r>
            <w:rPr>
              <w:rFonts w:ascii="Times New Roman" w:hAnsi="Times New Roman" w:cs="Times New Roman"/>
              <w:color w:val="FF0000"/>
              <w:u w:val="none" w:color="auto"/>
            </w:rPr>
            <w:fldChar w:fldCharType="end"/>
          </w:r>
        </w:p>
        <w:p w14:paraId="47863910">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_Toc26515 </w:instrText>
          </w:r>
          <w:r>
            <w:rPr>
              <w:rFonts w:ascii="Times New Roman" w:hAnsi="Times New Roman" w:cs="Times New Roman"/>
            </w:rPr>
            <w:fldChar w:fldCharType="separate"/>
          </w:r>
          <w:r>
            <w:rPr>
              <w:rFonts w:hint="default" w:ascii="Times New Roman" w:hAnsi="Times New Roman" w:cs="Times New Roman"/>
              <w:lang w:val="en-US" w:eastAsia="zh-CN"/>
            </w:rPr>
            <w:t>附件3：</w:t>
          </w:r>
          <w:r>
            <w:rPr>
              <w:rFonts w:hint="eastAsia" w:cs="Times New Roman"/>
              <w:lang w:val="en-US" w:eastAsia="zh-CN"/>
            </w:rPr>
            <w:t>租赁协议</w:t>
          </w:r>
          <w:r>
            <w:tab/>
          </w:r>
          <w:r>
            <w:fldChar w:fldCharType="begin"/>
          </w:r>
          <w:r>
            <w:instrText xml:space="preserve"> PAGEREF _Toc26515 \h </w:instrText>
          </w:r>
          <w:r>
            <w:fldChar w:fldCharType="separate"/>
          </w:r>
          <w:r>
            <w:t>109</w:t>
          </w:r>
          <w:r>
            <w:fldChar w:fldCharType="end"/>
          </w:r>
          <w:r>
            <w:rPr>
              <w:rFonts w:ascii="Times New Roman" w:hAnsi="Times New Roman" w:cs="Times New Roman"/>
              <w:color w:val="FF0000"/>
              <w:u w:val="none" w:color="auto"/>
            </w:rPr>
            <w:fldChar w:fldCharType="end"/>
          </w:r>
        </w:p>
        <w:p w14:paraId="5B458D59">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_Toc22293 </w:instrText>
          </w:r>
          <w:r>
            <w:rPr>
              <w:rFonts w:ascii="Times New Roman" w:hAnsi="Times New Roman" w:cs="Times New Roman"/>
            </w:rPr>
            <w:fldChar w:fldCharType="separate"/>
          </w:r>
          <w:r>
            <w:rPr>
              <w:rFonts w:hint="default" w:ascii="Times New Roman" w:hAnsi="Times New Roman" w:cs="Times New Roman"/>
              <w:lang w:val="en-US" w:eastAsia="zh-CN"/>
            </w:rPr>
            <w:t>附件</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cs="Times New Roman"/>
              <w:lang w:val="en-US" w:eastAsia="zh-CN"/>
            </w:rPr>
            <w:t>现有工程</w:t>
          </w:r>
          <w:r>
            <w:rPr>
              <w:rFonts w:hint="default" w:ascii="Times New Roman" w:hAnsi="Times New Roman" w:cs="Times New Roman"/>
              <w:lang w:val="en-US" w:eastAsia="zh-CN"/>
            </w:rPr>
            <w:t>环评情况</w:t>
          </w:r>
          <w:r>
            <w:tab/>
          </w:r>
          <w:r>
            <w:fldChar w:fldCharType="begin"/>
          </w:r>
          <w:r>
            <w:instrText xml:space="preserve"> PAGEREF _Toc22293 \h </w:instrText>
          </w:r>
          <w:r>
            <w:fldChar w:fldCharType="separate"/>
          </w:r>
          <w:r>
            <w:t>113</w:t>
          </w:r>
          <w:r>
            <w:fldChar w:fldCharType="end"/>
          </w:r>
          <w:r>
            <w:rPr>
              <w:rFonts w:ascii="Times New Roman" w:hAnsi="Times New Roman" w:cs="Times New Roman"/>
              <w:color w:val="FF0000"/>
              <w:u w:val="none" w:color="auto"/>
            </w:rPr>
            <w:fldChar w:fldCharType="end"/>
          </w:r>
        </w:p>
        <w:p w14:paraId="7AEDC067">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_Toc2906 </w:instrText>
          </w:r>
          <w:r>
            <w:rPr>
              <w:rFonts w:ascii="Times New Roman" w:hAnsi="Times New Roman" w:cs="Times New Roman"/>
            </w:rPr>
            <w:fldChar w:fldCharType="separate"/>
          </w:r>
          <w:r>
            <w:rPr>
              <w:rFonts w:hint="default" w:ascii="Times New Roman" w:hAnsi="Times New Roman" w:cs="Times New Roman"/>
              <w:lang w:val="en-US" w:eastAsia="zh-CN"/>
            </w:rPr>
            <w:t>附件</w:t>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cs="Times New Roman"/>
              <w:lang w:val="en-US" w:eastAsia="zh-CN"/>
            </w:rPr>
            <w:t>项目备案文件</w:t>
          </w:r>
          <w:r>
            <w:tab/>
          </w:r>
          <w:r>
            <w:fldChar w:fldCharType="begin"/>
          </w:r>
          <w:r>
            <w:instrText xml:space="preserve"> PAGEREF _Toc2906 \h </w:instrText>
          </w:r>
          <w:r>
            <w:fldChar w:fldCharType="separate"/>
          </w:r>
          <w:r>
            <w:t>117</w:t>
          </w:r>
          <w:r>
            <w:fldChar w:fldCharType="end"/>
          </w:r>
          <w:r>
            <w:rPr>
              <w:rFonts w:ascii="Times New Roman" w:hAnsi="Times New Roman" w:cs="Times New Roman"/>
              <w:color w:val="FF0000"/>
              <w:u w:val="none" w:color="auto"/>
            </w:rPr>
            <w:fldChar w:fldCharType="end"/>
          </w:r>
        </w:p>
        <w:p w14:paraId="2D554B51">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_Toc25694 </w:instrText>
          </w:r>
          <w:r>
            <w:rPr>
              <w:rFonts w:ascii="Times New Roman" w:hAnsi="Times New Roman" w:cs="Times New Roman"/>
            </w:rPr>
            <w:fldChar w:fldCharType="separate"/>
          </w:r>
          <w:r>
            <w:rPr>
              <w:rFonts w:hint="default" w:ascii="Times New Roman" w:hAnsi="Times New Roman" w:cs="Times New Roman"/>
              <w:lang w:val="en-US" w:eastAsia="zh-CN"/>
            </w:rPr>
            <w:t>附件6：</w:t>
          </w:r>
          <w:r>
            <w:rPr>
              <w:rFonts w:hint="eastAsia" w:cs="Times New Roman"/>
              <w:lang w:val="en-US" w:eastAsia="zh-CN"/>
            </w:rPr>
            <w:t>排污许可</w:t>
          </w:r>
          <w:r>
            <w:tab/>
          </w:r>
          <w:r>
            <w:fldChar w:fldCharType="begin"/>
          </w:r>
          <w:r>
            <w:instrText xml:space="preserve"> PAGEREF _Toc25694 \h </w:instrText>
          </w:r>
          <w:r>
            <w:fldChar w:fldCharType="separate"/>
          </w:r>
          <w:r>
            <w:t>119</w:t>
          </w:r>
          <w:r>
            <w:fldChar w:fldCharType="end"/>
          </w:r>
          <w:r>
            <w:rPr>
              <w:rFonts w:ascii="Times New Roman" w:hAnsi="Times New Roman" w:cs="Times New Roman"/>
              <w:color w:val="FF0000"/>
              <w:u w:val="none" w:color="auto"/>
            </w:rPr>
            <w:fldChar w:fldCharType="end"/>
          </w:r>
        </w:p>
        <w:p w14:paraId="227D46DE">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_Toc30288 </w:instrText>
          </w:r>
          <w:r>
            <w:rPr>
              <w:rFonts w:ascii="Times New Roman" w:hAnsi="Times New Roman" w:cs="Times New Roman"/>
            </w:rPr>
            <w:fldChar w:fldCharType="separate"/>
          </w:r>
          <w:r>
            <w:rPr>
              <w:rFonts w:hint="default" w:ascii="Times New Roman" w:hAnsi="Times New Roman" w:cs="Times New Roman"/>
              <w:lang w:val="en-US" w:eastAsia="zh-CN"/>
            </w:rPr>
            <w:t>附件7：</w:t>
          </w:r>
          <w:r>
            <w:rPr>
              <w:rFonts w:hint="eastAsia" w:cs="Times New Roman"/>
              <w:lang w:val="en-US" w:eastAsia="zh-CN"/>
            </w:rPr>
            <w:t>无害化处理服务协议</w:t>
          </w:r>
          <w:r>
            <w:tab/>
          </w:r>
          <w:r>
            <w:fldChar w:fldCharType="begin"/>
          </w:r>
          <w:r>
            <w:instrText xml:space="preserve"> PAGEREF _Toc30288 \h </w:instrText>
          </w:r>
          <w:r>
            <w:fldChar w:fldCharType="separate"/>
          </w:r>
          <w:r>
            <w:t>120</w:t>
          </w:r>
          <w:r>
            <w:fldChar w:fldCharType="end"/>
          </w:r>
          <w:r>
            <w:rPr>
              <w:rFonts w:ascii="Times New Roman" w:hAnsi="Times New Roman" w:cs="Times New Roman"/>
              <w:color w:val="FF0000"/>
              <w:u w:val="none" w:color="auto"/>
            </w:rPr>
            <w:fldChar w:fldCharType="end"/>
          </w:r>
        </w:p>
        <w:p w14:paraId="048F204C">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_Toc28885 </w:instrText>
          </w:r>
          <w:r>
            <w:rPr>
              <w:rFonts w:ascii="Times New Roman" w:hAnsi="Times New Roman" w:cs="Times New Roman"/>
            </w:rPr>
            <w:fldChar w:fldCharType="separate"/>
          </w:r>
          <w:r>
            <w:rPr>
              <w:rFonts w:hint="default" w:ascii="Times New Roman" w:hAnsi="Times New Roman" w:cs="Times New Roman"/>
              <w:lang w:val="en-US" w:eastAsia="zh-CN"/>
            </w:rPr>
            <w:t>附件8：特征污染物现状监测报告</w:t>
          </w:r>
          <w:r>
            <w:tab/>
          </w:r>
          <w:r>
            <w:fldChar w:fldCharType="begin"/>
          </w:r>
          <w:r>
            <w:instrText xml:space="preserve"> PAGEREF _Toc28885 \h </w:instrText>
          </w:r>
          <w:r>
            <w:fldChar w:fldCharType="separate"/>
          </w:r>
          <w:r>
            <w:t>122</w:t>
          </w:r>
          <w:r>
            <w:fldChar w:fldCharType="end"/>
          </w:r>
          <w:r>
            <w:rPr>
              <w:rFonts w:ascii="Times New Roman" w:hAnsi="Times New Roman" w:cs="Times New Roman"/>
              <w:color w:val="FF0000"/>
              <w:u w:val="none" w:color="auto"/>
            </w:rPr>
            <w:fldChar w:fldCharType="end"/>
          </w:r>
        </w:p>
        <w:p w14:paraId="25CF9575">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_Toc32168 </w:instrText>
          </w:r>
          <w:r>
            <w:rPr>
              <w:rFonts w:ascii="Times New Roman" w:hAnsi="Times New Roman" w:cs="Times New Roman"/>
            </w:rPr>
            <w:fldChar w:fldCharType="separate"/>
          </w:r>
          <w:r>
            <w:rPr>
              <w:rFonts w:hint="default" w:ascii="Times New Roman" w:hAnsi="Times New Roman" w:cs="Times New Roman"/>
              <w:lang w:val="en-US" w:eastAsia="zh-CN"/>
            </w:rPr>
            <w:t>附件</w:t>
          </w:r>
          <w:r>
            <w:rPr>
              <w:rFonts w:hint="eastAsia" w:cs="Times New Roman"/>
              <w:lang w:val="en-US" w:eastAsia="zh-CN"/>
            </w:rPr>
            <w:t>9</w:t>
          </w:r>
          <w:r>
            <w:rPr>
              <w:rFonts w:hint="default" w:ascii="Times New Roman" w:hAnsi="Times New Roman" w:cs="Times New Roman"/>
              <w:lang w:val="en-US" w:eastAsia="zh-CN"/>
            </w:rPr>
            <w:t>：</w:t>
          </w:r>
          <w:r>
            <w:rPr>
              <w:rFonts w:hint="eastAsia" w:cs="Times New Roman"/>
              <w:lang w:val="en-US" w:eastAsia="zh-CN"/>
            </w:rPr>
            <w:t>污水处理站设计资料（节选）</w:t>
          </w:r>
          <w:r>
            <w:tab/>
          </w:r>
          <w:r>
            <w:fldChar w:fldCharType="begin"/>
          </w:r>
          <w:r>
            <w:instrText xml:space="preserve"> PAGEREF _Toc32168 \h </w:instrText>
          </w:r>
          <w:r>
            <w:fldChar w:fldCharType="separate"/>
          </w:r>
          <w:r>
            <w:t>131</w:t>
          </w:r>
          <w:r>
            <w:fldChar w:fldCharType="end"/>
          </w:r>
          <w:r>
            <w:rPr>
              <w:rFonts w:ascii="Times New Roman" w:hAnsi="Times New Roman" w:cs="Times New Roman"/>
              <w:color w:val="FF0000"/>
              <w:u w:val="none" w:color="auto"/>
            </w:rPr>
            <w:fldChar w:fldCharType="end"/>
          </w:r>
        </w:p>
        <w:p w14:paraId="1CDC1AB8">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_Toc23159 </w:instrText>
          </w:r>
          <w:r>
            <w:rPr>
              <w:rFonts w:ascii="Times New Roman" w:hAnsi="Times New Roman" w:cs="Times New Roman"/>
            </w:rPr>
            <w:fldChar w:fldCharType="separate"/>
          </w:r>
          <w:r>
            <w:rPr>
              <w:rFonts w:hint="default" w:ascii="Times New Roman" w:hAnsi="Times New Roman" w:cs="Times New Roman"/>
              <w:lang w:val="en-US" w:eastAsia="zh-CN"/>
            </w:rPr>
            <w:t>附件</w:t>
          </w:r>
          <w:r>
            <w:rPr>
              <w:rFonts w:hint="default" w:cs="Times New Roman"/>
              <w:lang w:val="en-US" w:eastAsia="zh-CN"/>
            </w:rPr>
            <w:t>10</w:t>
          </w:r>
          <w:r>
            <w:rPr>
              <w:rFonts w:hint="default" w:ascii="Times New Roman" w:hAnsi="Times New Roman" w:cs="Times New Roman"/>
              <w:lang w:val="en-US" w:eastAsia="zh-CN"/>
            </w:rPr>
            <w:t>：</w:t>
          </w:r>
          <w:r>
            <w:rPr>
              <w:rFonts w:hint="default" w:cs="Times New Roman"/>
              <w:lang w:val="en-US" w:eastAsia="zh-CN"/>
            </w:rPr>
            <w:t>现有工程监测报告</w:t>
          </w:r>
          <w:r>
            <w:tab/>
          </w:r>
          <w:r>
            <w:fldChar w:fldCharType="begin"/>
          </w:r>
          <w:r>
            <w:instrText xml:space="preserve"> PAGEREF _Toc23159 \h </w:instrText>
          </w:r>
          <w:r>
            <w:fldChar w:fldCharType="separate"/>
          </w:r>
          <w:r>
            <w:t>135</w:t>
          </w:r>
          <w:r>
            <w:fldChar w:fldCharType="end"/>
          </w:r>
          <w:r>
            <w:rPr>
              <w:rFonts w:ascii="Times New Roman" w:hAnsi="Times New Roman" w:cs="Times New Roman"/>
              <w:color w:val="FF0000"/>
              <w:u w:val="none" w:color="auto"/>
            </w:rPr>
            <w:fldChar w:fldCharType="end"/>
          </w:r>
        </w:p>
        <w:p w14:paraId="6A88438D">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_Toc4329 </w:instrText>
          </w:r>
          <w:r>
            <w:rPr>
              <w:rFonts w:ascii="Times New Roman" w:hAnsi="Times New Roman" w:cs="Times New Roman"/>
            </w:rPr>
            <w:fldChar w:fldCharType="separate"/>
          </w:r>
          <w:r>
            <w:rPr>
              <w:rFonts w:hint="default" w:cs="Times New Roman"/>
              <w:lang w:val="en-US" w:eastAsia="zh-CN"/>
            </w:rPr>
            <w:t>附件1</w:t>
          </w:r>
          <w:r>
            <w:rPr>
              <w:rFonts w:hint="eastAsia" w:cs="Times New Roman"/>
              <w:lang w:val="en-US" w:eastAsia="zh-CN"/>
            </w:rPr>
            <w:t>1</w:t>
          </w:r>
          <w:r>
            <w:rPr>
              <w:rFonts w:hint="default" w:cs="Times New Roman"/>
              <w:lang w:val="en-US" w:eastAsia="zh-CN"/>
            </w:rPr>
            <w:t>：企业污水纳管证明</w:t>
          </w:r>
          <w:r>
            <w:tab/>
          </w:r>
          <w:r>
            <w:fldChar w:fldCharType="begin"/>
          </w:r>
          <w:r>
            <w:instrText xml:space="preserve"> PAGEREF _Toc4329 \h </w:instrText>
          </w:r>
          <w:r>
            <w:fldChar w:fldCharType="separate"/>
          </w:r>
          <w:r>
            <w:t>154</w:t>
          </w:r>
          <w:r>
            <w:fldChar w:fldCharType="end"/>
          </w:r>
          <w:r>
            <w:rPr>
              <w:rFonts w:ascii="Times New Roman" w:hAnsi="Times New Roman" w:cs="Times New Roman"/>
              <w:color w:val="FF0000"/>
              <w:u w:val="none" w:color="auto"/>
            </w:rPr>
            <w:fldChar w:fldCharType="end"/>
          </w:r>
        </w:p>
        <w:p w14:paraId="026BBA19">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_Toc17128 </w:instrText>
          </w:r>
          <w:r>
            <w:rPr>
              <w:rFonts w:ascii="Times New Roman" w:hAnsi="Times New Roman" w:cs="Times New Roman"/>
            </w:rPr>
            <w:fldChar w:fldCharType="separate"/>
          </w:r>
          <w:r>
            <w:rPr>
              <w:rFonts w:hint="default" w:cs="Times New Roman"/>
              <w:lang w:val="en-US" w:eastAsia="zh-CN"/>
            </w:rPr>
            <w:t>附件1</w:t>
          </w:r>
          <w:r>
            <w:rPr>
              <w:rFonts w:hint="eastAsia" w:cs="Times New Roman"/>
              <w:lang w:val="en-US" w:eastAsia="zh-CN"/>
            </w:rPr>
            <w:t>2</w:t>
          </w:r>
          <w:r>
            <w:rPr>
              <w:rFonts w:hint="default" w:cs="Times New Roman"/>
              <w:lang w:val="en-US" w:eastAsia="zh-CN"/>
            </w:rPr>
            <w:t>：企业屠宰证</w:t>
          </w:r>
          <w:r>
            <w:tab/>
          </w:r>
          <w:r>
            <w:fldChar w:fldCharType="begin"/>
          </w:r>
          <w:r>
            <w:instrText xml:space="preserve"> PAGEREF _Toc17128 \h </w:instrText>
          </w:r>
          <w:r>
            <w:fldChar w:fldCharType="separate"/>
          </w:r>
          <w:r>
            <w:t>156</w:t>
          </w:r>
          <w:r>
            <w:fldChar w:fldCharType="end"/>
          </w:r>
          <w:r>
            <w:rPr>
              <w:rFonts w:ascii="Times New Roman" w:hAnsi="Times New Roman" w:cs="Times New Roman"/>
              <w:color w:val="FF0000"/>
              <w:u w:val="none" w:color="auto"/>
            </w:rPr>
            <w:fldChar w:fldCharType="end"/>
          </w:r>
        </w:p>
        <w:p w14:paraId="65814EDB">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_Toc14617 </w:instrText>
          </w:r>
          <w:r>
            <w:rPr>
              <w:rFonts w:ascii="Times New Roman" w:hAnsi="Times New Roman" w:cs="Times New Roman"/>
            </w:rPr>
            <w:fldChar w:fldCharType="separate"/>
          </w:r>
          <w:r>
            <w:rPr>
              <w:rFonts w:hint="default" w:cs="Times New Roman"/>
              <w:lang w:val="en-US" w:eastAsia="zh-CN"/>
            </w:rPr>
            <w:t>附件13：动物防疫条件合格证</w:t>
          </w:r>
          <w:r>
            <w:tab/>
          </w:r>
          <w:r>
            <w:fldChar w:fldCharType="begin"/>
          </w:r>
          <w:r>
            <w:instrText xml:space="preserve"> PAGEREF _Toc14617 \h </w:instrText>
          </w:r>
          <w:r>
            <w:fldChar w:fldCharType="separate"/>
          </w:r>
          <w:r>
            <w:t>157</w:t>
          </w:r>
          <w:r>
            <w:fldChar w:fldCharType="end"/>
          </w:r>
          <w:r>
            <w:rPr>
              <w:rFonts w:ascii="Times New Roman" w:hAnsi="Times New Roman" w:cs="Times New Roman"/>
              <w:color w:val="FF0000"/>
              <w:u w:val="none" w:color="auto"/>
            </w:rPr>
            <w:fldChar w:fldCharType="end"/>
          </w:r>
        </w:p>
        <w:p w14:paraId="7778DA69">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_Toc19814 </w:instrText>
          </w:r>
          <w:r>
            <w:rPr>
              <w:rFonts w:ascii="Times New Roman" w:hAnsi="Times New Roman" w:cs="Times New Roman"/>
            </w:rPr>
            <w:fldChar w:fldCharType="separate"/>
          </w:r>
          <w:r>
            <w:rPr>
              <w:rFonts w:hint="default" w:cs="Times New Roman"/>
              <w:lang w:val="en-US" w:eastAsia="zh-CN"/>
            </w:rPr>
            <w:t>附件14：项目公参情况</w:t>
          </w:r>
          <w:r>
            <w:tab/>
          </w:r>
          <w:r>
            <w:fldChar w:fldCharType="begin"/>
          </w:r>
          <w:r>
            <w:instrText xml:space="preserve"> PAGEREF _Toc19814 \h </w:instrText>
          </w:r>
          <w:r>
            <w:fldChar w:fldCharType="separate"/>
          </w:r>
          <w:r>
            <w:t>159</w:t>
          </w:r>
          <w:r>
            <w:fldChar w:fldCharType="end"/>
          </w:r>
          <w:r>
            <w:rPr>
              <w:rFonts w:ascii="Times New Roman" w:hAnsi="Times New Roman" w:cs="Times New Roman"/>
              <w:color w:val="FF0000"/>
              <w:u w:val="none" w:color="auto"/>
            </w:rPr>
            <w:fldChar w:fldCharType="end"/>
          </w:r>
        </w:p>
        <w:p w14:paraId="4AFB280B">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_Toc6545 </w:instrText>
          </w:r>
          <w:r>
            <w:rPr>
              <w:rFonts w:ascii="Times New Roman" w:hAnsi="Times New Roman" w:cs="Times New Roman"/>
            </w:rPr>
            <w:fldChar w:fldCharType="separate"/>
          </w:r>
          <w:r>
            <w:rPr>
              <w:rFonts w:hint="default" w:ascii="Times New Roman" w:hAnsi="Times New Roman" w:cs="Times New Roman"/>
              <w:lang w:val="en-US" w:eastAsia="zh-CN"/>
            </w:rPr>
            <w:t>附件</w:t>
          </w:r>
          <w:r>
            <w:rPr>
              <w:rFonts w:hint="eastAsia" w:ascii="Times New Roman" w:hAnsi="Times New Roman" w:cs="Times New Roman"/>
              <w:lang w:val="en-US" w:eastAsia="zh-CN"/>
            </w:rPr>
            <w:t>15</w:t>
          </w:r>
          <w:r>
            <w:rPr>
              <w:rFonts w:hint="default" w:ascii="Times New Roman" w:hAnsi="Times New Roman" w:cs="Times New Roman"/>
              <w:lang w:val="en-US" w:eastAsia="zh-CN"/>
            </w:rPr>
            <w:t>：</w:t>
          </w:r>
          <w:r>
            <w:rPr>
              <w:rFonts w:hint="eastAsia" w:ascii="Times New Roman" w:hAnsi="Times New Roman" w:cs="Times New Roman"/>
              <w:bCs w:val="0"/>
              <w:kern w:val="2"/>
              <w:szCs w:val="24"/>
              <w:lang w:val="en-US" w:eastAsia="zh-CN"/>
            </w:rPr>
            <w:t>与本项目有关的政府文件</w:t>
          </w:r>
          <w:r>
            <w:tab/>
          </w:r>
          <w:r>
            <w:fldChar w:fldCharType="begin"/>
          </w:r>
          <w:r>
            <w:instrText xml:space="preserve"> PAGEREF _Toc6545 \h </w:instrText>
          </w:r>
          <w:r>
            <w:fldChar w:fldCharType="separate"/>
          </w:r>
          <w:r>
            <w:t>166</w:t>
          </w:r>
          <w:r>
            <w:fldChar w:fldCharType="end"/>
          </w:r>
          <w:r>
            <w:rPr>
              <w:rFonts w:ascii="Times New Roman" w:hAnsi="Times New Roman" w:cs="Times New Roman"/>
              <w:color w:val="FF0000"/>
              <w:u w:val="none" w:color="auto"/>
            </w:rPr>
            <w:fldChar w:fldCharType="end"/>
          </w:r>
        </w:p>
        <w:p w14:paraId="67D3C70B">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_Toc4301 </w:instrText>
          </w:r>
          <w:r>
            <w:rPr>
              <w:rFonts w:ascii="Times New Roman" w:hAnsi="Times New Roman" w:cs="Times New Roman"/>
            </w:rPr>
            <w:fldChar w:fldCharType="separate"/>
          </w:r>
          <w:r>
            <w:rPr>
              <w:rFonts w:hint="default" w:ascii="Times New Roman" w:hAnsi="Times New Roman" w:cs="Times New Roman"/>
              <w:lang w:val="en-US" w:eastAsia="zh-CN"/>
            </w:rPr>
            <w:t>附件</w:t>
          </w:r>
          <w:r>
            <w:rPr>
              <w:rFonts w:hint="eastAsia" w:ascii="Times New Roman" w:hAnsi="Times New Roman" w:cs="Times New Roman"/>
              <w:lang w:val="en-US" w:eastAsia="zh-CN"/>
            </w:rPr>
            <w:t>16</w:t>
          </w:r>
          <w:r>
            <w:rPr>
              <w:rFonts w:hint="default" w:ascii="Times New Roman" w:hAnsi="Times New Roman" w:cs="Times New Roman"/>
              <w:lang w:val="en-US" w:eastAsia="zh-CN"/>
            </w:rPr>
            <w:t>：</w:t>
          </w:r>
          <w:r>
            <w:rPr>
              <w:rFonts w:hint="default" w:ascii="Times New Roman" w:hAnsi="Times New Roman" w:cs="Times New Roman"/>
              <w:bCs w:val="0"/>
              <w:kern w:val="2"/>
              <w:szCs w:val="24"/>
              <w:lang w:val="en-US" w:eastAsia="zh-CN"/>
            </w:rPr>
            <w:t>环境影响报告表审查意见</w:t>
          </w:r>
          <w:r>
            <w:tab/>
          </w:r>
          <w:r>
            <w:fldChar w:fldCharType="begin"/>
          </w:r>
          <w:r>
            <w:instrText xml:space="preserve"> PAGEREF _Toc4301 \h </w:instrText>
          </w:r>
          <w:r>
            <w:fldChar w:fldCharType="separate"/>
          </w:r>
          <w:r>
            <w:t>171</w:t>
          </w:r>
          <w:r>
            <w:fldChar w:fldCharType="end"/>
          </w:r>
          <w:r>
            <w:rPr>
              <w:rFonts w:ascii="Times New Roman" w:hAnsi="Times New Roman" w:cs="Times New Roman"/>
              <w:color w:val="FF0000"/>
              <w:u w:val="none" w:color="auto"/>
            </w:rPr>
            <w:fldChar w:fldCharType="end"/>
          </w:r>
        </w:p>
        <w:p w14:paraId="13EFFC78">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_Toc8908 </w:instrText>
          </w:r>
          <w:r>
            <w:rPr>
              <w:rFonts w:ascii="Times New Roman" w:hAnsi="Times New Roman" w:cs="Times New Roman"/>
            </w:rPr>
            <w:fldChar w:fldCharType="separate"/>
          </w:r>
          <w:r>
            <w:rPr>
              <w:rFonts w:hint="default" w:ascii="Times New Roman" w:hAnsi="Times New Roman" w:cs="Times New Roman"/>
              <w:lang w:val="en-US" w:eastAsia="zh-CN"/>
            </w:rPr>
            <w:t>附图1：项目地理位置图</w:t>
          </w:r>
          <w:r>
            <w:tab/>
          </w:r>
          <w:r>
            <w:fldChar w:fldCharType="begin"/>
          </w:r>
          <w:r>
            <w:instrText xml:space="preserve"> PAGEREF _Toc8908 \h </w:instrText>
          </w:r>
          <w:r>
            <w:fldChar w:fldCharType="separate"/>
          </w:r>
          <w:r>
            <w:t>174</w:t>
          </w:r>
          <w:r>
            <w:fldChar w:fldCharType="end"/>
          </w:r>
          <w:r>
            <w:rPr>
              <w:rFonts w:ascii="Times New Roman" w:hAnsi="Times New Roman" w:cs="Times New Roman"/>
              <w:color w:val="FF0000"/>
              <w:u w:val="none" w:color="auto"/>
            </w:rPr>
            <w:fldChar w:fldCharType="end"/>
          </w:r>
        </w:p>
        <w:p w14:paraId="3267C59A">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_Toc17592 </w:instrText>
          </w:r>
          <w:r>
            <w:rPr>
              <w:rFonts w:ascii="Times New Roman" w:hAnsi="Times New Roman" w:cs="Times New Roman"/>
            </w:rPr>
            <w:fldChar w:fldCharType="separate"/>
          </w:r>
          <w:r>
            <w:rPr>
              <w:rFonts w:hint="default" w:ascii="Times New Roman" w:hAnsi="Times New Roman" w:cs="Times New Roman"/>
              <w:lang w:val="en-US" w:eastAsia="zh-CN"/>
            </w:rPr>
            <w:t>附图2：</w:t>
          </w:r>
          <w:r>
            <w:rPr>
              <w:rFonts w:hint="eastAsia" w:cs="Times New Roman"/>
              <w:lang w:val="en-US" w:eastAsia="zh-CN"/>
            </w:rPr>
            <w:t>技改前</w:t>
          </w:r>
          <w:r>
            <w:rPr>
              <w:rFonts w:hint="default" w:ascii="Times New Roman" w:hAnsi="Times New Roman" w:cs="Times New Roman"/>
              <w:lang w:val="en-US" w:eastAsia="zh-CN"/>
            </w:rPr>
            <w:t>厂区平面布置图</w:t>
          </w:r>
          <w:r>
            <w:tab/>
          </w:r>
          <w:r>
            <w:fldChar w:fldCharType="begin"/>
          </w:r>
          <w:r>
            <w:instrText xml:space="preserve"> PAGEREF _Toc17592 \h </w:instrText>
          </w:r>
          <w:r>
            <w:fldChar w:fldCharType="separate"/>
          </w:r>
          <w:r>
            <w:t>175</w:t>
          </w:r>
          <w:r>
            <w:fldChar w:fldCharType="end"/>
          </w:r>
          <w:r>
            <w:rPr>
              <w:rFonts w:ascii="Times New Roman" w:hAnsi="Times New Roman" w:cs="Times New Roman"/>
              <w:color w:val="FF0000"/>
              <w:u w:val="none" w:color="auto"/>
            </w:rPr>
            <w:fldChar w:fldCharType="end"/>
          </w:r>
        </w:p>
        <w:p w14:paraId="6B208B27">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_Toc28037 </w:instrText>
          </w:r>
          <w:r>
            <w:rPr>
              <w:rFonts w:ascii="Times New Roman" w:hAnsi="Times New Roman" w:cs="Times New Roman"/>
            </w:rPr>
            <w:fldChar w:fldCharType="separate"/>
          </w:r>
          <w:r>
            <w:rPr>
              <w:rFonts w:hint="default" w:ascii="Times New Roman" w:hAnsi="Times New Roman" w:cs="Times New Roman"/>
              <w:lang w:val="en-US" w:eastAsia="zh-CN"/>
            </w:rPr>
            <w:t>附图</w:t>
          </w:r>
          <w:r>
            <w:rPr>
              <w:rFonts w:hint="eastAsia" w:cs="Times New Roman"/>
              <w:lang w:val="en-US" w:eastAsia="zh-CN"/>
            </w:rPr>
            <w:t>3</w:t>
          </w:r>
          <w:r>
            <w:rPr>
              <w:rFonts w:hint="default" w:ascii="Times New Roman" w:hAnsi="Times New Roman" w:cs="Times New Roman"/>
              <w:lang w:val="en-US" w:eastAsia="zh-CN"/>
            </w:rPr>
            <w:t>：</w:t>
          </w:r>
          <w:r>
            <w:rPr>
              <w:rFonts w:hint="eastAsia" w:cs="Times New Roman"/>
              <w:lang w:val="en-US" w:eastAsia="zh-CN"/>
            </w:rPr>
            <w:t>技改后</w:t>
          </w:r>
          <w:r>
            <w:rPr>
              <w:rFonts w:hint="default" w:ascii="Times New Roman" w:hAnsi="Times New Roman" w:cs="Times New Roman"/>
              <w:lang w:val="en-US" w:eastAsia="zh-CN"/>
            </w:rPr>
            <w:t>厂区平面布置图</w:t>
          </w:r>
          <w:r>
            <w:tab/>
          </w:r>
          <w:r>
            <w:fldChar w:fldCharType="begin"/>
          </w:r>
          <w:r>
            <w:instrText xml:space="preserve"> PAGEREF _Toc28037 \h </w:instrText>
          </w:r>
          <w:r>
            <w:fldChar w:fldCharType="separate"/>
          </w:r>
          <w:r>
            <w:t>176</w:t>
          </w:r>
          <w:r>
            <w:fldChar w:fldCharType="end"/>
          </w:r>
          <w:r>
            <w:rPr>
              <w:rFonts w:ascii="Times New Roman" w:hAnsi="Times New Roman" w:cs="Times New Roman"/>
              <w:color w:val="FF0000"/>
              <w:u w:val="none" w:color="auto"/>
            </w:rPr>
            <w:fldChar w:fldCharType="end"/>
          </w:r>
        </w:p>
        <w:p w14:paraId="5E12F369">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_Toc8604 </w:instrText>
          </w:r>
          <w:r>
            <w:rPr>
              <w:rFonts w:ascii="Times New Roman" w:hAnsi="Times New Roman" w:cs="Times New Roman"/>
            </w:rPr>
            <w:fldChar w:fldCharType="separate"/>
          </w:r>
          <w:r>
            <w:rPr>
              <w:rFonts w:hint="default" w:ascii="Times New Roman" w:hAnsi="Times New Roman" w:cs="Times New Roman"/>
              <w:lang w:val="en-US" w:eastAsia="zh-CN"/>
            </w:rPr>
            <w:t>附图</w:t>
          </w:r>
          <w:r>
            <w:rPr>
              <w:rFonts w:hint="default" w:cs="Times New Roman"/>
              <w:lang w:val="en-US" w:eastAsia="zh-CN"/>
            </w:rPr>
            <w:t>4</w:t>
          </w:r>
          <w:r>
            <w:rPr>
              <w:rFonts w:hint="default" w:ascii="Times New Roman" w:hAnsi="Times New Roman" w:cs="Times New Roman"/>
              <w:lang w:val="en-US" w:eastAsia="zh-CN"/>
            </w:rPr>
            <w:t>：</w:t>
          </w:r>
          <w:r>
            <w:rPr>
              <w:rFonts w:hint="default" w:cs="Times New Roman"/>
              <w:lang w:val="en-US" w:eastAsia="zh-CN"/>
            </w:rPr>
            <w:t>生产车间</w:t>
          </w:r>
          <w:r>
            <w:rPr>
              <w:rFonts w:hint="default" w:ascii="Times New Roman" w:hAnsi="Times New Roman" w:cs="Times New Roman"/>
              <w:lang w:val="en-US" w:eastAsia="zh-CN"/>
            </w:rPr>
            <w:t>平面布置图</w:t>
          </w:r>
          <w:r>
            <w:tab/>
          </w:r>
          <w:r>
            <w:fldChar w:fldCharType="begin"/>
          </w:r>
          <w:r>
            <w:instrText xml:space="preserve"> PAGEREF _Toc8604 \h </w:instrText>
          </w:r>
          <w:r>
            <w:fldChar w:fldCharType="separate"/>
          </w:r>
          <w:r>
            <w:t>177</w:t>
          </w:r>
          <w:r>
            <w:fldChar w:fldCharType="end"/>
          </w:r>
          <w:r>
            <w:rPr>
              <w:rFonts w:ascii="Times New Roman" w:hAnsi="Times New Roman" w:cs="Times New Roman"/>
              <w:color w:val="FF0000"/>
              <w:u w:val="none" w:color="auto"/>
            </w:rPr>
            <w:fldChar w:fldCharType="end"/>
          </w:r>
        </w:p>
        <w:p w14:paraId="43DF0E74">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_Toc11087 </w:instrText>
          </w:r>
          <w:r>
            <w:rPr>
              <w:rFonts w:ascii="Times New Roman" w:hAnsi="Times New Roman" w:cs="Times New Roman"/>
            </w:rPr>
            <w:fldChar w:fldCharType="separate"/>
          </w:r>
          <w:r>
            <w:rPr>
              <w:rFonts w:hint="default" w:ascii="Times New Roman" w:hAnsi="Times New Roman" w:cs="Times New Roman"/>
              <w:lang w:val="en-US" w:eastAsia="zh-CN"/>
            </w:rPr>
            <w:t>附图</w:t>
          </w:r>
          <w:r>
            <w:rPr>
              <w:rFonts w:hint="eastAsia" w:cs="Times New Roman"/>
              <w:lang w:val="en-US" w:eastAsia="zh-CN"/>
            </w:rPr>
            <w:t>5</w:t>
          </w:r>
          <w:r>
            <w:rPr>
              <w:rFonts w:hint="default" w:ascii="Times New Roman" w:hAnsi="Times New Roman" w:cs="Times New Roman"/>
              <w:lang w:val="en-US" w:eastAsia="zh-CN"/>
            </w:rPr>
            <w:t>：环境保护目标图</w:t>
          </w:r>
          <w:r>
            <w:tab/>
          </w:r>
          <w:r>
            <w:fldChar w:fldCharType="begin"/>
          </w:r>
          <w:r>
            <w:instrText xml:space="preserve"> PAGEREF _Toc11087 \h </w:instrText>
          </w:r>
          <w:r>
            <w:fldChar w:fldCharType="separate"/>
          </w:r>
          <w:r>
            <w:t>178</w:t>
          </w:r>
          <w:r>
            <w:fldChar w:fldCharType="end"/>
          </w:r>
          <w:r>
            <w:rPr>
              <w:rFonts w:ascii="Times New Roman" w:hAnsi="Times New Roman" w:cs="Times New Roman"/>
              <w:color w:val="FF0000"/>
              <w:u w:val="none" w:color="auto"/>
            </w:rPr>
            <w:fldChar w:fldCharType="end"/>
          </w:r>
        </w:p>
        <w:p w14:paraId="47E548DE">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_Toc18433 </w:instrText>
          </w:r>
          <w:r>
            <w:rPr>
              <w:rFonts w:ascii="Times New Roman" w:hAnsi="Times New Roman" w:cs="Times New Roman"/>
            </w:rPr>
            <w:fldChar w:fldCharType="separate"/>
          </w:r>
          <w:r>
            <w:rPr>
              <w:rFonts w:hint="default" w:ascii="Times New Roman" w:hAnsi="Times New Roman" w:cs="Times New Roman"/>
              <w:shd w:val="clear"/>
              <w:lang w:val="en-US" w:eastAsia="zh-CN"/>
            </w:rPr>
            <w:t>附图</w:t>
          </w:r>
          <w:r>
            <w:rPr>
              <w:rFonts w:hint="eastAsia" w:cs="Times New Roman"/>
              <w:shd w:val="clear"/>
              <w:lang w:val="en-US" w:eastAsia="zh-CN"/>
            </w:rPr>
            <w:t>6</w:t>
          </w:r>
          <w:r>
            <w:rPr>
              <w:rFonts w:hint="default" w:ascii="Times New Roman" w:hAnsi="Times New Roman" w:cs="Times New Roman"/>
              <w:shd w:val="clear"/>
              <w:lang w:val="en-US" w:eastAsia="zh-CN"/>
            </w:rPr>
            <w:t>：本项目雨水管网图</w:t>
          </w:r>
          <w:r>
            <w:tab/>
          </w:r>
          <w:r>
            <w:fldChar w:fldCharType="begin"/>
          </w:r>
          <w:r>
            <w:instrText xml:space="preserve"> PAGEREF _Toc18433 \h </w:instrText>
          </w:r>
          <w:r>
            <w:fldChar w:fldCharType="separate"/>
          </w:r>
          <w:r>
            <w:t>179</w:t>
          </w:r>
          <w:r>
            <w:fldChar w:fldCharType="end"/>
          </w:r>
          <w:r>
            <w:rPr>
              <w:rFonts w:ascii="Times New Roman" w:hAnsi="Times New Roman" w:cs="Times New Roman"/>
              <w:color w:val="FF0000"/>
              <w:u w:val="none" w:color="auto"/>
            </w:rPr>
            <w:fldChar w:fldCharType="end"/>
          </w:r>
        </w:p>
        <w:p w14:paraId="137A43E6">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_Toc378 </w:instrText>
          </w:r>
          <w:r>
            <w:rPr>
              <w:rFonts w:ascii="Times New Roman" w:hAnsi="Times New Roman" w:cs="Times New Roman"/>
            </w:rPr>
            <w:fldChar w:fldCharType="separate"/>
          </w:r>
          <w:r>
            <w:rPr>
              <w:rFonts w:hint="default" w:ascii="Times New Roman" w:hAnsi="Times New Roman" w:cs="Times New Roman"/>
              <w:lang w:val="en-US" w:eastAsia="zh-CN"/>
            </w:rPr>
            <w:t>附图</w:t>
          </w:r>
          <w:r>
            <w:rPr>
              <w:rFonts w:hint="eastAsia" w:cs="Times New Roman"/>
              <w:lang w:val="en-US" w:eastAsia="zh-CN"/>
            </w:rPr>
            <w:t>7</w:t>
          </w:r>
          <w:r>
            <w:rPr>
              <w:rFonts w:hint="default" w:ascii="Times New Roman" w:hAnsi="Times New Roman" w:cs="Times New Roman"/>
              <w:lang w:val="en-US" w:eastAsia="zh-CN"/>
            </w:rPr>
            <w:t>：项目所在区域雨</w:t>
          </w:r>
          <w:r>
            <w:rPr>
              <w:rFonts w:hint="eastAsia" w:cs="Times New Roman"/>
              <w:lang w:val="en-US" w:eastAsia="zh-CN"/>
            </w:rPr>
            <w:t>水</w:t>
          </w:r>
          <w:r>
            <w:rPr>
              <w:rFonts w:hint="default" w:ascii="Times New Roman" w:hAnsi="Times New Roman" w:cs="Times New Roman"/>
              <w:lang w:val="en-US" w:eastAsia="zh-CN"/>
            </w:rPr>
            <w:t>走向图</w:t>
          </w:r>
          <w:r>
            <w:tab/>
          </w:r>
          <w:r>
            <w:fldChar w:fldCharType="begin"/>
          </w:r>
          <w:r>
            <w:instrText xml:space="preserve"> PAGEREF _Toc378 \h </w:instrText>
          </w:r>
          <w:r>
            <w:fldChar w:fldCharType="separate"/>
          </w:r>
          <w:r>
            <w:t>180</w:t>
          </w:r>
          <w:r>
            <w:fldChar w:fldCharType="end"/>
          </w:r>
          <w:r>
            <w:rPr>
              <w:rFonts w:ascii="Times New Roman" w:hAnsi="Times New Roman" w:cs="Times New Roman"/>
              <w:color w:val="FF0000"/>
              <w:u w:val="none" w:color="auto"/>
            </w:rPr>
            <w:fldChar w:fldCharType="end"/>
          </w:r>
        </w:p>
        <w:p w14:paraId="2DB7199A">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_Toc12175 </w:instrText>
          </w:r>
          <w:r>
            <w:rPr>
              <w:rFonts w:ascii="Times New Roman" w:hAnsi="Times New Roman" w:cs="Times New Roman"/>
            </w:rPr>
            <w:fldChar w:fldCharType="separate"/>
          </w:r>
          <w:r>
            <w:rPr>
              <w:rFonts w:hint="default" w:ascii="Times New Roman" w:hAnsi="Times New Roman" w:cs="Times New Roman"/>
              <w:lang w:val="en-US" w:eastAsia="zh-CN"/>
            </w:rPr>
            <w:t>附图</w:t>
          </w:r>
          <w:r>
            <w:rPr>
              <w:rFonts w:hint="eastAsia" w:cs="Times New Roman"/>
              <w:lang w:val="en-US" w:eastAsia="zh-CN"/>
            </w:rPr>
            <w:t>8</w:t>
          </w:r>
          <w:r>
            <w:rPr>
              <w:rFonts w:hint="default" w:ascii="Times New Roman" w:hAnsi="Times New Roman" w:cs="Times New Roman"/>
              <w:lang w:val="en-US" w:eastAsia="zh-CN"/>
            </w:rPr>
            <w:t>：</w:t>
          </w:r>
          <w:r>
            <w:rPr>
              <w:rFonts w:hint="default" w:cs="Times New Roman"/>
              <w:lang w:val="en-US" w:eastAsia="zh-CN"/>
            </w:rPr>
            <w:t>卢峰镇污水处理厂</w:t>
          </w:r>
          <w:r>
            <w:rPr>
              <w:rFonts w:hint="eastAsia" w:cs="Times New Roman"/>
              <w:lang w:val="en-US" w:eastAsia="zh-CN"/>
            </w:rPr>
            <w:t>污水管网</w:t>
          </w:r>
          <w:r>
            <w:rPr>
              <w:rFonts w:hint="default" w:cs="Times New Roman"/>
              <w:lang w:val="en-US" w:eastAsia="zh-CN"/>
            </w:rPr>
            <w:t>图</w:t>
          </w:r>
          <w:r>
            <w:tab/>
          </w:r>
          <w:r>
            <w:fldChar w:fldCharType="begin"/>
          </w:r>
          <w:r>
            <w:instrText xml:space="preserve"> PAGEREF _Toc12175 \h </w:instrText>
          </w:r>
          <w:r>
            <w:fldChar w:fldCharType="separate"/>
          </w:r>
          <w:r>
            <w:t>181</w:t>
          </w:r>
          <w:r>
            <w:fldChar w:fldCharType="end"/>
          </w:r>
          <w:r>
            <w:rPr>
              <w:rFonts w:ascii="Times New Roman" w:hAnsi="Times New Roman" w:cs="Times New Roman"/>
              <w:color w:val="FF0000"/>
              <w:u w:val="none" w:color="auto"/>
            </w:rPr>
            <w:fldChar w:fldCharType="end"/>
          </w:r>
        </w:p>
        <w:p w14:paraId="2C4CBCBF">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_Toc14917 </w:instrText>
          </w:r>
          <w:r>
            <w:rPr>
              <w:rFonts w:ascii="Times New Roman" w:hAnsi="Times New Roman" w:cs="Times New Roman"/>
            </w:rPr>
            <w:fldChar w:fldCharType="separate"/>
          </w:r>
          <w:r>
            <w:t>附图</w:t>
          </w:r>
          <w:r>
            <w:rPr>
              <w:rFonts w:hint="eastAsia"/>
              <w:lang w:val="en-US" w:eastAsia="zh-CN"/>
            </w:rPr>
            <w:t>9：现状监测点位</w:t>
          </w:r>
          <w:r>
            <w:t>图</w:t>
          </w:r>
          <w:r>
            <w:tab/>
          </w:r>
          <w:r>
            <w:fldChar w:fldCharType="begin"/>
          </w:r>
          <w:r>
            <w:instrText xml:space="preserve"> PAGEREF _Toc14917 \h </w:instrText>
          </w:r>
          <w:r>
            <w:fldChar w:fldCharType="separate"/>
          </w:r>
          <w:r>
            <w:t>182</w:t>
          </w:r>
          <w:r>
            <w:fldChar w:fldCharType="end"/>
          </w:r>
          <w:r>
            <w:rPr>
              <w:rFonts w:ascii="Times New Roman" w:hAnsi="Times New Roman" w:cs="Times New Roman"/>
              <w:color w:val="FF0000"/>
              <w:u w:val="none" w:color="auto"/>
            </w:rPr>
            <w:fldChar w:fldCharType="end"/>
          </w:r>
        </w:p>
        <w:p w14:paraId="7F638663">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_Toc11764 </w:instrText>
          </w:r>
          <w:r>
            <w:rPr>
              <w:rFonts w:ascii="Times New Roman" w:hAnsi="Times New Roman" w:cs="Times New Roman"/>
            </w:rPr>
            <w:fldChar w:fldCharType="separate"/>
          </w:r>
          <w:r>
            <w:t>附图</w:t>
          </w:r>
          <w:r>
            <w:rPr>
              <w:rFonts w:hint="default"/>
              <w:lang w:val="en-US" w:eastAsia="zh-CN"/>
            </w:rPr>
            <w:t>10：项目用地红线</w:t>
          </w:r>
          <w:r>
            <w:t>图</w:t>
          </w:r>
          <w:r>
            <w:tab/>
          </w:r>
          <w:r>
            <w:fldChar w:fldCharType="begin"/>
          </w:r>
          <w:r>
            <w:instrText xml:space="preserve"> PAGEREF _Toc11764 \h </w:instrText>
          </w:r>
          <w:r>
            <w:fldChar w:fldCharType="separate"/>
          </w:r>
          <w:r>
            <w:t>183</w:t>
          </w:r>
          <w:r>
            <w:fldChar w:fldCharType="end"/>
          </w:r>
          <w:r>
            <w:rPr>
              <w:rFonts w:ascii="Times New Roman" w:hAnsi="Times New Roman" w:cs="Times New Roman"/>
              <w:color w:val="FF0000"/>
              <w:u w:val="none" w:color="auto"/>
            </w:rPr>
            <w:fldChar w:fldCharType="end"/>
          </w:r>
        </w:p>
        <w:p w14:paraId="5FE5F8BB">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_Toc24418 </w:instrText>
          </w:r>
          <w:r>
            <w:rPr>
              <w:rFonts w:ascii="Times New Roman" w:hAnsi="Times New Roman" w:cs="Times New Roman"/>
            </w:rPr>
            <w:fldChar w:fldCharType="separate"/>
          </w:r>
          <w:r>
            <w:t>附图</w:t>
          </w:r>
          <w:r>
            <w:rPr>
              <w:rFonts w:hint="default"/>
              <w:lang w:val="en-US" w:eastAsia="zh-CN"/>
            </w:rPr>
            <w:t>11：项目分区防渗</w:t>
          </w:r>
          <w:r>
            <w:t>图</w:t>
          </w:r>
          <w:r>
            <w:tab/>
          </w:r>
          <w:r>
            <w:fldChar w:fldCharType="begin"/>
          </w:r>
          <w:r>
            <w:instrText xml:space="preserve"> PAGEREF _Toc24418 \h </w:instrText>
          </w:r>
          <w:r>
            <w:fldChar w:fldCharType="separate"/>
          </w:r>
          <w:r>
            <w:t>184</w:t>
          </w:r>
          <w:r>
            <w:fldChar w:fldCharType="end"/>
          </w:r>
          <w:r>
            <w:rPr>
              <w:rFonts w:ascii="Times New Roman" w:hAnsi="Times New Roman" w:cs="Times New Roman"/>
              <w:color w:val="FF0000"/>
              <w:u w:val="none" w:color="auto"/>
            </w:rPr>
            <w:fldChar w:fldCharType="end"/>
          </w:r>
        </w:p>
        <w:p w14:paraId="76598176">
          <w:pPr>
            <w:pStyle w:val="18"/>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_Toc16830 </w:instrText>
          </w:r>
          <w:r>
            <w:rPr>
              <w:rFonts w:ascii="Times New Roman" w:hAnsi="Times New Roman" w:cs="Times New Roman"/>
            </w:rPr>
            <w:fldChar w:fldCharType="separate"/>
          </w:r>
          <w:r>
            <w:rPr>
              <w:rFonts w:hint="default" w:ascii="Times New Roman" w:hAnsi="Times New Roman" w:cs="Times New Roman"/>
              <w:lang w:val="en-US" w:eastAsia="zh-CN"/>
            </w:rPr>
            <w:t>附图</w:t>
          </w:r>
          <w:r>
            <w:rPr>
              <w:rFonts w:hint="eastAsia" w:cs="Times New Roman"/>
              <w:lang w:val="en-US" w:eastAsia="zh-CN"/>
            </w:rPr>
            <w:t>12</w:t>
          </w:r>
          <w:r>
            <w:rPr>
              <w:rFonts w:hint="default" w:ascii="Times New Roman" w:hAnsi="Times New Roman" w:cs="Times New Roman"/>
              <w:lang w:val="en-US" w:eastAsia="zh-CN"/>
            </w:rPr>
            <w:t>：现场照片</w:t>
          </w:r>
          <w:r>
            <w:tab/>
          </w:r>
          <w:r>
            <w:fldChar w:fldCharType="begin"/>
          </w:r>
          <w:r>
            <w:instrText xml:space="preserve"> PAGEREF _Toc16830 \h </w:instrText>
          </w:r>
          <w:r>
            <w:fldChar w:fldCharType="separate"/>
          </w:r>
          <w:r>
            <w:t>185</w:t>
          </w:r>
          <w:r>
            <w:fldChar w:fldCharType="end"/>
          </w:r>
          <w:r>
            <w:rPr>
              <w:rFonts w:ascii="Times New Roman" w:hAnsi="Times New Roman" w:cs="Times New Roman"/>
              <w:color w:val="FF0000"/>
              <w:u w:val="none" w:color="auto"/>
            </w:rPr>
            <w:fldChar w:fldCharType="end"/>
          </w:r>
        </w:p>
        <w:p w14:paraId="6A34745F">
          <w:pPr>
            <w:pStyle w:val="18"/>
            <w:tabs>
              <w:tab w:val="right" w:leader="dot" w:pos="9072"/>
            </w:tabs>
            <w:ind w:left="480" w:firstLine="480" w:firstLineChars="200"/>
            <w:rPr>
              <w:rFonts w:ascii="Times New Roman" w:hAnsi="Times New Roman" w:cs="Times New Roman"/>
              <w:color w:val="FF0000"/>
              <w:u w:val="none" w:color="auto"/>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s="Times New Roman"/>
              <w:color w:val="FF0000"/>
              <w:u w:val="none" w:color="auto"/>
            </w:rPr>
            <w:fldChar w:fldCharType="end"/>
          </w:r>
        </w:p>
      </w:sdtContent>
    </w:sdt>
    <w:p w14:paraId="708D8DDC">
      <w:pPr>
        <w:pStyle w:val="2"/>
        <w:numPr>
          <w:ilvl w:val="0"/>
          <w:numId w:val="0"/>
        </w:numPr>
        <w:bidi w:val="0"/>
        <w:jc w:val="left"/>
        <w:rPr>
          <w:rFonts w:hint="default" w:ascii="Times New Roman" w:hAnsi="Times New Roman" w:cs="Times New Roman"/>
          <w:b/>
          <w:bCs/>
          <w:color w:val="auto"/>
          <w:u w:val="none" w:color="auto"/>
          <w:lang w:val="en-US" w:eastAsia="zh-CN"/>
        </w:rPr>
      </w:pPr>
      <w:bookmarkStart w:id="1" w:name="_Toc15344"/>
      <w:bookmarkStart w:id="2" w:name="_Toc12679"/>
      <w:bookmarkStart w:id="3" w:name="_Toc9064"/>
      <w:bookmarkStart w:id="4" w:name="_Toc20588"/>
      <w:bookmarkStart w:id="5" w:name="_Toc23964"/>
      <w:bookmarkStart w:id="6" w:name="_Toc29123"/>
      <w:bookmarkStart w:id="7" w:name="_Toc18865"/>
      <w:bookmarkStart w:id="8" w:name="_Toc17210"/>
      <w:bookmarkStart w:id="9" w:name="_Toc21191"/>
      <w:bookmarkStart w:id="10" w:name="_Toc17097"/>
      <w:bookmarkStart w:id="11" w:name="_Toc26839"/>
      <w:bookmarkStart w:id="12" w:name="_Toc591"/>
      <w:bookmarkStart w:id="13" w:name="_Toc23960"/>
      <w:bookmarkStart w:id="14" w:name="_Toc26445"/>
      <w:bookmarkStart w:id="15" w:name="_Toc7953"/>
      <w:bookmarkStart w:id="16" w:name="_Toc15627"/>
      <w:bookmarkStart w:id="17" w:name="_Toc5595"/>
      <w:bookmarkStart w:id="18" w:name="_Toc4245"/>
      <w:bookmarkStart w:id="19" w:name="_Toc17664"/>
      <w:bookmarkStart w:id="20" w:name="_Toc12755"/>
      <w:bookmarkStart w:id="21" w:name="_Toc32646"/>
      <w:bookmarkStart w:id="22" w:name="_Toc14341"/>
      <w:bookmarkStart w:id="23" w:name="_Toc26480"/>
      <w:bookmarkStart w:id="24" w:name="_Toc15135"/>
      <w:r>
        <w:rPr>
          <w:rFonts w:hint="default" w:ascii="Times New Roman" w:hAnsi="Times New Roman" w:cs="Times New Roman"/>
          <w:b/>
          <w:bCs/>
          <w:color w:val="auto"/>
          <w:u w:val="none" w:color="auto"/>
          <w:lang w:val="en-US" w:eastAsia="zh-CN"/>
        </w:rPr>
        <w:t>一、建设项目基本情况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Style w:val="23"/>
        <w:tblW w:w="9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2574"/>
        <w:gridCol w:w="2306"/>
        <w:gridCol w:w="3216"/>
      </w:tblGrid>
      <w:tr w14:paraId="4699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69CE3D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建设项目</w:t>
            </w:r>
          </w:p>
          <w:p w14:paraId="73B055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名称</w:t>
            </w:r>
          </w:p>
        </w:tc>
        <w:tc>
          <w:tcPr>
            <w:tcW w:w="7868" w:type="dxa"/>
            <w:gridSpan w:val="3"/>
            <w:vAlign w:val="center"/>
          </w:tcPr>
          <w:p w14:paraId="48693B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溆浦县金中定点屠宰场升级改造建设项目</w:t>
            </w:r>
          </w:p>
        </w:tc>
      </w:tr>
      <w:tr w14:paraId="41FD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79" w:type="dxa"/>
            <w:vAlign w:val="center"/>
          </w:tcPr>
          <w:p w14:paraId="24A589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项目代码</w:t>
            </w:r>
          </w:p>
        </w:tc>
        <w:tc>
          <w:tcPr>
            <w:tcW w:w="7868" w:type="dxa"/>
            <w:gridSpan w:val="3"/>
            <w:vAlign w:val="center"/>
          </w:tcPr>
          <w:p w14:paraId="58271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ascii="Times New Roman" w:hAnsi="Times New Roman" w:eastAsia="宋体" w:cs="Times New Roman"/>
                <w:color w:val="auto"/>
                <w:kern w:val="2"/>
                <w:sz w:val="24"/>
                <w:szCs w:val="24"/>
                <w:u w:val="none" w:color="auto"/>
                <w:lang w:val="en-US" w:eastAsia="zh-CN" w:bidi="ar"/>
              </w:rPr>
              <w:t>2411</w:t>
            </w:r>
            <w:r>
              <w:rPr>
                <w:rFonts w:ascii="Times New Roman" w:hAnsi="Times New Roman" w:eastAsia="宋体" w:cs="Times New Roman"/>
                <w:color w:val="auto"/>
                <w:kern w:val="2"/>
                <w:sz w:val="24"/>
                <w:szCs w:val="24"/>
                <w:u w:val="none" w:color="auto"/>
                <w:lang w:val="en-US" w:eastAsia="zh-CN" w:bidi="ar"/>
              </w:rPr>
              <w:t>-</w:t>
            </w:r>
            <w:r>
              <w:rPr>
                <w:rFonts w:hint="eastAsia" w:ascii="Times New Roman" w:hAnsi="Times New Roman" w:eastAsia="宋体" w:cs="Times New Roman"/>
                <w:color w:val="auto"/>
                <w:kern w:val="2"/>
                <w:sz w:val="24"/>
                <w:szCs w:val="24"/>
                <w:u w:val="none" w:color="auto"/>
                <w:lang w:val="en-US" w:eastAsia="zh-CN" w:bidi="ar"/>
              </w:rPr>
              <w:t>431224</w:t>
            </w:r>
            <w:r>
              <w:rPr>
                <w:rFonts w:ascii="Times New Roman" w:hAnsi="Times New Roman" w:eastAsia="宋体" w:cs="Times New Roman"/>
                <w:color w:val="auto"/>
                <w:kern w:val="2"/>
                <w:sz w:val="24"/>
                <w:szCs w:val="24"/>
                <w:u w:val="none" w:color="auto"/>
                <w:lang w:val="en-US" w:eastAsia="zh-CN" w:bidi="ar"/>
              </w:rPr>
              <w:t>-</w:t>
            </w:r>
            <w:r>
              <w:rPr>
                <w:rFonts w:hint="eastAsia" w:ascii="Times New Roman" w:hAnsi="Times New Roman" w:eastAsia="宋体" w:cs="Times New Roman"/>
                <w:color w:val="auto"/>
                <w:kern w:val="2"/>
                <w:sz w:val="24"/>
                <w:szCs w:val="24"/>
                <w:u w:val="none" w:color="auto"/>
                <w:lang w:val="en-US" w:eastAsia="zh-CN" w:bidi="ar"/>
              </w:rPr>
              <w:t>04</w:t>
            </w:r>
            <w:r>
              <w:rPr>
                <w:rFonts w:ascii="Times New Roman" w:hAnsi="Times New Roman" w:eastAsia="宋体" w:cs="Times New Roman"/>
                <w:color w:val="auto"/>
                <w:kern w:val="2"/>
                <w:sz w:val="24"/>
                <w:szCs w:val="24"/>
                <w:u w:val="none" w:color="auto"/>
                <w:lang w:val="en-US" w:eastAsia="zh-CN" w:bidi="ar"/>
              </w:rPr>
              <w:t>-01-891332</w:t>
            </w:r>
          </w:p>
        </w:tc>
      </w:tr>
      <w:tr w14:paraId="28E7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479" w:type="dxa"/>
            <w:vAlign w:val="center"/>
          </w:tcPr>
          <w:p w14:paraId="79C08F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建设单位</w:t>
            </w:r>
          </w:p>
          <w:p w14:paraId="59D73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联系人</w:t>
            </w:r>
          </w:p>
        </w:tc>
        <w:tc>
          <w:tcPr>
            <w:tcW w:w="2588" w:type="dxa"/>
            <w:vAlign w:val="center"/>
          </w:tcPr>
          <w:p w14:paraId="6622B81A">
            <w:pPr>
              <w:widowControl/>
              <w:snapToGrid/>
              <w:spacing w:line="240" w:lineRule="auto"/>
              <w:ind w:firstLine="0" w:firstLineChars="0"/>
              <w:jc w:val="center"/>
              <w:outlineLvl w:val="9"/>
              <w:rPr>
                <w:rFonts w:hint="default" w:ascii="Times New Roman" w:hAnsi="Times New Roman" w:eastAsia="宋体" w:cs="Times New Roman"/>
                <w:color w:val="auto"/>
                <w:sz w:val="24"/>
                <w:szCs w:val="24"/>
                <w:u w:val="none" w:color="auto"/>
                <w:vertAlign w:val="baseline"/>
                <w:lang w:val="en-US" w:eastAsia="zh-CN"/>
              </w:rPr>
            </w:pPr>
          </w:p>
        </w:tc>
        <w:tc>
          <w:tcPr>
            <w:tcW w:w="2152" w:type="dxa"/>
            <w:vAlign w:val="center"/>
          </w:tcPr>
          <w:p w14:paraId="0FF611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联系方式</w:t>
            </w:r>
          </w:p>
        </w:tc>
        <w:tc>
          <w:tcPr>
            <w:tcW w:w="3128" w:type="dxa"/>
            <w:vAlign w:val="center"/>
          </w:tcPr>
          <w:p w14:paraId="0F93AA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p>
        </w:tc>
      </w:tr>
      <w:tr w14:paraId="410A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79" w:type="dxa"/>
            <w:vAlign w:val="center"/>
          </w:tcPr>
          <w:p w14:paraId="58679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建设地点</w:t>
            </w:r>
          </w:p>
        </w:tc>
        <w:tc>
          <w:tcPr>
            <w:tcW w:w="7868" w:type="dxa"/>
            <w:gridSpan w:val="3"/>
            <w:vAlign w:val="center"/>
          </w:tcPr>
          <w:p w14:paraId="16B822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bookmarkStart w:id="25" w:name="OLE_LINK9"/>
            <w:r>
              <w:rPr>
                <w:rFonts w:hint="eastAsia" w:ascii="Times New Roman" w:hAnsi="Times New Roman" w:eastAsia="宋体" w:cs="Times New Roman"/>
                <w:color w:val="auto"/>
                <w:sz w:val="24"/>
                <w:u w:val="none"/>
                <w:lang w:eastAsia="zh-CN"/>
              </w:rPr>
              <w:t>怀化市</w:t>
            </w:r>
            <w:r>
              <w:rPr>
                <w:rFonts w:hint="default" w:ascii="Times New Roman" w:hAnsi="Times New Roman" w:eastAsia="宋体" w:cs="Times New Roman"/>
                <w:color w:val="auto"/>
                <w:sz w:val="24"/>
                <w:u w:val="none"/>
                <w:lang w:eastAsia="zh-CN"/>
              </w:rPr>
              <w:t>溆浦县卢峰镇</w:t>
            </w:r>
            <w:bookmarkEnd w:id="25"/>
            <w:r>
              <w:rPr>
                <w:rFonts w:hint="eastAsia" w:cs="Times New Roman"/>
                <w:color w:val="auto"/>
                <w:sz w:val="24"/>
                <w:u w:val="none"/>
                <w:lang w:eastAsia="zh-CN"/>
              </w:rPr>
              <w:t>水田垅村</w:t>
            </w:r>
          </w:p>
        </w:tc>
      </w:tr>
      <w:tr w14:paraId="532A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79" w:type="dxa"/>
            <w:vAlign w:val="center"/>
          </w:tcPr>
          <w:p w14:paraId="7BE51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地理坐标</w:t>
            </w:r>
          </w:p>
        </w:tc>
        <w:tc>
          <w:tcPr>
            <w:tcW w:w="7868" w:type="dxa"/>
            <w:gridSpan w:val="3"/>
            <w:vAlign w:val="center"/>
          </w:tcPr>
          <w:p w14:paraId="03770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东经110°34′19.31</w:t>
            </w:r>
            <w:r>
              <w:rPr>
                <w:rFonts w:hint="eastAsia" w:cs="Times New Roman"/>
                <w:color w:val="auto"/>
                <w:sz w:val="24"/>
                <w:szCs w:val="24"/>
                <w:u w:val="none" w:color="auto"/>
                <w:vertAlign w:val="baseline"/>
                <w:lang w:val="en-US" w:eastAsia="zh-CN"/>
              </w:rPr>
              <w:t>3</w:t>
            </w:r>
            <w:r>
              <w:rPr>
                <w:rFonts w:hint="default" w:ascii="Times New Roman" w:hAnsi="Times New Roman" w:eastAsia="宋体" w:cs="Times New Roman"/>
                <w:color w:val="auto"/>
                <w:sz w:val="24"/>
                <w:szCs w:val="24"/>
                <w:u w:val="none" w:color="auto"/>
                <w:vertAlign w:val="baseline"/>
                <w:lang w:val="en-US" w:eastAsia="zh-CN"/>
              </w:rPr>
              <w:t>″，北纬27°54′8.74</w:t>
            </w:r>
            <w:r>
              <w:rPr>
                <w:rFonts w:hint="eastAsia" w:cs="Times New Roman"/>
                <w:color w:val="auto"/>
                <w:sz w:val="24"/>
                <w:szCs w:val="24"/>
                <w:u w:val="none" w:color="auto"/>
                <w:vertAlign w:val="baseline"/>
                <w:lang w:val="en-US" w:eastAsia="zh-CN"/>
              </w:rPr>
              <w:t>2</w:t>
            </w:r>
            <w:r>
              <w:rPr>
                <w:rFonts w:hint="default" w:ascii="Times New Roman" w:hAnsi="Times New Roman" w:eastAsia="宋体" w:cs="Times New Roman"/>
                <w:color w:val="auto"/>
                <w:sz w:val="24"/>
                <w:szCs w:val="24"/>
                <w:u w:val="none" w:color="auto"/>
                <w:vertAlign w:val="baseline"/>
                <w:lang w:val="en-US" w:eastAsia="zh-CN"/>
              </w:rPr>
              <w:t>″</w:t>
            </w:r>
          </w:p>
        </w:tc>
      </w:tr>
      <w:tr w14:paraId="50D6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479" w:type="dxa"/>
            <w:vAlign w:val="center"/>
          </w:tcPr>
          <w:p w14:paraId="798BF0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bookmarkStart w:id="26" w:name="OLE_LINK216" w:colFirst="1" w:colLast="1"/>
            <w:r>
              <w:rPr>
                <w:rFonts w:hint="default" w:ascii="Times New Roman" w:hAnsi="Times New Roman" w:eastAsia="宋体" w:cs="Times New Roman"/>
                <w:color w:val="auto"/>
                <w:sz w:val="24"/>
                <w:szCs w:val="24"/>
                <w:u w:val="none" w:color="auto"/>
                <w:vertAlign w:val="baseline"/>
                <w:lang w:val="en-US" w:eastAsia="zh-CN"/>
              </w:rPr>
              <w:t>国民经济行业类别</w:t>
            </w:r>
          </w:p>
        </w:tc>
        <w:tc>
          <w:tcPr>
            <w:tcW w:w="2588" w:type="dxa"/>
            <w:vAlign w:val="center"/>
          </w:tcPr>
          <w:p w14:paraId="5FD7D5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C</w:t>
            </w:r>
            <w:r>
              <w:rPr>
                <w:rFonts w:hint="eastAsia" w:cs="Times New Roman"/>
                <w:color w:val="auto"/>
                <w:sz w:val="24"/>
                <w:szCs w:val="24"/>
                <w:u w:val="none" w:color="auto"/>
                <w:vertAlign w:val="baseline"/>
                <w:lang w:val="en-US" w:eastAsia="zh-CN"/>
              </w:rPr>
              <w:t>1351牲畜屠宰</w:t>
            </w:r>
          </w:p>
          <w:p w14:paraId="226A1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C</w:t>
            </w:r>
            <w:r>
              <w:rPr>
                <w:rFonts w:hint="eastAsia" w:cs="Times New Roman"/>
                <w:color w:val="auto"/>
                <w:sz w:val="24"/>
                <w:szCs w:val="24"/>
                <w:u w:val="none" w:color="auto"/>
                <w:vertAlign w:val="baseline"/>
                <w:lang w:val="en-US" w:eastAsia="zh-CN"/>
              </w:rPr>
              <w:t>1352禽类屠宰</w:t>
            </w:r>
          </w:p>
        </w:tc>
        <w:tc>
          <w:tcPr>
            <w:tcW w:w="2152" w:type="dxa"/>
            <w:vAlign w:val="center"/>
          </w:tcPr>
          <w:p w14:paraId="08B85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建设项目行业类别</w:t>
            </w:r>
          </w:p>
        </w:tc>
        <w:tc>
          <w:tcPr>
            <w:tcW w:w="3128" w:type="dxa"/>
            <w:vAlign w:val="center"/>
          </w:tcPr>
          <w:p w14:paraId="4A63F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bookmarkStart w:id="27" w:name="OLE_LINK222"/>
            <w:bookmarkStart w:id="28" w:name="OLE_LINK16"/>
            <w:r>
              <w:rPr>
                <w:rFonts w:hint="eastAsia"/>
                <w:color w:val="auto"/>
                <w:sz w:val="24"/>
                <w:u w:val="none" w:color="auto"/>
                <w:lang w:val="en-US" w:eastAsia="zh-CN"/>
              </w:rPr>
              <w:t>十、农副食品加工业13、屠宰及肉类加工135*</w:t>
            </w:r>
            <w:bookmarkEnd w:id="27"/>
            <w:bookmarkEnd w:id="28"/>
          </w:p>
        </w:tc>
      </w:tr>
      <w:bookmarkEnd w:id="26"/>
      <w:tr w14:paraId="1BAE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9" w:type="dxa"/>
            <w:vAlign w:val="center"/>
          </w:tcPr>
          <w:p w14:paraId="3E71E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建设性质</w:t>
            </w:r>
          </w:p>
        </w:tc>
        <w:tc>
          <w:tcPr>
            <w:tcW w:w="2588" w:type="dxa"/>
            <w:vAlign w:val="center"/>
          </w:tcPr>
          <w:p w14:paraId="44EA13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新建（迁建）</w:t>
            </w:r>
          </w:p>
          <w:p w14:paraId="60768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改建</w:t>
            </w:r>
          </w:p>
          <w:p w14:paraId="1C196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扩建</w:t>
            </w:r>
          </w:p>
          <w:p w14:paraId="27306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4"/>
                <w:szCs w:val="24"/>
                <w:u w:val="none" w:color="auto"/>
                <w:vertAlign w:val="baseline"/>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技术改造</w:t>
            </w:r>
          </w:p>
        </w:tc>
        <w:tc>
          <w:tcPr>
            <w:tcW w:w="2152" w:type="dxa"/>
            <w:vAlign w:val="center"/>
          </w:tcPr>
          <w:p w14:paraId="2744F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建设项目申报情形</w:t>
            </w:r>
          </w:p>
        </w:tc>
        <w:tc>
          <w:tcPr>
            <w:tcW w:w="3128" w:type="dxa"/>
            <w:vAlign w:val="center"/>
          </w:tcPr>
          <w:p w14:paraId="402B1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首次申报项目</w:t>
            </w:r>
          </w:p>
          <w:p w14:paraId="3E7B8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□不予批准后再次申报项目</w:t>
            </w:r>
          </w:p>
          <w:p w14:paraId="02DA30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□超五年重新审核项目</w:t>
            </w:r>
          </w:p>
          <w:p w14:paraId="091C4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4"/>
                <w:szCs w:val="24"/>
                <w:u w:val="none" w:color="auto"/>
                <w:vertAlign w:val="baseline"/>
              </w:rPr>
            </w:pPr>
            <w:r>
              <w:rPr>
                <w:rFonts w:hint="default" w:ascii="Times New Roman" w:hAnsi="Times New Roman" w:eastAsia="宋体" w:cs="Times New Roman"/>
                <w:color w:val="auto"/>
                <w:kern w:val="0"/>
                <w:sz w:val="24"/>
                <w:szCs w:val="24"/>
                <w:u w:val="none" w:color="auto"/>
                <w:lang w:val="en-US" w:eastAsia="zh-CN" w:bidi="ar"/>
              </w:rPr>
              <w:t>□重大变动重新报批项目</w:t>
            </w:r>
          </w:p>
        </w:tc>
      </w:tr>
      <w:tr w14:paraId="468D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2F3A7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项目审批（核准/备案）部门（选填）</w:t>
            </w:r>
          </w:p>
        </w:tc>
        <w:tc>
          <w:tcPr>
            <w:tcW w:w="2588" w:type="dxa"/>
            <w:vAlign w:val="center"/>
          </w:tcPr>
          <w:p w14:paraId="474C9F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溆浦县发展和改革局</w:t>
            </w:r>
          </w:p>
        </w:tc>
        <w:tc>
          <w:tcPr>
            <w:tcW w:w="2152" w:type="dxa"/>
            <w:vAlign w:val="center"/>
          </w:tcPr>
          <w:p w14:paraId="5F341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项目审批（核准/备案）文号（选填）</w:t>
            </w:r>
          </w:p>
        </w:tc>
        <w:tc>
          <w:tcPr>
            <w:tcW w:w="3128" w:type="dxa"/>
            <w:vAlign w:val="center"/>
          </w:tcPr>
          <w:p w14:paraId="7012F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ascii="Times New Roman" w:hAnsi="Times New Roman" w:eastAsia="宋体" w:cs="Times New Roman"/>
                <w:color w:val="auto"/>
                <w:kern w:val="2"/>
                <w:sz w:val="24"/>
                <w:szCs w:val="24"/>
                <w:u w:val="none" w:color="auto"/>
                <w:lang w:val="en-US" w:eastAsia="zh-CN" w:bidi="ar"/>
              </w:rPr>
              <w:t>溆发改备案</w:t>
            </w:r>
            <w:r>
              <w:rPr>
                <w:rFonts w:hint="eastAsia" w:ascii="Times New Roman" w:hAnsi="Times New Roman" w:eastAsia="宋体" w:cs="Times New Roman"/>
                <w:color w:val="auto"/>
                <w:kern w:val="2"/>
                <w:sz w:val="24"/>
                <w:szCs w:val="24"/>
                <w:u w:val="none" w:color="auto"/>
                <w:lang w:val="en-US" w:eastAsia="zh-CN" w:bidi="ar"/>
              </w:rPr>
              <w:t>[</w:t>
            </w:r>
            <w:r>
              <w:rPr>
                <w:rFonts w:ascii="Times New Roman" w:hAnsi="Times New Roman" w:eastAsia="宋体" w:cs="Times New Roman"/>
                <w:color w:val="auto"/>
                <w:kern w:val="2"/>
                <w:sz w:val="24"/>
                <w:szCs w:val="24"/>
                <w:u w:val="none" w:color="auto"/>
                <w:lang w:val="en-US" w:eastAsia="zh-CN" w:bidi="ar"/>
              </w:rPr>
              <w:t>2025</w:t>
            </w:r>
            <w:r>
              <w:rPr>
                <w:rFonts w:hint="eastAsia" w:ascii="Times New Roman" w:hAnsi="Times New Roman" w:eastAsia="宋体" w:cs="Times New Roman"/>
                <w:color w:val="auto"/>
                <w:kern w:val="2"/>
                <w:sz w:val="24"/>
                <w:szCs w:val="24"/>
                <w:u w:val="none" w:color="auto"/>
                <w:lang w:val="en-US" w:eastAsia="zh-CN" w:bidi="ar"/>
              </w:rPr>
              <w:t>]</w:t>
            </w:r>
            <w:r>
              <w:rPr>
                <w:rFonts w:ascii="Times New Roman" w:hAnsi="Times New Roman" w:eastAsia="宋体" w:cs="Times New Roman"/>
                <w:color w:val="auto"/>
                <w:kern w:val="2"/>
                <w:sz w:val="24"/>
                <w:szCs w:val="24"/>
                <w:u w:val="none" w:color="auto"/>
                <w:lang w:val="en-US" w:eastAsia="zh-CN" w:bidi="ar"/>
              </w:rPr>
              <w:t>129号</w:t>
            </w:r>
          </w:p>
        </w:tc>
      </w:tr>
      <w:tr w14:paraId="6D20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2EE49A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总投资</w:t>
            </w:r>
          </w:p>
          <w:p w14:paraId="2CED9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（万元）</w:t>
            </w:r>
          </w:p>
        </w:tc>
        <w:tc>
          <w:tcPr>
            <w:tcW w:w="2588" w:type="dxa"/>
            <w:vAlign w:val="center"/>
          </w:tcPr>
          <w:p w14:paraId="2DA704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2000</w:t>
            </w:r>
          </w:p>
        </w:tc>
        <w:tc>
          <w:tcPr>
            <w:tcW w:w="2152" w:type="dxa"/>
            <w:vAlign w:val="center"/>
          </w:tcPr>
          <w:p w14:paraId="5E51D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环保投资（万元）</w:t>
            </w:r>
          </w:p>
        </w:tc>
        <w:tc>
          <w:tcPr>
            <w:tcW w:w="3128" w:type="dxa"/>
            <w:vAlign w:val="center"/>
          </w:tcPr>
          <w:p w14:paraId="6B3EC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240</w:t>
            </w:r>
          </w:p>
        </w:tc>
      </w:tr>
      <w:tr w14:paraId="3739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558920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环保投资占比（%）</w:t>
            </w:r>
          </w:p>
        </w:tc>
        <w:tc>
          <w:tcPr>
            <w:tcW w:w="2588" w:type="dxa"/>
            <w:vAlign w:val="center"/>
          </w:tcPr>
          <w:p w14:paraId="24A0C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12</w:t>
            </w:r>
            <w:r>
              <w:rPr>
                <w:rFonts w:hint="default" w:ascii="Times New Roman" w:hAnsi="Times New Roman" w:eastAsia="宋体" w:cs="Times New Roman"/>
                <w:color w:val="auto"/>
                <w:sz w:val="24"/>
                <w:szCs w:val="24"/>
                <w:u w:val="none" w:color="auto"/>
                <w:vertAlign w:val="baseline"/>
                <w:lang w:val="en-US" w:eastAsia="zh-CN"/>
              </w:rPr>
              <w:t>%</w:t>
            </w:r>
          </w:p>
        </w:tc>
        <w:tc>
          <w:tcPr>
            <w:tcW w:w="2152" w:type="dxa"/>
            <w:vAlign w:val="center"/>
          </w:tcPr>
          <w:p w14:paraId="36D3A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施工工期</w:t>
            </w:r>
          </w:p>
        </w:tc>
        <w:tc>
          <w:tcPr>
            <w:tcW w:w="3128" w:type="dxa"/>
            <w:vAlign w:val="center"/>
          </w:tcPr>
          <w:p w14:paraId="1BCBE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u w:val="none" w:color="auto"/>
                <w:lang w:val="en-US" w:eastAsia="zh-CN"/>
              </w:rPr>
              <w:t>12</w:t>
            </w:r>
            <w:r>
              <w:rPr>
                <w:rFonts w:hint="default" w:ascii="Times New Roman" w:hAnsi="Times New Roman" w:cs="Times New Roman"/>
                <w:color w:val="auto"/>
                <w:sz w:val="24"/>
                <w:szCs w:val="24"/>
                <w:u w:val="none" w:color="auto"/>
                <w:vertAlign w:val="baseline"/>
                <w:lang w:val="en-US" w:eastAsia="zh-CN"/>
              </w:rPr>
              <w:t>个月</w:t>
            </w:r>
          </w:p>
        </w:tc>
      </w:tr>
      <w:tr w14:paraId="3F7C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1479" w:type="dxa"/>
            <w:vAlign w:val="center"/>
          </w:tcPr>
          <w:p w14:paraId="2A016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是否开工建设</w:t>
            </w:r>
          </w:p>
        </w:tc>
        <w:tc>
          <w:tcPr>
            <w:tcW w:w="2588" w:type="dxa"/>
            <w:vAlign w:val="center"/>
          </w:tcPr>
          <w:p w14:paraId="3C2BC63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☑否</w:t>
            </w:r>
          </w:p>
          <w:p w14:paraId="3611363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4"/>
                <w:szCs w:val="24"/>
                <w:u w:val="none" w:color="auto"/>
                <w:vertAlign w:val="baseline"/>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是</w:t>
            </w:r>
          </w:p>
        </w:tc>
        <w:tc>
          <w:tcPr>
            <w:tcW w:w="2152" w:type="dxa"/>
            <w:vAlign w:val="center"/>
          </w:tcPr>
          <w:p w14:paraId="53232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用地（用海）面积（m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vertAlign w:val="baseline"/>
                <w:lang w:val="en-US" w:eastAsia="zh-CN"/>
              </w:rPr>
              <w:t>）</w:t>
            </w:r>
          </w:p>
        </w:tc>
        <w:tc>
          <w:tcPr>
            <w:tcW w:w="3128" w:type="dxa"/>
            <w:vAlign w:val="center"/>
          </w:tcPr>
          <w:p w14:paraId="537FF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u w:val="none" w:color="auto"/>
                <w:lang w:val="en-US" w:eastAsia="zh-CN"/>
              </w:rPr>
              <w:t>4000 m</w:t>
            </w:r>
            <w:r>
              <w:rPr>
                <w:rFonts w:hint="eastAsia" w:cs="Times New Roman"/>
                <w:color w:val="auto"/>
                <w:u w:val="none" w:color="auto"/>
                <w:vertAlign w:val="superscript"/>
                <w:lang w:val="en-US" w:eastAsia="zh-CN"/>
              </w:rPr>
              <w:t>2</w:t>
            </w:r>
            <w:r>
              <w:rPr>
                <w:rFonts w:hint="eastAsia" w:cs="Times New Roman"/>
                <w:color w:val="auto"/>
                <w:u w:val="none" w:color="auto"/>
                <w:lang w:val="en-US" w:eastAsia="zh-CN"/>
              </w:rPr>
              <w:t>（</w:t>
            </w:r>
            <w:r>
              <w:rPr>
                <w:rFonts w:hint="default" w:ascii="Times New Roman" w:hAnsi="Times New Roman" w:cs="Times New Roman"/>
                <w:color w:val="auto"/>
                <w:u w:val="none" w:color="auto"/>
                <w:lang w:val="en-US" w:eastAsia="zh-CN"/>
              </w:rPr>
              <w:t>本项目</w:t>
            </w:r>
            <w:r>
              <w:rPr>
                <w:rFonts w:hint="eastAsia" w:cs="Times New Roman"/>
                <w:color w:val="auto"/>
                <w:u w:val="none" w:color="auto"/>
                <w:lang w:val="en-US" w:eastAsia="zh-CN"/>
              </w:rPr>
              <w:t>不新增用地）</w:t>
            </w:r>
          </w:p>
        </w:tc>
      </w:tr>
      <w:tr w14:paraId="0C44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trPr>
        <w:tc>
          <w:tcPr>
            <w:tcW w:w="1479" w:type="dxa"/>
            <w:vAlign w:val="center"/>
          </w:tcPr>
          <w:p w14:paraId="04F05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专项评价设置情况</w:t>
            </w:r>
          </w:p>
        </w:tc>
        <w:tc>
          <w:tcPr>
            <w:tcW w:w="7868" w:type="dxa"/>
            <w:gridSpan w:val="3"/>
            <w:vAlign w:val="center"/>
          </w:tcPr>
          <w:p w14:paraId="02D4AB79">
            <w:pPr>
              <w:pStyle w:val="37"/>
              <w:widowControl w:val="0"/>
              <w:spacing w:line="360" w:lineRule="auto"/>
              <w:ind w:firstLine="480" w:firstLineChars="200"/>
              <w:jc w:val="both"/>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根据本项目排污情况及所涉及环境敏感程度，确定专项评价的类别。项目与大气、地表水、环境风险、生态和海洋等专项评价具体设置原则判定分析见下表。</w:t>
            </w:r>
          </w:p>
          <w:p w14:paraId="6D98CA54">
            <w:pPr>
              <w:pStyle w:val="9"/>
              <w:widowControl w:val="0"/>
              <w:ind w:firstLine="0" w:firstLineChars="0"/>
              <w:jc w:val="center"/>
              <w:rPr>
                <w:rFonts w:hint="default" w:ascii="Times New Roman" w:hAnsi="Times New Roman" w:cs="Times New Roman"/>
                <w:b w:val="0"/>
                <w:bCs w:val="0"/>
                <w:color w:val="auto"/>
                <w:u w:val="none" w:color="auto"/>
                <w:lang w:bidi="ar"/>
              </w:rPr>
            </w:pPr>
            <w:r>
              <w:rPr>
                <w:rFonts w:hint="default" w:ascii="Times New Roman" w:hAnsi="Times New Roman" w:cs="Times New Roman"/>
                <w:b w:val="0"/>
                <w:bCs w:val="0"/>
                <w:color w:val="auto"/>
                <w:kern w:val="2"/>
                <w:sz w:val="24"/>
                <w:szCs w:val="24"/>
                <w:u w:val="none" w:color="auto"/>
                <w:lang w:val="en-US" w:eastAsia="zh-CN" w:bidi="ar"/>
              </w:rPr>
              <w:t>表1 项目专项评价设置</w:t>
            </w:r>
          </w:p>
          <w:tbl>
            <w:tblPr>
              <w:tblStyle w:val="23"/>
              <w:tblW w:w="7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3257"/>
              <w:gridCol w:w="2743"/>
              <w:gridCol w:w="1133"/>
            </w:tblGrid>
            <w:tr w14:paraId="05A8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14:paraId="6C96051B">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类别</w:t>
                  </w:r>
                </w:p>
              </w:tc>
              <w:tc>
                <w:tcPr>
                  <w:tcW w:w="3257" w:type="dxa"/>
                  <w:vAlign w:val="center"/>
                </w:tcPr>
                <w:p w14:paraId="0796417D">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判断依据</w:t>
                  </w:r>
                </w:p>
              </w:tc>
              <w:tc>
                <w:tcPr>
                  <w:tcW w:w="2743" w:type="dxa"/>
                  <w:vAlign w:val="center"/>
                </w:tcPr>
                <w:p w14:paraId="34059E29">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本项目情况</w:t>
                  </w:r>
                </w:p>
              </w:tc>
              <w:tc>
                <w:tcPr>
                  <w:tcW w:w="1133" w:type="dxa"/>
                  <w:vAlign w:val="center"/>
                </w:tcPr>
                <w:p w14:paraId="583EBFDF">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判断结果</w:t>
                  </w:r>
                </w:p>
              </w:tc>
            </w:tr>
            <w:tr w14:paraId="623D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14:paraId="64AB05F3">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大气</w:t>
                  </w:r>
                </w:p>
              </w:tc>
              <w:tc>
                <w:tcPr>
                  <w:tcW w:w="3257" w:type="dxa"/>
                  <w:vAlign w:val="center"/>
                </w:tcPr>
                <w:p w14:paraId="19755E0D">
                  <w:pPr>
                    <w:keepNext w:val="0"/>
                    <w:keepLines w:val="0"/>
                    <w:pageBreakBefore w:val="0"/>
                    <w:widowControl w:val="0"/>
                    <w:numPr>
                      <w:ilvl w:val="-1"/>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kern w:val="2"/>
                      <w:sz w:val="21"/>
                      <w:szCs w:val="21"/>
                      <w:u w:val="none" w:color="auto"/>
                      <w:lang w:val="en-US" w:eastAsia="zh-CN" w:bidi="ar"/>
                    </w:rPr>
                    <w:t>排放废气含有毒有害污染物、二噁英、苯并[</w:t>
                  </w:r>
                  <w:r>
                    <w:rPr>
                      <w:rFonts w:hint="default" w:ascii="Times New Roman" w:hAnsi="Times New Roman" w:eastAsia="宋体" w:cs="Times New Roman"/>
                      <w:b w:val="0"/>
                      <w:bCs w:val="0"/>
                      <w:i w:val="0"/>
                      <w:iCs w:val="0"/>
                      <w:color w:val="auto"/>
                      <w:kern w:val="2"/>
                      <w:sz w:val="21"/>
                      <w:szCs w:val="21"/>
                      <w:u w:val="none" w:color="auto"/>
                      <w:lang w:val="en-US" w:eastAsia="zh-CN" w:bidi="ar"/>
                    </w:rPr>
                    <w:t>a</w:t>
                  </w:r>
                  <w:r>
                    <w:rPr>
                      <w:rFonts w:hint="default" w:ascii="Times New Roman" w:hAnsi="Times New Roman" w:eastAsia="宋体" w:cs="Times New Roman"/>
                      <w:b w:val="0"/>
                      <w:bCs w:val="0"/>
                      <w:color w:val="auto"/>
                      <w:kern w:val="2"/>
                      <w:sz w:val="21"/>
                      <w:szCs w:val="21"/>
                      <w:u w:val="none" w:color="auto"/>
                      <w:lang w:val="en-US" w:eastAsia="zh-CN" w:bidi="ar"/>
                    </w:rPr>
                    <w:t>]芘、氰化物、氯气且厂界外500米范围内有环境空气保护目标的建设项目</w:t>
                  </w:r>
                </w:p>
              </w:tc>
              <w:tc>
                <w:tcPr>
                  <w:tcW w:w="2743" w:type="dxa"/>
                  <w:vAlign w:val="center"/>
                </w:tcPr>
                <w:p w14:paraId="26767D7F">
                  <w:pPr>
                    <w:keepNext w:val="0"/>
                    <w:keepLines w:val="0"/>
                    <w:pageBreakBefore w:val="0"/>
                    <w:widowControl w:val="0"/>
                    <w:numPr>
                      <w:ilvl w:val="-1"/>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bidi="ar"/>
                    </w:rPr>
                  </w:pPr>
                  <w:r>
                    <w:rPr>
                      <w:rFonts w:hint="default" w:ascii="Times New Roman" w:hAnsi="Times New Roman" w:cs="Times New Roman"/>
                      <w:b w:val="0"/>
                      <w:bCs w:val="0"/>
                      <w:color w:val="auto"/>
                      <w:kern w:val="2"/>
                      <w:sz w:val="21"/>
                      <w:szCs w:val="21"/>
                      <w:u w:val="none" w:color="auto"/>
                      <w:lang w:val="en-US" w:eastAsia="zh-CN" w:bidi="ar"/>
                    </w:rPr>
                    <w:t>本项目</w:t>
                  </w:r>
                  <w:r>
                    <w:rPr>
                      <w:rFonts w:hint="default" w:ascii="Times New Roman" w:hAnsi="Times New Roman" w:eastAsia="宋体" w:cs="Times New Roman"/>
                      <w:b w:val="0"/>
                      <w:bCs w:val="0"/>
                      <w:color w:val="auto"/>
                      <w:kern w:val="2"/>
                      <w:sz w:val="21"/>
                      <w:szCs w:val="21"/>
                      <w:u w:val="none" w:color="auto"/>
                      <w:lang w:val="en-US" w:eastAsia="zh-CN" w:bidi="ar"/>
                    </w:rPr>
                    <w:t>排放废气</w:t>
                  </w:r>
                  <w:r>
                    <w:rPr>
                      <w:rFonts w:hint="eastAsia" w:ascii="Times New Roman" w:hAnsi="Times New Roman" w:eastAsia="宋体" w:cs="Times New Roman"/>
                      <w:b w:val="0"/>
                      <w:bCs w:val="0"/>
                      <w:color w:val="auto"/>
                      <w:kern w:val="2"/>
                      <w:sz w:val="21"/>
                      <w:szCs w:val="21"/>
                      <w:u w:val="none" w:color="auto"/>
                      <w:lang w:val="en-US" w:eastAsia="zh-CN" w:bidi="ar"/>
                    </w:rPr>
                    <w:t>不</w:t>
                  </w:r>
                  <w:r>
                    <w:rPr>
                      <w:rFonts w:hint="default" w:ascii="Times New Roman" w:hAnsi="Times New Roman" w:eastAsia="宋体" w:cs="Times New Roman"/>
                      <w:b w:val="0"/>
                      <w:bCs w:val="0"/>
                      <w:color w:val="auto"/>
                      <w:kern w:val="2"/>
                      <w:sz w:val="21"/>
                      <w:szCs w:val="21"/>
                      <w:u w:val="none" w:color="auto"/>
                      <w:lang w:val="en-US" w:eastAsia="zh-CN" w:bidi="ar"/>
                    </w:rPr>
                    <w:t>含有毒有害污染物、二噁英、苯并[</w:t>
                  </w:r>
                  <w:r>
                    <w:rPr>
                      <w:rFonts w:hint="default" w:ascii="Times New Roman" w:hAnsi="Times New Roman" w:eastAsia="宋体" w:cs="Times New Roman"/>
                      <w:b w:val="0"/>
                      <w:bCs w:val="0"/>
                      <w:i w:val="0"/>
                      <w:iCs w:val="0"/>
                      <w:color w:val="auto"/>
                      <w:kern w:val="2"/>
                      <w:sz w:val="21"/>
                      <w:szCs w:val="21"/>
                      <w:u w:val="none" w:color="auto"/>
                      <w:lang w:val="en-US" w:eastAsia="zh-CN" w:bidi="ar"/>
                    </w:rPr>
                    <w:t>a</w:t>
                  </w:r>
                  <w:r>
                    <w:rPr>
                      <w:rFonts w:hint="default" w:ascii="Times New Roman" w:hAnsi="Times New Roman" w:eastAsia="宋体" w:cs="Times New Roman"/>
                      <w:b w:val="0"/>
                      <w:bCs w:val="0"/>
                      <w:color w:val="auto"/>
                      <w:kern w:val="2"/>
                      <w:sz w:val="21"/>
                      <w:szCs w:val="21"/>
                      <w:u w:val="none" w:color="auto"/>
                      <w:lang w:val="en-US" w:eastAsia="zh-CN" w:bidi="ar"/>
                    </w:rPr>
                    <w:t>]芘、氰化物、氯气</w:t>
                  </w:r>
                  <w:r>
                    <w:rPr>
                      <w:rFonts w:hint="eastAsia" w:ascii="Times New Roman" w:hAnsi="Times New Roman" w:eastAsia="宋体" w:cs="Times New Roman"/>
                      <w:b w:val="0"/>
                      <w:bCs w:val="0"/>
                      <w:color w:val="auto"/>
                      <w:kern w:val="2"/>
                      <w:sz w:val="21"/>
                      <w:szCs w:val="21"/>
                      <w:u w:val="none" w:color="auto"/>
                      <w:lang w:val="en-US" w:eastAsia="zh-CN" w:bidi="ar"/>
                    </w:rPr>
                    <w:t>等</w:t>
                  </w:r>
                </w:p>
              </w:tc>
              <w:tc>
                <w:tcPr>
                  <w:tcW w:w="1133" w:type="dxa"/>
                  <w:vAlign w:val="center"/>
                </w:tcPr>
                <w:p w14:paraId="49A5F533">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无需设置</w:t>
                  </w:r>
                </w:p>
              </w:tc>
            </w:tr>
            <w:tr w14:paraId="0503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14:paraId="7E3DDD96">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地表水</w:t>
                  </w:r>
                </w:p>
              </w:tc>
              <w:tc>
                <w:tcPr>
                  <w:tcW w:w="3257" w:type="dxa"/>
                  <w:vAlign w:val="center"/>
                </w:tcPr>
                <w:p w14:paraId="0C5430E1">
                  <w:pPr>
                    <w:keepNext w:val="0"/>
                    <w:keepLines w:val="0"/>
                    <w:pageBreakBefore w:val="0"/>
                    <w:widowControl w:val="0"/>
                    <w:numPr>
                      <w:ilvl w:val="-1"/>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bidi="ar"/>
                    </w:rPr>
                  </w:pPr>
                  <w:r>
                    <w:rPr>
                      <w:rFonts w:hint="default" w:ascii="Times New Roman" w:hAnsi="Times New Roman" w:eastAsia="宋体" w:cs="Times New Roman"/>
                      <w:b w:val="0"/>
                      <w:bCs w:val="0"/>
                      <w:color w:val="auto"/>
                      <w:kern w:val="2"/>
                      <w:sz w:val="21"/>
                      <w:szCs w:val="21"/>
                      <w:u w:val="none" w:color="auto"/>
                      <w:lang w:val="en-US" w:eastAsia="zh-CN" w:bidi="ar"/>
                    </w:rPr>
                    <w:t>新增工业废水直排建设项目（</w:t>
                  </w:r>
                  <w:r>
                    <w:rPr>
                      <w:rFonts w:hint="default" w:ascii="Times New Roman" w:hAnsi="Times New Roman" w:cs="Times New Roman"/>
                      <w:b w:val="0"/>
                      <w:bCs w:val="0"/>
                      <w:color w:val="auto"/>
                      <w:kern w:val="2"/>
                      <w:sz w:val="21"/>
                      <w:szCs w:val="21"/>
                      <w:u w:val="none" w:color="auto"/>
                      <w:lang w:val="en-US" w:eastAsia="zh-CN" w:bidi="ar"/>
                    </w:rPr>
                    <w:t>槽罐车</w:t>
                  </w:r>
                  <w:r>
                    <w:rPr>
                      <w:rFonts w:hint="default" w:ascii="Times New Roman" w:hAnsi="Times New Roman" w:eastAsia="宋体" w:cs="Times New Roman"/>
                      <w:b w:val="0"/>
                      <w:bCs w:val="0"/>
                      <w:color w:val="auto"/>
                      <w:kern w:val="2"/>
                      <w:sz w:val="21"/>
                      <w:szCs w:val="21"/>
                      <w:u w:val="none" w:color="auto"/>
                      <w:lang w:val="en-US" w:eastAsia="zh-CN" w:bidi="ar"/>
                    </w:rPr>
                    <w:t>外送污水处理厂的除外）；新增废水直排的污水集中处理厂</w:t>
                  </w:r>
                </w:p>
              </w:tc>
              <w:tc>
                <w:tcPr>
                  <w:tcW w:w="2743" w:type="dxa"/>
                  <w:vAlign w:val="center"/>
                </w:tcPr>
                <w:p w14:paraId="0EEA1071">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u w:val="none" w:color="auto"/>
                      <w:lang w:val="en-US" w:eastAsia="zh-CN"/>
                    </w:rPr>
                    <w:t>本项目外排废水经市政污水管网进入</w:t>
                  </w:r>
                  <w:r>
                    <w:rPr>
                      <w:rFonts w:hint="eastAsia" w:ascii="Times New Roman" w:hAnsi="Times New Roman" w:cs="Times New Roman"/>
                      <w:color w:val="auto"/>
                      <w:sz w:val="21"/>
                      <w:szCs w:val="21"/>
                      <w:u w:val="none" w:color="auto"/>
                      <w:lang w:val="en-US" w:eastAsia="zh-CN"/>
                    </w:rPr>
                    <w:t>卢峰镇</w:t>
                  </w:r>
                  <w:r>
                    <w:rPr>
                      <w:rFonts w:hint="default" w:ascii="Times New Roman" w:hAnsi="Times New Roman" w:cs="Times New Roman"/>
                      <w:color w:val="auto"/>
                      <w:sz w:val="21"/>
                      <w:szCs w:val="21"/>
                      <w:u w:val="none" w:color="auto"/>
                      <w:lang w:val="en-US" w:eastAsia="zh-CN"/>
                    </w:rPr>
                    <w:t>污水处理厂处理</w:t>
                  </w:r>
                </w:p>
              </w:tc>
              <w:tc>
                <w:tcPr>
                  <w:tcW w:w="1133" w:type="dxa"/>
                  <w:vAlign w:val="center"/>
                </w:tcPr>
                <w:p w14:paraId="47F983B6">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无需设置</w:t>
                  </w:r>
                </w:p>
              </w:tc>
            </w:tr>
            <w:tr w14:paraId="7345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14:paraId="1990D939">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环境风险</w:t>
                  </w:r>
                </w:p>
              </w:tc>
              <w:tc>
                <w:tcPr>
                  <w:tcW w:w="3257" w:type="dxa"/>
                  <w:vAlign w:val="center"/>
                </w:tcPr>
                <w:p w14:paraId="6701DB0A">
                  <w:pPr>
                    <w:keepNext w:val="0"/>
                    <w:keepLines w:val="0"/>
                    <w:pageBreakBefore w:val="0"/>
                    <w:widowControl w:val="0"/>
                    <w:numPr>
                      <w:ilvl w:val="-1"/>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bidi="ar"/>
                    </w:rPr>
                  </w:pPr>
                  <w:r>
                    <w:rPr>
                      <w:rFonts w:hint="default" w:ascii="Times New Roman" w:hAnsi="Times New Roman" w:eastAsia="宋体" w:cs="Times New Roman"/>
                      <w:b w:val="0"/>
                      <w:bCs w:val="0"/>
                      <w:color w:val="auto"/>
                      <w:kern w:val="2"/>
                      <w:sz w:val="21"/>
                      <w:szCs w:val="21"/>
                      <w:u w:val="none" w:color="auto"/>
                      <w:lang w:val="en-US" w:eastAsia="zh-CN" w:bidi="ar"/>
                    </w:rPr>
                    <w:t>有毒有害和易燃易爆危险物质存储量超过临界量的建设项目</w:t>
                  </w:r>
                </w:p>
              </w:tc>
              <w:tc>
                <w:tcPr>
                  <w:tcW w:w="2743" w:type="dxa"/>
                  <w:vAlign w:val="center"/>
                </w:tcPr>
                <w:p w14:paraId="05F60B92">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本项目</w:t>
                  </w:r>
                  <w:r>
                    <w:rPr>
                      <w:rFonts w:hint="default" w:ascii="Times New Roman" w:hAnsi="Times New Roman" w:eastAsia="宋体" w:cs="Times New Roman"/>
                      <w:b w:val="0"/>
                      <w:bCs w:val="0"/>
                      <w:color w:val="auto"/>
                      <w:kern w:val="2"/>
                      <w:sz w:val="21"/>
                      <w:szCs w:val="21"/>
                      <w:u w:val="none" w:color="auto"/>
                      <w:lang w:val="en-US" w:eastAsia="zh-CN" w:bidi="ar"/>
                    </w:rPr>
                    <w:t>有毒有害和易燃易爆危险物质存储量未超过临界量的建设项目</w:t>
                  </w:r>
                </w:p>
              </w:tc>
              <w:tc>
                <w:tcPr>
                  <w:tcW w:w="1133" w:type="dxa"/>
                  <w:vAlign w:val="center"/>
                </w:tcPr>
                <w:p w14:paraId="1DB45F78">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无需设置</w:t>
                  </w:r>
                </w:p>
              </w:tc>
            </w:tr>
            <w:tr w14:paraId="5D8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14:paraId="7B1D8CF5">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生态环境</w:t>
                  </w:r>
                </w:p>
              </w:tc>
              <w:tc>
                <w:tcPr>
                  <w:tcW w:w="3257" w:type="dxa"/>
                  <w:vAlign w:val="center"/>
                </w:tcPr>
                <w:p w14:paraId="163C4ADB">
                  <w:pPr>
                    <w:keepNext w:val="0"/>
                    <w:keepLines w:val="0"/>
                    <w:pageBreakBefore w:val="0"/>
                    <w:widowControl w:val="0"/>
                    <w:numPr>
                      <w:ilvl w:val="-1"/>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bidi="ar"/>
                    </w:rPr>
                  </w:pPr>
                  <w:r>
                    <w:rPr>
                      <w:rFonts w:hint="default" w:ascii="Times New Roman" w:hAnsi="Times New Roman" w:eastAsia="宋体" w:cs="Times New Roman"/>
                      <w:b w:val="0"/>
                      <w:bCs w:val="0"/>
                      <w:color w:val="auto"/>
                      <w:kern w:val="2"/>
                      <w:sz w:val="21"/>
                      <w:szCs w:val="21"/>
                      <w:u w:val="none" w:color="auto"/>
                      <w:lang w:val="en-US" w:eastAsia="zh-CN" w:bidi="ar"/>
                    </w:rPr>
                    <w:t>取水口下游500米范围内有重要水生生物的自然产卵场、索饵场、越冬场和洄游通道的新增河道取水的污染类建设项目</w:t>
                  </w:r>
                </w:p>
              </w:tc>
              <w:tc>
                <w:tcPr>
                  <w:tcW w:w="2743" w:type="dxa"/>
                  <w:vAlign w:val="center"/>
                </w:tcPr>
                <w:p w14:paraId="755A5AD6">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w:t>
                  </w:r>
                  <w:r>
                    <w:rPr>
                      <w:rFonts w:hint="eastAsia" w:ascii="Times New Roman" w:hAnsi="Times New Roman" w:cs="Times New Roman"/>
                      <w:b w:val="0"/>
                      <w:bCs w:val="0"/>
                      <w:color w:val="auto"/>
                      <w:sz w:val="21"/>
                      <w:szCs w:val="21"/>
                      <w:vertAlign w:val="baseline"/>
                      <w:lang w:val="en-US" w:eastAsia="zh-CN"/>
                    </w:rPr>
                    <w:t>用水由市政供水，</w:t>
                  </w:r>
                  <w:r>
                    <w:rPr>
                      <w:rFonts w:hint="default" w:ascii="Times New Roman" w:hAnsi="Times New Roman" w:cs="Times New Roman"/>
                      <w:b w:val="0"/>
                      <w:bCs w:val="0"/>
                      <w:color w:val="auto"/>
                      <w:sz w:val="21"/>
                      <w:szCs w:val="21"/>
                      <w:vertAlign w:val="baseline"/>
                      <w:lang w:val="en-US" w:eastAsia="zh-CN"/>
                    </w:rPr>
                    <w:t>不单独设置取水口</w:t>
                  </w:r>
                </w:p>
              </w:tc>
              <w:tc>
                <w:tcPr>
                  <w:tcW w:w="1133" w:type="dxa"/>
                  <w:vAlign w:val="center"/>
                </w:tcPr>
                <w:p w14:paraId="0D3B8938">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无需设置</w:t>
                  </w:r>
                </w:p>
              </w:tc>
            </w:tr>
            <w:tr w14:paraId="0350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14:paraId="6664FB5D">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海洋</w:t>
                  </w:r>
                </w:p>
              </w:tc>
              <w:tc>
                <w:tcPr>
                  <w:tcW w:w="3257" w:type="dxa"/>
                  <w:vAlign w:val="center"/>
                </w:tcPr>
                <w:p w14:paraId="74582D90">
                  <w:pPr>
                    <w:keepNext w:val="0"/>
                    <w:keepLines w:val="0"/>
                    <w:pageBreakBefore w:val="0"/>
                    <w:widowControl w:val="0"/>
                    <w:numPr>
                      <w:ilvl w:val="-1"/>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bidi="ar"/>
                    </w:rPr>
                  </w:pPr>
                  <w:r>
                    <w:rPr>
                      <w:rFonts w:hint="default" w:ascii="Times New Roman" w:hAnsi="Times New Roman" w:eastAsia="宋体" w:cs="Times New Roman"/>
                      <w:b w:val="0"/>
                      <w:bCs w:val="0"/>
                      <w:color w:val="auto"/>
                      <w:kern w:val="2"/>
                      <w:sz w:val="21"/>
                      <w:szCs w:val="21"/>
                      <w:u w:val="none" w:color="auto"/>
                      <w:lang w:val="en-US" w:eastAsia="zh-CN" w:bidi="ar"/>
                    </w:rPr>
                    <w:t>直接向海排放污染物的海洋工程建设项目</w:t>
                  </w:r>
                </w:p>
              </w:tc>
              <w:tc>
                <w:tcPr>
                  <w:tcW w:w="2743" w:type="dxa"/>
                  <w:vAlign w:val="center"/>
                </w:tcPr>
                <w:p w14:paraId="25886A75">
                  <w:pPr>
                    <w:keepNext w:val="0"/>
                    <w:keepLines w:val="0"/>
                    <w:pageBreakBefore w:val="0"/>
                    <w:widowControl w:val="0"/>
                    <w:numPr>
                      <w:ilvl w:val="-1"/>
                      <w:numId w:val="0"/>
                    </w:numPr>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bidi="ar"/>
                    </w:rPr>
                  </w:pPr>
                  <w:r>
                    <w:rPr>
                      <w:rFonts w:hint="default" w:ascii="Times New Roman" w:hAnsi="Times New Roman" w:eastAsia="宋体" w:cs="Times New Roman"/>
                      <w:b w:val="0"/>
                      <w:bCs w:val="0"/>
                      <w:color w:val="auto"/>
                      <w:kern w:val="2"/>
                      <w:sz w:val="21"/>
                      <w:szCs w:val="21"/>
                      <w:u w:val="none" w:color="auto"/>
                      <w:lang w:val="en-US" w:eastAsia="zh-CN" w:bidi="ar"/>
                    </w:rPr>
                    <w:t>本项目不属于直接向海排放污染物的海洋工程建设项目</w:t>
                  </w:r>
                </w:p>
              </w:tc>
              <w:tc>
                <w:tcPr>
                  <w:tcW w:w="1133" w:type="dxa"/>
                  <w:vAlign w:val="center"/>
                </w:tcPr>
                <w:p w14:paraId="4761F8F1">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无需设置</w:t>
                  </w:r>
                </w:p>
              </w:tc>
            </w:tr>
          </w:tbl>
          <w:p w14:paraId="6533AF25">
            <w:pPr>
              <w:keepNext w:val="0"/>
              <w:keepLines w:val="0"/>
              <w:widowControl/>
              <w:suppressLineNumbers w:val="0"/>
              <w:ind w:firstLine="480" w:firstLineChars="200"/>
              <w:jc w:val="center"/>
              <w:rPr>
                <w:rFonts w:hint="eastAsia" w:ascii="Times New Roman" w:hAnsi="Times New Roman" w:eastAsia="宋体" w:cs="Times New Roman"/>
                <w:color w:val="auto"/>
                <w:sz w:val="24"/>
                <w:szCs w:val="24"/>
                <w:u w:val="none" w:color="auto"/>
                <w:vertAlign w:val="baseline"/>
                <w:lang w:val="en-US" w:eastAsia="zh-CN"/>
              </w:rPr>
            </w:pPr>
          </w:p>
        </w:tc>
      </w:tr>
      <w:tr w14:paraId="1355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9" w:type="dxa"/>
            <w:vAlign w:val="center"/>
          </w:tcPr>
          <w:p w14:paraId="47C68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规划情况</w:t>
            </w:r>
          </w:p>
        </w:tc>
        <w:tc>
          <w:tcPr>
            <w:tcW w:w="7868" w:type="dxa"/>
            <w:gridSpan w:val="3"/>
            <w:vAlign w:val="center"/>
          </w:tcPr>
          <w:p w14:paraId="5F6D62B4">
            <w:pPr>
              <w:widowControl/>
              <w:autoSpaceDE/>
              <w:autoSpaceDN/>
              <w:adjustRightInd/>
              <w:snapToGrid/>
              <w:spacing w:line="240" w:lineRule="auto"/>
              <w:ind w:firstLine="0" w:firstLineChars="0"/>
              <w:jc w:val="left"/>
              <w:rPr>
                <w:rFonts w:hint="eastAsia" w:ascii="Times New Roman" w:hAnsi="Times New Roman" w:eastAsia="宋体" w:cs="Times New Roman"/>
                <w:color w:val="auto"/>
                <w:kern w:val="2"/>
                <w:sz w:val="24"/>
                <w:u w:val="none" w:color="auto"/>
                <w:lang w:eastAsia="zh-CN"/>
              </w:rPr>
            </w:pPr>
            <w:r>
              <w:rPr>
                <w:rFonts w:hint="eastAsia" w:cs="Times New Roman"/>
                <w:color w:val="auto"/>
                <w:kern w:val="2"/>
                <w:sz w:val="24"/>
                <w:u w:val="none" w:color="auto"/>
                <w:lang w:val="en-US" w:eastAsia="zh-CN"/>
              </w:rPr>
              <w:t>1、</w:t>
            </w:r>
            <w:r>
              <w:rPr>
                <w:rFonts w:hint="eastAsia" w:ascii="Times New Roman" w:hAnsi="Times New Roman" w:eastAsia="宋体" w:cs="Times New Roman"/>
                <w:color w:val="auto"/>
                <w:kern w:val="2"/>
                <w:sz w:val="24"/>
                <w:u w:val="none" w:color="auto"/>
                <w:lang w:eastAsia="zh-CN"/>
              </w:rPr>
              <w:t>《</w:t>
            </w:r>
            <w:r>
              <w:rPr>
                <w:rFonts w:hint="eastAsia" w:ascii="Times New Roman" w:hAnsi="Times New Roman" w:eastAsia="宋体" w:cs="Times New Roman"/>
                <w:i w:val="0"/>
                <w:iCs w:val="0"/>
                <w:caps w:val="0"/>
                <w:color w:val="auto"/>
                <w:spacing w:val="0"/>
                <w:sz w:val="24"/>
                <w:szCs w:val="24"/>
                <w:u w:val="none" w:color="auto"/>
                <w:shd w:val="clear"/>
              </w:rPr>
              <w:t>溆浦县国土空间总体规划（2021—2035年）</w:t>
            </w:r>
            <w:r>
              <w:rPr>
                <w:rFonts w:hint="eastAsia" w:ascii="Times New Roman" w:hAnsi="Times New Roman" w:eastAsia="宋体" w:cs="Times New Roman"/>
                <w:color w:val="auto"/>
                <w:kern w:val="2"/>
                <w:sz w:val="24"/>
                <w:u w:val="none" w:color="auto"/>
                <w:lang w:eastAsia="zh-CN"/>
              </w:rPr>
              <w:t>》</w:t>
            </w:r>
          </w:p>
          <w:p w14:paraId="45E273F6">
            <w:pPr>
              <w:widowControl/>
              <w:autoSpaceDE/>
              <w:autoSpaceDN/>
              <w:adjustRightInd/>
              <w:snapToGrid/>
              <w:spacing w:line="240" w:lineRule="auto"/>
              <w:ind w:firstLine="0" w:firstLineChars="0"/>
              <w:jc w:val="left"/>
              <w:rPr>
                <w:rFonts w:hint="eastAsia" w:cs="Times New Roman"/>
                <w:color w:val="auto"/>
                <w:sz w:val="24"/>
                <w:szCs w:val="24"/>
                <w:u w:val="none" w:color="auto"/>
                <w:lang w:eastAsia="zh-CN"/>
              </w:rPr>
            </w:pPr>
            <w:r>
              <w:rPr>
                <w:rFonts w:hint="eastAsia" w:ascii="Times New Roman" w:hAnsi="Times New Roman" w:cs="Times New Roman"/>
                <w:color w:val="auto"/>
                <w:sz w:val="24"/>
                <w:szCs w:val="24"/>
                <w:u w:val="none"/>
              </w:rPr>
              <w:t>审批机关 ：湖南省人民政府</w:t>
            </w:r>
            <w:r>
              <w:rPr>
                <w:rFonts w:hint="eastAsia" w:cs="Times New Roman"/>
                <w:color w:val="auto"/>
                <w:sz w:val="24"/>
                <w:szCs w:val="24"/>
                <w:u w:val="none"/>
                <w:lang w:eastAsia="zh-CN"/>
              </w:rPr>
              <w:t>；</w:t>
            </w:r>
            <w:r>
              <w:rPr>
                <w:rFonts w:hint="eastAsia" w:ascii="Times New Roman" w:hAnsi="Times New Roman" w:cs="Times New Roman"/>
                <w:color w:val="auto"/>
                <w:sz w:val="24"/>
                <w:szCs w:val="24"/>
                <w:u w:val="none"/>
              </w:rPr>
              <w:t>审批文</w:t>
            </w:r>
            <w:r>
              <w:rPr>
                <w:rFonts w:hint="eastAsia" w:ascii="Times New Roman" w:hAnsi="Times New Roman" w:cs="Times New Roman"/>
                <w:color w:val="auto"/>
                <w:sz w:val="24"/>
                <w:szCs w:val="24"/>
                <w:u w:val="none" w:color="auto"/>
              </w:rPr>
              <w:t>号：湘政函〔202</w:t>
            </w:r>
            <w:r>
              <w:rPr>
                <w:rFonts w:hint="eastAsia" w:ascii="Times New Roman" w:hAnsi="Times New Roman" w:cs="Times New Roman"/>
                <w:color w:val="auto"/>
                <w:sz w:val="24"/>
                <w:szCs w:val="24"/>
                <w:u w:val="none" w:color="auto"/>
                <w:lang w:val="en-US" w:eastAsia="zh-CN"/>
              </w:rPr>
              <w:t>4</w:t>
            </w:r>
            <w:r>
              <w:rPr>
                <w:rFonts w:hint="eastAsia" w:ascii="Times New Roman" w:hAnsi="Times New Roman" w:cs="Times New Roman"/>
                <w:color w:val="auto"/>
                <w:sz w:val="24"/>
                <w:szCs w:val="24"/>
                <w:u w:val="none" w:color="auto"/>
              </w:rPr>
              <w:t>〕</w:t>
            </w:r>
            <w:r>
              <w:rPr>
                <w:rFonts w:hint="eastAsia" w:ascii="Times New Roman" w:hAnsi="Times New Roman" w:cs="Times New Roman"/>
                <w:color w:val="auto"/>
                <w:sz w:val="24"/>
                <w:szCs w:val="24"/>
                <w:u w:val="none" w:color="auto"/>
                <w:lang w:val="en-US" w:eastAsia="zh-CN"/>
              </w:rPr>
              <w:t>70</w:t>
            </w:r>
            <w:r>
              <w:rPr>
                <w:rFonts w:hint="eastAsia" w:ascii="Times New Roman" w:hAnsi="Times New Roman" w:cs="Times New Roman"/>
                <w:color w:val="auto"/>
                <w:sz w:val="24"/>
                <w:szCs w:val="24"/>
                <w:u w:val="none" w:color="auto"/>
              </w:rPr>
              <w:t>号</w:t>
            </w:r>
            <w:r>
              <w:rPr>
                <w:rFonts w:hint="eastAsia" w:cs="Times New Roman"/>
                <w:color w:val="auto"/>
                <w:sz w:val="24"/>
                <w:szCs w:val="24"/>
                <w:u w:val="none" w:color="auto"/>
                <w:lang w:eastAsia="zh-CN"/>
              </w:rPr>
              <w:t>；</w:t>
            </w:r>
          </w:p>
          <w:p w14:paraId="0904431B">
            <w:pPr>
              <w:widowControl/>
              <w:autoSpaceDE/>
              <w:autoSpaceDN/>
              <w:adjustRightInd/>
              <w:snapToGrid/>
              <w:spacing w:line="240" w:lineRule="auto"/>
              <w:ind w:firstLine="0" w:firstLineChars="0"/>
              <w:jc w:val="left"/>
              <w:rPr>
                <w:rFonts w:hint="eastAsia" w:ascii="Times New Roman" w:hAnsi="Times New Roman" w:eastAsia="宋体" w:cs="Times New Roman"/>
                <w:b w:val="0"/>
                <w:bCs w:val="0"/>
                <w:color w:val="auto"/>
                <w:sz w:val="24"/>
                <w:u w:val="none" w:color="auto"/>
                <w:lang w:eastAsia="zh-CN"/>
              </w:rPr>
            </w:pPr>
            <w:r>
              <w:rPr>
                <w:rFonts w:hint="eastAsia" w:ascii="Times New Roman" w:hAnsi="Times New Roman" w:eastAsia="宋体" w:cs="Times New Roman"/>
                <w:b w:val="0"/>
                <w:bCs w:val="0"/>
                <w:color w:val="auto"/>
                <w:sz w:val="24"/>
                <w:u w:val="none" w:color="auto"/>
                <w:lang w:eastAsia="zh-CN"/>
              </w:rPr>
              <w:t>《全国生猪生产发展规划》（</w:t>
            </w:r>
            <w:r>
              <w:rPr>
                <w:rFonts w:hint="eastAsia" w:ascii="Times New Roman" w:hAnsi="Times New Roman" w:eastAsia="宋体" w:cs="Times New Roman"/>
                <w:b w:val="0"/>
                <w:bCs w:val="0"/>
                <w:color w:val="auto"/>
                <w:sz w:val="24"/>
                <w:u w:val="none" w:color="auto"/>
                <w:lang w:val="en-US" w:eastAsia="zh-CN"/>
              </w:rPr>
              <w:t>2016-2020</w:t>
            </w:r>
            <w:r>
              <w:rPr>
                <w:rFonts w:hint="eastAsia" w:ascii="Times New Roman" w:hAnsi="Times New Roman" w:eastAsia="宋体" w:cs="Times New Roman"/>
                <w:b w:val="0"/>
                <w:bCs w:val="0"/>
                <w:color w:val="auto"/>
                <w:sz w:val="24"/>
                <w:u w:val="none" w:color="auto"/>
                <w:lang w:eastAsia="zh-CN"/>
              </w:rPr>
              <w:t>）；</w:t>
            </w:r>
          </w:p>
          <w:p w14:paraId="352BB1CB">
            <w:pPr>
              <w:widowControl/>
              <w:autoSpaceDE/>
              <w:autoSpaceDN/>
              <w:adjustRightInd/>
              <w:snapToGrid/>
              <w:spacing w:line="240" w:lineRule="auto"/>
              <w:ind w:firstLine="0" w:firstLineChars="0"/>
              <w:jc w:val="left"/>
              <w:rPr>
                <w:rFonts w:hint="default" w:ascii="黑体" w:hAnsi="黑体" w:eastAsia="黑体" w:cs="黑体"/>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《湖南省生猪屠宰行业发展规划（2022-2025年）》</w:t>
            </w:r>
          </w:p>
        </w:tc>
      </w:tr>
      <w:tr w14:paraId="7419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479" w:type="dxa"/>
            <w:vAlign w:val="center"/>
          </w:tcPr>
          <w:p w14:paraId="5D144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规划环境影响评价情况</w:t>
            </w:r>
          </w:p>
        </w:tc>
        <w:tc>
          <w:tcPr>
            <w:tcW w:w="7868" w:type="dxa"/>
            <w:gridSpan w:val="3"/>
            <w:vAlign w:val="center"/>
          </w:tcPr>
          <w:p w14:paraId="2FE90EAD">
            <w:pPr>
              <w:widowControl/>
              <w:adjustRightInd/>
              <w:snapToGrid/>
              <w:spacing w:line="240" w:lineRule="auto"/>
              <w:ind w:firstLine="0" w:firstLineChars="0"/>
              <w:jc w:val="center"/>
              <w:rPr>
                <w:rFonts w:hint="eastAsia" w:ascii="Times New Roman" w:hAnsi="Times New Roman" w:eastAsia="宋体" w:cs="Times New Roman"/>
                <w:color w:val="auto"/>
                <w:sz w:val="24"/>
                <w:szCs w:val="24"/>
                <w:u w:val="none" w:color="auto"/>
                <w:vertAlign w:val="baseline"/>
                <w:lang w:val="en-US" w:eastAsia="zh-CN"/>
              </w:rPr>
            </w:pPr>
            <w:r>
              <w:rPr>
                <w:rFonts w:hint="eastAsia" w:ascii="Times New Roman" w:hAnsi="Times New Roman" w:eastAsia="宋体" w:cs="Times New Roman"/>
                <w:bCs w:val="0"/>
                <w:color w:val="auto"/>
                <w:sz w:val="24"/>
                <w:u w:val="none" w:color="auto"/>
              </w:rPr>
              <w:t>无</w:t>
            </w:r>
          </w:p>
        </w:tc>
      </w:tr>
      <w:tr w14:paraId="6DD1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3" w:hRule="atLeast"/>
        </w:trPr>
        <w:tc>
          <w:tcPr>
            <w:tcW w:w="1479" w:type="dxa"/>
            <w:vAlign w:val="center"/>
          </w:tcPr>
          <w:p w14:paraId="578DDE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规划及</w:t>
            </w:r>
          </w:p>
          <w:p w14:paraId="5194F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规划环境影响评价符合性分析</w:t>
            </w:r>
          </w:p>
        </w:tc>
        <w:tc>
          <w:tcPr>
            <w:tcW w:w="7868" w:type="dxa"/>
            <w:gridSpan w:val="3"/>
            <w:vAlign w:val="center"/>
          </w:tcPr>
          <w:p w14:paraId="6A0D1313">
            <w:pPr>
              <w:widowControl/>
              <w:numPr>
                <w:ilvl w:val="0"/>
                <w:numId w:val="0"/>
              </w:numPr>
              <w:autoSpaceDE/>
              <w:autoSpaceDN/>
              <w:adjustRightInd/>
              <w:snapToGrid/>
              <w:spacing w:line="240" w:lineRule="auto"/>
              <w:ind w:firstLine="0" w:firstLineChars="0"/>
              <w:jc w:val="left"/>
              <w:rPr>
                <w:rFonts w:hint="default" w:ascii="Times New Roman" w:hAnsi="Times New Roman" w:eastAsia="黑体" w:cs="Times New Roman"/>
                <w:b/>
                <w:bCs/>
                <w:color w:val="auto"/>
                <w:kern w:val="2"/>
                <w:sz w:val="24"/>
                <w:u w:val="none" w:color="auto"/>
                <w:lang w:val="en-US" w:eastAsia="zh-CN"/>
              </w:rPr>
            </w:pPr>
            <w:r>
              <w:rPr>
                <w:rFonts w:hint="default" w:ascii="Times New Roman" w:hAnsi="Times New Roman" w:eastAsia="黑体" w:cs="Times New Roman"/>
                <w:b/>
                <w:bCs/>
                <w:color w:val="auto"/>
                <w:u w:val="none" w:color="auto"/>
                <w:lang w:val="en-US" w:eastAsia="zh-CN"/>
              </w:rPr>
              <w:t>1、与</w:t>
            </w:r>
            <w:r>
              <w:rPr>
                <w:rFonts w:hint="default" w:ascii="Times New Roman" w:hAnsi="Times New Roman" w:eastAsia="黑体" w:cs="Times New Roman"/>
                <w:b/>
                <w:bCs/>
                <w:color w:val="auto"/>
                <w:kern w:val="2"/>
                <w:sz w:val="24"/>
                <w:u w:val="none" w:color="auto"/>
                <w:lang w:eastAsia="zh-CN"/>
              </w:rPr>
              <w:t>《</w:t>
            </w:r>
            <w:r>
              <w:rPr>
                <w:rFonts w:hint="default" w:ascii="Times New Roman" w:hAnsi="Times New Roman" w:eastAsia="黑体" w:cs="Times New Roman"/>
                <w:b/>
                <w:bCs/>
                <w:i w:val="0"/>
                <w:iCs w:val="0"/>
                <w:caps w:val="0"/>
                <w:color w:val="auto"/>
                <w:spacing w:val="0"/>
                <w:sz w:val="24"/>
                <w:szCs w:val="24"/>
                <w:u w:val="none" w:color="auto"/>
                <w:shd w:val="clear"/>
              </w:rPr>
              <w:t>溆浦县国土空间总体规划（2021—2035年）</w:t>
            </w:r>
            <w:r>
              <w:rPr>
                <w:rFonts w:hint="default" w:ascii="Times New Roman" w:hAnsi="Times New Roman" w:eastAsia="黑体" w:cs="Times New Roman"/>
                <w:b/>
                <w:bCs/>
                <w:color w:val="auto"/>
                <w:kern w:val="2"/>
                <w:sz w:val="24"/>
                <w:u w:val="none" w:color="auto"/>
                <w:lang w:eastAsia="zh-CN"/>
              </w:rPr>
              <w:t>》</w:t>
            </w:r>
            <w:r>
              <w:rPr>
                <w:rFonts w:hint="default" w:ascii="Times New Roman" w:hAnsi="Times New Roman" w:eastAsia="黑体" w:cs="Times New Roman"/>
                <w:b/>
                <w:bCs/>
                <w:color w:val="auto"/>
                <w:kern w:val="2"/>
                <w:sz w:val="24"/>
                <w:u w:val="none" w:color="auto"/>
                <w:lang w:val="en-US" w:eastAsia="zh-CN"/>
              </w:rPr>
              <w:t>相符性分析</w:t>
            </w:r>
          </w:p>
          <w:p w14:paraId="5412A62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snapToGrid/>
                <w:color w:val="auto"/>
                <w:kern w:val="2"/>
                <w:sz w:val="24"/>
                <w:szCs w:val="24"/>
                <w:u w:val="none" w:color="auto"/>
              </w:rPr>
            </w:pPr>
            <w:r>
              <w:rPr>
                <w:rFonts w:hint="default" w:ascii="Times New Roman" w:hAnsi="Times New Roman" w:eastAsia="宋体" w:cs="Times New Roman"/>
                <w:b w:val="0"/>
                <w:snapToGrid/>
                <w:color w:val="auto"/>
                <w:kern w:val="2"/>
                <w:sz w:val="24"/>
                <w:szCs w:val="24"/>
                <w:u w:val="none" w:color="auto"/>
              </w:rPr>
              <w:t>表</w:t>
            </w:r>
            <w:r>
              <w:rPr>
                <w:rFonts w:hint="eastAsia" w:ascii="Times New Roman" w:hAnsi="Times New Roman" w:eastAsia="宋体" w:cs="Times New Roman"/>
                <w:b w:val="0"/>
                <w:snapToGrid/>
                <w:color w:val="auto"/>
                <w:kern w:val="2"/>
                <w:sz w:val="24"/>
                <w:szCs w:val="24"/>
                <w:u w:val="none" w:color="auto"/>
                <w:lang w:val="en-US" w:eastAsia="zh-CN"/>
              </w:rPr>
              <w:t>2</w:t>
            </w:r>
            <w:r>
              <w:rPr>
                <w:rFonts w:hint="default" w:ascii="Times New Roman" w:hAnsi="Times New Roman" w:eastAsia="宋体" w:cs="Times New Roman"/>
                <w:b w:val="0"/>
                <w:snapToGrid/>
                <w:color w:val="auto"/>
                <w:kern w:val="2"/>
                <w:sz w:val="24"/>
                <w:szCs w:val="24"/>
                <w:u w:val="none" w:color="auto"/>
                <w:lang w:val="en-US" w:eastAsia="zh-CN"/>
              </w:rPr>
              <w:t xml:space="preserve"> </w:t>
            </w:r>
            <w:r>
              <w:rPr>
                <w:rFonts w:hint="default" w:ascii="Times New Roman" w:hAnsi="Times New Roman" w:eastAsia="宋体" w:cs="Times New Roman"/>
                <w:b w:val="0"/>
                <w:snapToGrid/>
                <w:color w:val="auto"/>
                <w:kern w:val="2"/>
                <w:sz w:val="24"/>
                <w:szCs w:val="24"/>
                <w:u w:val="none" w:color="auto"/>
                <w:lang w:eastAsia="zh-CN"/>
              </w:rPr>
              <w:t>本项目</w:t>
            </w:r>
            <w:r>
              <w:rPr>
                <w:rFonts w:hint="default" w:ascii="Times New Roman" w:hAnsi="Times New Roman" w:eastAsia="宋体" w:cs="Times New Roman"/>
                <w:b w:val="0"/>
                <w:snapToGrid/>
                <w:color w:val="auto"/>
                <w:kern w:val="2"/>
                <w:sz w:val="24"/>
                <w:szCs w:val="24"/>
                <w:u w:val="none" w:color="auto"/>
              </w:rPr>
              <w:t>与《</w:t>
            </w:r>
            <w:r>
              <w:rPr>
                <w:rFonts w:hint="default" w:ascii="Times New Roman" w:hAnsi="Times New Roman" w:eastAsia="宋体" w:cs="Times New Roman"/>
                <w:i w:val="0"/>
                <w:iCs w:val="0"/>
                <w:caps w:val="0"/>
                <w:color w:val="auto"/>
                <w:spacing w:val="0"/>
                <w:sz w:val="24"/>
                <w:szCs w:val="24"/>
                <w:u w:val="none" w:color="auto"/>
                <w:shd w:val="clear"/>
              </w:rPr>
              <w:t>溆浦县国土空间总体规划（2021—2035年）</w:t>
            </w:r>
            <w:r>
              <w:rPr>
                <w:rFonts w:hint="default" w:ascii="Times New Roman" w:hAnsi="Times New Roman" w:eastAsia="宋体" w:cs="Times New Roman"/>
                <w:b w:val="0"/>
                <w:snapToGrid/>
                <w:color w:val="auto"/>
                <w:kern w:val="2"/>
                <w:sz w:val="24"/>
                <w:szCs w:val="24"/>
                <w:u w:val="none" w:color="auto"/>
              </w:rPr>
              <w:t>》相符分析表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6"/>
              <w:gridCol w:w="1838"/>
              <w:gridCol w:w="763"/>
            </w:tblGrid>
            <w:tr w14:paraId="20E5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pct"/>
                  <w:noWrap w:val="0"/>
                  <w:vAlign w:val="center"/>
                </w:tcPr>
                <w:p w14:paraId="0071591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7"/>
                      <w:sz w:val="21"/>
                      <w:szCs w:val="21"/>
                      <w:u w:val="none" w:color="auto"/>
                    </w:rPr>
                    <w:t>文件要</w:t>
                  </w:r>
                  <w:r>
                    <w:rPr>
                      <w:rFonts w:hint="default" w:ascii="Times New Roman" w:hAnsi="Times New Roman" w:cs="Times New Roman" w:eastAsiaTheme="minorEastAsia"/>
                      <w:color w:val="auto"/>
                      <w:spacing w:val="6"/>
                      <w:sz w:val="21"/>
                      <w:szCs w:val="21"/>
                      <w:u w:val="none" w:color="auto"/>
                    </w:rPr>
                    <w:t>求</w:t>
                  </w:r>
                </w:p>
              </w:tc>
              <w:tc>
                <w:tcPr>
                  <w:tcW w:w="1168" w:type="pct"/>
                  <w:noWrap w:val="0"/>
                  <w:vAlign w:val="center"/>
                </w:tcPr>
                <w:p w14:paraId="4329137A">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8"/>
                      <w:sz w:val="21"/>
                      <w:szCs w:val="21"/>
                      <w:u w:val="none" w:color="auto"/>
                    </w:rPr>
                    <w:t>本项目情</w:t>
                  </w:r>
                  <w:r>
                    <w:rPr>
                      <w:rFonts w:hint="default" w:ascii="Times New Roman" w:hAnsi="Times New Roman" w:cs="Times New Roman" w:eastAsiaTheme="minorEastAsia"/>
                      <w:color w:val="auto"/>
                      <w:spacing w:val="7"/>
                      <w:sz w:val="21"/>
                      <w:szCs w:val="21"/>
                      <w:u w:val="none" w:color="auto"/>
                    </w:rPr>
                    <w:t>况</w:t>
                  </w:r>
                </w:p>
              </w:tc>
              <w:tc>
                <w:tcPr>
                  <w:tcW w:w="485" w:type="pct"/>
                  <w:noWrap w:val="0"/>
                  <w:vAlign w:val="center"/>
                </w:tcPr>
                <w:p w14:paraId="13B439F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7"/>
                      <w:sz w:val="21"/>
                      <w:szCs w:val="21"/>
                      <w:u w:val="none" w:color="auto"/>
                    </w:rPr>
                    <w:t>符合情</w:t>
                  </w:r>
                  <w:r>
                    <w:rPr>
                      <w:rFonts w:hint="default" w:ascii="Times New Roman" w:hAnsi="Times New Roman" w:cs="Times New Roman" w:eastAsiaTheme="minorEastAsia"/>
                      <w:color w:val="auto"/>
                      <w:spacing w:val="6"/>
                      <w:sz w:val="21"/>
                      <w:szCs w:val="21"/>
                      <w:u w:val="none" w:color="auto"/>
                    </w:rPr>
                    <w:t>况</w:t>
                  </w:r>
                </w:p>
              </w:tc>
            </w:tr>
            <w:tr w14:paraId="7235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pct"/>
                  <w:noWrap w:val="0"/>
                  <w:vAlign w:val="center"/>
                </w:tcPr>
                <w:p w14:paraId="146CB7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snapToGrid/>
                      <w:color w:val="auto"/>
                      <w:spacing w:val="9"/>
                      <w:kern w:val="2"/>
                      <w:sz w:val="21"/>
                      <w:szCs w:val="21"/>
                      <w:u w:val="none" w:color="auto"/>
                      <w:vertAlign w:val="baseline"/>
                    </w:rPr>
                  </w:pPr>
                  <w:r>
                    <w:rPr>
                      <w:rFonts w:hint="default" w:ascii="Times New Roman" w:hAnsi="Times New Roman" w:cs="Times New Roman" w:eastAsiaTheme="minorEastAsia"/>
                      <w:b w:val="0"/>
                      <w:bCs w:val="0"/>
                      <w:snapToGrid/>
                      <w:color w:val="auto"/>
                      <w:spacing w:val="9"/>
                      <w:kern w:val="2"/>
                      <w:sz w:val="21"/>
                      <w:szCs w:val="21"/>
                      <w:u w:val="none" w:color="auto"/>
                      <w:vertAlign w:val="baseline"/>
                    </w:rPr>
                    <w:t>充分发挥溆浦县硅砂、文旅资源禀赋，依托怀化国际陆港的支点作用，按照“兴工强县、基础提质、文旅融合、统筹城乡”的工作思路，将溆浦县城市性质定位为怀化国际陆港东部商贸物流枢纽，大湘西东部门户城市、自贸协同联动区，湖南省生态文化休闲旅游示范县、特色山地农产品主产区，中国南部硅砂基地。</w:t>
                  </w:r>
                </w:p>
              </w:tc>
              <w:tc>
                <w:tcPr>
                  <w:tcW w:w="1168" w:type="pct"/>
                  <w:noWrap w:val="0"/>
                  <w:vAlign w:val="center"/>
                </w:tcPr>
                <w:p w14:paraId="3192CFE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val="0"/>
                      <w:bCs w:val="0"/>
                      <w:snapToGrid w:val="0"/>
                      <w:color w:val="auto"/>
                      <w:kern w:val="0"/>
                      <w:sz w:val="21"/>
                      <w:szCs w:val="21"/>
                      <w:u w:val="none" w:color="auto"/>
                      <w:vertAlign w:val="baseline"/>
                      <w:lang w:val="en-US" w:eastAsia="zh-CN"/>
                    </w:rPr>
                  </w:pPr>
                  <w:r>
                    <w:rPr>
                      <w:rFonts w:hint="eastAsia" w:ascii="Times New Roman" w:hAnsi="Times New Roman" w:cs="Times New Roman" w:eastAsiaTheme="minorEastAsia"/>
                      <w:b w:val="0"/>
                      <w:bCs w:val="0"/>
                      <w:snapToGrid w:val="0"/>
                      <w:color w:val="auto"/>
                      <w:kern w:val="0"/>
                      <w:sz w:val="21"/>
                      <w:szCs w:val="21"/>
                      <w:u w:val="none" w:color="auto"/>
                      <w:vertAlign w:val="baseline"/>
                      <w:lang w:val="en-US" w:eastAsia="zh-CN"/>
                    </w:rPr>
                    <w:t>本项目属于</w:t>
                  </w:r>
                  <w:r>
                    <w:rPr>
                      <w:rFonts w:hint="eastAsia"/>
                      <w:b w:val="0"/>
                      <w:bCs w:val="0"/>
                      <w:color w:val="auto"/>
                      <w:sz w:val="21"/>
                      <w:szCs w:val="21"/>
                      <w:u w:val="none" w:color="auto"/>
                      <w:lang w:val="en-US" w:eastAsia="zh-CN"/>
                    </w:rPr>
                    <w:t>农副食品加工业中的屠宰及肉类加工，不会对溆浦县的</w:t>
                  </w:r>
                  <w:r>
                    <w:rPr>
                      <w:rFonts w:hint="default" w:ascii="Times New Roman" w:hAnsi="Times New Roman" w:cs="Times New Roman" w:eastAsiaTheme="minorEastAsia"/>
                      <w:b w:val="0"/>
                      <w:bCs w:val="0"/>
                      <w:snapToGrid/>
                      <w:color w:val="auto"/>
                      <w:spacing w:val="9"/>
                      <w:kern w:val="2"/>
                      <w:sz w:val="21"/>
                      <w:szCs w:val="21"/>
                      <w:u w:val="none" w:color="auto"/>
                      <w:vertAlign w:val="baseline"/>
                    </w:rPr>
                    <w:t>硅砂、文旅</w:t>
                  </w:r>
                  <w:r>
                    <w:rPr>
                      <w:rFonts w:hint="eastAsia" w:ascii="Times New Roman" w:hAnsi="Times New Roman" w:cs="Times New Roman" w:eastAsiaTheme="minorEastAsia"/>
                      <w:b w:val="0"/>
                      <w:bCs w:val="0"/>
                      <w:snapToGrid/>
                      <w:color w:val="auto"/>
                      <w:spacing w:val="9"/>
                      <w:kern w:val="2"/>
                      <w:sz w:val="21"/>
                      <w:szCs w:val="21"/>
                      <w:u w:val="none" w:color="auto"/>
                      <w:vertAlign w:val="baseline"/>
                      <w:lang w:val="en-US" w:eastAsia="zh-CN"/>
                    </w:rPr>
                    <w:t>规划造成冲击</w:t>
                  </w:r>
                </w:p>
              </w:tc>
              <w:tc>
                <w:tcPr>
                  <w:tcW w:w="485" w:type="pct"/>
                  <w:noWrap w:val="0"/>
                  <w:vAlign w:val="center"/>
                </w:tcPr>
                <w:p w14:paraId="5BA4C189">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val="0"/>
                      <w:bCs w:val="0"/>
                      <w:snapToGrid w:val="0"/>
                      <w:color w:val="auto"/>
                      <w:kern w:val="0"/>
                      <w:sz w:val="21"/>
                      <w:szCs w:val="21"/>
                      <w:u w:val="none" w:color="auto"/>
                      <w:vertAlign w:val="baseline"/>
                      <w:lang w:val="en-US" w:eastAsia="zh-CN"/>
                    </w:rPr>
                  </w:pPr>
                  <w:r>
                    <w:rPr>
                      <w:rFonts w:hint="eastAsia" w:ascii="Times New Roman" w:hAnsi="Times New Roman" w:cs="Times New Roman" w:eastAsiaTheme="minorEastAsia"/>
                      <w:b w:val="0"/>
                      <w:bCs w:val="0"/>
                      <w:snapToGrid w:val="0"/>
                      <w:color w:val="auto"/>
                      <w:kern w:val="0"/>
                      <w:sz w:val="21"/>
                      <w:szCs w:val="21"/>
                      <w:u w:val="none" w:color="auto"/>
                      <w:vertAlign w:val="baseline"/>
                      <w:lang w:val="en-US" w:eastAsia="zh-CN"/>
                    </w:rPr>
                    <w:t>符合</w:t>
                  </w:r>
                </w:p>
              </w:tc>
            </w:tr>
            <w:tr w14:paraId="4753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pct"/>
                  <w:noWrap w:val="0"/>
                  <w:vAlign w:val="center"/>
                </w:tcPr>
                <w:p w14:paraId="481FBA4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eastAsiaTheme="minorEastAsia"/>
                      <w:color w:val="auto"/>
                      <w:spacing w:val="9"/>
                      <w:kern w:val="2"/>
                      <w:sz w:val="21"/>
                      <w:szCs w:val="21"/>
                      <w:u w:val="none" w:color="auto"/>
                      <w:lang w:val="en-US" w:eastAsia="zh-CN" w:bidi="ar"/>
                    </w:rPr>
                  </w:pPr>
                  <w:r>
                    <w:rPr>
                      <w:rFonts w:hint="eastAsia" w:ascii="Times New Roman" w:hAnsi="Times New Roman" w:cs="Times New Roman" w:eastAsiaTheme="minorEastAsia"/>
                      <w:color w:val="auto"/>
                      <w:spacing w:val="9"/>
                      <w:kern w:val="2"/>
                      <w:sz w:val="21"/>
                      <w:szCs w:val="21"/>
                      <w:u w:val="none" w:color="auto"/>
                      <w:lang w:val="en-US" w:eastAsia="zh-CN" w:bidi="ar"/>
                    </w:rPr>
                    <w:t>优先划定耕地和永久基本农田保护线。至2035年，确保耕地保有量不低于66.95万亩。至2035年确保永久基本农田保护面积不低于59.22万亩。严格落实耕地保护责任，现状耕地应划尽划、应保尽保，在纳入耕地保护目标的长期稳定利用耕地上优先划定永久基本农田。严格落实永久基本农田特殊保护制度永久基本农田一经划定，未经批准任何单位和个人不得擅自占用或改变用途。严格落实耕地管控规则，强化永久基本农田对各类建设布局的约束和引导，健全和完善永久基本农田储备区制度、充分利用年度国土变更调查成果等,全面摸清已划定永久基本农田内“非农化”“非粮化”及质量不优问题，并依据国家规定划定，未经批准，严禁擅自调整。生态保护红线内自然保护地核心保护区外，禁止开发性、生产性建设活动，在符合法律法规前提下，仅允许对生态功能不造成破坏的有限人为活动，确需占用生态保护红线的国家重大项目，加强新增建设用地审批监管，严格落实生态环境分区管控要求。生态保护红线内自然保护区、风景名胜区、饮用水水源保护区等区域依照法律法规执行。</w:t>
                  </w:r>
                </w:p>
              </w:tc>
              <w:tc>
                <w:tcPr>
                  <w:tcW w:w="1168" w:type="pct"/>
                  <w:vMerge w:val="restart"/>
                  <w:noWrap w:val="0"/>
                  <w:vAlign w:val="center"/>
                </w:tcPr>
                <w:p w14:paraId="3BE57637">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u w:val="none" w:color="auto"/>
                      <w:lang w:val="en-US" w:eastAsia="zh-CN"/>
                    </w:rPr>
                  </w:pPr>
                  <w:r>
                    <w:rPr>
                      <w:rFonts w:hint="eastAsia" w:ascii="Times New Roman" w:hAnsi="Times New Roman" w:cs="Times New Roman" w:eastAsiaTheme="minorEastAsia"/>
                      <w:color w:val="auto"/>
                      <w:spacing w:val="13"/>
                      <w:sz w:val="21"/>
                      <w:szCs w:val="21"/>
                      <w:u w:val="none" w:color="auto"/>
                      <w:lang w:val="en-US" w:eastAsia="zh-CN"/>
                    </w:rPr>
                    <w:t>本项目选址已取得溆浦县自然资源部门认可，项目选址位于城镇开发区域内，不涉及永久基本农田及生态红线</w:t>
                  </w:r>
                </w:p>
              </w:tc>
              <w:tc>
                <w:tcPr>
                  <w:tcW w:w="485" w:type="pct"/>
                  <w:vMerge w:val="restart"/>
                  <w:noWrap w:val="0"/>
                  <w:vAlign w:val="center"/>
                </w:tcPr>
                <w:p w14:paraId="3FAD3E1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4"/>
                      <w:sz w:val="21"/>
                      <w:szCs w:val="21"/>
                      <w:u w:val="none" w:color="auto"/>
                      <w:lang w:val="en-US" w:eastAsia="zh-CN"/>
                    </w:rPr>
                  </w:pPr>
                  <w:r>
                    <w:rPr>
                      <w:rFonts w:hint="eastAsia" w:ascii="Times New Roman" w:hAnsi="Times New Roman" w:cs="Times New Roman" w:eastAsiaTheme="minorEastAsia"/>
                      <w:color w:val="auto"/>
                      <w:spacing w:val="4"/>
                      <w:sz w:val="21"/>
                      <w:szCs w:val="21"/>
                      <w:u w:val="none" w:color="auto"/>
                      <w:lang w:val="en-US" w:eastAsia="zh-CN"/>
                    </w:rPr>
                    <w:t>符合</w:t>
                  </w:r>
                </w:p>
              </w:tc>
            </w:tr>
            <w:tr w14:paraId="15DF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pct"/>
                  <w:noWrap w:val="0"/>
                  <w:vAlign w:val="center"/>
                </w:tcPr>
                <w:p w14:paraId="18E1E40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9"/>
                      <w:kern w:val="2"/>
                      <w:sz w:val="21"/>
                      <w:szCs w:val="21"/>
                      <w:u w:val="none" w:color="auto"/>
                      <w:lang w:val="en-US" w:eastAsia="zh-CN" w:bidi="ar"/>
                    </w:rPr>
                  </w:pPr>
                  <w:r>
                    <w:rPr>
                      <w:rFonts w:hint="eastAsia" w:ascii="Times New Roman" w:hAnsi="Times New Roman" w:cs="Times New Roman" w:eastAsiaTheme="minorEastAsia"/>
                      <w:color w:val="auto"/>
                      <w:spacing w:val="9"/>
                      <w:kern w:val="2"/>
                      <w:sz w:val="21"/>
                      <w:szCs w:val="21"/>
                      <w:u w:val="none" w:color="auto"/>
                      <w:lang w:val="en-US" w:eastAsia="zh-CN" w:bidi="ar"/>
                    </w:rPr>
                    <w:t>合理划定城镇开发边界。溆浦县城镇开发边界面积控制在30.77平方千米以内。在城镇开发边界内的建设，实行“详细规划+规划许可”的管制方式。城镇开发边界和特别用途区范围原则上不得调整，特别用途区原则上禁止任何城镇集中建设行为。因国家重大战略调整、国家重大项目建设、行政区划调整等确需调整范围的，向国土空间规划审批机关提出申请，审批机关同意后方可修改。调整内容要及时纳入自然资源部国土空间规划监测评估预警管理系统实施动态监管</w:t>
                  </w:r>
                </w:p>
              </w:tc>
              <w:tc>
                <w:tcPr>
                  <w:tcW w:w="1168" w:type="pct"/>
                  <w:vMerge w:val="continue"/>
                  <w:noWrap w:val="0"/>
                  <w:vAlign w:val="center"/>
                </w:tcPr>
                <w:p w14:paraId="36870D54">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u w:val="none" w:color="auto"/>
                      <w:lang w:val="en-US" w:eastAsia="zh-CN"/>
                    </w:rPr>
                  </w:pPr>
                </w:p>
              </w:tc>
              <w:tc>
                <w:tcPr>
                  <w:tcW w:w="485" w:type="pct"/>
                  <w:vMerge w:val="continue"/>
                  <w:noWrap w:val="0"/>
                  <w:vAlign w:val="center"/>
                </w:tcPr>
                <w:p w14:paraId="2B12B19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eastAsiaTheme="minorEastAsia"/>
                      <w:color w:val="auto"/>
                      <w:spacing w:val="4"/>
                      <w:sz w:val="21"/>
                      <w:szCs w:val="21"/>
                      <w:u w:val="none" w:color="auto"/>
                      <w:lang w:val="en-US" w:eastAsia="zh-CN"/>
                    </w:rPr>
                  </w:pPr>
                </w:p>
              </w:tc>
            </w:tr>
          </w:tbl>
          <w:p w14:paraId="780476B5">
            <w:pPr>
              <w:widowControl/>
              <w:bidi w:val="0"/>
              <w:spacing w:line="240" w:lineRule="auto"/>
              <w:ind w:firstLine="0" w:firstLineChars="0"/>
              <w:jc w:val="center"/>
              <w:rPr>
                <w:rFonts w:hint="eastAsia" w:cs="Times New Roman"/>
                <w:color w:val="auto"/>
                <w:u w:val="none" w:color="auto"/>
                <w:lang w:val="en-US" w:eastAsia="zh-CN"/>
              </w:rPr>
            </w:pPr>
            <w:r>
              <w:rPr>
                <w:rFonts w:hint="eastAsia" w:cs="Times New Roman"/>
                <w:color w:val="auto"/>
                <w:u w:val="none" w:color="auto"/>
                <w:lang w:val="en-US" w:eastAsia="zh-CN"/>
              </w:rPr>
              <w:t>由上表分析可知：本项目建设符合溆浦县国土空间总体规划。</w:t>
            </w:r>
          </w:p>
          <w:p w14:paraId="5C04FED2">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黑体"/>
                <w:b/>
                <w:bCs/>
                <w:color w:val="auto"/>
                <w:sz w:val="24"/>
                <w:u w:val="none" w:color="auto"/>
              </w:rPr>
            </w:pPr>
            <w:r>
              <w:rPr>
                <w:rFonts w:hint="eastAsia" w:ascii="黑体" w:hAnsi="黑体" w:eastAsia="黑体" w:cs="黑体"/>
                <w:b/>
                <w:bCs/>
                <w:color w:val="auto"/>
                <w:sz w:val="24"/>
                <w:u w:val="none" w:color="auto"/>
                <w:lang w:val="en-US" w:eastAsia="zh-CN"/>
              </w:rPr>
              <w:t>2、</w:t>
            </w:r>
            <w:r>
              <w:rPr>
                <w:rFonts w:hint="eastAsia" w:ascii="黑体" w:hAnsi="黑体" w:eastAsia="黑体" w:cs="黑体"/>
                <w:b/>
                <w:bCs/>
                <w:color w:val="auto"/>
                <w:sz w:val="24"/>
                <w:u w:val="none" w:color="auto"/>
              </w:rPr>
              <w:t>与</w:t>
            </w:r>
            <w:r>
              <w:rPr>
                <w:rFonts w:hint="eastAsia" w:ascii="黑体" w:hAnsi="黑体" w:eastAsia="黑体" w:cs="黑体"/>
                <w:b/>
                <w:bCs/>
                <w:color w:val="auto"/>
                <w:sz w:val="24"/>
                <w:u w:val="none" w:color="auto"/>
                <w:lang w:eastAsia="zh-CN"/>
              </w:rPr>
              <w:t>《全国生猪生产发展规划》（</w:t>
            </w:r>
            <w:r>
              <w:rPr>
                <w:rFonts w:hint="eastAsia" w:ascii="黑体" w:hAnsi="黑体" w:eastAsia="黑体" w:cs="黑体"/>
                <w:b/>
                <w:bCs/>
                <w:color w:val="auto"/>
                <w:sz w:val="24"/>
                <w:u w:val="none" w:color="auto"/>
                <w:lang w:val="en-US" w:eastAsia="zh-CN"/>
              </w:rPr>
              <w:t>2016-2020</w:t>
            </w:r>
            <w:r>
              <w:rPr>
                <w:rFonts w:hint="eastAsia" w:ascii="黑体" w:hAnsi="黑体" w:eastAsia="黑体" w:cs="黑体"/>
                <w:b/>
                <w:bCs/>
                <w:color w:val="auto"/>
                <w:sz w:val="24"/>
                <w:u w:val="none" w:color="auto"/>
                <w:lang w:eastAsia="zh-CN"/>
              </w:rPr>
              <w:t>）</w:t>
            </w:r>
            <w:r>
              <w:rPr>
                <w:rFonts w:hint="eastAsia" w:ascii="黑体" w:hAnsi="黑体" w:eastAsia="黑体" w:cs="黑体"/>
                <w:b/>
                <w:bCs/>
                <w:color w:val="auto"/>
                <w:sz w:val="24"/>
                <w:u w:val="none" w:color="auto"/>
              </w:rPr>
              <w:t>相符性分析</w:t>
            </w:r>
          </w:p>
          <w:p w14:paraId="2A8877FF">
            <w:pPr>
              <w:tabs>
                <w:tab w:val="left" w:pos="1264"/>
              </w:tabs>
              <w:adjustRightInd w:val="0"/>
              <w:snapToGrid w:val="0"/>
              <w:spacing w:line="360" w:lineRule="auto"/>
              <w:ind w:firstLine="0" w:firstLineChars="0"/>
              <w:jc w:val="center"/>
              <w:rPr>
                <w:rFonts w:hint="default" w:ascii="Times New Roman" w:hAnsi="Times New Roman" w:eastAsia="宋体" w:cs="Times New Roman"/>
                <w:b w:val="0"/>
                <w:snapToGrid/>
                <w:color w:val="auto"/>
                <w:kern w:val="2"/>
                <w:sz w:val="24"/>
                <w:szCs w:val="24"/>
                <w:u w:val="none"/>
              </w:rPr>
            </w:pPr>
            <w:r>
              <w:rPr>
                <w:rFonts w:hint="default" w:ascii="Times New Roman" w:hAnsi="Times New Roman" w:eastAsia="宋体" w:cs="Times New Roman"/>
                <w:b w:val="0"/>
                <w:snapToGrid/>
                <w:color w:val="auto"/>
                <w:kern w:val="2"/>
                <w:sz w:val="24"/>
                <w:szCs w:val="24"/>
                <w:u w:val="none"/>
              </w:rPr>
              <w:t>表</w:t>
            </w:r>
            <w:r>
              <w:rPr>
                <w:rFonts w:hint="eastAsia" w:cs="Times New Roman"/>
                <w:b w:val="0"/>
                <w:snapToGrid/>
                <w:color w:val="auto"/>
                <w:kern w:val="2"/>
                <w:sz w:val="24"/>
                <w:szCs w:val="24"/>
                <w:u w:val="none"/>
                <w:lang w:val="en-US" w:eastAsia="zh-CN"/>
              </w:rPr>
              <w:t>3</w:t>
            </w:r>
            <w:r>
              <w:rPr>
                <w:rFonts w:hint="eastAsia" w:ascii="Times New Roman" w:hAnsi="Times New Roman" w:eastAsia="宋体" w:cs="Times New Roman"/>
                <w:b w:val="0"/>
                <w:snapToGrid/>
                <w:color w:val="auto"/>
                <w:kern w:val="2"/>
                <w:sz w:val="24"/>
                <w:szCs w:val="24"/>
                <w:u w:val="none"/>
                <w:lang w:val="en-US" w:eastAsia="zh-CN"/>
              </w:rPr>
              <w:t xml:space="preserve"> </w:t>
            </w:r>
            <w:r>
              <w:rPr>
                <w:rFonts w:hint="default" w:ascii="Times New Roman" w:hAnsi="Times New Roman" w:eastAsia="宋体" w:cs="Times New Roman"/>
                <w:b w:val="0"/>
                <w:snapToGrid/>
                <w:color w:val="auto"/>
                <w:kern w:val="2"/>
                <w:sz w:val="24"/>
                <w:szCs w:val="24"/>
                <w:u w:val="none"/>
              </w:rPr>
              <w:t>与</w:t>
            </w:r>
            <w:r>
              <w:rPr>
                <w:rFonts w:hint="default" w:ascii="Times New Roman" w:hAnsi="Times New Roman" w:eastAsia="宋体" w:cs="Times New Roman"/>
                <w:b w:val="0"/>
                <w:bCs w:val="0"/>
                <w:color w:val="auto"/>
                <w:sz w:val="24"/>
                <w:u w:val="none"/>
                <w:lang w:eastAsia="zh-CN"/>
              </w:rPr>
              <w:t>《全国生猪生产发展规划》（</w:t>
            </w:r>
            <w:r>
              <w:rPr>
                <w:rFonts w:hint="default" w:ascii="Times New Roman" w:hAnsi="Times New Roman" w:eastAsia="宋体" w:cs="Times New Roman"/>
                <w:b w:val="0"/>
                <w:bCs w:val="0"/>
                <w:color w:val="auto"/>
                <w:sz w:val="24"/>
                <w:u w:val="none"/>
                <w:lang w:val="en-US" w:eastAsia="zh-CN"/>
              </w:rPr>
              <w:t>2016-2020</w:t>
            </w:r>
            <w:r>
              <w:rPr>
                <w:rFonts w:hint="default" w:ascii="Times New Roman" w:hAnsi="Times New Roman" w:eastAsia="宋体" w:cs="Times New Roman"/>
                <w:b w:val="0"/>
                <w:bCs w:val="0"/>
                <w:color w:val="auto"/>
                <w:sz w:val="24"/>
                <w:u w:val="none"/>
                <w:lang w:eastAsia="zh-CN"/>
              </w:rPr>
              <w:t>）</w:t>
            </w:r>
            <w:r>
              <w:rPr>
                <w:rFonts w:hint="default" w:ascii="Times New Roman" w:hAnsi="Times New Roman" w:eastAsia="宋体" w:cs="Times New Roman"/>
                <w:b w:val="0"/>
                <w:snapToGrid/>
                <w:color w:val="auto"/>
                <w:kern w:val="2"/>
                <w:sz w:val="24"/>
                <w:szCs w:val="24"/>
                <w:u w:val="none"/>
              </w:rPr>
              <w:t>相符性分析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4"/>
              <w:gridCol w:w="1733"/>
              <w:gridCol w:w="870"/>
            </w:tblGrid>
            <w:tr w14:paraId="00B1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5" w:type="pct"/>
                  <w:noWrap w:val="0"/>
                  <w:vAlign w:val="center"/>
                </w:tcPr>
                <w:p w14:paraId="59A2D77B">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none" w:color="auto"/>
                      <w:vertAlign w:val="baseline"/>
                    </w:rPr>
                  </w:pPr>
                  <w:r>
                    <w:rPr>
                      <w:rFonts w:hint="default" w:ascii="Times New Roman" w:hAnsi="Times New Roman" w:eastAsia="宋体" w:cs="Times New Roman"/>
                      <w:b w:val="0"/>
                      <w:bCs/>
                      <w:snapToGrid w:val="0"/>
                      <w:color w:val="auto"/>
                      <w:kern w:val="0"/>
                      <w:sz w:val="21"/>
                      <w:szCs w:val="21"/>
                      <w:u w:val="none" w:color="auto"/>
                      <w:vertAlign w:val="baseline"/>
                    </w:rPr>
                    <w:t>文件要求</w:t>
                  </w:r>
                </w:p>
              </w:tc>
              <w:tc>
                <w:tcPr>
                  <w:tcW w:w="1101" w:type="pct"/>
                  <w:noWrap w:val="0"/>
                  <w:vAlign w:val="center"/>
                </w:tcPr>
                <w:p w14:paraId="0E9AD7C5">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none" w:color="auto"/>
                      <w:vertAlign w:val="baseline"/>
                    </w:rPr>
                  </w:pPr>
                  <w:r>
                    <w:rPr>
                      <w:rFonts w:hint="default" w:ascii="Times New Roman" w:hAnsi="Times New Roman" w:eastAsia="宋体" w:cs="Times New Roman"/>
                      <w:b w:val="0"/>
                      <w:bCs/>
                      <w:snapToGrid w:val="0"/>
                      <w:color w:val="auto"/>
                      <w:kern w:val="0"/>
                      <w:sz w:val="21"/>
                      <w:szCs w:val="21"/>
                      <w:u w:val="none" w:color="auto"/>
                      <w:vertAlign w:val="baseline"/>
                    </w:rPr>
                    <w:t>本项目情况</w:t>
                  </w:r>
                </w:p>
              </w:tc>
              <w:tc>
                <w:tcPr>
                  <w:tcW w:w="553" w:type="pct"/>
                  <w:noWrap w:val="0"/>
                  <w:vAlign w:val="center"/>
                </w:tcPr>
                <w:p w14:paraId="246AF14C">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none" w:color="auto"/>
                      <w:vertAlign w:val="baseline"/>
                    </w:rPr>
                  </w:pPr>
                  <w:r>
                    <w:rPr>
                      <w:rFonts w:hint="default" w:ascii="Times New Roman" w:hAnsi="Times New Roman" w:eastAsia="宋体" w:cs="Times New Roman"/>
                      <w:b w:val="0"/>
                      <w:bCs/>
                      <w:snapToGrid w:val="0"/>
                      <w:color w:val="auto"/>
                      <w:kern w:val="0"/>
                      <w:sz w:val="21"/>
                      <w:szCs w:val="21"/>
                      <w:u w:val="none" w:color="auto"/>
                      <w:vertAlign w:val="baseline"/>
                    </w:rPr>
                    <w:t>符合情况</w:t>
                  </w:r>
                </w:p>
              </w:tc>
            </w:tr>
            <w:tr w14:paraId="4957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5" w:type="pct"/>
                  <w:noWrap w:val="0"/>
                  <w:vAlign w:val="center"/>
                </w:tcPr>
                <w:p w14:paraId="6C172A01">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none" w:color="auto"/>
                      <w:vertAlign w:val="baseline"/>
                    </w:rPr>
                  </w:pPr>
                  <w:r>
                    <w:rPr>
                      <w:rFonts w:hint="eastAsia" w:ascii="Times New Roman" w:hAnsi="Times New Roman" w:eastAsia="宋体" w:cs="Times New Roman"/>
                      <w:b w:val="0"/>
                      <w:bCs/>
                      <w:snapToGrid w:val="0"/>
                      <w:color w:val="auto"/>
                      <w:kern w:val="0"/>
                      <w:sz w:val="21"/>
                      <w:szCs w:val="21"/>
                      <w:u w:val="none" w:color="auto"/>
                      <w:vertAlign w:val="baseline"/>
                      <w:lang w:val="en-US" w:eastAsia="zh-CN"/>
                    </w:rPr>
                    <w:t>加强生猪屠宰管理：以集中屠宰、品牌经营、冷链流通、冷鲜上市为主攻方向，提高生猪屠宰现代化水平。加强动物卫生监督机构和兽医卫生检验检测体系建设，完善屠宰行业管理系统，提升执法能力和监管水平。落实进厂登记、肉品检验等制度，推行生猪屠宰全过程档案管理。积极推进养殖屠宰结合，合理布局生猪屠宰产能，在全国形成以跨区域流通的现代化屠宰加工企业为主体，区域内屠宰加工企业为补充的产业布局。加大整合力度，培育一批屠宰加工龙头企业，开展屠宰、加工、配送、销售一体化经营。健全屠宰质量标准体系，推动屠宰企业标准化升级改造，提高屠宰机械化、自动化、标准化、智能化水平。优化猪肉产品结构，扩大冷鲜肉和分割肉市场份额，提高精深加工产品比重。实施屠宰企业品牌化战略，加快推进肉品分类分级，实行优质优价。</w:t>
                  </w:r>
                </w:p>
              </w:tc>
              <w:tc>
                <w:tcPr>
                  <w:tcW w:w="1101" w:type="pct"/>
                  <w:noWrap w:val="0"/>
                  <w:vAlign w:val="center"/>
                </w:tcPr>
                <w:p w14:paraId="66F9FCD0">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none" w:color="auto"/>
                      <w:vertAlign w:val="baseline"/>
                      <w:lang w:val="en-US" w:eastAsia="zh-CN"/>
                    </w:rPr>
                  </w:pPr>
                  <w:r>
                    <w:rPr>
                      <w:rFonts w:hint="eastAsia" w:ascii="Times New Roman" w:hAnsi="Times New Roman" w:eastAsia="宋体" w:cs="Times New Roman"/>
                      <w:b w:val="0"/>
                      <w:bCs/>
                      <w:snapToGrid w:val="0"/>
                      <w:color w:val="auto"/>
                      <w:kern w:val="0"/>
                      <w:sz w:val="21"/>
                      <w:szCs w:val="21"/>
                      <w:u w:val="none" w:color="auto"/>
                      <w:vertAlign w:val="baseline"/>
                      <w:lang w:val="en-US" w:eastAsia="zh-CN"/>
                    </w:rPr>
                    <w:t>本项目是集中屠宰</w:t>
                  </w:r>
                  <w:r>
                    <w:rPr>
                      <w:rFonts w:hint="default" w:ascii="Times New Roman" w:hAnsi="Times New Roman" w:eastAsia="宋体" w:cs="Times New Roman"/>
                      <w:b w:val="0"/>
                      <w:bCs/>
                      <w:snapToGrid w:val="0"/>
                      <w:color w:val="auto"/>
                      <w:kern w:val="0"/>
                      <w:sz w:val="21"/>
                      <w:szCs w:val="21"/>
                      <w:u w:val="none" w:color="auto"/>
                      <w:vertAlign w:val="baseline"/>
                      <w:lang w:val="en-US" w:eastAsia="zh-CN"/>
                    </w:rPr>
                    <w:t>+</w:t>
                  </w:r>
                  <w:r>
                    <w:rPr>
                      <w:rFonts w:hint="eastAsia" w:ascii="Times New Roman" w:hAnsi="Times New Roman" w:eastAsia="宋体" w:cs="Times New Roman"/>
                      <w:b w:val="0"/>
                      <w:bCs/>
                      <w:snapToGrid w:val="0"/>
                      <w:color w:val="auto"/>
                      <w:kern w:val="0"/>
                      <w:sz w:val="21"/>
                      <w:szCs w:val="21"/>
                      <w:u w:val="none" w:color="auto"/>
                      <w:vertAlign w:val="baseline"/>
                      <w:lang w:val="en-US" w:eastAsia="zh-CN"/>
                    </w:rPr>
                    <w:t>冷链流通的现代化屠宰工艺。</w:t>
                  </w:r>
                </w:p>
              </w:tc>
              <w:tc>
                <w:tcPr>
                  <w:tcW w:w="553" w:type="pct"/>
                  <w:noWrap w:val="0"/>
                  <w:vAlign w:val="center"/>
                </w:tcPr>
                <w:p w14:paraId="6F0FCF9E">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none" w:color="auto"/>
                      <w:vertAlign w:val="baseline"/>
                    </w:rPr>
                  </w:pPr>
                  <w:r>
                    <w:rPr>
                      <w:rFonts w:hint="default" w:ascii="Times New Roman" w:hAnsi="Times New Roman" w:eastAsia="宋体" w:cs="Times New Roman"/>
                      <w:b w:val="0"/>
                      <w:bCs/>
                      <w:snapToGrid w:val="0"/>
                      <w:color w:val="auto"/>
                      <w:kern w:val="0"/>
                      <w:sz w:val="21"/>
                      <w:szCs w:val="21"/>
                      <w:u w:val="none" w:color="auto"/>
                      <w:vertAlign w:val="baseline"/>
                    </w:rPr>
                    <w:t>符合</w:t>
                  </w:r>
                </w:p>
              </w:tc>
            </w:tr>
            <w:tr w14:paraId="70B9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9" w:type="dxa"/>
                  <w:gridSpan w:val="3"/>
                  <w:noWrap w:val="0"/>
                  <w:vAlign w:val="center"/>
                </w:tcPr>
                <w:p w14:paraId="30F4080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snapToGrid w:val="0"/>
                      <w:color w:val="auto"/>
                      <w:kern w:val="0"/>
                      <w:sz w:val="21"/>
                      <w:szCs w:val="21"/>
                      <w:u w:val="none" w:color="auto"/>
                      <w:vertAlign w:val="baseline"/>
                    </w:rPr>
                  </w:pPr>
                  <w:r>
                    <w:rPr>
                      <w:rFonts w:hint="default" w:ascii="Times New Roman" w:hAnsi="Times New Roman" w:eastAsia="宋体" w:cs="Times New Roman"/>
                      <w:color w:val="auto"/>
                      <w:sz w:val="21"/>
                      <w:szCs w:val="21"/>
                      <w:u w:val="none" w:color="auto"/>
                      <w:vertAlign w:val="baseline"/>
                      <w:lang w:val="en-US" w:eastAsia="zh-CN"/>
                    </w:rPr>
                    <w:t>注：本次分析仅列举</w:t>
                  </w:r>
                  <w:r>
                    <w:rPr>
                      <w:rFonts w:hint="default" w:ascii="Times New Roman" w:hAnsi="Times New Roman" w:eastAsia="宋体" w:cs="Times New Roman"/>
                      <w:color w:val="auto"/>
                      <w:sz w:val="21"/>
                      <w:szCs w:val="21"/>
                      <w:u w:val="none" w:color="auto"/>
                    </w:rPr>
                    <w:t>《全国生猪生产发展规划》（2016-2020）</w:t>
                  </w:r>
                  <w:r>
                    <w:rPr>
                      <w:rFonts w:hint="default" w:ascii="Times New Roman" w:hAnsi="Times New Roman" w:eastAsia="宋体" w:cs="Times New Roman"/>
                      <w:color w:val="auto"/>
                      <w:sz w:val="21"/>
                      <w:szCs w:val="21"/>
                      <w:u w:val="none" w:color="auto"/>
                      <w:vertAlign w:val="baseline"/>
                      <w:lang w:val="en-US" w:eastAsia="zh-CN"/>
                    </w:rPr>
                    <w:t>中与本项目有关的内容。</w:t>
                  </w:r>
                </w:p>
              </w:tc>
            </w:tr>
          </w:tbl>
          <w:p w14:paraId="602CD7F3">
            <w:pPr>
              <w:keepNext w:val="0"/>
              <w:keepLines w:val="0"/>
              <w:pageBreakBefore w:val="0"/>
              <w:widowControl w:val="0"/>
              <w:tabs>
                <w:tab w:val="left" w:pos="126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本项目符合《全国生猪生产发展规划》（2016-2020）中相关要求。</w:t>
            </w:r>
          </w:p>
          <w:p w14:paraId="5266F1AA">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黑体"/>
                <w:b/>
                <w:bCs/>
                <w:color w:val="auto"/>
                <w:sz w:val="24"/>
                <w:u w:val="none" w:color="auto"/>
              </w:rPr>
            </w:pPr>
            <w:r>
              <w:rPr>
                <w:rFonts w:hint="eastAsia" w:ascii="黑体" w:hAnsi="黑体" w:eastAsia="黑体" w:cs="黑体"/>
                <w:b/>
                <w:bCs/>
                <w:color w:val="auto"/>
                <w:sz w:val="24"/>
                <w:u w:val="none" w:color="auto"/>
                <w:lang w:val="en-US" w:eastAsia="zh-CN"/>
              </w:rPr>
              <w:t>3、</w:t>
            </w:r>
            <w:r>
              <w:rPr>
                <w:rFonts w:hint="eastAsia" w:ascii="黑体" w:hAnsi="黑体" w:eastAsia="黑体" w:cs="黑体"/>
                <w:b/>
                <w:bCs/>
                <w:color w:val="auto"/>
                <w:sz w:val="24"/>
                <w:u w:val="none" w:color="auto"/>
              </w:rPr>
              <w:t>与</w:t>
            </w:r>
            <w:r>
              <w:rPr>
                <w:rFonts w:hint="eastAsia" w:ascii="黑体" w:hAnsi="黑体" w:eastAsia="黑体" w:cs="黑体"/>
                <w:b/>
                <w:bCs/>
                <w:color w:val="auto"/>
                <w:sz w:val="24"/>
                <w:u w:val="none" w:color="auto"/>
                <w:lang w:val="en-US" w:eastAsia="zh-CN"/>
              </w:rPr>
              <w:t>《湖南省生猪屠宰行业发展规划（2022-2025年）》</w:t>
            </w:r>
            <w:r>
              <w:rPr>
                <w:rFonts w:hint="eastAsia" w:ascii="黑体" w:hAnsi="黑体" w:eastAsia="黑体" w:cs="黑体"/>
                <w:b/>
                <w:bCs/>
                <w:color w:val="auto"/>
                <w:sz w:val="24"/>
                <w:u w:val="none" w:color="auto"/>
              </w:rPr>
              <w:t>相符性分析</w:t>
            </w:r>
          </w:p>
          <w:p w14:paraId="1D338217">
            <w:pPr>
              <w:keepNext w:val="0"/>
              <w:keepLines w:val="0"/>
              <w:pageBreakBefore w:val="0"/>
              <w:widowControl/>
              <w:tabs>
                <w:tab w:val="left" w:pos="1264"/>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lang w:eastAsia="zh-CN"/>
              </w:rPr>
              <w:t>表</w:t>
            </w:r>
            <w:r>
              <w:rPr>
                <w:rFonts w:hint="eastAsia" w:cs="Times New Roman"/>
                <w:b w:val="0"/>
                <w:bCs w:val="0"/>
                <w:color w:val="auto"/>
                <w:sz w:val="24"/>
                <w:szCs w:val="24"/>
                <w:u w:val="none"/>
                <w:lang w:val="en-US" w:eastAsia="zh-CN"/>
              </w:rPr>
              <w:t>4</w:t>
            </w:r>
            <w:r>
              <w:rPr>
                <w:rFonts w:hint="default" w:ascii="Times New Roman" w:hAnsi="Times New Roman" w:eastAsia="宋体" w:cs="Times New Roman"/>
                <w:b w:val="0"/>
                <w:bCs w:val="0"/>
                <w:color w:val="auto"/>
                <w:sz w:val="24"/>
                <w:szCs w:val="24"/>
                <w:u w:val="none"/>
                <w:lang w:val="en-US" w:eastAsia="zh-CN"/>
              </w:rPr>
              <w:t xml:space="preserve"> </w:t>
            </w:r>
            <w:r>
              <w:rPr>
                <w:rFonts w:hint="default" w:ascii="Times New Roman" w:hAnsi="Times New Roman" w:eastAsia="宋体" w:cs="Times New Roman"/>
                <w:b w:val="0"/>
                <w:bCs w:val="0"/>
                <w:color w:val="auto"/>
                <w:sz w:val="24"/>
                <w:szCs w:val="24"/>
                <w:u w:val="none"/>
              </w:rPr>
              <w:t>与</w:t>
            </w:r>
            <w:r>
              <w:rPr>
                <w:rFonts w:hint="default" w:ascii="Times New Roman" w:hAnsi="Times New Roman" w:eastAsia="宋体" w:cs="Times New Roman"/>
                <w:b w:val="0"/>
                <w:bCs w:val="0"/>
                <w:color w:val="auto"/>
                <w:sz w:val="24"/>
                <w:szCs w:val="24"/>
                <w:u w:val="none"/>
                <w:lang w:val="en-US" w:eastAsia="zh-CN"/>
              </w:rPr>
              <w:t>《湖南省生猪屠宰行业发展规划（2022-2025年）》</w:t>
            </w:r>
            <w:r>
              <w:rPr>
                <w:rFonts w:hint="default" w:ascii="Times New Roman" w:hAnsi="Times New Roman" w:eastAsia="宋体" w:cs="Times New Roman"/>
                <w:b w:val="0"/>
                <w:bCs w:val="0"/>
                <w:color w:val="auto"/>
                <w:sz w:val="24"/>
                <w:szCs w:val="24"/>
                <w:u w:val="none"/>
              </w:rPr>
              <w:t>相符性分析表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3597"/>
              <w:gridCol w:w="2464"/>
              <w:gridCol w:w="790"/>
            </w:tblGrid>
            <w:tr w14:paraId="1B0B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6" w:type="pct"/>
                  <w:noWrap w:val="0"/>
                  <w:vAlign w:val="center"/>
                </w:tcPr>
                <w:p w14:paraId="29390B8F">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snapToGrid w:val="0"/>
                      <w:color w:val="auto"/>
                      <w:kern w:val="0"/>
                      <w:sz w:val="21"/>
                      <w:szCs w:val="21"/>
                      <w:u w:val="single" w:color="auto"/>
                      <w:vertAlign w:val="baseline"/>
                      <w:lang w:eastAsia="zh-CN"/>
                    </w:rPr>
                  </w:pPr>
                  <w:r>
                    <w:rPr>
                      <w:rFonts w:hint="eastAsia" w:ascii="Times New Roman" w:hAnsi="Times New Roman" w:eastAsia="宋体" w:cs="Times New Roman"/>
                      <w:b w:val="0"/>
                      <w:bCs/>
                      <w:snapToGrid w:val="0"/>
                      <w:color w:val="auto"/>
                      <w:kern w:val="0"/>
                      <w:sz w:val="21"/>
                      <w:szCs w:val="21"/>
                      <w:u w:val="single" w:color="auto"/>
                      <w:vertAlign w:val="baseline"/>
                      <w:lang w:eastAsia="zh-CN"/>
                    </w:rPr>
                    <w:t>序号</w:t>
                  </w:r>
                </w:p>
              </w:tc>
              <w:tc>
                <w:tcPr>
                  <w:tcW w:w="2286" w:type="pct"/>
                  <w:noWrap w:val="0"/>
                  <w:vAlign w:val="center"/>
                </w:tcPr>
                <w:p w14:paraId="32C143FB">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pacing w:val="7"/>
                      <w:sz w:val="21"/>
                      <w:szCs w:val="21"/>
                      <w:u w:val="single" w:color="auto"/>
                    </w:rPr>
                  </w:pPr>
                  <w:r>
                    <w:rPr>
                      <w:rFonts w:hint="eastAsia" w:ascii="Times New Roman" w:hAnsi="Times New Roman" w:eastAsia="宋体" w:cs="Times New Roman"/>
                      <w:b w:val="0"/>
                      <w:bCs/>
                      <w:color w:val="auto"/>
                      <w:spacing w:val="7"/>
                      <w:sz w:val="21"/>
                      <w:szCs w:val="21"/>
                      <w:u w:val="single" w:color="auto"/>
                      <w:lang w:eastAsia="zh-CN"/>
                    </w:rPr>
                    <w:t>规划</w:t>
                  </w:r>
                  <w:r>
                    <w:rPr>
                      <w:rFonts w:hint="default" w:ascii="Times New Roman" w:hAnsi="Times New Roman" w:eastAsia="宋体" w:cs="Times New Roman"/>
                      <w:b w:val="0"/>
                      <w:bCs/>
                      <w:color w:val="auto"/>
                      <w:spacing w:val="7"/>
                      <w:sz w:val="21"/>
                      <w:szCs w:val="21"/>
                      <w:u w:val="single" w:color="auto"/>
                    </w:rPr>
                    <w:t>要</w:t>
                  </w:r>
                  <w:r>
                    <w:rPr>
                      <w:rFonts w:hint="default" w:ascii="Times New Roman" w:hAnsi="Times New Roman" w:eastAsia="宋体" w:cs="Times New Roman"/>
                      <w:b w:val="0"/>
                      <w:bCs/>
                      <w:color w:val="auto"/>
                      <w:spacing w:val="6"/>
                      <w:sz w:val="21"/>
                      <w:szCs w:val="21"/>
                      <w:u w:val="single" w:color="auto"/>
                    </w:rPr>
                    <w:t>求</w:t>
                  </w:r>
                </w:p>
              </w:tc>
              <w:tc>
                <w:tcPr>
                  <w:tcW w:w="1566" w:type="pct"/>
                  <w:noWrap w:val="0"/>
                  <w:vAlign w:val="center"/>
                </w:tcPr>
                <w:p w14:paraId="351C4EE9">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single" w:color="auto"/>
                      <w:vertAlign w:val="baseline"/>
                    </w:rPr>
                  </w:pPr>
                  <w:r>
                    <w:rPr>
                      <w:rFonts w:hint="default" w:ascii="Times New Roman" w:hAnsi="Times New Roman" w:eastAsia="宋体" w:cs="Times New Roman"/>
                      <w:b w:val="0"/>
                      <w:bCs/>
                      <w:color w:val="auto"/>
                      <w:spacing w:val="8"/>
                      <w:sz w:val="21"/>
                      <w:szCs w:val="21"/>
                      <w:u w:val="single" w:color="auto"/>
                    </w:rPr>
                    <w:t>本项目情</w:t>
                  </w:r>
                  <w:r>
                    <w:rPr>
                      <w:rFonts w:hint="default" w:ascii="Times New Roman" w:hAnsi="Times New Roman" w:eastAsia="宋体" w:cs="Times New Roman"/>
                      <w:b w:val="0"/>
                      <w:bCs/>
                      <w:color w:val="auto"/>
                      <w:spacing w:val="7"/>
                      <w:sz w:val="21"/>
                      <w:szCs w:val="21"/>
                      <w:u w:val="single" w:color="auto"/>
                    </w:rPr>
                    <w:t>况</w:t>
                  </w:r>
                </w:p>
              </w:tc>
              <w:tc>
                <w:tcPr>
                  <w:tcW w:w="500" w:type="pct"/>
                  <w:noWrap w:val="0"/>
                  <w:vAlign w:val="center"/>
                </w:tcPr>
                <w:p w14:paraId="23E62ED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snapToGrid w:val="0"/>
                      <w:color w:val="auto"/>
                      <w:kern w:val="0"/>
                      <w:sz w:val="21"/>
                      <w:szCs w:val="21"/>
                      <w:u w:val="single" w:color="auto"/>
                      <w:vertAlign w:val="baseline"/>
                    </w:rPr>
                  </w:pPr>
                  <w:r>
                    <w:rPr>
                      <w:rFonts w:hint="default" w:ascii="Times New Roman" w:hAnsi="Times New Roman" w:eastAsia="宋体" w:cs="Times New Roman"/>
                      <w:b w:val="0"/>
                      <w:bCs/>
                      <w:color w:val="auto"/>
                      <w:spacing w:val="7"/>
                      <w:sz w:val="21"/>
                      <w:szCs w:val="21"/>
                      <w:u w:val="single" w:color="auto"/>
                    </w:rPr>
                    <w:t>符合情</w:t>
                  </w:r>
                  <w:r>
                    <w:rPr>
                      <w:rFonts w:hint="default" w:ascii="Times New Roman" w:hAnsi="Times New Roman" w:eastAsia="宋体" w:cs="Times New Roman"/>
                      <w:b w:val="0"/>
                      <w:bCs/>
                      <w:color w:val="auto"/>
                      <w:spacing w:val="6"/>
                      <w:sz w:val="21"/>
                      <w:szCs w:val="21"/>
                      <w:u w:val="single" w:color="auto"/>
                    </w:rPr>
                    <w:t>况</w:t>
                  </w:r>
                </w:p>
              </w:tc>
            </w:tr>
            <w:tr w14:paraId="7ED1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646" w:type="pct"/>
                  <w:noWrap w:val="0"/>
                  <w:vAlign w:val="center"/>
                </w:tcPr>
                <w:p w14:paraId="7F8FB11F">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1</w:t>
                  </w:r>
                </w:p>
              </w:tc>
              <w:tc>
                <w:tcPr>
                  <w:tcW w:w="2286" w:type="pct"/>
                  <w:noWrap w:val="0"/>
                  <w:vAlign w:val="center"/>
                </w:tcPr>
                <w:p w14:paraId="6137142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三、设置规划：（三）生猪屠宰厂（场、点）的产能规划。新建、改扩建生猪定点屠宰厂（场）的年设计产能应在</w:t>
                  </w:r>
                  <w:r>
                    <w:rPr>
                      <w:rFonts w:hint="default" w:ascii="Times New Roman" w:hAnsi="Times New Roman" w:eastAsia="宋体" w:cs="Times New Roman"/>
                      <w:bCs/>
                      <w:color w:val="auto"/>
                      <w:spacing w:val="7"/>
                      <w:sz w:val="21"/>
                      <w:szCs w:val="21"/>
                      <w:u w:val="single" w:color="auto"/>
                      <w:lang w:val="en-US" w:eastAsia="zh-CN"/>
                    </w:rPr>
                    <w:t>30</w:t>
                  </w:r>
                  <w:r>
                    <w:rPr>
                      <w:rFonts w:hint="eastAsia" w:ascii="Times New Roman" w:hAnsi="Times New Roman" w:eastAsia="宋体" w:cs="Times New Roman"/>
                      <w:bCs/>
                      <w:color w:val="auto"/>
                      <w:spacing w:val="7"/>
                      <w:sz w:val="21"/>
                      <w:szCs w:val="21"/>
                      <w:u w:val="single" w:color="auto"/>
                      <w:lang w:val="en-US" w:eastAsia="zh-CN"/>
                    </w:rPr>
                    <w:t>万头以上，并配备冷链贮藏和配送体系；新建改扩建小型生猪定点屠宰点的年设计产能应在</w:t>
                  </w:r>
                  <w:r>
                    <w:rPr>
                      <w:rFonts w:hint="default" w:ascii="Times New Roman" w:hAnsi="Times New Roman" w:eastAsia="宋体" w:cs="Times New Roman"/>
                      <w:bCs/>
                      <w:color w:val="auto"/>
                      <w:spacing w:val="7"/>
                      <w:sz w:val="21"/>
                      <w:szCs w:val="21"/>
                      <w:u w:val="single" w:color="auto"/>
                      <w:lang w:val="en-US" w:eastAsia="zh-CN"/>
                    </w:rPr>
                    <w:t>2</w:t>
                  </w:r>
                  <w:r>
                    <w:rPr>
                      <w:rFonts w:hint="eastAsia" w:ascii="Times New Roman" w:hAnsi="Times New Roman" w:eastAsia="宋体" w:cs="Times New Roman"/>
                      <w:bCs/>
                      <w:color w:val="auto"/>
                      <w:spacing w:val="7"/>
                      <w:sz w:val="21"/>
                      <w:szCs w:val="21"/>
                      <w:u w:val="single" w:color="auto"/>
                      <w:lang w:val="en-US" w:eastAsia="zh-CN"/>
                    </w:rPr>
                    <w:t>万头以上。新建、改扩建的生猪定点屠宰厂（场、点）应符合国家和我省发布的有关废水、废气、固体废物和噪音污染防治技术标准。</w:t>
                  </w:r>
                </w:p>
              </w:tc>
              <w:tc>
                <w:tcPr>
                  <w:tcW w:w="1566" w:type="pct"/>
                  <w:noWrap w:val="0"/>
                  <w:vAlign w:val="center"/>
                </w:tcPr>
                <w:p w14:paraId="18EB7E7F">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cs="Times New Roman"/>
                      <w:bCs/>
                      <w:color w:val="auto"/>
                      <w:spacing w:val="7"/>
                      <w:sz w:val="21"/>
                      <w:szCs w:val="21"/>
                      <w:highlight w:val="none"/>
                      <w:u w:val="single" w:color="auto"/>
                      <w:lang w:val="en-US" w:eastAsia="zh-CN"/>
                    </w:rPr>
                    <w:t>本项目</w:t>
                  </w:r>
                  <w:r>
                    <w:rPr>
                      <w:rFonts w:hint="eastAsia" w:ascii="Times New Roman" w:hAnsi="Times New Roman" w:eastAsia="宋体" w:cs="Times New Roman"/>
                      <w:bCs/>
                      <w:color w:val="auto"/>
                      <w:spacing w:val="7"/>
                      <w:sz w:val="21"/>
                      <w:szCs w:val="21"/>
                      <w:highlight w:val="none"/>
                      <w:u w:val="single" w:color="auto"/>
                      <w:lang w:val="en-US" w:eastAsia="zh-CN"/>
                    </w:rPr>
                    <w:t>设计规模为</w:t>
                  </w:r>
                  <w:r>
                    <w:rPr>
                      <w:rFonts w:hint="eastAsia" w:ascii="Times New Roman" w:hAnsi="Times New Roman" w:eastAsia="宋体" w:cs="Times New Roman"/>
                      <w:b w:val="0"/>
                      <w:bCs w:val="0"/>
                      <w:color w:val="auto"/>
                      <w:sz w:val="21"/>
                      <w:szCs w:val="21"/>
                      <w:u w:val="single" w:color="auto"/>
                      <w:lang w:val="en-US" w:eastAsia="zh-CN"/>
                    </w:rPr>
                    <w:t>年屠宰生猪99</w:t>
                  </w:r>
                  <w:r>
                    <w:rPr>
                      <w:rFonts w:hint="eastAsia" w:ascii="Times New Roman" w:hAnsi="Times New Roman" w:eastAsia="宋体" w:cs="Times New Roman"/>
                      <w:color w:val="auto"/>
                      <w:spacing w:val="4"/>
                      <w:sz w:val="21"/>
                      <w:szCs w:val="21"/>
                      <w:u w:val="single" w:color="auto"/>
                      <w:lang w:val="en-US" w:eastAsia="zh-CN"/>
                    </w:rPr>
                    <w:t>27</w:t>
                  </w:r>
                  <w:r>
                    <w:rPr>
                      <w:rFonts w:hint="eastAsia" w:cs="Times New Roman"/>
                      <w:color w:val="auto"/>
                      <w:spacing w:val="4"/>
                      <w:sz w:val="21"/>
                      <w:szCs w:val="21"/>
                      <w:u w:val="single" w:color="auto"/>
                    </w:rPr>
                    <w:t>3</w:t>
                  </w:r>
                  <w:r>
                    <w:rPr>
                      <w:rFonts w:hint="eastAsia" w:ascii="Times New Roman" w:hAnsi="Times New Roman" w:eastAsia="宋体" w:cs="Times New Roman"/>
                      <w:b w:val="0"/>
                      <w:bCs w:val="0"/>
                      <w:color w:val="auto"/>
                      <w:sz w:val="21"/>
                      <w:szCs w:val="21"/>
                      <w:u w:val="single" w:color="auto"/>
                      <w:lang w:val="en-US" w:eastAsia="zh-CN"/>
                    </w:rPr>
                    <w:t>头、年屠宰</w:t>
                  </w:r>
                  <w:r>
                    <w:rPr>
                      <w:rFonts w:hint="eastAsia" w:cs="Times New Roman"/>
                      <w:b w:val="0"/>
                      <w:bCs w:val="0"/>
                      <w:color w:val="auto"/>
                      <w:sz w:val="21"/>
                      <w:szCs w:val="21"/>
                      <w:u w:val="single" w:color="auto"/>
                      <w:lang w:val="en-US" w:eastAsia="zh-CN"/>
                    </w:rPr>
                    <w:t>肉牛</w:t>
                  </w:r>
                  <w:r>
                    <w:rPr>
                      <w:rFonts w:hint="eastAsia" w:ascii="Times New Roman" w:hAnsi="Times New Roman" w:eastAsia="宋体" w:cs="Times New Roman"/>
                      <w:color w:val="auto"/>
                      <w:spacing w:val="4"/>
                      <w:sz w:val="21"/>
                      <w:szCs w:val="21"/>
                      <w:u w:val="single" w:color="auto"/>
                      <w:lang w:val="en-US" w:eastAsia="zh-CN"/>
                    </w:rPr>
                    <w:t>6</w:t>
                  </w:r>
                  <w:r>
                    <w:rPr>
                      <w:rFonts w:hint="eastAsia" w:cs="Times New Roman"/>
                      <w:color w:val="auto"/>
                      <w:spacing w:val="4"/>
                      <w:sz w:val="21"/>
                      <w:szCs w:val="21"/>
                      <w:u w:val="single" w:color="auto"/>
                    </w:rPr>
                    <w:t>0</w:t>
                  </w:r>
                  <w:r>
                    <w:rPr>
                      <w:rFonts w:hint="eastAsia" w:ascii="Times New Roman" w:hAnsi="Times New Roman" w:eastAsia="宋体" w:cs="Times New Roman"/>
                      <w:color w:val="auto"/>
                      <w:spacing w:val="4"/>
                      <w:sz w:val="21"/>
                      <w:szCs w:val="21"/>
                      <w:u w:val="single" w:color="auto"/>
                      <w:lang w:val="en-US" w:eastAsia="zh-CN"/>
                    </w:rPr>
                    <w:t>64</w:t>
                  </w:r>
                  <w:r>
                    <w:rPr>
                      <w:rFonts w:hint="eastAsia" w:ascii="Times New Roman" w:hAnsi="Times New Roman" w:eastAsia="宋体" w:cs="Times New Roman"/>
                      <w:b w:val="0"/>
                      <w:bCs w:val="0"/>
                      <w:color w:val="auto"/>
                      <w:spacing w:val="4"/>
                      <w:sz w:val="21"/>
                      <w:szCs w:val="21"/>
                      <w:u w:val="single" w:color="auto"/>
                      <w:lang w:val="en-US" w:eastAsia="zh-CN"/>
                    </w:rPr>
                    <w:t>头</w:t>
                  </w:r>
                  <w:r>
                    <w:rPr>
                      <w:rFonts w:hint="eastAsia" w:cs="Times New Roman"/>
                      <w:bCs w:val="0"/>
                      <w:snapToGrid/>
                      <w:color w:val="auto"/>
                      <w:spacing w:val="4"/>
                      <w:sz w:val="21"/>
                      <w:szCs w:val="21"/>
                      <w:u w:val="single" w:color="auto"/>
                      <w:lang w:val="en-US" w:eastAsia="zh-CN"/>
                    </w:rPr>
                    <w:t>、年屠宰肉鸡1000只、年屠宰肉鸭1000只、年屠宰肉鹅1000只</w:t>
                  </w:r>
                  <w:r>
                    <w:rPr>
                      <w:rFonts w:hint="eastAsia" w:ascii="Times New Roman" w:hAnsi="Times New Roman" w:eastAsia="宋体" w:cs="Times New Roman"/>
                      <w:bCs w:val="0"/>
                      <w:color w:val="auto"/>
                      <w:spacing w:val="4"/>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满足规划产能要求。建设废水处理站、除臭设施、降噪设施和固体废弃物暂存场所，相关污染防治措施满足废水、废气、固体废物和噪音污染防治技术标准。</w:t>
                  </w:r>
                </w:p>
              </w:tc>
              <w:tc>
                <w:tcPr>
                  <w:tcW w:w="500" w:type="pct"/>
                  <w:noWrap w:val="0"/>
                  <w:vAlign w:val="center"/>
                </w:tcPr>
                <w:p w14:paraId="2AFE316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15"/>
                      <w:sz w:val="21"/>
                      <w:szCs w:val="21"/>
                      <w:u w:val="single" w:color="auto"/>
                    </w:rPr>
                  </w:pPr>
                  <w:r>
                    <w:rPr>
                      <w:rFonts w:hint="default" w:ascii="Times New Roman" w:hAnsi="Times New Roman" w:eastAsia="宋体" w:cs="Times New Roman"/>
                      <w:bCs/>
                      <w:color w:val="auto"/>
                      <w:spacing w:val="15"/>
                      <w:sz w:val="21"/>
                      <w:szCs w:val="21"/>
                      <w:u w:val="single" w:color="auto"/>
                    </w:rPr>
                    <w:t>符合</w:t>
                  </w:r>
                </w:p>
              </w:tc>
            </w:tr>
            <w:tr w14:paraId="5A6C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noWrap w:val="0"/>
                  <w:vAlign w:val="center"/>
                </w:tcPr>
                <w:p w14:paraId="4DF1DE0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2</w:t>
                  </w:r>
                </w:p>
              </w:tc>
              <w:tc>
                <w:tcPr>
                  <w:tcW w:w="2286" w:type="pct"/>
                  <w:noWrap w:val="0"/>
                  <w:vAlign w:val="center"/>
                </w:tcPr>
                <w:p w14:paraId="3598D557">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四、重点任务：（二）大力推进屠宰标准化示范创建。以质量管理制度化、厂区环境整洁化、设施设备标准化、生产经营规范化、检测检验科学化、废弃物处理无害化、配送冷链化及追溯信息化为主要内容，大力开展生猪定点屠宰厂（场）标准化示范创建。支持生猪定点屠宰场开展质量管理体系认证，建立健全屠宰质量标准体系，实现从生猪入场到肉品出场的全过程质量控制。到</w:t>
                  </w:r>
                  <w:r>
                    <w:rPr>
                      <w:rFonts w:hint="default" w:ascii="Times New Roman" w:hAnsi="Times New Roman" w:eastAsia="宋体" w:cs="Times New Roman"/>
                      <w:bCs/>
                      <w:color w:val="auto"/>
                      <w:spacing w:val="7"/>
                      <w:sz w:val="21"/>
                      <w:szCs w:val="21"/>
                      <w:u w:val="single" w:color="auto"/>
                      <w:lang w:val="en-US" w:eastAsia="zh-CN"/>
                    </w:rPr>
                    <w:t>2025</w:t>
                  </w:r>
                  <w:r>
                    <w:rPr>
                      <w:rFonts w:hint="eastAsia" w:ascii="Times New Roman" w:hAnsi="Times New Roman" w:eastAsia="宋体" w:cs="Times New Roman"/>
                      <w:bCs/>
                      <w:color w:val="auto"/>
                      <w:spacing w:val="7"/>
                      <w:sz w:val="21"/>
                      <w:szCs w:val="21"/>
                      <w:u w:val="single" w:color="auto"/>
                      <w:lang w:val="en-US" w:eastAsia="zh-CN"/>
                    </w:rPr>
                    <w:t>年全省创建国家级、省级生猪屠宰标准化示范厂（场）</w:t>
                  </w:r>
                  <w:r>
                    <w:rPr>
                      <w:rFonts w:hint="default" w:ascii="Times New Roman" w:hAnsi="Times New Roman" w:eastAsia="宋体" w:cs="Times New Roman"/>
                      <w:bCs/>
                      <w:color w:val="auto"/>
                      <w:spacing w:val="7"/>
                      <w:sz w:val="21"/>
                      <w:szCs w:val="21"/>
                      <w:u w:val="single" w:color="auto"/>
                      <w:lang w:val="en-US" w:eastAsia="zh-CN"/>
                    </w:rPr>
                    <w:t>50</w:t>
                  </w:r>
                  <w:r>
                    <w:rPr>
                      <w:rFonts w:hint="eastAsia" w:ascii="Times New Roman" w:hAnsi="Times New Roman" w:eastAsia="宋体" w:cs="Times New Roman"/>
                      <w:bCs/>
                      <w:color w:val="auto"/>
                      <w:spacing w:val="7"/>
                      <w:sz w:val="21"/>
                      <w:szCs w:val="21"/>
                      <w:u w:val="single" w:color="auto"/>
                      <w:lang w:val="en-US" w:eastAsia="zh-CN"/>
                    </w:rPr>
                    <w:t>个以上。规范小型生猪定点屠宰点建设，实行待宰、屠宰、肉品销售分区管理和机械化屠宰，净污道和出入场车道分离，建设运输车辆洗消通道和必要的冷藏设施，</w:t>
                  </w:r>
                  <w:r>
                    <w:rPr>
                      <w:rFonts w:hint="default" w:ascii="Times New Roman" w:hAnsi="Times New Roman" w:eastAsia="宋体" w:cs="Times New Roman"/>
                      <w:bCs/>
                      <w:color w:val="auto"/>
                      <w:spacing w:val="7"/>
                      <w:sz w:val="21"/>
                      <w:szCs w:val="21"/>
                      <w:u w:val="single" w:color="auto"/>
                      <w:lang w:val="en-US" w:eastAsia="zh-CN"/>
                    </w:rPr>
                    <w:t>3</w:t>
                  </w:r>
                  <w:r>
                    <w:rPr>
                      <w:rFonts w:hint="eastAsia" w:ascii="Times New Roman" w:hAnsi="Times New Roman" w:eastAsia="宋体" w:cs="Times New Roman"/>
                      <w:bCs/>
                      <w:color w:val="auto"/>
                      <w:spacing w:val="7"/>
                      <w:sz w:val="21"/>
                      <w:szCs w:val="21"/>
                      <w:u w:val="single" w:color="auto"/>
                      <w:lang w:val="en-US" w:eastAsia="zh-CN"/>
                    </w:rPr>
                    <w:t>年内基本达到标准化建设要求。</w:t>
                  </w:r>
                </w:p>
              </w:tc>
              <w:tc>
                <w:tcPr>
                  <w:tcW w:w="1566" w:type="pct"/>
                  <w:noWrap w:val="0"/>
                  <w:vAlign w:val="center"/>
                </w:tcPr>
                <w:p w14:paraId="1FCA58D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highlight w:val="none"/>
                      <w:u w:val="single" w:color="auto"/>
                      <w:lang w:val="en-US" w:eastAsia="zh-CN"/>
                    </w:rPr>
                    <w:t>本项目拟建设标准化厂房、机械化屠宰生产线。项目拟配置全过程质检人员，实现从生猪</w:t>
                  </w:r>
                  <w:r>
                    <w:rPr>
                      <w:rFonts w:hint="eastAsia" w:cs="Times New Roman"/>
                      <w:bCs/>
                      <w:color w:val="auto"/>
                      <w:spacing w:val="7"/>
                      <w:sz w:val="21"/>
                      <w:szCs w:val="21"/>
                      <w:highlight w:val="none"/>
                      <w:u w:val="single" w:color="auto"/>
                      <w:lang w:val="en-US" w:eastAsia="zh-CN"/>
                    </w:rPr>
                    <w:t>/肉牛/肉鸡/肉鸭/肉鹅</w:t>
                  </w:r>
                  <w:r>
                    <w:rPr>
                      <w:rFonts w:hint="eastAsia" w:ascii="Times New Roman" w:hAnsi="Times New Roman" w:eastAsia="宋体" w:cs="Times New Roman"/>
                      <w:bCs/>
                      <w:color w:val="auto"/>
                      <w:spacing w:val="7"/>
                      <w:sz w:val="21"/>
                      <w:szCs w:val="21"/>
                      <w:highlight w:val="none"/>
                      <w:u w:val="single" w:color="auto"/>
                      <w:lang w:val="en-US" w:eastAsia="zh-CN"/>
                    </w:rPr>
                    <w:t>入场到肉品出场的全过程质量控制。厂内平面布局实行待宰、屠宰、肉品销售分区管理，建设运输车辆洗消通道，净污道和出入场车道分离。</w:t>
                  </w:r>
                </w:p>
              </w:tc>
              <w:tc>
                <w:tcPr>
                  <w:tcW w:w="500" w:type="pct"/>
                  <w:noWrap w:val="0"/>
                  <w:vAlign w:val="center"/>
                </w:tcPr>
                <w:p w14:paraId="2880AE5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15"/>
                      <w:sz w:val="21"/>
                      <w:szCs w:val="21"/>
                      <w:u w:val="single" w:color="auto"/>
                    </w:rPr>
                  </w:pPr>
                  <w:r>
                    <w:rPr>
                      <w:rFonts w:hint="default" w:ascii="Times New Roman" w:hAnsi="Times New Roman" w:eastAsia="宋体" w:cs="Times New Roman"/>
                      <w:bCs/>
                      <w:color w:val="auto"/>
                      <w:spacing w:val="15"/>
                      <w:sz w:val="21"/>
                      <w:szCs w:val="21"/>
                      <w:u w:val="single" w:color="auto"/>
                    </w:rPr>
                    <w:t>符合</w:t>
                  </w:r>
                </w:p>
              </w:tc>
            </w:tr>
            <w:tr w14:paraId="4FE1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noWrap w:val="0"/>
                  <w:vAlign w:val="center"/>
                </w:tcPr>
                <w:p w14:paraId="3A24E5A6">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3</w:t>
                  </w:r>
                </w:p>
              </w:tc>
              <w:tc>
                <w:tcPr>
                  <w:tcW w:w="2286" w:type="pct"/>
                  <w:noWrap w:val="0"/>
                  <w:vAlign w:val="center"/>
                </w:tcPr>
                <w:p w14:paraId="503F0EF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四、重点任务：（三）加快淘汰屠宰落后产能。继续开展屠宰行业清理整顿，完善生猪屠宰退出机制，依法关停</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三证</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（生猪定点屠宰证、动物防疫条件合格证、排污许可证）不全、屠宰设施设备陈旧、生产工艺落后的生猪屠宰企业，取消其生猪定点屠宰资格。按照</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上大压小、上新去旧</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的原则，持续推进小型屠宰场点撤停并转；支持现有屠宰厂（场）在符合条件的情况下，增设牛、羊屠宰线，推进牛羊集中屠宰。实施屠宰加工升级改造计划，加快老旧设施设备淘汰更新，鼓励和支持现有生猪定点屠宰厂（场）新建、改扩建高标准屠宰车间，强化屠宰废水治理设施建设和运行，确保达标排放，使其选址、厂区环境、设计和布局符合国家食品安全标准《畜禽屠宰加工卫生规范》（</w:t>
                  </w:r>
                  <w:r>
                    <w:rPr>
                      <w:rFonts w:hint="default" w:ascii="Times New Roman" w:hAnsi="Times New Roman" w:eastAsia="宋体" w:cs="Times New Roman"/>
                      <w:bCs/>
                      <w:color w:val="auto"/>
                      <w:spacing w:val="7"/>
                      <w:sz w:val="21"/>
                      <w:szCs w:val="21"/>
                      <w:u w:val="single" w:color="auto"/>
                      <w:lang w:val="en-US" w:eastAsia="zh-CN"/>
                    </w:rPr>
                    <w:t>GB12694</w:t>
                  </w:r>
                  <w:r>
                    <w:rPr>
                      <w:rFonts w:hint="eastAsia" w:ascii="Times New Roman" w:hAnsi="Times New Roman" w:eastAsia="宋体" w:cs="Times New Roman"/>
                      <w:bCs/>
                      <w:color w:val="auto"/>
                      <w:spacing w:val="7"/>
                      <w:sz w:val="21"/>
                      <w:szCs w:val="21"/>
                      <w:u w:val="single" w:color="auto"/>
                      <w:lang w:val="en-US" w:eastAsia="zh-CN"/>
                    </w:rPr>
                    <w:t>）的要求，强化屠宰加工卫生管理和控制，提高肉类食品质量安全风险控制能力。鼓励和支持屠宰企业全面采用隧道式喷淋烫毛、全自动开膛、劈半和激光灼刻等新技术、新装备，提升标准化屠宰生产能力。</w:t>
                  </w:r>
                </w:p>
              </w:tc>
              <w:tc>
                <w:tcPr>
                  <w:tcW w:w="1566" w:type="pct"/>
                  <w:noWrap w:val="0"/>
                  <w:vAlign w:val="center"/>
                </w:tcPr>
                <w:p w14:paraId="5C36D3BA">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highlight w:val="red"/>
                      <w:u w:val="single" w:color="auto"/>
                      <w:lang w:val="en-US" w:eastAsia="zh-CN"/>
                    </w:rPr>
                  </w:pPr>
                  <w:r>
                    <w:rPr>
                      <w:rFonts w:hint="eastAsia" w:ascii="Times New Roman" w:hAnsi="Times New Roman" w:eastAsia="宋体" w:cs="Times New Roman"/>
                      <w:bCs/>
                      <w:color w:val="auto"/>
                      <w:spacing w:val="7"/>
                      <w:sz w:val="21"/>
                      <w:szCs w:val="21"/>
                      <w:highlight w:val="none"/>
                      <w:u w:val="single" w:color="auto"/>
                      <w:lang w:val="en-US" w:eastAsia="zh-CN"/>
                    </w:rPr>
                    <w:t>本项目在淘汰现有工程落后产能的基础上进行升级改造，实现集中屠宰。本项目建成后按要求进行验收，申领定点屠宰证、动物防疫条件合格证、排污许可证后投产运行。项目拟建设高标准屠宰车间，并自建废水处理站，确保废水达标排放。项目选址、厂区环境、设计和布局符合国家食品安全标准《畜禽屠宰加工卫生规范》（</w:t>
                  </w:r>
                  <w:r>
                    <w:rPr>
                      <w:rFonts w:hint="default" w:ascii="Times New Roman" w:hAnsi="Times New Roman" w:eastAsia="宋体" w:cs="Times New Roman"/>
                      <w:bCs/>
                      <w:color w:val="auto"/>
                      <w:spacing w:val="7"/>
                      <w:sz w:val="21"/>
                      <w:szCs w:val="21"/>
                      <w:highlight w:val="none"/>
                      <w:u w:val="single" w:color="auto"/>
                      <w:lang w:val="en-US" w:eastAsia="zh-CN"/>
                    </w:rPr>
                    <w:t>GB</w:t>
                  </w:r>
                  <w:r>
                    <w:rPr>
                      <w:rFonts w:hint="eastAsia" w:cs="Times New Roman"/>
                      <w:bCs/>
                      <w:color w:val="auto"/>
                      <w:spacing w:val="7"/>
                      <w:sz w:val="21"/>
                      <w:szCs w:val="21"/>
                      <w:highlight w:val="none"/>
                      <w:u w:val="single" w:color="auto"/>
                      <w:lang w:val="en-US" w:eastAsia="zh-CN"/>
                    </w:rPr>
                    <w:t xml:space="preserve"> </w:t>
                  </w:r>
                  <w:r>
                    <w:rPr>
                      <w:rFonts w:hint="default" w:ascii="Times New Roman" w:hAnsi="Times New Roman" w:eastAsia="宋体" w:cs="Times New Roman"/>
                      <w:bCs/>
                      <w:color w:val="auto"/>
                      <w:spacing w:val="7"/>
                      <w:sz w:val="21"/>
                      <w:szCs w:val="21"/>
                      <w:highlight w:val="none"/>
                      <w:u w:val="single" w:color="auto"/>
                      <w:lang w:val="en-US" w:eastAsia="zh-CN"/>
                    </w:rPr>
                    <w:t>12694</w:t>
                  </w:r>
                  <w:r>
                    <w:rPr>
                      <w:rFonts w:hint="eastAsia" w:ascii="Times New Roman" w:hAnsi="Times New Roman" w:eastAsia="宋体" w:cs="Times New Roman"/>
                      <w:bCs/>
                      <w:color w:val="auto"/>
                      <w:spacing w:val="7"/>
                      <w:sz w:val="21"/>
                      <w:szCs w:val="21"/>
                      <w:highlight w:val="none"/>
                      <w:u w:val="single" w:color="auto"/>
                      <w:lang w:val="en-US" w:eastAsia="zh-CN"/>
                    </w:rPr>
                    <w:t>）的要求，生产线采用机械自动化设备，屠宰生产能力可满足产能要求。</w:t>
                  </w:r>
                </w:p>
              </w:tc>
              <w:tc>
                <w:tcPr>
                  <w:tcW w:w="500" w:type="pct"/>
                  <w:noWrap w:val="0"/>
                  <w:vAlign w:val="center"/>
                </w:tcPr>
                <w:p w14:paraId="0F84E99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default" w:ascii="Times New Roman" w:hAnsi="Times New Roman" w:eastAsia="宋体" w:cs="Times New Roman"/>
                      <w:bCs/>
                      <w:color w:val="auto"/>
                      <w:spacing w:val="7"/>
                      <w:sz w:val="21"/>
                      <w:szCs w:val="21"/>
                      <w:u w:val="single" w:color="auto"/>
                      <w:lang w:val="en-US" w:eastAsia="zh-CN"/>
                    </w:rPr>
                    <w:t>符合</w:t>
                  </w:r>
                </w:p>
              </w:tc>
            </w:tr>
            <w:tr w14:paraId="2DF3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46" w:type="pct"/>
                  <w:noWrap w:val="0"/>
                  <w:vAlign w:val="center"/>
                </w:tcPr>
                <w:p w14:paraId="2452B912">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4</w:t>
                  </w:r>
                </w:p>
              </w:tc>
              <w:tc>
                <w:tcPr>
                  <w:tcW w:w="2286" w:type="pct"/>
                  <w:noWrap w:val="0"/>
                  <w:vAlign w:val="center"/>
                </w:tcPr>
                <w:p w14:paraId="7D7596EF">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四、重点任务：（六）加快健全肉品冷链物流体系。支持发展覆盖屠宰加工、储存运输及肉品销售整个环节的冷链，建立全程</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无断链</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的肉类冷链物流体系，逐步构建生猪主产区和主销区有效对接的冷链物流基础设施网络。鼓励现有生猪屠宰和肉品加工、流通企业建设预冷集配中心、低温分割加工车间、冷库、冷柜、冷藏车等设施设备，提高生猪产品加工储藏和长距离运输能力，推进湘猪湘肉走出湖南，开拓国际市场和全国市场。加快肉品冷鲜肉配送点建设，鼓励发展冷链配送肉品销售点，提高终端配送能力，推进城乡肉品一体化供应，逐步形成</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主产区集中屠宰、全链条冷链配送、主销区冷鲜销售</w:t>
                  </w:r>
                  <w:r>
                    <w:rPr>
                      <w:rFonts w:hint="default" w:ascii="Times New Roman" w:hAnsi="Times New Roman" w:eastAsia="宋体" w:cs="Times New Roman"/>
                      <w:bCs/>
                      <w:color w:val="auto"/>
                      <w:spacing w:val="7"/>
                      <w:sz w:val="21"/>
                      <w:szCs w:val="21"/>
                      <w:u w:val="single" w:color="auto"/>
                      <w:lang w:val="en-US" w:eastAsia="zh-CN"/>
                    </w:rPr>
                    <w:t>”</w:t>
                  </w:r>
                  <w:r>
                    <w:rPr>
                      <w:rFonts w:hint="eastAsia" w:ascii="Times New Roman" w:hAnsi="Times New Roman" w:eastAsia="宋体" w:cs="Times New Roman"/>
                      <w:bCs/>
                      <w:color w:val="auto"/>
                      <w:spacing w:val="7"/>
                      <w:sz w:val="21"/>
                      <w:szCs w:val="21"/>
                      <w:u w:val="single" w:color="auto"/>
                      <w:lang w:val="en-US" w:eastAsia="zh-CN"/>
                    </w:rPr>
                    <w:t>的屠宰销售模式。引导和推广冷鲜肉消费，提高冷鲜肉消费比重。</w:t>
                  </w:r>
                </w:p>
              </w:tc>
              <w:tc>
                <w:tcPr>
                  <w:tcW w:w="1566" w:type="pct"/>
                  <w:noWrap w:val="0"/>
                  <w:vAlign w:val="center"/>
                </w:tcPr>
                <w:p w14:paraId="56AE20F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本项目设计建设冷链配送系统，配套低温分割加工车间、冷库、冷藏车等设施设备，以提高产品加工储藏和长距离运输能力。项目投产后，其在保障镇区居民生猪、肉牛</w:t>
                  </w:r>
                  <w:r>
                    <w:rPr>
                      <w:rFonts w:hint="eastAsia" w:cs="Times New Roman"/>
                      <w:bCs/>
                      <w:color w:val="auto"/>
                      <w:spacing w:val="7"/>
                      <w:sz w:val="21"/>
                      <w:szCs w:val="21"/>
                      <w:u w:val="single" w:color="auto"/>
                      <w:lang w:val="en-US" w:eastAsia="zh-CN"/>
                    </w:rPr>
                    <w:t>、肉鸡、肉鸭、肉鹅</w:t>
                  </w:r>
                  <w:r>
                    <w:rPr>
                      <w:rFonts w:hint="eastAsia" w:ascii="Times New Roman" w:hAnsi="Times New Roman" w:eastAsia="宋体" w:cs="Times New Roman"/>
                      <w:bCs/>
                      <w:color w:val="auto"/>
                      <w:spacing w:val="7"/>
                      <w:sz w:val="21"/>
                      <w:szCs w:val="21"/>
                      <w:u w:val="single" w:color="auto"/>
                      <w:lang w:val="en-US" w:eastAsia="zh-CN"/>
                    </w:rPr>
                    <w:t>产品供应的前提下，对周边乡镇拓展冷链配送业务和小包装分割产品销售</w:t>
                  </w:r>
                </w:p>
              </w:tc>
              <w:tc>
                <w:tcPr>
                  <w:tcW w:w="500" w:type="pct"/>
                  <w:noWrap w:val="0"/>
                  <w:vAlign w:val="center"/>
                </w:tcPr>
                <w:p w14:paraId="4DD4FEF7">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default" w:ascii="Times New Roman" w:hAnsi="Times New Roman" w:eastAsia="宋体" w:cs="Times New Roman"/>
                      <w:bCs/>
                      <w:color w:val="auto"/>
                      <w:spacing w:val="7"/>
                      <w:sz w:val="21"/>
                      <w:szCs w:val="21"/>
                      <w:u w:val="single" w:color="auto"/>
                      <w:lang w:val="en-US" w:eastAsia="zh-CN"/>
                    </w:rPr>
                    <w:t>符合</w:t>
                  </w:r>
                </w:p>
              </w:tc>
            </w:tr>
            <w:tr w14:paraId="4F84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46" w:type="pct"/>
                  <w:noWrap w:val="0"/>
                  <w:vAlign w:val="center"/>
                </w:tcPr>
                <w:p w14:paraId="35D71E5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5</w:t>
                  </w:r>
                </w:p>
              </w:tc>
              <w:tc>
                <w:tcPr>
                  <w:tcW w:w="2286" w:type="pct"/>
                  <w:noWrap w:val="0"/>
                  <w:vAlign w:val="center"/>
                </w:tcPr>
                <w:p w14:paraId="02F7E4B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六、环境影响评价：生猪屠宰场建设过程中和运行后，将对生产生活环境和生态环境造成一定影响。通过采取一系列的消除、减轻及环境保护措施，不利影响可以得到规避和有效减轻。（一）规范环境影响评价。根据《规划环境影响评价技术导则总纲》（</w:t>
                  </w:r>
                  <w:r>
                    <w:rPr>
                      <w:rFonts w:hint="default" w:ascii="Times New Roman" w:hAnsi="Times New Roman" w:eastAsia="宋体" w:cs="Times New Roman"/>
                      <w:bCs/>
                      <w:color w:val="auto"/>
                      <w:spacing w:val="7"/>
                      <w:sz w:val="21"/>
                      <w:szCs w:val="21"/>
                      <w:u w:val="single" w:color="auto"/>
                      <w:lang w:val="en-US" w:eastAsia="zh-CN"/>
                    </w:rPr>
                    <w:t>HJ</w:t>
                  </w:r>
                  <w:r>
                    <w:rPr>
                      <w:rFonts w:hint="eastAsia" w:ascii="Times New Roman" w:hAnsi="Times New Roman" w:eastAsia="宋体" w:cs="Times New Roman"/>
                      <w:bCs/>
                      <w:color w:val="auto"/>
                      <w:spacing w:val="7"/>
                      <w:sz w:val="21"/>
                      <w:szCs w:val="21"/>
                      <w:u w:val="single" w:color="auto"/>
                      <w:lang w:val="en-US" w:eastAsia="zh-CN"/>
                    </w:rPr>
                    <w:t xml:space="preserve"> </w:t>
                  </w:r>
                  <w:r>
                    <w:rPr>
                      <w:rFonts w:hint="default" w:ascii="Times New Roman" w:hAnsi="Times New Roman" w:eastAsia="宋体" w:cs="Times New Roman"/>
                      <w:bCs/>
                      <w:color w:val="auto"/>
                      <w:spacing w:val="7"/>
                      <w:sz w:val="21"/>
                      <w:szCs w:val="21"/>
                      <w:u w:val="single" w:color="auto"/>
                      <w:lang w:val="en-US" w:eastAsia="zh-CN"/>
                    </w:rPr>
                    <w:t>130</w:t>
                  </w:r>
                  <w:r>
                    <w:rPr>
                      <w:rFonts w:hint="eastAsia" w:ascii="Times New Roman" w:hAnsi="Times New Roman" w:eastAsia="宋体" w:cs="Times New Roman"/>
                      <w:bCs/>
                      <w:color w:val="auto"/>
                      <w:spacing w:val="7"/>
                      <w:sz w:val="21"/>
                      <w:szCs w:val="21"/>
                      <w:u w:val="single" w:color="auto"/>
                      <w:lang w:val="en-US" w:eastAsia="zh-CN"/>
                    </w:rPr>
                    <w:t>）等要求，各地新建、改扩建屠宰场应遵循属地原则，结合项目地环境现状调查与评价，由当地生态环境部门出具项目环境影响评价审批文件方可实施。（二）不利环境影响分析。生猪屠宰主要污染为屠宰场建设施工期间施工污染和运营污染。施工污染包括扬尘、施工机械及交通噪声产生的施工噪声、施工废水、施工固废，属于短期阶段性污染。运营污染是指运营期生猪屠宰加工产生的大气环境、水环境、声环境、固体废物污染。上述污染因素会对项目实施地的水质、土壤、空气产生局部影响。（三）消除环境影响措施。严格执行国家有关规划及建设项目环境影响评价和审查制度。加强工程项目实施后可能影响的重要生态环境敏感区和重要目标监测与保护，建立完善的监测体系。重点加强屠宰场运营期间环境风险评价与管理，严格执行《畜禽屠宰操作规程生猪》（</w:t>
                  </w:r>
                  <w:r>
                    <w:rPr>
                      <w:rFonts w:hint="default" w:ascii="Times New Roman" w:hAnsi="Times New Roman" w:eastAsia="宋体" w:cs="Times New Roman"/>
                      <w:bCs/>
                      <w:color w:val="auto"/>
                      <w:spacing w:val="7"/>
                      <w:sz w:val="21"/>
                      <w:szCs w:val="21"/>
                      <w:u w:val="single" w:color="auto"/>
                      <w:lang w:val="en-US" w:eastAsia="zh-CN"/>
                    </w:rPr>
                    <w:t>GB/T17236</w:t>
                  </w:r>
                  <w:r>
                    <w:rPr>
                      <w:rFonts w:hint="eastAsia" w:ascii="Times New Roman" w:hAnsi="Times New Roman" w:eastAsia="宋体" w:cs="Times New Roman"/>
                      <w:bCs/>
                      <w:color w:val="auto"/>
                      <w:spacing w:val="7"/>
                      <w:sz w:val="21"/>
                      <w:szCs w:val="21"/>
                      <w:u w:val="single" w:color="auto"/>
                      <w:lang w:val="en-US" w:eastAsia="zh-CN"/>
                    </w:rPr>
                    <w:t>），加强通风、定期清洗地面、消毒除臭，降低大气环境污染。加强水资源节约利用和水体保护工作，严格执行《肉类加工工业水污染物排放标准》（</w:t>
                  </w:r>
                  <w:r>
                    <w:rPr>
                      <w:rFonts w:hint="default" w:ascii="Times New Roman" w:hAnsi="Times New Roman" w:eastAsia="宋体" w:cs="Times New Roman"/>
                      <w:bCs/>
                      <w:color w:val="auto"/>
                      <w:spacing w:val="7"/>
                      <w:sz w:val="21"/>
                      <w:szCs w:val="21"/>
                      <w:u w:val="single" w:color="auto"/>
                      <w:lang w:val="en-US" w:eastAsia="zh-CN"/>
                    </w:rPr>
                    <w:t>GB</w:t>
                  </w:r>
                  <w:r>
                    <w:rPr>
                      <w:rFonts w:hint="eastAsia" w:ascii="Times New Roman" w:hAnsi="Times New Roman" w:eastAsia="宋体" w:cs="Times New Roman"/>
                      <w:bCs/>
                      <w:color w:val="auto"/>
                      <w:spacing w:val="7"/>
                      <w:sz w:val="21"/>
                      <w:szCs w:val="21"/>
                      <w:u w:val="single" w:color="auto"/>
                      <w:lang w:val="en-US" w:eastAsia="zh-CN"/>
                    </w:rPr>
                    <w:t xml:space="preserve"> </w:t>
                  </w:r>
                  <w:r>
                    <w:rPr>
                      <w:rFonts w:hint="default" w:ascii="Times New Roman" w:hAnsi="Times New Roman" w:eastAsia="宋体" w:cs="Times New Roman"/>
                      <w:bCs/>
                      <w:color w:val="auto"/>
                      <w:spacing w:val="7"/>
                      <w:sz w:val="21"/>
                      <w:szCs w:val="21"/>
                      <w:u w:val="single" w:color="auto"/>
                      <w:lang w:val="en-US" w:eastAsia="zh-CN"/>
                    </w:rPr>
                    <w:t>13457</w:t>
                  </w:r>
                  <w:r>
                    <w:rPr>
                      <w:rFonts w:hint="eastAsia" w:ascii="Times New Roman" w:hAnsi="Times New Roman" w:eastAsia="宋体" w:cs="Times New Roman"/>
                      <w:bCs/>
                      <w:color w:val="auto"/>
                      <w:spacing w:val="7"/>
                      <w:sz w:val="21"/>
                      <w:szCs w:val="21"/>
                      <w:u w:val="single" w:color="auto"/>
                      <w:lang w:val="en-US" w:eastAsia="zh-CN"/>
                    </w:rPr>
                    <w:t>），生产车间采用防渗措施，污水集中处理、达标排放，降低水环境污染；对宰前检疫不合格猪、不可食用内脏、胴体修整过程产生的三腺等严格进行无害化处理，降低固废污染等。</w:t>
                  </w:r>
                </w:p>
              </w:tc>
              <w:tc>
                <w:tcPr>
                  <w:tcW w:w="1566" w:type="pct"/>
                  <w:noWrap w:val="0"/>
                  <w:vAlign w:val="center"/>
                </w:tcPr>
                <w:p w14:paraId="48E949A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eastAsia" w:ascii="Times New Roman" w:hAnsi="Times New Roman" w:eastAsia="宋体" w:cs="Times New Roman"/>
                      <w:bCs/>
                      <w:color w:val="auto"/>
                      <w:spacing w:val="7"/>
                      <w:sz w:val="21"/>
                      <w:szCs w:val="21"/>
                      <w:u w:val="single" w:color="auto"/>
                      <w:lang w:val="en-US" w:eastAsia="zh-CN"/>
                    </w:rPr>
                    <w:t>本项目在获得环境影响评价审批文件后实施；本评价识别了项目建设、运营期的环境影响因素，对环境影响进行了评价，并提出了废水、废气、噪声和固体废物污染防治措施和生态环境影响减缓措施。评价对项目运营期间的环境风险进行了识别，提出了相应的风险防范措施。要求企业严格执行《畜禽屠宰操作规程生猪》（</w:t>
                  </w:r>
                  <w:r>
                    <w:rPr>
                      <w:rFonts w:hint="default" w:ascii="Times New Roman" w:hAnsi="Times New Roman" w:eastAsia="宋体" w:cs="Times New Roman"/>
                      <w:bCs/>
                      <w:color w:val="auto"/>
                      <w:spacing w:val="7"/>
                      <w:sz w:val="21"/>
                      <w:szCs w:val="21"/>
                      <w:u w:val="single" w:color="auto"/>
                      <w:lang w:val="en-US" w:eastAsia="zh-CN"/>
                    </w:rPr>
                    <w:t>GB/T</w:t>
                  </w:r>
                  <w:r>
                    <w:rPr>
                      <w:rFonts w:hint="eastAsia" w:ascii="Times New Roman" w:hAnsi="Times New Roman" w:eastAsia="宋体" w:cs="Times New Roman"/>
                      <w:bCs/>
                      <w:color w:val="auto"/>
                      <w:spacing w:val="7"/>
                      <w:sz w:val="21"/>
                      <w:szCs w:val="21"/>
                      <w:u w:val="single" w:color="auto"/>
                      <w:lang w:val="en-US" w:eastAsia="zh-CN"/>
                    </w:rPr>
                    <w:t xml:space="preserve"> </w:t>
                  </w:r>
                  <w:r>
                    <w:rPr>
                      <w:rFonts w:hint="default" w:ascii="Times New Roman" w:hAnsi="Times New Roman" w:eastAsia="宋体" w:cs="Times New Roman"/>
                      <w:bCs/>
                      <w:color w:val="auto"/>
                      <w:spacing w:val="7"/>
                      <w:sz w:val="21"/>
                      <w:szCs w:val="21"/>
                      <w:u w:val="single" w:color="auto"/>
                      <w:lang w:val="en-US" w:eastAsia="zh-CN"/>
                    </w:rPr>
                    <w:t>17236</w:t>
                  </w:r>
                  <w:r>
                    <w:rPr>
                      <w:rFonts w:hint="eastAsia" w:ascii="Times New Roman" w:hAnsi="Times New Roman" w:eastAsia="宋体" w:cs="Times New Roman"/>
                      <w:bCs/>
                      <w:color w:val="auto"/>
                      <w:spacing w:val="7"/>
                      <w:sz w:val="21"/>
                      <w:szCs w:val="21"/>
                      <w:u w:val="single" w:color="auto"/>
                      <w:lang w:val="en-US" w:eastAsia="zh-CN"/>
                    </w:rPr>
                    <w:t>），加强通风、定期清洗地面、消毒除臭，降低大气环境污染。加强水资源节约利用和水体保护工作，严格执行《肉类加工工业水污染物排放标准》（</w:t>
                  </w:r>
                  <w:r>
                    <w:rPr>
                      <w:rFonts w:hint="default" w:ascii="Times New Roman" w:hAnsi="Times New Roman" w:eastAsia="宋体" w:cs="Times New Roman"/>
                      <w:bCs/>
                      <w:color w:val="auto"/>
                      <w:spacing w:val="7"/>
                      <w:sz w:val="21"/>
                      <w:szCs w:val="21"/>
                      <w:u w:val="single" w:color="auto"/>
                      <w:lang w:val="en-US" w:eastAsia="zh-CN"/>
                    </w:rPr>
                    <w:t>GB</w:t>
                  </w:r>
                  <w:r>
                    <w:rPr>
                      <w:rFonts w:hint="eastAsia" w:ascii="Times New Roman" w:hAnsi="Times New Roman" w:eastAsia="宋体" w:cs="Times New Roman"/>
                      <w:bCs/>
                      <w:color w:val="auto"/>
                      <w:spacing w:val="7"/>
                      <w:sz w:val="21"/>
                      <w:szCs w:val="21"/>
                      <w:u w:val="single" w:color="auto"/>
                      <w:lang w:val="en-US" w:eastAsia="zh-CN"/>
                    </w:rPr>
                    <w:t xml:space="preserve"> </w:t>
                  </w:r>
                  <w:r>
                    <w:rPr>
                      <w:rFonts w:hint="default" w:ascii="Times New Roman" w:hAnsi="Times New Roman" w:eastAsia="宋体" w:cs="Times New Roman"/>
                      <w:bCs/>
                      <w:color w:val="auto"/>
                      <w:spacing w:val="7"/>
                      <w:sz w:val="21"/>
                      <w:szCs w:val="21"/>
                      <w:u w:val="single" w:color="auto"/>
                      <w:lang w:val="en-US" w:eastAsia="zh-CN"/>
                    </w:rPr>
                    <w:t>13457</w:t>
                  </w:r>
                  <w:r>
                    <w:rPr>
                      <w:rFonts w:hint="eastAsia" w:ascii="Times New Roman" w:hAnsi="Times New Roman" w:eastAsia="宋体" w:cs="Times New Roman"/>
                      <w:bCs/>
                      <w:color w:val="auto"/>
                      <w:spacing w:val="7"/>
                      <w:sz w:val="21"/>
                      <w:szCs w:val="21"/>
                      <w:u w:val="single" w:color="auto"/>
                      <w:lang w:val="en-US" w:eastAsia="zh-CN"/>
                    </w:rPr>
                    <w:t>），生产车间采用防渗措施，污水集中处理、达标排放，降低水环境污染；对宰前检疫不合格猪、不可食用内脏、胴体修整过程产生的三腺等严格进行无害化处理，降低固废污染等。</w:t>
                  </w:r>
                </w:p>
              </w:tc>
              <w:tc>
                <w:tcPr>
                  <w:tcW w:w="500" w:type="pct"/>
                  <w:noWrap w:val="0"/>
                  <w:vAlign w:val="center"/>
                </w:tcPr>
                <w:p w14:paraId="47E5896C">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p>
                <w:p w14:paraId="0FBDFEC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Cs/>
                      <w:color w:val="auto"/>
                      <w:spacing w:val="7"/>
                      <w:sz w:val="21"/>
                      <w:szCs w:val="21"/>
                      <w:u w:val="single" w:color="auto"/>
                      <w:lang w:val="en-US" w:eastAsia="zh-CN"/>
                    </w:rPr>
                  </w:pPr>
                  <w:r>
                    <w:rPr>
                      <w:rFonts w:hint="default" w:ascii="Times New Roman" w:hAnsi="Times New Roman" w:eastAsia="宋体" w:cs="Times New Roman"/>
                      <w:bCs/>
                      <w:color w:val="auto"/>
                      <w:spacing w:val="7"/>
                      <w:sz w:val="21"/>
                      <w:szCs w:val="21"/>
                      <w:u w:val="single" w:color="auto"/>
                      <w:lang w:val="en-US" w:eastAsia="zh-CN"/>
                    </w:rPr>
                    <w:t>符合</w:t>
                  </w:r>
                </w:p>
              </w:tc>
            </w:tr>
            <w:tr w14:paraId="6D9B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000" w:type="pct"/>
                  <w:gridSpan w:val="4"/>
                  <w:shd w:val="clear" w:color="auto" w:fill="auto"/>
                  <w:noWrap w:val="0"/>
                  <w:vAlign w:val="center"/>
                </w:tcPr>
                <w:p w14:paraId="13068B6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snapToGrid w:val="0"/>
                      <w:color w:val="auto"/>
                      <w:kern w:val="0"/>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注：本次分析仅列举</w:t>
                  </w:r>
                  <w:r>
                    <w:rPr>
                      <w:rFonts w:hint="default" w:ascii="Times New Roman" w:hAnsi="Times New Roman" w:eastAsia="宋体" w:cs="Times New Roman"/>
                      <w:b w:val="0"/>
                      <w:bCs w:val="0"/>
                      <w:color w:val="auto"/>
                      <w:sz w:val="21"/>
                      <w:szCs w:val="21"/>
                      <w:u w:val="single" w:color="auto"/>
                      <w:lang w:val="en-US" w:eastAsia="zh-CN"/>
                    </w:rPr>
                    <w:t>《湖南省生猪屠宰行业发展规划（2022-2025年）》</w:t>
                  </w:r>
                  <w:r>
                    <w:rPr>
                      <w:rFonts w:hint="default" w:ascii="Times New Roman" w:hAnsi="Times New Roman" w:eastAsia="宋体" w:cs="Times New Roman"/>
                      <w:color w:val="auto"/>
                      <w:sz w:val="21"/>
                      <w:szCs w:val="21"/>
                      <w:u w:val="single" w:color="auto"/>
                      <w:vertAlign w:val="baseline"/>
                      <w:lang w:val="en-US" w:eastAsia="zh-CN"/>
                    </w:rPr>
                    <w:t>中与本项目有关的内容。</w:t>
                  </w:r>
                </w:p>
              </w:tc>
            </w:tr>
          </w:tbl>
          <w:p w14:paraId="5B5942C4">
            <w:pPr>
              <w:widowControl/>
              <w:bidi w:val="0"/>
              <w:spacing w:line="240" w:lineRule="auto"/>
              <w:ind w:firstLine="0" w:firstLineChars="0"/>
              <w:jc w:val="left"/>
              <w:rPr>
                <w:rFonts w:hint="eastAsia" w:cs="Times New Roman"/>
                <w:color w:val="auto"/>
                <w:u w:val="none" w:color="auto"/>
                <w:lang w:val="en-US" w:eastAsia="zh-CN"/>
              </w:rPr>
            </w:pPr>
          </w:p>
          <w:p w14:paraId="696D8C89">
            <w:pPr>
              <w:widowControl/>
              <w:bidi w:val="0"/>
              <w:spacing w:line="240" w:lineRule="auto"/>
              <w:ind w:firstLine="0" w:firstLineChars="0"/>
              <w:jc w:val="center"/>
              <w:rPr>
                <w:rFonts w:hint="default" w:cs="Times New Roman"/>
                <w:color w:val="auto"/>
                <w:u w:val="none" w:color="auto"/>
                <w:lang w:val="en-US" w:eastAsia="zh-CN"/>
              </w:rPr>
            </w:pPr>
          </w:p>
        </w:tc>
      </w:tr>
      <w:tr w14:paraId="590C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9" w:type="dxa"/>
            <w:vAlign w:val="center"/>
          </w:tcPr>
          <w:p w14:paraId="22904D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其他符合性分析</w:t>
            </w:r>
          </w:p>
        </w:tc>
        <w:tc>
          <w:tcPr>
            <w:tcW w:w="7868" w:type="dxa"/>
            <w:gridSpan w:val="3"/>
            <w:vAlign w:val="center"/>
          </w:tcPr>
          <w:p w14:paraId="68C49305">
            <w:pPr>
              <w:keepNext w:val="0"/>
              <w:keepLines w:val="0"/>
              <w:pageBreakBefore w:val="0"/>
              <w:widowControl/>
              <w:numPr>
                <w:ilvl w:val="-1"/>
                <w:numId w:val="0"/>
              </w:numPr>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auto"/>
                <w:u w:val="none" w:color="auto"/>
                <w:lang w:val="en-US" w:eastAsia="zh-CN"/>
              </w:rPr>
            </w:pPr>
            <w:r>
              <w:rPr>
                <w:rFonts w:hint="default" w:ascii="Times New Roman" w:hAnsi="Times New Roman" w:eastAsia="黑体" w:cs="Times New Roman"/>
                <w:b/>
                <w:bCs/>
                <w:color w:val="auto"/>
                <w:u w:val="none" w:color="auto"/>
                <w:lang w:val="en-US" w:eastAsia="zh-CN"/>
              </w:rPr>
              <w:t>1、产业政策符合性分析</w:t>
            </w:r>
          </w:p>
          <w:p w14:paraId="39A15A21">
            <w:pPr>
              <w:keepNext w:val="0"/>
              <w:keepLines w:val="0"/>
              <w:widowControl/>
              <w:suppressLineNumbers w:val="0"/>
              <w:jc w:val="left"/>
              <w:rPr>
                <w:rFonts w:hint="default" w:cs="Times New Roman"/>
                <w:color w:val="auto"/>
                <w:u w:val="single" w:color="auto"/>
                <w:lang w:val="en-US"/>
              </w:rPr>
            </w:pPr>
            <w:bookmarkStart w:id="29" w:name="OLE_LINK275"/>
            <w:r>
              <w:rPr>
                <w:rFonts w:hint="default" w:ascii="Times New Roman" w:hAnsi="Times New Roman" w:cs="Times New Roman"/>
                <w:color w:val="auto"/>
                <w:u w:val="single" w:color="auto"/>
                <w:lang w:val="en-US" w:eastAsia="zh-CN"/>
              </w:rPr>
              <w:t>根据中华人民共和国国家发展和改革委员会令（第29号）《产业结构调整指导目录（2024年本）》，本项目属于限制类</w:t>
            </w:r>
            <w:r>
              <w:rPr>
                <w:rFonts w:hint="eastAsia" w:cs="Times New Roman"/>
                <w:color w:val="auto"/>
                <w:u w:val="single" w:color="auto"/>
                <w:lang w:val="en-US" w:eastAsia="zh-CN"/>
              </w:rPr>
              <w:t>，</w:t>
            </w:r>
            <w:r>
              <w:rPr>
                <w:rFonts w:ascii="Times New Roman" w:hAnsi="Times New Roman" w:eastAsia="宋体" w:cs="Times New Roman"/>
                <w:color w:val="auto"/>
                <w:kern w:val="2"/>
                <w:sz w:val="24"/>
                <w:szCs w:val="24"/>
                <w:u w:val="single" w:color="auto"/>
                <w:lang w:val="en-US" w:eastAsia="zh-CN" w:bidi="ar"/>
              </w:rPr>
              <w:t>《产业结构调整指导目录（2024年本）》限制类篇序明确，“对属于限制类的现有生产能力，允许</w:t>
            </w:r>
            <w:r>
              <w:rPr>
                <w:rFonts w:hint="default" w:ascii="Times New Roman" w:hAnsi="Times New Roman" w:eastAsia="宋体" w:cs="Times New Roman"/>
                <w:color w:val="auto"/>
                <w:kern w:val="2"/>
                <w:sz w:val="24"/>
                <w:szCs w:val="24"/>
                <w:u w:val="single" w:color="auto"/>
                <w:lang w:val="en-US" w:eastAsia="zh-CN" w:bidi="ar"/>
              </w:rPr>
              <w:t>企业在一定期限内采取措施改造升级，金融机构按信贷原则继续给予支持。国家有关部门要根据产业结构优化升级的要求，遵循优胜劣汰的原则，实行分类指导。”</w:t>
            </w:r>
            <w:r>
              <w:rPr>
                <w:rFonts w:hint="eastAsia" w:cs="Times New Roman"/>
                <w:color w:val="auto"/>
                <w:kern w:val="2"/>
                <w:sz w:val="24"/>
                <w:szCs w:val="24"/>
                <w:u w:val="single" w:color="auto"/>
                <w:lang w:val="en-US" w:eastAsia="zh-CN" w:bidi="ar"/>
              </w:rPr>
              <w:t>根据前文所述，本项目</w:t>
            </w:r>
            <w:r>
              <w:rPr>
                <w:rFonts w:hint="default" w:cs="Times New Roman"/>
                <w:color w:val="auto"/>
                <w:kern w:val="2"/>
                <w:sz w:val="24"/>
                <w:szCs w:val="24"/>
                <w:u w:val="single" w:color="auto"/>
                <w:lang w:val="en-US" w:eastAsia="zh-CN" w:bidi="ar"/>
              </w:rPr>
              <w:t>符合</w:t>
            </w:r>
            <w:r>
              <w:rPr>
                <w:rFonts w:hint="default" w:ascii="Times New Roman" w:hAnsi="Times New Roman" w:eastAsia="宋体" w:cs="Times New Roman"/>
                <w:b w:val="0"/>
                <w:bCs w:val="0"/>
                <w:color w:val="auto"/>
                <w:sz w:val="24"/>
                <w:u w:val="single" w:color="auto"/>
                <w:lang w:val="en-US" w:eastAsia="zh-CN" w:bidi="ar"/>
              </w:rPr>
              <w:t>湖南省生猪屠宰行业发展规划</w:t>
            </w:r>
            <w:r>
              <w:rPr>
                <w:rFonts w:hint="eastAsia" w:cs="Times New Roman"/>
                <w:b w:val="0"/>
                <w:bCs w:val="0"/>
                <w:color w:val="auto"/>
                <w:sz w:val="24"/>
                <w:u w:val="single" w:color="auto"/>
                <w:lang w:val="en-US" w:eastAsia="zh-CN" w:bidi="ar"/>
              </w:rPr>
              <w:t>，且取得了怀化市人民政府、溆浦县人民政府、怀化市农业农村局、溆浦县自然资源局等政府部门对本项目的支持，相关文件详见附件15。</w:t>
            </w:r>
          </w:p>
          <w:bookmarkEnd w:id="29"/>
          <w:p w14:paraId="14D3D673">
            <w:pPr>
              <w:bidi w:val="0"/>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对照中华人民共和国工业和信息化部颁布的《部分工业行业淘汰落后生产工艺装备和产品指导目录（2010年本）》（工产业〔2010〕第122号），本项目的工艺、设备和产品均不在淘汰落后生产工艺装备目录中。</w:t>
            </w:r>
          </w:p>
          <w:p w14:paraId="409EAB19">
            <w:pPr>
              <w:pStyle w:val="11"/>
              <w:rPr>
                <w:rFonts w:hint="default" w:cs="Times New Roman"/>
                <w:color w:val="auto"/>
                <w:kern w:val="2"/>
                <w:sz w:val="24"/>
                <w:szCs w:val="24"/>
                <w:u w:val="single" w:color="auto"/>
                <w:lang w:val="en-US" w:eastAsia="zh-CN"/>
              </w:rPr>
            </w:pPr>
            <w:r>
              <w:rPr>
                <w:rFonts w:hint="default" w:cs="Times New Roman"/>
                <w:color w:val="auto"/>
                <w:kern w:val="2"/>
                <w:sz w:val="24"/>
                <w:szCs w:val="24"/>
                <w:u w:val="single" w:color="auto"/>
                <w:lang w:val="en-US" w:eastAsia="zh-CN"/>
              </w:rPr>
              <w:t>根据《限制淘汰产生严重污染环境的工业固体废物的落后生产工艺设备名录》、《环境保护综合名录（2021年版）》、《高耗能落后机电设备（产品）淘汰目录》以及2025年《国家污染防治技术指导目录》（环办科财函[2025]197号）中相关内容，对照本项目生产工艺及生产设备可知，本项目生产工艺均不属于淘汰工艺、本项目生产设备均不属于淘汰设备。</w:t>
            </w:r>
          </w:p>
          <w:p w14:paraId="3B33A8BA">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single" w:color="auto"/>
                <w:lang w:val="en-US" w:eastAsia="zh-CN"/>
              </w:rPr>
              <w:t>因此本项目的建设符合国家产业政策。</w:t>
            </w:r>
          </w:p>
          <w:p w14:paraId="38CD69E9">
            <w:pPr>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w:t>
            </w:r>
            <w:r>
              <w:rPr>
                <w:rFonts w:hint="eastAsia" w:eastAsia="黑体" w:cs="Times New Roman"/>
                <w:b/>
                <w:bCs/>
                <w:color w:val="auto"/>
                <w:u w:val="none" w:color="auto"/>
                <w:lang w:val="en-US" w:eastAsia="zh-CN"/>
              </w:rPr>
              <w:t>生态环境分区管控</w:t>
            </w:r>
            <w:r>
              <w:rPr>
                <w:rFonts w:hint="default" w:ascii="Times New Roman" w:hAnsi="Times New Roman" w:eastAsia="黑体" w:cs="Times New Roman"/>
                <w:b/>
                <w:bCs/>
                <w:color w:val="auto"/>
                <w:u w:val="none" w:color="auto"/>
                <w:lang w:val="en-US" w:eastAsia="zh-CN"/>
              </w:rPr>
              <w:t>符合性分析</w:t>
            </w:r>
          </w:p>
          <w:p w14:paraId="70E8954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ascii="宋体" w:hAnsi="宋体" w:eastAsia="宋体" w:cs="Times New Roman"/>
                <w:b w:val="0"/>
                <w:bCs w:val="0"/>
                <w:i w:val="0"/>
                <w:iCs w:val="0"/>
                <w:caps w:val="0"/>
                <w:color w:val="auto"/>
                <w:spacing w:val="0"/>
                <w:sz w:val="24"/>
                <w:szCs w:val="24"/>
                <w:u w:val="none" w:color="auto"/>
              </w:rPr>
            </w:pPr>
            <w:r>
              <w:rPr>
                <w:rFonts w:hint="default" w:ascii="Times New Roman" w:hAnsi="Times New Roman" w:eastAsia="宋体" w:cs="Times New Roman"/>
                <w:b w:val="0"/>
                <w:bCs w:val="0"/>
                <w:color w:val="auto"/>
                <w:sz w:val="24"/>
                <w:u w:val="none" w:color="auto"/>
                <w:lang w:val="en-US" w:eastAsia="zh-CN"/>
              </w:rPr>
              <w:t>202</w:t>
            </w:r>
            <w:r>
              <w:rPr>
                <w:rFonts w:hint="default" w:ascii="Times New Roman" w:hAnsi="Times New Roman" w:cs="Times New Roman"/>
                <w:b w:val="0"/>
                <w:bCs w:val="0"/>
                <w:color w:val="auto"/>
                <w:sz w:val="24"/>
                <w:u w:val="none" w:color="auto"/>
                <w:lang w:val="en-US" w:eastAsia="zh-CN"/>
              </w:rPr>
              <w:t>4</w:t>
            </w:r>
            <w:r>
              <w:rPr>
                <w:rFonts w:hint="default" w:ascii="Times New Roman" w:hAnsi="Times New Roman" w:eastAsia="宋体" w:cs="Times New Roman"/>
                <w:b w:val="0"/>
                <w:bCs w:val="0"/>
                <w:color w:val="auto"/>
                <w:sz w:val="24"/>
                <w:u w:val="none" w:color="auto"/>
                <w:lang w:val="en-US" w:eastAsia="zh-CN"/>
              </w:rPr>
              <w:t>年</w:t>
            </w:r>
            <w:r>
              <w:rPr>
                <w:rFonts w:hint="default" w:ascii="Times New Roman" w:hAnsi="Times New Roman" w:cs="Times New Roman"/>
                <w:b w:val="0"/>
                <w:bCs w:val="0"/>
                <w:color w:val="auto"/>
                <w:sz w:val="24"/>
                <w:u w:val="none" w:color="auto"/>
                <w:lang w:val="en-US" w:eastAsia="zh-CN"/>
              </w:rPr>
              <w:t>12</w:t>
            </w:r>
            <w:r>
              <w:rPr>
                <w:rFonts w:hint="default" w:ascii="Times New Roman" w:hAnsi="Times New Roman" w:eastAsia="宋体" w:cs="Times New Roman"/>
                <w:b w:val="0"/>
                <w:bCs w:val="0"/>
                <w:color w:val="auto"/>
                <w:sz w:val="24"/>
                <w:u w:val="none" w:color="auto"/>
                <w:lang w:val="en-US" w:eastAsia="zh-CN"/>
              </w:rPr>
              <w:t>月1</w:t>
            </w:r>
            <w:r>
              <w:rPr>
                <w:rFonts w:hint="default" w:ascii="Times New Roman" w:hAnsi="Times New Roman" w:cs="Times New Roman"/>
                <w:b w:val="0"/>
                <w:bCs w:val="0"/>
                <w:color w:val="auto"/>
                <w:sz w:val="24"/>
                <w:u w:val="none" w:color="auto"/>
                <w:lang w:val="en-US" w:eastAsia="zh-CN"/>
              </w:rPr>
              <w:t>1</w:t>
            </w:r>
            <w:r>
              <w:rPr>
                <w:rFonts w:hint="default" w:ascii="Times New Roman" w:hAnsi="Times New Roman" w:eastAsia="宋体" w:cs="Times New Roman"/>
                <w:b w:val="0"/>
                <w:bCs w:val="0"/>
                <w:color w:val="auto"/>
                <w:sz w:val="24"/>
                <w:u w:val="none" w:color="auto"/>
                <w:lang w:val="en-US" w:eastAsia="zh-CN"/>
              </w:rPr>
              <w:t>日，</w:t>
            </w:r>
            <w:r>
              <w:rPr>
                <w:rFonts w:hint="eastAsia" w:cs="Times New Roman"/>
                <w:b w:val="0"/>
                <w:bCs w:val="0"/>
                <w:color w:val="auto"/>
                <w:sz w:val="24"/>
                <w:u w:val="none" w:color="auto"/>
                <w:lang w:val="en-US" w:eastAsia="zh-CN"/>
              </w:rPr>
              <w:t>怀化市</w:t>
            </w:r>
            <w:r>
              <w:rPr>
                <w:rFonts w:hint="default" w:ascii="Times New Roman" w:hAnsi="Times New Roman" w:cs="Times New Roman"/>
                <w:b w:val="0"/>
                <w:bCs w:val="0"/>
                <w:color w:val="auto"/>
                <w:sz w:val="24"/>
                <w:u w:val="none" w:color="auto"/>
                <w:lang w:val="en-US" w:eastAsia="zh-CN"/>
              </w:rPr>
              <w:t>生态环境</w:t>
            </w:r>
            <w:r>
              <w:rPr>
                <w:rFonts w:hint="default" w:ascii="Times New Roman" w:hAnsi="Times New Roman" w:eastAsia="宋体" w:cs="Times New Roman"/>
                <w:b w:val="0"/>
                <w:bCs w:val="0"/>
                <w:color w:val="auto"/>
                <w:sz w:val="24"/>
                <w:u w:val="none" w:color="auto"/>
                <w:lang w:val="en-US" w:eastAsia="zh-CN"/>
              </w:rPr>
              <w:t>局</w:t>
            </w:r>
            <w:r>
              <w:rPr>
                <w:rFonts w:hint="default" w:ascii="Times New Roman" w:hAnsi="Times New Roman" w:eastAsia="宋体" w:cs="Times New Roman"/>
                <w:b w:val="0"/>
                <w:bCs w:val="0"/>
                <w:color w:val="auto"/>
                <w:kern w:val="0"/>
                <w:sz w:val="24"/>
                <w:szCs w:val="24"/>
                <w:u w:val="none" w:color="auto"/>
                <w:lang w:val="en-US" w:eastAsia="zh-CN" w:bidi="ar"/>
              </w:rPr>
              <w:t>关于发布《</w:t>
            </w:r>
            <w:r>
              <w:rPr>
                <w:rFonts w:hint="default" w:ascii="Times New Roman" w:hAnsi="Times New Roman" w:eastAsia="宋体" w:cs="Times New Roman"/>
                <w:b w:val="0"/>
                <w:bCs w:val="0"/>
                <w:i w:val="0"/>
                <w:iCs w:val="0"/>
                <w:caps w:val="0"/>
                <w:color w:val="auto"/>
                <w:spacing w:val="0"/>
                <w:sz w:val="24"/>
                <w:szCs w:val="24"/>
                <w:u w:val="none" w:color="auto"/>
              </w:rPr>
              <w:t>怀化市生态环境分区管控动态更新成果（2023年版）</w:t>
            </w:r>
            <w:r>
              <w:rPr>
                <w:rFonts w:hint="default" w:ascii="Times New Roman" w:hAnsi="Times New Roman" w:eastAsia="宋体" w:cs="Times New Roman"/>
                <w:b w:val="0"/>
                <w:bCs w:val="0"/>
                <w:color w:val="auto"/>
                <w:kern w:val="0"/>
                <w:sz w:val="24"/>
                <w:szCs w:val="24"/>
                <w:u w:val="none" w:color="auto"/>
                <w:lang w:val="en-US" w:eastAsia="zh-CN" w:bidi="ar"/>
              </w:rPr>
              <w:t>》</w:t>
            </w:r>
            <w:r>
              <w:rPr>
                <w:rFonts w:hint="default" w:ascii="Times New Roman" w:hAnsi="Times New Roman" w:eastAsia="宋体" w:cs="Times New Roman"/>
                <w:b w:val="0"/>
                <w:bCs w:val="0"/>
                <w:i w:val="0"/>
                <w:iCs w:val="0"/>
                <w:caps w:val="0"/>
                <w:color w:val="auto"/>
                <w:spacing w:val="0"/>
                <w:sz w:val="24"/>
                <w:szCs w:val="24"/>
                <w:u w:val="none" w:color="auto"/>
              </w:rPr>
              <w:t>的通知</w:t>
            </w:r>
            <w:r>
              <w:rPr>
                <w:rFonts w:hint="default" w:ascii="Times New Roman" w:hAnsi="Times New Roman" w:eastAsia="宋体" w:cs="Times New Roman"/>
                <w:b w:val="0"/>
                <w:bCs w:val="0"/>
                <w:color w:val="auto"/>
                <w:kern w:val="0"/>
                <w:sz w:val="24"/>
                <w:szCs w:val="24"/>
                <w:u w:val="none" w:color="auto"/>
                <w:lang w:val="en-US" w:eastAsia="zh-CN" w:bidi="ar"/>
              </w:rPr>
              <w:t>（怀环发[2024]28号）</w:t>
            </w:r>
            <w:r>
              <w:rPr>
                <w:rFonts w:hint="default" w:ascii="Times New Roman" w:hAnsi="Times New Roman" w:eastAsia="宋体" w:cs="Times New Roman"/>
                <w:b w:val="0"/>
                <w:bCs w:val="0"/>
                <w:color w:val="auto"/>
                <w:sz w:val="24"/>
                <w:u w:val="none" w:color="auto"/>
                <w:lang w:val="en-US" w:eastAsia="zh-CN"/>
              </w:rPr>
              <w:t>，根据文件内容并结合项目所在地区域情况，本项目与怀</w:t>
            </w:r>
            <w:r>
              <w:rPr>
                <w:rFonts w:hint="eastAsia" w:ascii="Times New Roman" w:hAnsi="Times New Roman" w:eastAsia="宋体" w:cs="Times New Roman"/>
                <w:b w:val="0"/>
                <w:bCs w:val="0"/>
                <w:color w:val="auto"/>
                <w:sz w:val="24"/>
                <w:u w:val="none" w:color="auto"/>
                <w:lang w:val="en-US" w:eastAsia="zh-CN"/>
              </w:rPr>
              <w:t>化市生态环境</w:t>
            </w:r>
            <w:r>
              <w:rPr>
                <w:rFonts w:hint="eastAsia" w:cs="Times New Roman"/>
                <w:b w:val="0"/>
                <w:bCs w:val="0"/>
                <w:color w:val="auto"/>
                <w:sz w:val="24"/>
                <w:u w:val="none" w:color="auto"/>
                <w:lang w:val="en-US" w:eastAsia="zh-CN"/>
              </w:rPr>
              <w:t>分区管控</w:t>
            </w:r>
            <w:r>
              <w:rPr>
                <w:rFonts w:hint="eastAsia" w:ascii="Times New Roman" w:hAnsi="Times New Roman" w:eastAsia="宋体" w:cs="Times New Roman"/>
                <w:b w:val="0"/>
                <w:bCs w:val="0"/>
                <w:color w:val="auto"/>
                <w:sz w:val="24"/>
                <w:u w:val="none" w:color="auto"/>
                <w:lang w:val="en-US" w:eastAsia="zh-CN"/>
              </w:rPr>
              <w:t>总体管控要求符合性分析如下表所示。</w:t>
            </w:r>
          </w:p>
          <w:p w14:paraId="4C27C872">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 xml:space="preserve"> </w:t>
            </w:r>
            <w:r>
              <w:rPr>
                <w:rFonts w:hint="eastAsia"/>
                <w:b w:val="0"/>
                <w:bCs w:val="0"/>
                <w:color w:val="auto"/>
                <w:u w:val="none" w:color="auto"/>
                <w:lang w:val="en-US" w:eastAsia="zh-CN"/>
              </w:rPr>
              <w:t>本项目建设与生态环境分区管控相符性分析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4110"/>
              <w:gridCol w:w="2130"/>
              <w:gridCol w:w="467"/>
            </w:tblGrid>
            <w:tr w14:paraId="3C49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37" w:type="pct"/>
                  <w:noWrap w:val="0"/>
                  <w:vAlign w:val="center"/>
                </w:tcPr>
                <w:p w14:paraId="1F7A3B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环境总体管控要求类别</w:t>
                  </w:r>
                </w:p>
              </w:tc>
              <w:tc>
                <w:tcPr>
                  <w:tcW w:w="2611" w:type="pct"/>
                  <w:noWrap w:val="0"/>
                  <w:vAlign w:val="center"/>
                </w:tcPr>
                <w:p w14:paraId="5E28CD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管控要求内容</w:t>
                  </w:r>
                </w:p>
              </w:tc>
              <w:tc>
                <w:tcPr>
                  <w:tcW w:w="1353" w:type="pct"/>
                  <w:noWrap w:val="0"/>
                  <w:vAlign w:val="center"/>
                </w:tcPr>
                <w:p w14:paraId="4C0EBE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本项目情况</w:t>
                  </w:r>
                </w:p>
              </w:tc>
              <w:tc>
                <w:tcPr>
                  <w:tcW w:w="297" w:type="pct"/>
                  <w:noWrap w:val="0"/>
                  <w:vAlign w:val="center"/>
                </w:tcPr>
                <w:p w14:paraId="778F4B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相符性</w:t>
                  </w:r>
                </w:p>
              </w:tc>
            </w:tr>
            <w:tr w14:paraId="397B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noWrap w:val="0"/>
                  <w:vAlign w:val="center"/>
                </w:tcPr>
                <w:p w14:paraId="557EE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空间布局约束</w:t>
                  </w:r>
                </w:p>
              </w:tc>
              <w:tc>
                <w:tcPr>
                  <w:tcW w:w="2611" w:type="pct"/>
                  <w:noWrap w:val="0"/>
                  <w:vAlign w:val="center"/>
                </w:tcPr>
                <w:p w14:paraId="415148FF">
                  <w:pPr>
                    <w:keepNext w:val="0"/>
                    <w:keepLines w:val="0"/>
                    <w:widowControl/>
                    <w:numPr>
                      <w:ilvl w:val="1"/>
                      <w:numId w:val="2"/>
                    </w:numPr>
                    <w:suppressLineNumbers w:val="0"/>
                    <w:spacing w:line="240" w:lineRule="auto"/>
                    <w:ind w:firstLine="0" w:firstLineChars="0"/>
                    <w:jc w:val="both"/>
                    <w:rPr>
                      <w:rFonts w:hint="eastAsia" w:ascii="Times New Roman" w:hAnsi="Times New Roman" w:eastAsia="宋体" w:cs="Times New Roman"/>
                      <w:i w:val="0"/>
                      <w:iCs w:val="0"/>
                      <w:caps w:val="0"/>
                      <w:color w:val="auto"/>
                      <w:spacing w:val="0"/>
                      <w:sz w:val="21"/>
                      <w:szCs w:val="21"/>
                      <w:u w:val="none" w:color="auto"/>
                    </w:rPr>
                  </w:pPr>
                  <w:r>
                    <w:rPr>
                      <w:rFonts w:hint="eastAsia" w:ascii="Times New Roman" w:hAnsi="Times New Roman" w:eastAsia="宋体" w:cs="Times New Roman"/>
                      <w:i w:val="0"/>
                      <w:iCs w:val="0"/>
                      <w:caps w:val="0"/>
                      <w:color w:val="auto"/>
                      <w:spacing w:val="0"/>
                      <w:sz w:val="21"/>
                      <w:szCs w:val="21"/>
                      <w:u w:val="none" w:color="auto"/>
                    </w:rPr>
                    <w:t>禁止占用耕地建窑、建坟或者擅自在耕地上挖砂、采石、采矿等。</w:t>
                  </w:r>
                </w:p>
                <w:p w14:paraId="04D6737D">
                  <w:pPr>
                    <w:keepNext w:val="0"/>
                    <w:keepLines w:val="0"/>
                    <w:widowControl/>
                    <w:numPr>
                      <w:ilvl w:val="-1"/>
                      <w:numId w:val="0"/>
                    </w:numPr>
                    <w:suppressLineNumbers w:val="0"/>
                    <w:spacing w:line="240" w:lineRule="auto"/>
                    <w:ind w:firstLine="0" w:firstLineChars="0"/>
                    <w:jc w:val="both"/>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aps w:val="0"/>
                      <w:color w:val="auto"/>
                      <w:spacing w:val="0"/>
                      <w:sz w:val="21"/>
                      <w:szCs w:val="21"/>
                      <w:u w:val="none" w:color="auto"/>
                    </w:rPr>
                    <w:t>（1.2）非农建设必须节约使用土地，可以利用荒地的，不得占用耕地</w:t>
                  </w:r>
                  <w:r>
                    <w:rPr>
                      <w:rFonts w:hint="eastAsia" w:ascii="Times New Roman" w:hAnsi="Times New Roman" w:eastAsia="宋体" w:cs="Times New Roman"/>
                      <w:i w:val="0"/>
                      <w:iCs w:val="0"/>
                      <w:caps w:val="0"/>
                      <w:color w:val="auto"/>
                      <w:spacing w:val="0"/>
                      <w:sz w:val="21"/>
                      <w:szCs w:val="21"/>
                      <w:u w:val="none" w:color="auto"/>
                      <w:lang w:eastAsia="zh-CN"/>
                    </w:rPr>
                    <w:t>；</w:t>
                  </w:r>
                  <w:r>
                    <w:rPr>
                      <w:rFonts w:hint="eastAsia" w:ascii="Times New Roman" w:hAnsi="Times New Roman" w:eastAsia="宋体" w:cs="Times New Roman"/>
                      <w:i w:val="0"/>
                      <w:iCs w:val="0"/>
                      <w:caps w:val="0"/>
                      <w:color w:val="auto"/>
                      <w:spacing w:val="0"/>
                      <w:sz w:val="21"/>
                      <w:szCs w:val="21"/>
                      <w:u w:val="none" w:color="auto"/>
                    </w:rPr>
                    <w:t>可以利用劣地的，不得占用好地。</w:t>
                  </w:r>
                </w:p>
                <w:p w14:paraId="3E1D761C">
                  <w:pPr>
                    <w:keepNext w:val="0"/>
                    <w:keepLines w:val="0"/>
                    <w:widowControl/>
                    <w:numPr>
                      <w:ilvl w:val="-1"/>
                      <w:numId w:val="0"/>
                    </w:numPr>
                    <w:suppressLineNumbers w:val="0"/>
                    <w:spacing w:line="240" w:lineRule="auto"/>
                    <w:ind w:firstLine="0" w:firstLineChars="0"/>
                    <w:jc w:val="both"/>
                    <w:rPr>
                      <w:rFonts w:hint="eastAsia" w:ascii="Times New Roman" w:hAnsi="Times New Roman" w:eastAsia="宋体" w:cs="Times New Roman"/>
                      <w:i w:val="0"/>
                      <w:iCs w:val="0"/>
                      <w:caps w:val="0"/>
                      <w:color w:val="auto"/>
                      <w:spacing w:val="0"/>
                      <w:sz w:val="21"/>
                      <w:szCs w:val="21"/>
                      <w:u w:val="none" w:color="auto"/>
                    </w:rPr>
                  </w:pPr>
                  <w:r>
                    <w:rPr>
                      <w:rFonts w:hint="eastAsia" w:ascii="Times New Roman" w:hAnsi="Times New Roman" w:eastAsia="宋体" w:cs="Times New Roman"/>
                      <w:i w:val="0"/>
                      <w:iCs w:val="0"/>
                      <w:caps w:val="0"/>
                      <w:color w:val="auto"/>
                      <w:spacing w:val="0"/>
                      <w:sz w:val="21"/>
                      <w:szCs w:val="21"/>
                      <w:u w:val="none" w:color="auto"/>
                    </w:rPr>
                    <w:t>（1.3）禁养区内不得新建、扩建和改建各类畜禽养殖场及畜禽养殖户。</w:t>
                  </w:r>
                </w:p>
                <w:p w14:paraId="485FEBD3">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i w:val="0"/>
                      <w:iCs w:val="0"/>
                      <w:caps w:val="0"/>
                      <w:color w:val="auto"/>
                      <w:spacing w:val="0"/>
                      <w:sz w:val="21"/>
                      <w:szCs w:val="21"/>
                      <w:u w:val="none" w:color="auto"/>
                    </w:rPr>
                    <w:t>（1.4）饮用水源一级保护区内禁止建设养殖场，饮用水源二级保护区禁止建设有污染排放的养殖场。</w:t>
                  </w:r>
                </w:p>
              </w:tc>
              <w:tc>
                <w:tcPr>
                  <w:tcW w:w="1353" w:type="pct"/>
                  <w:noWrap w:val="0"/>
                  <w:vAlign w:val="center"/>
                </w:tcPr>
                <w:p w14:paraId="56F8F2FF">
                  <w:pPr>
                    <w:keepNext w:val="0"/>
                    <w:keepLines w:val="0"/>
                    <w:pageBreakBefore w:val="0"/>
                    <w:widowControl/>
                    <w:numPr>
                      <w:ilvl w:val="0"/>
                      <w:numId w:val="3"/>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本项目不占用耕地；</w:t>
                  </w:r>
                </w:p>
                <w:p w14:paraId="4956D8E8">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heme="minorBidi"/>
                      <w:color w:val="auto"/>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rPr>
                    <w:t>（2）本项目不占用耕地；</w:t>
                  </w:r>
                </w:p>
                <w:p w14:paraId="464777B0">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heme="minorBidi"/>
                      <w:color w:val="auto"/>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rPr>
                    <w:t>（3）本项目不在禁养区内；</w:t>
                  </w:r>
                </w:p>
                <w:p w14:paraId="2E1ACD58">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（4）本项目不在</w:t>
                  </w:r>
                  <w:r>
                    <w:rPr>
                      <w:rFonts w:hint="eastAsia" w:ascii="Times New Roman" w:hAnsi="Times New Roman" w:eastAsia="宋体" w:cs="Times New Roman"/>
                      <w:i w:val="0"/>
                      <w:iCs w:val="0"/>
                      <w:caps w:val="0"/>
                      <w:color w:val="auto"/>
                      <w:spacing w:val="0"/>
                      <w:sz w:val="21"/>
                      <w:szCs w:val="21"/>
                      <w:u w:val="none" w:color="auto"/>
                    </w:rPr>
                    <w:t>饮用水源一级保护区</w:t>
                  </w:r>
                  <w:r>
                    <w:rPr>
                      <w:rFonts w:hint="eastAsia" w:ascii="Times New Roman" w:hAnsi="Times New Roman" w:eastAsia="宋体" w:cs="Times New Roman"/>
                      <w:i w:val="0"/>
                      <w:iCs w:val="0"/>
                      <w:caps w:val="0"/>
                      <w:color w:val="auto"/>
                      <w:spacing w:val="0"/>
                      <w:sz w:val="21"/>
                      <w:szCs w:val="21"/>
                      <w:u w:val="none" w:color="auto"/>
                      <w:lang w:val="en-US" w:eastAsia="zh-CN"/>
                    </w:rPr>
                    <w:t>及</w:t>
                  </w:r>
                  <w:r>
                    <w:rPr>
                      <w:rFonts w:hint="eastAsia" w:ascii="Times New Roman" w:hAnsi="Times New Roman" w:eastAsia="宋体" w:cs="Times New Roman"/>
                      <w:i w:val="0"/>
                      <w:iCs w:val="0"/>
                      <w:caps w:val="0"/>
                      <w:color w:val="auto"/>
                      <w:spacing w:val="0"/>
                      <w:sz w:val="21"/>
                      <w:szCs w:val="21"/>
                      <w:u w:val="none" w:color="auto"/>
                    </w:rPr>
                    <w:t>饮用水源二级保护区内</w:t>
                  </w:r>
                  <w:r>
                    <w:rPr>
                      <w:rFonts w:hint="eastAsia" w:ascii="Times New Roman" w:hAnsi="Times New Roman" w:eastAsia="宋体" w:cs="Times New Roman"/>
                      <w:i w:val="0"/>
                      <w:iCs w:val="0"/>
                      <w:caps w:val="0"/>
                      <w:color w:val="auto"/>
                      <w:spacing w:val="0"/>
                      <w:sz w:val="21"/>
                      <w:szCs w:val="21"/>
                      <w:u w:val="none" w:color="auto"/>
                      <w:lang w:eastAsia="zh-CN"/>
                    </w:rPr>
                    <w:t>。</w:t>
                  </w:r>
                </w:p>
              </w:tc>
              <w:tc>
                <w:tcPr>
                  <w:tcW w:w="297" w:type="pct"/>
                  <w:noWrap w:val="0"/>
                  <w:vAlign w:val="center"/>
                </w:tcPr>
                <w:p w14:paraId="3EA049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相符</w:t>
                  </w:r>
                </w:p>
              </w:tc>
            </w:tr>
            <w:tr w14:paraId="0AC1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noWrap w:val="0"/>
                  <w:vAlign w:val="center"/>
                </w:tcPr>
                <w:p w14:paraId="6854B4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污染物排放管控</w:t>
                  </w:r>
                </w:p>
              </w:tc>
              <w:tc>
                <w:tcPr>
                  <w:tcW w:w="2611" w:type="pct"/>
                  <w:noWrap w:val="0"/>
                  <w:vAlign w:val="center"/>
                </w:tcPr>
                <w:p w14:paraId="4AFEF1E1">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（2.1）废水</w:t>
                  </w:r>
                </w:p>
                <w:p w14:paraId="00F22207">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（2.1.1）统筹推进人居环境综合治理，因地制宜推进农村改厕、污水处理和农业面源污染治理。</w:t>
                  </w:r>
                </w:p>
                <w:p w14:paraId="4B4B74F2">
                  <w:pPr>
                    <w:keepNext w:val="0"/>
                    <w:keepLines w:val="0"/>
                    <w:widowControl/>
                    <w:numPr>
                      <w:ilvl w:val="-1"/>
                      <w:numId w:val="0"/>
                    </w:numPr>
                    <w:suppressLineNumbers w:val="0"/>
                    <w:spacing w:line="240" w:lineRule="auto"/>
                    <w:jc w:val="left"/>
                    <w:rPr>
                      <w:rFonts w:hint="eastAsia"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（2.1.2）加快实施现有管网雨污分流改造。城镇新区建设严格实施雨污分流，配套管网同步设计、同步建设、同步投运。城镇污水处理设施污水收集率在90%以上</w:t>
                  </w:r>
                  <w:r>
                    <w:rPr>
                      <w:rFonts w:hint="eastAsia" w:ascii="Times New Roman" w:hAnsi="Times New Roman" w:eastAsia="宋体" w:cs="Times New Roman"/>
                      <w:i w:val="0"/>
                      <w:iCs w:val="0"/>
                      <w:caps w:val="0"/>
                      <w:color w:val="auto"/>
                      <w:spacing w:val="0"/>
                      <w:sz w:val="21"/>
                      <w:szCs w:val="21"/>
                      <w:u w:val="none" w:color="auto"/>
                      <w:lang w:eastAsia="zh-CN"/>
                    </w:rPr>
                    <w:t>。</w:t>
                  </w:r>
                </w:p>
                <w:p w14:paraId="6C991AEF">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（2.1.3）推进中小企业入园，加快完善污水收集、处理、排放设施设备，加大环境污染综合治理和重点污染源监控。</w:t>
                  </w:r>
                </w:p>
                <w:p w14:paraId="2BEB645C">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（2.1.4）优化肥料结构与施肥方式，削减养殖业和种植业污染负荷，促进农业面源污染防治。</w:t>
                  </w:r>
                </w:p>
                <w:p w14:paraId="653987A0">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水东镇：</w:t>
                  </w:r>
                </w:p>
                <w:p w14:paraId="20CDDE55">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（2.1.5）采砂河道环境保护参照《湖南省河道采砂管理条例》（2021年3月1日）管理。</w:t>
                  </w:r>
                </w:p>
                <w:p w14:paraId="29A50B79">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（2.2）废气</w:t>
                  </w:r>
                </w:p>
                <w:p w14:paraId="12591395">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（2.2.1）推进大气污染防治，加强工业源污染治理，强化燃煤锅炉烟气排放监管，对重点行业、重点企业开展监督管理，加快推进中小企业入园。</w:t>
                  </w:r>
                </w:p>
                <w:p w14:paraId="556453F1">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（2.2.2）加强施工扬尘综合整治，控制道路扬尘污染。</w:t>
                  </w:r>
                </w:p>
                <w:p w14:paraId="41ACAC25">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（2.2.3）推进秸秆资源化利用，禁止露天焚烧秸秆。</w:t>
                  </w:r>
                </w:p>
                <w:p w14:paraId="53BEFF23">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（2.3）固体废物</w:t>
                  </w:r>
                </w:p>
                <w:p w14:paraId="5EF7BEA4">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（2.3.1）加强工矿企业污染治理，强化固体废物、危险废物管控，加强医疗废物监管，实现村卫生所医疗垃圾统一处理。</w:t>
                  </w:r>
                </w:p>
                <w:p w14:paraId="6DE48EE6">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i w:val="0"/>
                      <w:iCs w:val="0"/>
                      <w:caps w:val="0"/>
                      <w:color w:val="auto"/>
                      <w:spacing w:val="0"/>
                      <w:sz w:val="21"/>
                      <w:szCs w:val="21"/>
                      <w:u w:val="none" w:color="auto"/>
                    </w:rPr>
                    <w:t>（2.3.2）深入推进城乡垃圾减量分类、收集、转运及处理处置设施建设，推动形成绿色发展方式和生活方式。</w:t>
                  </w:r>
                </w:p>
              </w:tc>
              <w:tc>
                <w:tcPr>
                  <w:tcW w:w="1353" w:type="pct"/>
                  <w:noWrap w:val="0"/>
                  <w:vAlign w:val="center"/>
                </w:tcPr>
                <w:p w14:paraId="456DAC40">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（1）废水：</w:t>
                  </w:r>
                  <w:bookmarkStart w:id="30" w:name="OLE_LINK272"/>
                  <w:r>
                    <w:rPr>
                      <w:rFonts w:hint="default" w:ascii="Times New Roman" w:hAnsi="Times New Roman" w:eastAsia="宋体" w:cs="Times New Roman"/>
                      <w:color w:val="auto"/>
                      <w:sz w:val="21"/>
                      <w:szCs w:val="21"/>
                      <w:u w:val="none" w:color="auto"/>
                      <w:vertAlign w:val="baseline"/>
                      <w:lang w:val="en-US" w:eastAsia="zh-CN"/>
                    </w:rPr>
                    <w:t>本项目</w:t>
                  </w:r>
                  <w:r>
                    <w:rPr>
                      <w:rFonts w:hint="eastAsia" w:cs="Times New Roman"/>
                      <w:color w:val="auto"/>
                      <w:sz w:val="21"/>
                      <w:szCs w:val="21"/>
                      <w:u w:val="none" w:color="auto"/>
                      <w:vertAlign w:val="baseline"/>
                      <w:lang w:val="en-US" w:eastAsia="zh-CN"/>
                    </w:rPr>
                    <w:t>不新增生活污水</w:t>
                  </w:r>
                  <w:bookmarkEnd w:id="30"/>
                  <w:r>
                    <w:rPr>
                      <w:rFonts w:hint="eastAsia" w:cs="Times New Roman"/>
                      <w:color w:val="auto"/>
                      <w:sz w:val="21"/>
                      <w:szCs w:val="21"/>
                      <w:u w:val="none" w:color="auto"/>
                      <w:vertAlign w:val="baseline"/>
                      <w:lang w:val="en-US" w:eastAsia="zh-CN"/>
                    </w:rPr>
                    <w:t>，</w:t>
                  </w:r>
                  <w:r>
                    <w:rPr>
                      <w:rFonts w:hint="eastAsia" w:cs="Times New Roman"/>
                      <w:color w:val="auto"/>
                      <w:kern w:val="2"/>
                      <w:sz w:val="21"/>
                      <w:szCs w:val="21"/>
                      <w:u w:val="none" w:color="auto"/>
                      <w:lang w:val="en-US" w:eastAsia="zh-CN" w:bidi="ar"/>
                    </w:rPr>
                    <w:t>经</w:t>
                  </w:r>
                  <w:r>
                    <w:rPr>
                      <w:rFonts w:hint="default" w:ascii="Times New Roman" w:hAnsi="Times New Roman" w:eastAsia="宋体" w:cs="Times New Roman"/>
                      <w:color w:val="auto"/>
                      <w:kern w:val="2"/>
                      <w:sz w:val="21"/>
                      <w:szCs w:val="21"/>
                      <w:u w:val="none" w:color="auto"/>
                      <w:lang w:val="en-US" w:eastAsia="zh-CN" w:bidi="ar"/>
                    </w:rPr>
                    <w:t>污水处理站预处理后</w:t>
                  </w:r>
                  <w:r>
                    <w:rPr>
                      <w:rFonts w:hint="eastAsia" w:ascii="Times New Roman" w:hAnsi="Times New Roman" w:eastAsia="宋体" w:cs="Times New Roman"/>
                      <w:color w:val="auto"/>
                      <w:kern w:val="2"/>
                      <w:sz w:val="21"/>
                      <w:szCs w:val="21"/>
                      <w:u w:val="none" w:color="auto"/>
                      <w:lang w:val="en-US" w:eastAsia="zh-CN" w:bidi="ar"/>
                    </w:rPr>
                    <w:t>的屠宰</w:t>
                  </w:r>
                  <w:r>
                    <w:rPr>
                      <w:rFonts w:hint="default" w:ascii="Times New Roman" w:hAnsi="Times New Roman" w:eastAsia="宋体" w:cs="Times New Roman"/>
                      <w:color w:val="auto"/>
                      <w:kern w:val="2"/>
                      <w:sz w:val="21"/>
                      <w:szCs w:val="21"/>
                      <w:u w:val="none" w:color="auto"/>
                      <w:lang w:val="en-US" w:eastAsia="zh-CN" w:bidi="ar"/>
                    </w:rPr>
                    <w:t>生产废水</w:t>
                  </w:r>
                  <w:r>
                    <w:rPr>
                      <w:rFonts w:hint="eastAsia" w:ascii="Times New Roman" w:hAnsi="Times New Roman" w:eastAsia="宋体" w:cs="Times New Roman"/>
                      <w:color w:val="auto"/>
                      <w:kern w:val="2"/>
                      <w:sz w:val="21"/>
                      <w:szCs w:val="21"/>
                      <w:u w:val="none" w:color="auto"/>
                      <w:lang w:val="en-US" w:eastAsia="zh-CN" w:bidi="ar"/>
                    </w:rPr>
                    <w:t>及车辆清洗废水一起进入市政污水管网，排入卢峰镇污水处理厂处理</w:t>
                  </w:r>
                  <w:r>
                    <w:rPr>
                      <w:rFonts w:hint="default" w:ascii="Times New Roman" w:hAnsi="Times New Roman" w:eastAsia="宋体" w:cs="Times New Roman"/>
                      <w:color w:val="auto"/>
                      <w:sz w:val="21"/>
                      <w:szCs w:val="21"/>
                      <w:u w:val="none" w:color="auto"/>
                      <w:vertAlign w:val="baseline"/>
                      <w:lang w:val="en-US" w:eastAsia="zh-CN"/>
                    </w:rPr>
                    <w:t>；</w:t>
                  </w:r>
                </w:p>
                <w:p w14:paraId="73A26812">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（2）废气：</w:t>
                  </w:r>
                  <w:bookmarkStart w:id="31" w:name="OLE_LINK96"/>
                  <w:r>
                    <w:rPr>
                      <w:rFonts w:hint="eastAsia" w:cs="Times New Roman"/>
                      <w:color w:val="auto"/>
                      <w:sz w:val="21"/>
                      <w:szCs w:val="21"/>
                      <w:u w:val="none" w:color="auto"/>
                      <w:vertAlign w:val="baseline"/>
                      <w:lang w:val="en-US" w:eastAsia="zh-CN"/>
                    </w:rPr>
                    <w:t>污水处理</w:t>
                  </w:r>
                  <w:r>
                    <w:rPr>
                      <w:rFonts w:hint="eastAsia" w:cs="Times New Roman"/>
                      <w:color w:val="auto"/>
                      <w:sz w:val="21"/>
                      <w:szCs w:val="21"/>
                      <w:u w:val="none" w:color="auto"/>
                      <w:lang w:val="en-US" w:eastAsia="zh-CN"/>
                    </w:rPr>
                    <w:t>站</w:t>
                  </w:r>
                  <w:r>
                    <w:rPr>
                      <w:rFonts w:hint="eastAsia" w:cs="Times New Roman"/>
                      <w:color w:val="auto"/>
                      <w:sz w:val="21"/>
                      <w:szCs w:val="21"/>
                      <w:u w:val="none" w:color="auto"/>
                      <w:vertAlign w:val="baseline"/>
                      <w:lang w:val="en-US" w:eastAsia="zh-CN"/>
                    </w:rPr>
                    <w:t>恶臭进行无组织排放，</w:t>
                  </w:r>
                  <w:bookmarkEnd w:id="31"/>
                  <w:r>
                    <w:rPr>
                      <w:rFonts w:hint="eastAsia" w:cs="Times New Roman"/>
                      <w:color w:val="auto"/>
                      <w:sz w:val="21"/>
                      <w:szCs w:val="21"/>
                      <w:u w:val="none" w:color="auto"/>
                      <w:lang w:val="en-US" w:eastAsia="zh-CN"/>
                    </w:rPr>
                    <w:t>待宰间恶臭及屠宰间、急宰间恶臭喷洒除臭剂后无组织排放，本项目使用电锅炉提供蒸汽，不产生锅炉废气</w:t>
                  </w:r>
                  <w:r>
                    <w:rPr>
                      <w:rFonts w:hint="default" w:ascii="Times New Roman" w:hAnsi="Times New Roman" w:eastAsia="宋体" w:cs="Times New Roman"/>
                      <w:color w:val="auto"/>
                      <w:sz w:val="21"/>
                      <w:szCs w:val="21"/>
                      <w:u w:val="none" w:color="auto"/>
                      <w:vertAlign w:val="baseline"/>
                      <w:lang w:val="en-US" w:eastAsia="zh-CN"/>
                    </w:rPr>
                    <w:t>；</w:t>
                  </w:r>
                </w:p>
                <w:p w14:paraId="6C1321B0">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（3）固废：</w:t>
                  </w:r>
                  <w:r>
                    <w:rPr>
                      <w:rFonts w:hint="eastAsia" w:cs="Times New Roman"/>
                      <w:color w:val="auto"/>
                      <w:sz w:val="21"/>
                      <w:szCs w:val="21"/>
                      <w:u w:val="none" w:color="auto"/>
                      <w:vertAlign w:val="baseline"/>
                      <w:lang w:val="en-US" w:eastAsia="zh-CN"/>
                    </w:rPr>
                    <w:t>本项目不新增生活垃圾；</w:t>
                  </w:r>
                  <w:r>
                    <w:rPr>
                      <w:rFonts w:hint="default" w:ascii="Times New Roman" w:hAnsi="Times New Roman" w:eastAsia="宋体" w:cs="Times New Roman"/>
                      <w:color w:val="auto"/>
                      <w:sz w:val="21"/>
                      <w:szCs w:val="21"/>
                      <w:u w:val="none" w:color="auto"/>
                      <w:vertAlign w:val="baseline"/>
                      <w:lang w:val="en-US" w:eastAsia="zh-CN"/>
                    </w:rPr>
                    <w:t>项目</w:t>
                  </w:r>
                  <w:r>
                    <w:rPr>
                      <w:rFonts w:hint="eastAsia" w:cs="Times New Roman"/>
                      <w:color w:val="auto"/>
                      <w:sz w:val="21"/>
                      <w:szCs w:val="21"/>
                      <w:u w:val="none" w:color="auto"/>
                      <w:vertAlign w:val="baseline"/>
                      <w:lang w:val="en-US" w:eastAsia="zh-CN"/>
                    </w:rPr>
                    <w:t>沾染有毒有害物质的废包装材料以及实验室、检疫室废弃物等危险废物暂存于危废暂存间，</w:t>
                  </w:r>
                  <w:r>
                    <w:rPr>
                      <w:rFonts w:hint="default" w:ascii="Times New Roman" w:hAnsi="Times New Roman" w:eastAsia="宋体" w:cs="Times New Roman"/>
                      <w:color w:val="auto"/>
                      <w:sz w:val="21"/>
                      <w:szCs w:val="21"/>
                      <w:u w:val="none" w:color="auto"/>
                      <w:vertAlign w:val="baseline"/>
                      <w:lang w:val="en-US" w:eastAsia="zh-CN"/>
                    </w:rPr>
                    <w:t>委托有资质的单位处置</w:t>
                  </w:r>
                  <w:r>
                    <w:rPr>
                      <w:rFonts w:hint="eastAsia" w:cs="Times New Roman"/>
                      <w:color w:val="auto"/>
                      <w:sz w:val="21"/>
                      <w:szCs w:val="21"/>
                      <w:u w:val="none" w:color="auto"/>
                      <w:vertAlign w:val="baseline"/>
                      <w:lang w:val="en-US" w:eastAsia="zh-CN"/>
                    </w:rPr>
                    <w:t>；猪牛肉鸡肉鸭肉鹅胃内容物、碎肉渣、猪牛肉鸡肉鸭肉鹅粪便、污水处理站污泥外售化肥厂综合利用，不合格品、不可食用部分（除胃内容物外）交由溆浦县永福生物科技有限公司进行无害化处理，格栅处理的废物交由物资回收部门综合利用</w:t>
                  </w:r>
                  <w:r>
                    <w:rPr>
                      <w:rFonts w:hint="default" w:ascii="Times New Roman" w:hAnsi="Times New Roman" w:eastAsia="宋体" w:cs="Times New Roman"/>
                      <w:color w:val="auto"/>
                      <w:sz w:val="21"/>
                      <w:szCs w:val="21"/>
                      <w:u w:val="none" w:color="auto"/>
                      <w:vertAlign w:val="baseline"/>
                      <w:lang w:val="en-US" w:eastAsia="zh-CN"/>
                    </w:rPr>
                    <w:t>。</w:t>
                  </w:r>
                </w:p>
              </w:tc>
              <w:tc>
                <w:tcPr>
                  <w:tcW w:w="297" w:type="pct"/>
                  <w:noWrap w:val="0"/>
                  <w:vAlign w:val="center"/>
                </w:tcPr>
                <w:p w14:paraId="3FEF5D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相符</w:t>
                  </w:r>
                </w:p>
              </w:tc>
            </w:tr>
            <w:tr w14:paraId="61F1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737" w:type="pct"/>
                  <w:noWrap w:val="0"/>
                  <w:vAlign w:val="center"/>
                </w:tcPr>
                <w:p w14:paraId="6AA7FB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环境风险防控</w:t>
                  </w:r>
                </w:p>
              </w:tc>
              <w:tc>
                <w:tcPr>
                  <w:tcW w:w="2611" w:type="pct"/>
                  <w:noWrap w:val="0"/>
                  <w:vAlign w:val="center"/>
                </w:tcPr>
                <w:p w14:paraId="7FEA265C">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（3.1）完善风险防控体系建设，落实《溆浦县突发环境事件应急预案》的相关要求，严防环境风险事故发生，提高应急处置能力。</w:t>
                  </w:r>
                </w:p>
                <w:p w14:paraId="1A970D0C">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（3.2）加强村镇饮用水源地保护，有效防范水源地环境风险。</w:t>
                  </w:r>
                </w:p>
                <w:p w14:paraId="2E944DDC">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（3.3）严格落实《农用地土壤环境管理办法》相关要求，强化农用地土壤环境保护监督管理，保护农用地土壤环境，管控农用地土壤环境风险。</w:t>
                  </w:r>
                </w:p>
                <w:p w14:paraId="5F2BF248">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i w:val="0"/>
                      <w:iCs w:val="0"/>
                      <w:caps w:val="0"/>
                      <w:color w:val="auto"/>
                      <w:spacing w:val="0"/>
                      <w:sz w:val="21"/>
                      <w:szCs w:val="21"/>
                      <w:u w:val="none" w:color="auto"/>
                    </w:rPr>
                    <w:t>（3.4）开展矿山地质环境整治、矿山“三废”治理、退役矿山综合整治、土地复垦还绿专项整治，促进产业空间整合，推动矿山恢复治理及综合利用。</w:t>
                  </w:r>
                </w:p>
              </w:tc>
              <w:tc>
                <w:tcPr>
                  <w:tcW w:w="1353" w:type="pct"/>
                  <w:noWrap w:val="0"/>
                  <w:vAlign w:val="center"/>
                </w:tcPr>
                <w:p w14:paraId="15F42701">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eastAsia" w:eastAsia="宋体"/>
                      <w:color w:val="auto"/>
                      <w:sz w:val="21"/>
                      <w:szCs w:val="21"/>
                      <w:u w:val="none"/>
                      <w:lang w:val="en-US" w:eastAsia="zh-CN"/>
                    </w:rPr>
                  </w:pPr>
                  <w:r>
                    <w:rPr>
                      <w:rFonts w:hint="eastAsia" w:cs="Times New Roman"/>
                      <w:color w:val="auto"/>
                      <w:sz w:val="21"/>
                      <w:szCs w:val="21"/>
                      <w:u w:val="none" w:color="auto"/>
                      <w:vertAlign w:val="baseline"/>
                      <w:lang w:val="en-US" w:eastAsia="zh-CN"/>
                    </w:rPr>
                    <w:t>（1）</w:t>
                  </w:r>
                  <w:r>
                    <w:rPr>
                      <w:rFonts w:hint="eastAsia" w:ascii="Times New Roman" w:hAnsi="Times New Roman" w:eastAsia="宋体"/>
                      <w:color w:val="auto"/>
                      <w:sz w:val="21"/>
                      <w:szCs w:val="21"/>
                      <w:u w:val="none"/>
                      <w:lang w:val="en-US" w:eastAsia="zh-CN"/>
                    </w:rPr>
                    <w:t>本项目建成后，建设单位将依据《湖南省生态环境厅</w:t>
                  </w:r>
                  <w:r>
                    <w:rPr>
                      <w:rFonts w:hint="eastAsia" w:ascii="Times New Roman" w:hAnsi="Times New Roman" w:eastAsia="宋体" w:cstheme="minorBidi"/>
                      <w:b w:val="0"/>
                      <w:bCs w:val="0"/>
                      <w:color w:val="auto"/>
                      <w:sz w:val="21"/>
                      <w:szCs w:val="21"/>
                      <w:u w:val="none"/>
                    </w:rPr>
                    <w:t>关于印发</w:t>
                  </w:r>
                  <w:r>
                    <w:rPr>
                      <w:rFonts w:hint="eastAsia" w:ascii="Times New Roman" w:hAnsi="Times New Roman" w:eastAsia="宋体" w:cstheme="minorBidi"/>
                      <w:b w:val="0"/>
                      <w:bCs w:val="0"/>
                      <w:color w:val="auto"/>
                      <w:sz w:val="21"/>
                      <w:szCs w:val="21"/>
                      <w:u w:val="none"/>
                      <w:lang w:val="en-US" w:eastAsia="zh-CN"/>
                    </w:rPr>
                    <w:t>&lt;</w:t>
                  </w:r>
                  <w:r>
                    <w:rPr>
                      <w:rFonts w:hint="eastAsia" w:ascii="Times New Roman" w:hAnsi="Times New Roman" w:eastAsia="宋体" w:cstheme="minorBidi"/>
                      <w:b w:val="0"/>
                      <w:bCs w:val="0"/>
                      <w:color w:val="auto"/>
                      <w:sz w:val="21"/>
                      <w:szCs w:val="21"/>
                      <w:u w:val="none"/>
                    </w:rPr>
                    <w:t>湖南省突发环境事件应急预案管理办法（修订版）</w:t>
                  </w:r>
                  <w:r>
                    <w:rPr>
                      <w:rFonts w:hint="eastAsia" w:ascii="Times New Roman" w:hAnsi="Times New Roman" w:eastAsia="宋体" w:cstheme="minorBidi"/>
                      <w:b w:val="0"/>
                      <w:bCs w:val="0"/>
                      <w:color w:val="auto"/>
                      <w:sz w:val="21"/>
                      <w:szCs w:val="21"/>
                      <w:u w:val="none"/>
                      <w:lang w:val="en-US" w:eastAsia="zh-CN"/>
                    </w:rPr>
                    <w:t>&gt;</w:t>
                  </w:r>
                  <w:r>
                    <w:rPr>
                      <w:rFonts w:hint="eastAsia" w:ascii="Times New Roman" w:hAnsi="Times New Roman" w:eastAsia="宋体" w:cstheme="minorBidi"/>
                      <w:b w:val="0"/>
                      <w:bCs w:val="0"/>
                      <w:color w:val="auto"/>
                      <w:sz w:val="21"/>
                      <w:szCs w:val="21"/>
                      <w:u w:val="none"/>
                    </w:rPr>
                    <w:t>的通知</w:t>
                  </w:r>
                  <w:r>
                    <w:rPr>
                      <w:rFonts w:hint="eastAsia" w:ascii="Times New Roman" w:hAnsi="Times New Roman" w:eastAsia="宋体" w:cstheme="minorBidi"/>
                      <w:b w:val="0"/>
                      <w:bCs w:val="0"/>
                      <w:color w:val="auto"/>
                      <w:sz w:val="21"/>
                      <w:szCs w:val="21"/>
                      <w:u w:val="none"/>
                      <w:lang w:eastAsia="zh-CN"/>
                    </w:rPr>
                    <w:t>》（</w:t>
                  </w:r>
                  <w:r>
                    <w:rPr>
                      <w:rFonts w:hint="eastAsia" w:ascii="Times New Roman" w:hAnsi="Times New Roman" w:eastAsia="宋体" w:cstheme="minorBidi"/>
                      <w:b w:val="0"/>
                      <w:bCs w:val="0"/>
                      <w:color w:val="auto"/>
                      <w:sz w:val="21"/>
                      <w:szCs w:val="21"/>
                      <w:u w:val="none"/>
                      <w:lang w:val="en-US" w:eastAsia="zh-CN"/>
                    </w:rPr>
                    <w:t>湘环发[2024]49号）</w:t>
                  </w:r>
                  <w:r>
                    <w:rPr>
                      <w:rFonts w:hint="eastAsia" w:ascii="Times New Roman" w:hAnsi="Times New Roman" w:eastAsia="宋体"/>
                      <w:color w:val="auto"/>
                      <w:sz w:val="21"/>
                      <w:szCs w:val="21"/>
                      <w:u w:val="none"/>
                      <w:lang w:val="en-US" w:eastAsia="zh-CN"/>
                    </w:rPr>
                    <w:t>及时编制突发环境事件应急预案</w:t>
                  </w:r>
                  <w:r>
                    <w:rPr>
                      <w:rFonts w:hint="eastAsia" w:eastAsia="宋体"/>
                      <w:color w:val="auto"/>
                      <w:sz w:val="21"/>
                      <w:szCs w:val="21"/>
                      <w:u w:val="none"/>
                      <w:lang w:val="en-US" w:eastAsia="zh-CN"/>
                    </w:rPr>
                    <w:t>；</w:t>
                  </w:r>
                </w:p>
                <w:p w14:paraId="64C6BEEC">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（2）本项目不在村镇饮用水源保护区；</w:t>
                  </w:r>
                </w:p>
                <w:p w14:paraId="2B6ACE19">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（3）本项目不属于矿山类项目。</w:t>
                  </w:r>
                </w:p>
              </w:tc>
              <w:tc>
                <w:tcPr>
                  <w:tcW w:w="297" w:type="pct"/>
                  <w:noWrap w:val="0"/>
                  <w:vAlign w:val="center"/>
                </w:tcPr>
                <w:p w14:paraId="28BF3B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相符</w:t>
                  </w:r>
                </w:p>
              </w:tc>
            </w:tr>
            <w:tr w14:paraId="598C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noWrap w:val="0"/>
                  <w:vAlign w:val="center"/>
                </w:tcPr>
                <w:p w14:paraId="607BEC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资源开始效率要求</w:t>
                  </w:r>
                </w:p>
              </w:tc>
              <w:tc>
                <w:tcPr>
                  <w:tcW w:w="2611" w:type="pct"/>
                  <w:noWrap w:val="0"/>
                  <w:vAlign w:val="center"/>
                </w:tcPr>
                <w:p w14:paraId="37949A14">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（4.1）能源</w:t>
                  </w:r>
                </w:p>
                <w:p w14:paraId="602AF59D">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（4.1.1）科学开发利用清洁能源与可再生新能源，优化能源结构。</w:t>
                  </w:r>
                </w:p>
                <w:p w14:paraId="14DEAB24">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（4.1.2）加快开发秸秆废弃物、城市垃圾等生物质资源能源化利用，推进清洁能源产业化进程。</w:t>
                  </w:r>
                </w:p>
                <w:p w14:paraId="0D6846C0">
                  <w:pPr>
                    <w:keepNext w:val="0"/>
                    <w:keepLines w:val="0"/>
                    <w:widowControl/>
                    <w:numPr>
                      <w:ilvl w:val="-1"/>
                      <w:numId w:val="0"/>
                    </w:numPr>
                    <w:suppressLineNumbers w:val="0"/>
                    <w:spacing w:line="240" w:lineRule="auto"/>
                    <w:jc w:val="left"/>
                    <w:rPr>
                      <w:rFonts w:ascii="Times New Roman" w:hAnsi="Times New Roman" w:eastAsia="宋体" w:cs="Times New Roman"/>
                      <w:i w:val="0"/>
                      <w:iCs w:val="0"/>
                      <w:caps w:val="0"/>
                      <w:color w:val="auto"/>
                      <w:spacing w:val="0"/>
                      <w:sz w:val="21"/>
                      <w:szCs w:val="21"/>
                      <w:u w:val="none" w:color="auto"/>
                    </w:rPr>
                  </w:pPr>
                  <w:r>
                    <w:rPr>
                      <w:rFonts w:ascii="Times New Roman" w:hAnsi="Times New Roman" w:eastAsia="宋体" w:cs="Times New Roman"/>
                      <w:i w:val="0"/>
                      <w:iCs w:val="0"/>
                      <w:caps w:val="0"/>
                      <w:color w:val="auto"/>
                      <w:spacing w:val="0"/>
                      <w:sz w:val="21"/>
                      <w:szCs w:val="21"/>
                      <w:u w:val="none" w:color="auto"/>
                    </w:rPr>
                    <w:t>（4.2）水资源：到2025年，溆浦县用水总量21952万立方米，万元地区生产总值用水量比2020年下降21.86%，万元工业增加值用水量比2020年下降10.80%，农田灌溉水有效利用系数0.571。</w:t>
                  </w:r>
                </w:p>
                <w:p w14:paraId="4C1D7414">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sz w:val="21"/>
                      <w:szCs w:val="21"/>
                      <w:u w:val="none" w:color="auto"/>
                      <w:vertAlign w:val="baseline"/>
                      <w:lang w:val="en-US" w:eastAsia="zh-CN"/>
                    </w:rPr>
                  </w:pPr>
                  <w:r>
                    <w:rPr>
                      <w:rFonts w:ascii="Times New Roman" w:hAnsi="Times New Roman" w:eastAsia="宋体" w:cs="Times New Roman"/>
                      <w:i w:val="0"/>
                      <w:iCs w:val="0"/>
                      <w:caps w:val="0"/>
                      <w:color w:val="auto"/>
                      <w:spacing w:val="0"/>
                      <w:sz w:val="21"/>
                      <w:szCs w:val="21"/>
                      <w:u w:val="none" w:color="auto"/>
                    </w:rPr>
                    <w:t>（4.3）土地资源：到2025年，溆浦县耕地保有量为67.26万亩，永久基本农田保护面积为59.34万亩，生态保护红线面积为 1181.93万亩，城镇开发边界规模为30.77万亩。</w:t>
                  </w:r>
                </w:p>
              </w:tc>
              <w:tc>
                <w:tcPr>
                  <w:tcW w:w="1353" w:type="pct"/>
                  <w:noWrap w:val="0"/>
                  <w:vAlign w:val="center"/>
                </w:tcPr>
                <w:p w14:paraId="08E7F082">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（1）本项目技改将原有燃煤锅炉改造为电锅炉，电属于清洁能源</w:t>
                  </w:r>
                  <w:r>
                    <w:rPr>
                      <w:rFonts w:hint="default" w:ascii="Times New Roman" w:hAnsi="Times New Roman" w:eastAsia="宋体" w:cs="Times New Roman"/>
                      <w:color w:val="auto"/>
                      <w:sz w:val="21"/>
                      <w:szCs w:val="21"/>
                      <w:u w:val="none" w:color="auto"/>
                      <w:vertAlign w:val="baseline"/>
                      <w:lang w:val="en-US" w:eastAsia="zh-CN"/>
                    </w:rPr>
                    <w:t>；</w:t>
                  </w:r>
                </w:p>
                <w:p w14:paraId="31DB3876">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（2）本项目用水量约为5.6万t/a，仅占溆浦县年用水量的0.026%；</w:t>
                  </w:r>
                </w:p>
                <w:p w14:paraId="12AD847D">
                  <w:pPr>
                    <w:keepNext w:val="0"/>
                    <w:keepLines w:val="0"/>
                    <w:pageBreakBefore w:val="0"/>
                    <w:widowControl/>
                    <w:numPr>
                      <w:ilvl w:val="-1"/>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（3）本项目不新增用地用地面积</w:t>
                  </w:r>
                  <w:r>
                    <w:rPr>
                      <w:rFonts w:hint="default" w:ascii="Times New Roman" w:hAnsi="Times New Roman" w:eastAsia="宋体" w:cs="Times New Roman"/>
                      <w:color w:val="auto"/>
                      <w:sz w:val="21"/>
                      <w:szCs w:val="21"/>
                      <w:u w:val="none" w:color="auto"/>
                      <w:vertAlign w:val="baseline"/>
                      <w:lang w:val="en-US" w:eastAsia="zh-CN"/>
                    </w:rPr>
                    <w:t>。</w:t>
                  </w:r>
                </w:p>
              </w:tc>
              <w:tc>
                <w:tcPr>
                  <w:tcW w:w="297" w:type="pct"/>
                  <w:noWrap w:val="0"/>
                  <w:vAlign w:val="center"/>
                </w:tcPr>
                <w:p w14:paraId="7A2209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相符</w:t>
                  </w:r>
                </w:p>
              </w:tc>
            </w:tr>
          </w:tbl>
          <w:p w14:paraId="41F65802">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综上，本项目符合</w:t>
            </w:r>
            <w:r>
              <w:rPr>
                <w:rFonts w:hint="eastAsia" w:cs="Times New Roman"/>
                <w:color w:val="auto"/>
                <w:u w:val="none" w:color="auto"/>
                <w:lang w:val="en-US" w:eastAsia="zh-CN"/>
              </w:rPr>
              <w:t>怀化市生态环境分区管控</w:t>
            </w:r>
            <w:r>
              <w:rPr>
                <w:rFonts w:hint="default" w:ascii="Times New Roman" w:hAnsi="Times New Roman" w:cs="Times New Roman"/>
                <w:color w:val="auto"/>
                <w:u w:val="none" w:color="auto"/>
                <w:lang w:val="en-US" w:eastAsia="zh-CN"/>
              </w:rPr>
              <w:t>控制条件要求。</w:t>
            </w:r>
          </w:p>
          <w:p w14:paraId="46DD515C">
            <w:pPr>
              <w:widowControl/>
              <w:adjustRightInd/>
              <w:snapToGrid/>
              <w:spacing w:line="360" w:lineRule="auto"/>
              <w:ind w:firstLine="0" w:firstLineChars="0"/>
              <w:rPr>
                <w:rFonts w:hint="eastAsia" w:ascii="黑体" w:hAnsi="黑体" w:eastAsia="黑体" w:cs="黑体"/>
                <w:b/>
                <w:bCs/>
                <w:snapToGrid/>
                <w:color w:val="auto"/>
                <w:kern w:val="2"/>
                <w:sz w:val="24"/>
                <w:u w:val="none" w:color="auto"/>
              </w:rPr>
            </w:pPr>
            <w:r>
              <w:rPr>
                <w:rFonts w:hint="eastAsia" w:ascii="黑体" w:hAnsi="黑体" w:eastAsia="黑体" w:cs="黑体"/>
                <w:b/>
                <w:bCs/>
                <w:snapToGrid/>
                <w:color w:val="auto"/>
                <w:kern w:val="2"/>
                <w:sz w:val="24"/>
                <w:u w:val="none" w:color="auto"/>
                <w:lang w:val="en-US" w:eastAsia="zh-CN"/>
              </w:rPr>
              <w:t>3</w:t>
            </w:r>
            <w:r>
              <w:rPr>
                <w:rFonts w:hint="eastAsia" w:ascii="黑体" w:hAnsi="黑体" w:eastAsia="黑体" w:cs="黑体"/>
                <w:b/>
                <w:bCs/>
                <w:snapToGrid/>
                <w:color w:val="auto"/>
                <w:kern w:val="2"/>
                <w:sz w:val="24"/>
                <w:u w:val="none" w:color="auto"/>
                <w:lang w:eastAsia="zh-CN"/>
              </w:rPr>
              <w:t>、</w:t>
            </w:r>
            <w:r>
              <w:rPr>
                <w:rFonts w:hint="eastAsia" w:ascii="黑体" w:hAnsi="黑体" w:eastAsia="黑体" w:cs="黑体"/>
                <w:b/>
                <w:bCs/>
                <w:snapToGrid/>
                <w:color w:val="auto"/>
                <w:kern w:val="2"/>
                <w:sz w:val="24"/>
                <w:u w:val="none" w:color="auto"/>
              </w:rPr>
              <w:t>与《生猪屠宰管理条例(2021</w:t>
            </w:r>
            <w:r>
              <w:rPr>
                <w:rFonts w:hint="eastAsia" w:ascii="黑体" w:hAnsi="黑体" w:eastAsia="黑体" w:cs="黑体"/>
                <w:b/>
                <w:bCs/>
                <w:snapToGrid/>
                <w:color w:val="auto"/>
                <w:kern w:val="2"/>
                <w:sz w:val="24"/>
                <w:u w:val="none" w:color="auto"/>
                <w:lang w:eastAsia="zh-CN"/>
              </w:rPr>
              <w:t>年</w:t>
            </w:r>
            <w:r>
              <w:rPr>
                <w:rFonts w:hint="eastAsia" w:ascii="黑体" w:hAnsi="黑体" w:eastAsia="黑体" w:cs="黑体"/>
                <w:b/>
                <w:bCs/>
                <w:snapToGrid/>
                <w:color w:val="auto"/>
                <w:kern w:val="2"/>
                <w:sz w:val="24"/>
                <w:u w:val="none" w:color="auto"/>
              </w:rPr>
              <w:t>修订)》(中华人民共和国国务院令第742号)相符性分析</w:t>
            </w:r>
          </w:p>
          <w:p w14:paraId="2B85E7F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snapToGrid/>
                <w:color w:val="auto"/>
                <w:kern w:val="2"/>
                <w:sz w:val="24"/>
                <w:szCs w:val="24"/>
                <w:u w:val="none" w:color="auto"/>
              </w:rPr>
            </w:pPr>
            <w:r>
              <w:rPr>
                <w:rFonts w:hint="default" w:ascii="Times New Roman" w:hAnsi="Times New Roman" w:eastAsia="宋体" w:cs="Times New Roman"/>
                <w:b w:val="0"/>
                <w:snapToGrid/>
                <w:color w:val="auto"/>
                <w:kern w:val="2"/>
                <w:sz w:val="24"/>
                <w:szCs w:val="24"/>
                <w:u w:val="none" w:color="auto"/>
              </w:rPr>
              <w:t>表</w:t>
            </w:r>
            <w:r>
              <w:rPr>
                <w:rFonts w:hint="eastAsia" w:cs="Times New Roman"/>
                <w:b w:val="0"/>
                <w:snapToGrid/>
                <w:color w:val="auto"/>
                <w:kern w:val="2"/>
                <w:sz w:val="24"/>
                <w:szCs w:val="24"/>
                <w:u w:val="none" w:color="auto"/>
                <w:lang w:val="en-US" w:eastAsia="zh-CN"/>
              </w:rPr>
              <w:t>6</w:t>
            </w:r>
            <w:r>
              <w:rPr>
                <w:rFonts w:hint="default" w:ascii="Times New Roman" w:hAnsi="Times New Roman" w:eastAsia="宋体" w:cs="Times New Roman"/>
                <w:b w:val="0"/>
                <w:snapToGrid/>
                <w:color w:val="auto"/>
                <w:kern w:val="2"/>
                <w:sz w:val="24"/>
                <w:szCs w:val="24"/>
                <w:u w:val="none" w:color="auto"/>
                <w:lang w:val="en-US" w:eastAsia="zh-CN"/>
              </w:rPr>
              <w:t xml:space="preserve"> </w:t>
            </w:r>
            <w:r>
              <w:rPr>
                <w:rFonts w:hint="default" w:ascii="Times New Roman" w:hAnsi="Times New Roman" w:eastAsia="宋体" w:cs="Times New Roman"/>
                <w:b w:val="0"/>
                <w:snapToGrid/>
                <w:color w:val="auto"/>
                <w:kern w:val="2"/>
                <w:sz w:val="24"/>
                <w:szCs w:val="24"/>
                <w:u w:val="none" w:color="auto"/>
                <w:lang w:eastAsia="zh-CN"/>
              </w:rPr>
              <w:t>本项目</w:t>
            </w:r>
            <w:r>
              <w:rPr>
                <w:rFonts w:hint="default" w:ascii="Times New Roman" w:hAnsi="Times New Roman" w:eastAsia="宋体" w:cs="Times New Roman"/>
                <w:b w:val="0"/>
                <w:snapToGrid/>
                <w:color w:val="auto"/>
                <w:kern w:val="2"/>
                <w:sz w:val="24"/>
                <w:szCs w:val="24"/>
                <w:u w:val="none" w:color="auto"/>
              </w:rPr>
              <w:t>与《生猪屠宰管理条例》相符性分析表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213"/>
              <w:gridCol w:w="3043"/>
              <w:gridCol w:w="727"/>
            </w:tblGrid>
            <w:tr w14:paraId="3CDB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pct"/>
                  <w:gridSpan w:val="2"/>
                  <w:noWrap w:val="0"/>
                  <w:vAlign w:val="center"/>
                </w:tcPr>
                <w:p w14:paraId="241B2BC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7"/>
                      <w:sz w:val="21"/>
                      <w:szCs w:val="21"/>
                      <w:u w:val="none" w:color="auto"/>
                    </w:rPr>
                    <w:t>文件要</w:t>
                  </w:r>
                  <w:r>
                    <w:rPr>
                      <w:rFonts w:hint="default" w:ascii="Times New Roman" w:hAnsi="Times New Roman" w:cs="Times New Roman" w:eastAsiaTheme="minorEastAsia"/>
                      <w:color w:val="auto"/>
                      <w:spacing w:val="6"/>
                      <w:sz w:val="21"/>
                      <w:szCs w:val="21"/>
                      <w:u w:val="none" w:color="auto"/>
                    </w:rPr>
                    <w:t>求</w:t>
                  </w:r>
                </w:p>
              </w:tc>
              <w:tc>
                <w:tcPr>
                  <w:tcW w:w="1934" w:type="pct"/>
                  <w:noWrap w:val="0"/>
                  <w:vAlign w:val="center"/>
                </w:tcPr>
                <w:p w14:paraId="38291EA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8"/>
                      <w:sz w:val="21"/>
                      <w:szCs w:val="21"/>
                      <w:u w:val="none" w:color="auto"/>
                    </w:rPr>
                    <w:t>本项目情</w:t>
                  </w:r>
                  <w:r>
                    <w:rPr>
                      <w:rFonts w:hint="default" w:ascii="Times New Roman" w:hAnsi="Times New Roman" w:cs="Times New Roman" w:eastAsiaTheme="minorEastAsia"/>
                      <w:color w:val="auto"/>
                      <w:spacing w:val="7"/>
                      <w:sz w:val="21"/>
                      <w:szCs w:val="21"/>
                      <w:u w:val="none" w:color="auto"/>
                    </w:rPr>
                    <w:t>况</w:t>
                  </w:r>
                </w:p>
              </w:tc>
              <w:tc>
                <w:tcPr>
                  <w:tcW w:w="461" w:type="pct"/>
                  <w:noWrap w:val="0"/>
                  <w:vAlign w:val="center"/>
                </w:tcPr>
                <w:p w14:paraId="6DD9E75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7"/>
                      <w:sz w:val="21"/>
                      <w:szCs w:val="21"/>
                      <w:u w:val="none" w:color="auto"/>
                    </w:rPr>
                    <w:t>符合情</w:t>
                  </w:r>
                  <w:r>
                    <w:rPr>
                      <w:rFonts w:hint="default" w:ascii="Times New Roman" w:hAnsi="Times New Roman" w:cs="Times New Roman" w:eastAsiaTheme="minorEastAsia"/>
                      <w:color w:val="auto"/>
                      <w:spacing w:val="6"/>
                      <w:sz w:val="21"/>
                      <w:szCs w:val="21"/>
                      <w:u w:val="none" w:color="auto"/>
                    </w:rPr>
                    <w:t>况</w:t>
                  </w:r>
                </w:p>
              </w:tc>
            </w:tr>
            <w:tr w14:paraId="72FE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restart"/>
                  <w:noWrap w:val="0"/>
                  <w:vAlign w:val="center"/>
                </w:tcPr>
                <w:p w14:paraId="058624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9"/>
                      <w:sz w:val="21"/>
                      <w:szCs w:val="21"/>
                      <w:u w:val="none" w:color="auto"/>
                    </w:rPr>
                    <w:t>生猪定点屠宰厂</w:t>
                  </w:r>
                  <w:r>
                    <w:rPr>
                      <w:rFonts w:hint="default" w:ascii="Times New Roman" w:hAnsi="Times New Roman" w:cs="Times New Roman" w:eastAsiaTheme="minorEastAsia"/>
                      <w:color w:val="auto"/>
                      <w:spacing w:val="3"/>
                      <w:sz w:val="21"/>
                      <w:szCs w:val="21"/>
                      <w:u w:val="none" w:color="auto"/>
                      <w:lang w:eastAsia="zh-CN"/>
                    </w:rPr>
                    <w:t>（场）</w:t>
                  </w:r>
                  <w:r>
                    <w:rPr>
                      <w:rFonts w:hint="default" w:ascii="Times New Roman" w:hAnsi="Times New Roman" w:cs="Times New Roman" w:eastAsiaTheme="minorEastAsia"/>
                      <w:color w:val="auto"/>
                      <w:spacing w:val="9"/>
                      <w:sz w:val="21"/>
                      <w:szCs w:val="21"/>
                      <w:u w:val="none" w:color="auto"/>
                    </w:rPr>
                    <w:t>应当具备的条件</w:t>
                  </w:r>
                </w:p>
              </w:tc>
              <w:tc>
                <w:tcPr>
                  <w:tcW w:w="2042" w:type="pct"/>
                  <w:noWrap w:val="0"/>
                  <w:vAlign w:val="center"/>
                </w:tcPr>
                <w:p w14:paraId="11F957A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1"/>
                      <w:sz w:val="21"/>
                      <w:szCs w:val="21"/>
                      <w:u w:val="none" w:color="auto"/>
                    </w:rPr>
                    <w:t>有</w:t>
                  </w:r>
                  <w:r>
                    <w:rPr>
                      <w:rFonts w:hint="default" w:ascii="Times New Roman" w:hAnsi="Times New Roman" w:cs="Times New Roman" w:eastAsiaTheme="minorEastAsia"/>
                      <w:color w:val="auto"/>
                      <w:spacing w:val="9"/>
                      <w:sz w:val="21"/>
                      <w:szCs w:val="21"/>
                      <w:u w:val="none" w:color="auto"/>
                    </w:rPr>
                    <w:t>与屠宰规模相适应、水质符合国家规定标准的水源条件</w:t>
                  </w:r>
                </w:p>
              </w:tc>
              <w:tc>
                <w:tcPr>
                  <w:tcW w:w="1934" w:type="pct"/>
                  <w:noWrap w:val="0"/>
                  <w:vAlign w:val="center"/>
                </w:tcPr>
                <w:p w14:paraId="5F06154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3"/>
                      <w:sz w:val="21"/>
                      <w:szCs w:val="21"/>
                      <w:u w:val="none" w:color="auto"/>
                    </w:rPr>
                    <w:t>有符合标准水源条件（</w:t>
                  </w:r>
                  <w:r>
                    <w:rPr>
                      <w:rFonts w:hint="default" w:ascii="Times New Roman" w:hAnsi="Times New Roman" w:cs="Times New Roman" w:eastAsiaTheme="minorEastAsia"/>
                      <w:color w:val="auto"/>
                      <w:spacing w:val="13"/>
                      <w:sz w:val="21"/>
                      <w:szCs w:val="21"/>
                      <w:u w:val="none" w:color="auto"/>
                      <w:lang w:eastAsia="zh-CN"/>
                    </w:rPr>
                    <w:t>市政</w:t>
                  </w:r>
                  <w:r>
                    <w:rPr>
                      <w:rFonts w:hint="default" w:ascii="Times New Roman" w:hAnsi="Times New Roman" w:cs="Times New Roman" w:eastAsiaTheme="minorEastAsia"/>
                      <w:color w:val="auto"/>
                      <w:spacing w:val="13"/>
                      <w:sz w:val="21"/>
                      <w:szCs w:val="21"/>
                      <w:u w:val="none" w:color="auto"/>
                    </w:rPr>
                    <w:t>供水）</w:t>
                  </w:r>
                </w:p>
              </w:tc>
              <w:tc>
                <w:tcPr>
                  <w:tcW w:w="461" w:type="pct"/>
                  <w:noWrap w:val="0"/>
                  <w:vAlign w:val="center"/>
                </w:tcPr>
                <w:p w14:paraId="2D7B28DF">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0998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continue"/>
                  <w:noWrap w:val="0"/>
                  <w:vAlign w:val="center"/>
                </w:tcPr>
                <w:p w14:paraId="72313B30">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p>
              </w:tc>
              <w:tc>
                <w:tcPr>
                  <w:tcW w:w="2042" w:type="pct"/>
                  <w:noWrap w:val="0"/>
                  <w:vAlign w:val="center"/>
                </w:tcPr>
                <w:p w14:paraId="08849B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9"/>
                      <w:sz w:val="21"/>
                      <w:szCs w:val="21"/>
                      <w:u w:val="none" w:color="auto"/>
                    </w:rPr>
                    <w:t>有符合国家规定要求的待宰</w:t>
                  </w:r>
                  <w:r>
                    <w:rPr>
                      <w:rFonts w:hint="default" w:ascii="Times New Roman" w:hAnsi="Times New Roman" w:cs="Times New Roman" w:eastAsiaTheme="minorEastAsia"/>
                      <w:color w:val="auto"/>
                      <w:spacing w:val="8"/>
                      <w:sz w:val="21"/>
                      <w:szCs w:val="21"/>
                      <w:u w:val="none" w:color="auto"/>
                    </w:rPr>
                    <w:t>间、屠宰间、急宰间、检验室以及生猪屠宰设备和运载工具</w:t>
                  </w:r>
                </w:p>
              </w:tc>
              <w:tc>
                <w:tcPr>
                  <w:tcW w:w="1934" w:type="pct"/>
                  <w:noWrap w:val="0"/>
                  <w:vAlign w:val="center"/>
                </w:tcPr>
                <w:p w14:paraId="1031787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4"/>
                      <w:sz w:val="21"/>
                      <w:szCs w:val="21"/>
                      <w:u w:val="none" w:color="auto"/>
                    </w:rPr>
                    <w:t>项</w:t>
                  </w:r>
                  <w:r>
                    <w:rPr>
                      <w:rFonts w:hint="default" w:ascii="Times New Roman" w:hAnsi="Times New Roman" w:cs="Times New Roman" w:eastAsiaTheme="minorEastAsia"/>
                      <w:color w:val="auto"/>
                      <w:spacing w:val="8"/>
                      <w:sz w:val="21"/>
                      <w:szCs w:val="21"/>
                      <w:u w:val="none" w:color="auto"/>
                    </w:rPr>
                    <w:t>目建成后将按照国家</w:t>
                  </w:r>
                  <w:r>
                    <w:rPr>
                      <w:rFonts w:hint="default" w:ascii="Times New Roman" w:hAnsi="Times New Roman" w:cs="Times New Roman" w:eastAsiaTheme="minorEastAsia"/>
                      <w:color w:val="auto"/>
                      <w:spacing w:val="9"/>
                      <w:sz w:val="21"/>
                      <w:szCs w:val="21"/>
                      <w:u w:val="none" w:color="auto"/>
                    </w:rPr>
                    <w:t>相关规定建设完善的</w:t>
                  </w:r>
                  <w:r>
                    <w:rPr>
                      <w:rFonts w:hint="default" w:ascii="Times New Roman" w:hAnsi="Times New Roman" w:cs="Times New Roman" w:eastAsiaTheme="minorEastAsia"/>
                      <w:color w:val="auto"/>
                      <w:spacing w:val="8"/>
                      <w:sz w:val="21"/>
                      <w:szCs w:val="21"/>
                      <w:u w:val="none" w:color="auto"/>
                    </w:rPr>
                    <w:t>待</w:t>
                  </w:r>
                  <w:r>
                    <w:rPr>
                      <w:rFonts w:hint="default" w:ascii="Times New Roman" w:hAnsi="Times New Roman" w:cs="Times New Roman" w:eastAsiaTheme="minorEastAsia"/>
                      <w:color w:val="auto"/>
                      <w:spacing w:val="-2"/>
                      <w:sz w:val="21"/>
                      <w:szCs w:val="21"/>
                      <w:u w:val="none" w:color="auto"/>
                    </w:rPr>
                    <w:t>宰间</w:t>
                  </w:r>
                  <w:r>
                    <w:rPr>
                      <w:rFonts w:hint="default" w:ascii="Times New Roman" w:hAnsi="Times New Roman" w:cs="Times New Roman" w:eastAsiaTheme="minorEastAsia"/>
                      <w:color w:val="auto"/>
                      <w:spacing w:val="-1"/>
                      <w:sz w:val="21"/>
                      <w:szCs w:val="21"/>
                      <w:u w:val="none" w:color="auto"/>
                    </w:rPr>
                    <w:t>、屠宰间、急宰间、</w:t>
                  </w:r>
                  <w:r>
                    <w:rPr>
                      <w:rFonts w:hint="default" w:ascii="Times New Roman" w:hAnsi="Times New Roman" w:cs="Times New Roman" w:eastAsiaTheme="minorEastAsia"/>
                      <w:color w:val="auto"/>
                      <w:spacing w:val="9"/>
                      <w:sz w:val="21"/>
                      <w:szCs w:val="21"/>
                      <w:u w:val="none" w:color="auto"/>
                    </w:rPr>
                    <w:t>检验室以及生猪屠宰</w:t>
                  </w:r>
                  <w:r>
                    <w:rPr>
                      <w:rFonts w:hint="default" w:ascii="Times New Roman" w:hAnsi="Times New Roman" w:cs="Times New Roman" w:eastAsiaTheme="minorEastAsia"/>
                      <w:color w:val="auto"/>
                      <w:spacing w:val="8"/>
                      <w:sz w:val="21"/>
                      <w:szCs w:val="21"/>
                      <w:u w:val="none" w:color="auto"/>
                    </w:rPr>
                    <w:t>设备和运载工</w:t>
                  </w:r>
                  <w:r>
                    <w:rPr>
                      <w:rFonts w:hint="default" w:ascii="Times New Roman" w:hAnsi="Times New Roman" w:cs="Times New Roman" w:eastAsiaTheme="minorEastAsia"/>
                      <w:color w:val="auto"/>
                      <w:spacing w:val="7"/>
                      <w:sz w:val="21"/>
                      <w:szCs w:val="21"/>
                      <w:u w:val="none" w:color="auto"/>
                    </w:rPr>
                    <w:t>具</w:t>
                  </w:r>
                </w:p>
              </w:tc>
              <w:tc>
                <w:tcPr>
                  <w:tcW w:w="461" w:type="pct"/>
                  <w:noWrap w:val="0"/>
                  <w:vAlign w:val="center"/>
                </w:tcPr>
                <w:p w14:paraId="265FE0B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105B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continue"/>
                  <w:noWrap w:val="0"/>
                  <w:vAlign w:val="center"/>
                </w:tcPr>
                <w:p w14:paraId="056BA45F">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p>
              </w:tc>
              <w:tc>
                <w:tcPr>
                  <w:tcW w:w="2042" w:type="pct"/>
                  <w:noWrap w:val="0"/>
                  <w:vAlign w:val="center"/>
                </w:tcPr>
                <w:p w14:paraId="58E5F98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1"/>
                      <w:sz w:val="21"/>
                      <w:szCs w:val="21"/>
                      <w:u w:val="none" w:color="auto"/>
                    </w:rPr>
                    <w:t>有</w:t>
                  </w:r>
                  <w:r>
                    <w:rPr>
                      <w:rFonts w:hint="default" w:ascii="Times New Roman" w:hAnsi="Times New Roman" w:cs="Times New Roman" w:eastAsiaTheme="minorEastAsia"/>
                      <w:color w:val="auto"/>
                      <w:spacing w:val="9"/>
                      <w:sz w:val="21"/>
                      <w:szCs w:val="21"/>
                      <w:u w:val="none" w:color="auto"/>
                    </w:rPr>
                    <w:t>依法取得健康证明的屠宰技</w:t>
                  </w:r>
                  <w:r>
                    <w:rPr>
                      <w:rFonts w:hint="default" w:ascii="Times New Roman" w:hAnsi="Times New Roman" w:cs="Times New Roman" w:eastAsiaTheme="minorEastAsia"/>
                      <w:color w:val="auto"/>
                      <w:spacing w:val="7"/>
                      <w:sz w:val="21"/>
                      <w:szCs w:val="21"/>
                      <w:u w:val="none" w:color="auto"/>
                    </w:rPr>
                    <w:t>术</w:t>
                  </w:r>
                  <w:r>
                    <w:rPr>
                      <w:rFonts w:hint="default" w:ascii="Times New Roman" w:hAnsi="Times New Roman" w:cs="Times New Roman" w:eastAsiaTheme="minorEastAsia"/>
                      <w:color w:val="auto"/>
                      <w:spacing w:val="6"/>
                      <w:sz w:val="21"/>
                      <w:szCs w:val="21"/>
                      <w:u w:val="none" w:color="auto"/>
                    </w:rPr>
                    <w:t>人员</w:t>
                  </w:r>
                </w:p>
              </w:tc>
              <w:tc>
                <w:tcPr>
                  <w:tcW w:w="1934" w:type="pct"/>
                  <w:noWrap w:val="0"/>
                  <w:vAlign w:val="center"/>
                </w:tcPr>
                <w:p w14:paraId="61F42522">
                  <w:pPr>
                    <w:keepNext w:val="0"/>
                    <w:keepLines w:val="0"/>
                    <w:widowControl/>
                    <w:suppressLineNumbers w:val="0"/>
                    <w:spacing w:line="240" w:lineRule="auto"/>
                    <w:ind w:firstLine="0" w:firstLineChars="0"/>
                    <w:jc w:val="center"/>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000000"/>
                      <w:kern w:val="0"/>
                      <w:sz w:val="21"/>
                      <w:szCs w:val="21"/>
                      <w:lang w:val="en-US" w:eastAsia="zh-CN" w:bidi="ar"/>
                    </w:rPr>
                    <w:t>有健康证明的屠宰技术人员（有健康证）</w:t>
                  </w:r>
                </w:p>
              </w:tc>
              <w:tc>
                <w:tcPr>
                  <w:tcW w:w="461" w:type="pct"/>
                  <w:noWrap w:val="0"/>
                  <w:vAlign w:val="center"/>
                </w:tcPr>
                <w:p w14:paraId="29178185">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2E0E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continue"/>
                  <w:noWrap w:val="0"/>
                  <w:vAlign w:val="center"/>
                </w:tcPr>
                <w:p w14:paraId="79EC1AAE">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p>
              </w:tc>
              <w:tc>
                <w:tcPr>
                  <w:tcW w:w="2042" w:type="pct"/>
                  <w:noWrap w:val="0"/>
                  <w:vAlign w:val="center"/>
                </w:tcPr>
                <w:p w14:paraId="545BD00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1"/>
                      <w:sz w:val="21"/>
                      <w:szCs w:val="21"/>
                      <w:u w:val="none" w:color="auto"/>
                    </w:rPr>
                    <w:t>有</w:t>
                  </w:r>
                  <w:r>
                    <w:rPr>
                      <w:rFonts w:hint="default" w:ascii="Times New Roman" w:hAnsi="Times New Roman" w:cs="Times New Roman" w:eastAsiaTheme="minorEastAsia"/>
                      <w:color w:val="auto"/>
                      <w:spacing w:val="9"/>
                      <w:sz w:val="21"/>
                      <w:szCs w:val="21"/>
                      <w:u w:val="none" w:color="auto"/>
                    </w:rPr>
                    <w:t>经考核合格的兽医卫生检验</w:t>
                  </w:r>
                  <w:r>
                    <w:rPr>
                      <w:rFonts w:hint="default" w:ascii="Times New Roman" w:hAnsi="Times New Roman" w:cs="Times New Roman" w:eastAsiaTheme="minorEastAsia"/>
                      <w:color w:val="auto"/>
                      <w:spacing w:val="4"/>
                      <w:sz w:val="21"/>
                      <w:szCs w:val="21"/>
                      <w:u w:val="none" w:color="auto"/>
                    </w:rPr>
                    <w:t>人</w:t>
                  </w:r>
                  <w:r>
                    <w:rPr>
                      <w:rFonts w:hint="default" w:ascii="Times New Roman" w:hAnsi="Times New Roman" w:cs="Times New Roman" w:eastAsiaTheme="minorEastAsia"/>
                      <w:color w:val="auto"/>
                      <w:spacing w:val="3"/>
                      <w:sz w:val="21"/>
                      <w:szCs w:val="21"/>
                      <w:u w:val="none" w:color="auto"/>
                    </w:rPr>
                    <w:t>员</w:t>
                  </w:r>
                </w:p>
              </w:tc>
              <w:tc>
                <w:tcPr>
                  <w:tcW w:w="1934" w:type="pct"/>
                  <w:noWrap w:val="0"/>
                  <w:vAlign w:val="center"/>
                </w:tcPr>
                <w:p w14:paraId="10C2AB54">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4"/>
                      <w:sz w:val="21"/>
                      <w:szCs w:val="21"/>
                      <w:u w:val="none" w:color="auto"/>
                    </w:rPr>
                    <w:t>项</w:t>
                  </w:r>
                  <w:r>
                    <w:rPr>
                      <w:rFonts w:hint="default" w:ascii="Times New Roman" w:hAnsi="Times New Roman" w:cs="Times New Roman" w:eastAsiaTheme="minorEastAsia"/>
                      <w:color w:val="auto"/>
                      <w:spacing w:val="8"/>
                      <w:sz w:val="21"/>
                      <w:szCs w:val="21"/>
                      <w:u w:val="none" w:color="auto"/>
                    </w:rPr>
                    <w:t>目配备</w:t>
                  </w:r>
                  <w:r>
                    <w:rPr>
                      <w:rFonts w:hint="default" w:ascii="Times New Roman" w:hAnsi="Times New Roman" w:cs="Times New Roman" w:eastAsiaTheme="minorEastAsia"/>
                      <w:color w:val="auto"/>
                      <w:spacing w:val="8"/>
                      <w:sz w:val="21"/>
                      <w:szCs w:val="21"/>
                      <w:u w:val="none" w:color="auto"/>
                      <w:lang w:eastAsia="zh-CN"/>
                    </w:rPr>
                    <w:t>有</w:t>
                  </w:r>
                  <w:r>
                    <w:rPr>
                      <w:rFonts w:hint="default" w:ascii="Times New Roman" w:hAnsi="Times New Roman" w:cs="Times New Roman" w:eastAsiaTheme="minorEastAsia"/>
                      <w:color w:val="auto"/>
                      <w:spacing w:val="8"/>
                      <w:sz w:val="21"/>
                      <w:szCs w:val="21"/>
                      <w:u w:val="none" w:color="auto"/>
                    </w:rPr>
                    <w:t>相应的考核</w:t>
                  </w:r>
                  <w:r>
                    <w:rPr>
                      <w:rFonts w:hint="default" w:ascii="Times New Roman" w:hAnsi="Times New Roman" w:cs="Times New Roman" w:eastAsiaTheme="minorEastAsia"/>
                      <w:color w:val="auto"/>
                      <w:spacing w:val="9"/>
                      <w:sz w:val="21"/>
                      <w:szCs w:val="21"/>
                      <w:u w:val="none" w:color="auto"/>
                    </w:rPr>
                    <w:t>合格的兽医卫生检验</w:t>
                  </w:r>
                  <w:r>
                    <w:rPr>
                      <w:rFonts w:hint="default" w:ascii="Times New Roman" w:hAnsi="Times New Roman" w:cs="Times New Roman" w:eastAsiaTheme="minorEastAsia"/>
                      <w:color w:val="auto"/>
                      <w:spacing w:val="7"/>
                      <w:sz w:val="21"/>
                      <w:szCs w:val="21"/>
                      <w:u w:val="none" w:color="auto"/>
                    </w:rPr>
                    <w:t>人</w:t>
                  </w:r>
                  <w:r>
                    <w:rPr>
                      <w:rFonts w:hint="default" w:ascii="Times New Roman" w:hAnsi="Times New Roman" w:cs="Times New Roman" w:eastAsiaTheme="minorEastAsia"/>
                      <w:color w:val="auto"/>
                      <w:sz w:val="21"/>
                      <w:szCs w:val="21"/>
                      <w:u w:val="none" w:color="auto"/>
                    </w:rPr>
                    <w:t>员</w:t>
                  </w:r>
                </w:p>
              </w:tc>
              <w:tc>
                <w:tcPr>
                  <w:tcW w:w="461" w:type="pct"/>
                  <w:noWrap w:val="0"/>
                  <w:vAlign w:val="center"/>
                </w:tcPr>
                <w:p w14:paraId="0D0C092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03CA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continue"/>
                  <w:noWrap w:val="0"/>
                  <w:vAlign w:val="center"/>
                </w:tcPr>
                <w:p w14:paraId="564BCB96">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p>
              </w:tc>
              <w:tc>
                <w:tcPr>
                  <w:tcW w:w="2042" w:type="pct"/>
                  <w:noWrap w:val="0"/>
                  <w:vAlign w:val="center"/>
                </w:tcPr>
                <w:p w14:paraId="7370E3D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1"/>
                      <w:sz w:val="21"/>
                      <w:szCs w:val="21"/>
                      <w:u w:val="none" w:color="auto"/>
                    </w:rPr>
                    <w:t>有</w:t>
                  </w:r>
                  <w:r>
                    <w:rPr>
                      <w:rFonts w:hint="default" w:ascii="Times New Roman" w:hAnsi="Times New Roman" w:cs="Times New Roman" w:eastAsiaTheme="minorEastAsia"/>
                      <w:color w:val="auto"/>
                      <w:spacing w:val="9"/>
                      <w:sz w:val="21"/>
                      <w:szCs w:val="21"/>
                      <w:u w:val="none" w:color="auto"/>
                    </w:rPr>
                    <w:t>符合国家规定要求的检验设</w:t>
                  </w:r>
                  <w:r>
                    <w:rPr>
                      <w:rFonts w:hint="default" w:ascii="Times New Roman" w:hAnsi="Times New Roman" w:cs="Times New Roman" w:eastAsiaTheme="minorEastAsia"/>
                      <w:color w:val="auto"/>
                      <w:spacing w:val="11"/>
                      <w:sz w:val="21"/>
                      <w:szCs w:val="21"/>
                      <w:u w:val="none" w:color="auto"/>
                    </w:rPr>
                    <w:t>备</w:t>
                  </w:r>
                  <w:r>
                    <w:rPr>
                      <w:rFonts w:hint="default" w:ascii="Times New Roman" w:hAnsi="Times New Roman" w:cs="Times New Roman" w:eastAsiaTheme="minorEastAsia"/>
                      <w:color w:val="auto"/>
                      <w:spacing w:val="9"/>
                      <w:sz w:val="21"/>
                      <w:szCs w:val="21"/>
                      <w:u w:val="none" w:color="auto"/>
                    </w:rPr>
                    <w:t>、消毒设施以及符合环境保护要求的污染防治设</w:t>
                  </w:r>
                  <w:r>
                    <w:rPr>
                      <w:rFonts w:hint="default" w:ascii="Times New Roman" w:hAnsi="Times New Roman" w:cs="Times New Roman" w:eastAsiaTheme="minorEastAsia"/>
                      <w:color w:val="auto"/>
                      <w:spacing w:val="7"/>
                      <w:sz w:val="21"/>
                      <w:szCs w:val="21"/>
                      <w:u w:val="none" w:color="auto"/>
                    </w:rPr>
                    <w:t>施</w:t>
                  </w:r>
                </w:p>
              </w:tc>
              <w:tc>
                <w:tcPr>
                  <w:tcW w:w="1934" w:type="pct"/>
                  <w:noWrap w:val="0"/>
                  <w:vAlign w:val="center"/>
                </w:tcPr>
                <w:p w14:paraId="6F1D3934">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lang w:eastAsia="zh-CN"/>
                    </w:rPr>
                  </w:pPr>
                  <w:r>
                    <w:rPr>
                      <w:rFonts w:hint="default" w:ascii="Times New Roman" w:hAnsi="Times New Roman" w:cs="Times New Roman" w:eastAsiaTheme="minorEastAsia"/>
                      <w:color w:val="auto"/>
                      <w:spacing w:val="14"/>
                      <w:sz w:val="21"/>
                      <w:szCs w:val="21"/>
                      <w:u w:val="none" w:color="auto"/>
                    </w:rPr>
                    <w:t>项</w:t>
                  </w:r>
                  <w:r>
                    <w:rPr>
                      <w:rFonts w:hint="default" w:ascii="Times New Roman" w:hAnsi="Times New Roman" w:cs="Times New Roman" w:eastAsiaTheme="minorEastAsia"/>
                      <w:color w:val="auto"/>
                      <w:spacing w:val="8"/>
                      <w:sz w:val="21"/>
                      <w:szCs w:val="21"/>
                      <w:u w:val="none" w:color="auto"/>
                    </w:rPr>
                    <w:t>目有符合国家规定要</w:t>
                  </w:r>
                  <w:r>
                    <w:rPr>
                      <w:rFonts w:hint="default" w:ascii="Times New Roman" w:hAnsi="Times New Roman" w:cs="Times New Roman" w:eastAsiaTheme="minorEastAsia"/>
                      <w:color w:val="auto"/>
                      <w:spacing w:val="15"/>
                      <w:sz w:val="21"/>
                      <w:szCs w:val="21"/>
                      <w:u w:val="none" w:color="auto"/>
                    </w:rPr>
                    <w:t>求</w:t>
                  </w:r>
                  <w:r>
                    <w:rPr>
                      <w:rFonts w:hint="default" w:ascii="Times New Roman" w:hAnsi="Times New Roman" w:cs="Times New Roman" w:eastAsiaTheme="minorEastAsia"/>
                      <w:color w:val="auto"/>
                      <w:spacing w:val="8"/>
                      <w:sz w:val="21"/>
                      <w:szCs w:val="21"/>
                      <w:u w:val="none" w:color="auto"/>
                    </w:rPr>
                    <w:t>的检验设备、消毒设</w:t>
                  </w:r>
                  <w:r>
                    <w:rPr>
                      <w:rFonts w:hint="default" w:ascii="Times New Roman" w:hAnsi="Times New Roman" w:cs="Times New Roman" w:eastAsiaTheme="minorEastAsia"/>
                      <w:color w:val="auto"/>
                      <w:spacing w:val="9"/>
                      <w:sz w:val="21"/>
                      <w:szCs w:val="21"/>
                      <w:u w:val="none" w:color="auto"/>
                    </w:rPr>
                    <w:t>施以及符合环境保护要</w:t>
                  </w:r>
                  <w:r>
                    <w:rPr>
                      <w:rFonts w:hint="default" w:ascii="Times New Roman" w:hAnsi="Times New Roman" w:cs="Times New Roman" w:eastAsiaTheme="minorEastAsia"/>
                      <w:color w:val="auto"/>
                      <w:spacing w:val="8"/>
                      <w:sz w:val="21"/>
                      <w:szCs w:val="21"/>
                      <w:u w:val="none" w:color="auto"/>
                    </w:rPr>
                    <w:t>求的污染</w:t>
                  </w:r>
                  <w:r>
                    <w:rPr>
                      <w:rFonts w:hint="default" w:ascii="Times New Roman" w:hAnsi="Times New Roman" w:cs="Times New Roman" w:eastAsiaTheme="minorEastAsia"/>
                      <w:color w:val="auto"/>
                      <w:spacing w:val="7"/>
                      <w:sz w:val="21"/>
                      <w:szCs w:val="21"/>
                      <w:u w:val="none" w:color="auto"/>
                    </w:rPr>
                    <w:t>防</w:t>
                  </w:r>
                  <w:r>
                    <w:rPr>
                      <w:rFonts w:hint="default" w:ascii="Times New Roman" w:hAnsi="Times New Roman" w:cs="Times New Roman" w:eastAsiaTheme="minorEastAsia"/>
                      <w:color w:val="auto"/>
                      <w:spacing w:val="7"/>
                      <w:sz w:val="21"/>
                      <w:szCs w:val="21"/>
                      <w:u w:val="none" w:color="auto"/>
                      <w:lang w:eastAsia="zh-CN"/>
                    </w:rPr>
                    <w:t>治设施</w:t>
                  </w:r>
                </w:p>
              </w:tc>
              <w:tc>
                <w:tcPr>
                  <w:tcW w:w="461" w:type="pct"/>
                  <w:noWrap w:val="0"/>
                  <w:vAlign w:val="center"/>
                </w:tcPr>
                <w:p w14:paraId="3F7AEA2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6ACE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continue"/>
                  <w:noWrap w:val="0"/>
                  <w:vAlign w:val="center"/>
                </w:tcPr>
                <w:p w14:paraId="0D957857">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p>
              </w:tc>
              <w:tc>
                <w:tcPr>
                  <w:tcW w:w="2042" w:type="pct"/>
                  <w:noWrap w:val="0"/>
                  <w:vAlign w:val="center"/>
                </w:tcPr>
                <w:p w14:paraId="289E260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1"/>
                      <w:sz w:val="21"/>
                      <w:szCs w:val="21"/>
                      <w:u w:val="none" w:color="auto"/>
                    </w:rPr>
                    <w:t>有</w:t>
                  </w:r>
                  <w:r>
                    <w:rPr>
                      <w:rFonts w:hint="default" w:ascii="Times New Roman" w:hAnsi="Times New Roman" w:cs="Times New Roman" w:eastAsiaTheme="minorEastAsia"/>
                      <w:color w:val="auto"/>
                      <w:spacing w:val="9"/>
                      <w:sz w:val="21"/>
                      <w:szCs w:val="21"/>
                      <w:u w:val="none" w:color="auto"/>
                    </w:rPr>
                    <w:t>病害生猪及生猪产品无害化</w:t>
                  </w:r>
                  <w:r>
                    <w:rPr>
                      <w:rFonts w:hint="default" w:ascii="Times New Roman" w:hAnsi="Times New Roman" w:cs="Times New Roman" w:eastAsiaTheme="minorEastAsia"/>
                      <w:color w:val="auto"/>
                      <w:spacing w:val="11"/>
                      <w:sz w:val="21"/>
                      <w:szCs w:val="21"/>
                      <w:u w:val="none" w:color="auto"/>
                    </w:rPr>
                    <w:t>处</w:t>
                  </w:r>
                  <w:r>
                    <w:rPr>
                      <w:rFonts w:hint="default" w:ascii="Times New Roman" w:hAnsi="Times New Roman" w:cs="Times New Roman" w:eastAsiaTheme="minorEastAsia"/>
                      <w:color w:val="auto"/>
                      <w:spacing w:val="9"/>
                      <w:sz w:val="21"/>
                      <w:szCs w:val="21"/>
                      <w:u w:val="none" w:color="auto"/>
                    </w:rPr>
                    <w:t>理设施或者无害化处理委托</w:t>
                  </w:r>
                  <w:r>
                    <w:rPr>
                      <w:rFonts w:hint="default" w:ascii="Times New Roman" w:hAnsi="Times New Roman" w:cs="Times New Roman" w:eastAsiaTheme="minorEastAsia"/>
                      <w:color w:val="auto"/>
                      <w:spacing w:val="4"/>
                      <w:sz w:val="21"/>
                      <w:szCs w:val="21"/>
                      <w:u w:val="none" w:color="auto"/>
                    </w:rPr>
                    <w:t>协议</w:t>
                  </w:r>
                </w:p>
              </w:tc>
              <w:tc>
                <w:tcPr>
                  <w:tcW w:w="1934" w:type="pct"/>
                  <w:noWrap w:val="0"/>
                  <w:vAlign w:val="center"/>
                </w:tcPr>
                <w:p w14:paraId="3B18A2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4"/>
                      <w:sz w:val="21"/>
                      <w:szCs w:val="21"/>
                      <w:u w:val="none" w:color="auto"/>
                    </w:rPr>
                    <w:t>项</w:t>
                  </w:r>
                  <w:r>
                    <w:rPr>
                      <w:rFonts w:hint="default" w:ascii="Times New Roman" w:hAnsi="Times New Roman" w:cs="Times New Roman" w:eastAsiaTheme="minorEastAsia"/>
                      <w:color w:val="auto"/>
                      <w:spacing w:val="8"/>
                      <w:sz w:val="21"/>
                      <w:szCs w:val="21"/>
                      <w:u w:val="none" w:color="auto"/>
                    </w:rPr>
                    <w:t>目</w:t>
                  </w:r>
                  <w:r>
                    <w:rPr>
                      <w:rFonts w:hint="default" w:ascii="Times New Roman" w:hAnsi="Times New Roman" w:cs="Times New Roman" w:eastAsiaTheme="minorEastAsia"/>
                      <w:color w:val="auto"/>
                      <w:spacing w:val="8"/>
                      <w:sz w:val="21"/>
                      <w:szCs w:val="21"/>
                      <w:u w:val="none" w:color="auto"/>
                      <w:lang w:eastAsia="zh-CN"/>
                    </w:rPr>
                    <w:t>签订有</w:t>
                  </w:r>
                  <w:r>
                    <w:rPr>
                      <w:rFonts w:hint="default" w:ascii="Times New Roman" w:hAnsi="Times New Roman" w:cs="Times New Roman" w:eastAsiaTheme="minorEastAsia"/>
                      <w:color w:val="auto"/>
                      <w:spacing w:val="9"/>
                      <w:sz w:val="21"/>
                      <w:szCs w:val="21"/>
                      <w:u w:val="none" w:color="auto"/>
                    </w:rPr>
                    <w:t>无害化处理委托</w:t>
                  </w:r>
                  <w:r>
                    <w:rPr>
                      <w:rFonts w:hint="default" w:ascii="Times New Roman" w:hAnsi="Times New Roman" w:cs="Times New Roman" w:eastAsiaTheme="minorEastAsia"/>
                      <w:color w:val="auto"/>
                      <w:spacing w:val="4"/>
                      <w:sz w:val="21"/>
                      <w:szCs w:val="21"/>
                      <w:u w:val="none" w:color="auto"/>
                    </w:rPr>
                    <w:t>协议</w:t>
                  </w:r>
                </w:p>
              </w:tc>
              <w:tc>
                <w:tcPr>
                  <w:tcW w:w="461" w:type="pct"/>
                  <w:noWrap w:val="0"/>
                  <w:vAlign w:val="center"/>
                </w:tcPr>
                <w:p w14:paraId="38C2EC44">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4CF3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continue"/>
                  <w:noWrap w:val="0"/>
                  <w:vAlign w:val="center"/>
                </w:tcPr>
                <w:p w14:paraId="3A1EBDA8">
                  <w:pPr>
                    <w:keepNext w:val="0"/>
                    <w:keepLines w:val="0"/>
                    <w:pageBreakBefore w:val="0"/>
                    <w:widowControl w:val="0"/>
                    <w:tabs>
                      <w:tab w:val="left" w:pos="126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p>
              </w:tc>
              <w:tc>
                <w:tcPr>
                  <w:tcW w:w="2042" w:type="pct"/>
                  <w:noWrap w:val="0"/>
                  <w:vAlign w:val="center"/>
                </w:tcPr>
                <w:p w14:paraId="43CDEE48">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1"/>
                      <w:sz w:val="21"/>
                      <w:szCs w:val="21"/>
                      <w:u w:val="none" w:color="auto"/>
                    </w:rPr>
                    <w:t>依</w:t>
                  </w:r>
                  <w:r>
                    <w:rPr>
                      <w:rFonts w:hint="default" w:ascii="Times New Roman" w:hAnsi="Times New Roman" w:cs="Times New Roman" w:eastAsiaTheme="minorEastAsia"/>
                      <w:color w:val="auto"/>
                      <w:spacing w:val="9"/>
                      <w:sz w:val="21"/>
                      <w:szCs w:val="21"/>
                      <w:u w:val="none" w:color="auto"/>
                    </w:rPr>
                    <w:t>法取得动物防疫条件合格证</w:t>
                  </w:r>
                </w:p>
              </w:tc>
              <w:tc>
                <w:tcPr>
                  <w:tcW w:w="1934" w:type="pct"/>
                  <w:noWrap w:val="0"/>
                  <w:vAlign w:val="center"/>
                </w:tcPr>
                <w:p w14:paraId="6FD6E5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14"/>
                      <w:sz w:val="21"/>
                      <w:szCs w:val="21"/>
                      <w:u w:val="none" w:color="auto"/>
                    </w:rPr>
                    <w:t>项</w:t>
                  </w:r>
                  <w:r>
                    <w:rPr>
                      <w:rFonts w:hint="default" w:ascii="Times New Roman" w:hAnsi="Times New Roman" w:cs="Times New Roman" w:eastAsiaTheme="minorEastAsia"/>
                      <w:color w:val="auto"/>
                      <w:spacing w:val="8"/>
                      <w:sz w:val="21"/>
                      <w:szCs w:val="21"/>
                      <w:u w:val="none" w:color="auto"/>
                    </w:rPr>
                    <w:t>目依法取得动</w:t>
                  </w:r>
                  <w:r>
                    <w:rPr>
                      <w:rFonts w:hint="default" w:ascii="Times New Roman" w:hAnsi="Times New Roman" w:cs="Times New Roman" w:eastAsiaTheme="minorEastAsia"/>
                      <w:color w:val="auto"/>
                      <w:spacing w:val="13"/>
                      <w:sz w:val="21"/>
                      <w:szCs w:val="21"/>
                      <w:u w:val="none" w:color="auto"/>
                    </w:rPr>
                    <w:t>物</w:t>
                  </w:r>
                  <w:r>
                    <w:rPr>
                      <w:rFonts w:hint="default" w:ascii="Times New Roman" w:hAnsi="Times New Roman" w:cs="Times New Roman" w:eastAsiaTheme="minorEastAsia"/>
                      <w:color w:val="auto"/>
                      <w:spacing w:val="8"/>
                      <w:sz w:val="21"/>
                      <w:szCs w:val="21"/>
                      <w:u w:val="none" w:color="auto"/>
                    </w:rPr>
                    <w:t>防疫条件合格证</w:t>
                  </w:r>
                </w:p>
              </w:tc>
              <w:tc>
                <w:tcPr>
                  <w:tcW w:w="461" w:type="pct"/>
                  <w:noWrap w:val="0"/>
                  <w:vAlign w:val="center"/>
                </w:tcPr>
                <w:p w14:paraId="64B23BC8">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none" w:color="auto"/>
                      <w:vertAlign w:val="baseline"/>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5F2C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pct"/>
                  <w:gridSpan w:val="2"/>
                  <w:noWrap w:val="0"/>
                  <w:vAlign w:val="center"/>
                </w:tcPr>
                <w:p w14:paraId="77396D04">
                  <w:pPr>
                    <w:keepNext w:val="0"/>
                    <w:keepLines w:val="0"/>
                    <w:widowControl/>
                    <w:suppressLineNumbers w:val="0"/>
                    <w:spacing w:line="240" w:lineRule="auto"/>
                    <w:ind w:firstLine="0" w:firstLineChars="0"/>
                    <w:jc w:val="center"/>
                    <w:rPr>
                      <w:rFonts w:hint="default" w:ascii="Times New Roman" w:hAnsi="Times New Roman" w:cs="Times New Roman" w:eastAsiaTheme="minorEastAsia"/>
                      <w:color w:val="auto"/>
                      <w:spacing w:val="11"/>
                      <w:sz w:val="21"/>
                      <w:szCs w:val="21"/>
                      <w:u w:val="none" w:color="auto"/>
                    </w:rPr>
                  </w:pPr>
                  <w:r>
                    <w:rPr>
                      <w:rFonts w:hint="default" w:ascii="Times New Roman" w:hAnsi="Times New Roman" w:cs="Times New Roman" w:eastAsiaTheme="minorEastAsia"/>
                      <w:color w:val="000000"/>
                      <w:kern w:val="0"/>
                      <w:sz w:val="21"/>
                      <w:szCs w:val="21"/>
                      <w:lang w:val="en-US" w:eastAsia="zh-CN" w:bidi="ar"/>
                    </w:rPr>
                    <w:t>生猪定点屠宰厂（场）对未能及时出厂（场）的生猪产品，应当采取冷冻或者冷藏等必要措施予以储存。</w:t>
                  </w:r>
                </w:p>
              </w:tc>
              <w:tc>
                <w:tcPr>
                  <w:tcW w:w="1934" w:type="pct"/>
                  <w:noWrap w:val="0"/>
                  <w:vAlign w:val="center"/>
                </w:tcPr>
                <w:p w14:paraId="07E976CC">
                  <w:pPr>
                    <w:keepNext w:val="0"/>
                    <w:keepLines w:val="0"/>
                    <w:widowControl w:val="0"/>
                    <w:suppressLineNumbers w:val="0"/>
                    <w:spacing w:line="240" w:lineRule="auto"/>
                    <w:ind w:firstLine="0" w:firstLineChars="0"/>
                    <w:jc w:val="center"/>
                    <w:rPr>
                      <w:rFonts w:hint="default" w:ascii="Times New Roman" w:hAnsi="Times New Roman" w:cs="Times New Roman" w:eastAsiaTheme="minorEastAsia"/>
                      <w:color w:val="auto"/>
                      <w:spacing w:val="14"/>
                      <w:sz w:val="21"/>
                      <w:szCs w:val="21"/>
                      <w:u w:val="none" w:color="auto"/>
                    </w:rPr>
                  </w:pPr>
                  <w:r>
                    <w:rPr>
                      <w:rFonts w:hint="default" w:ascii="Times New Roman" w:hAnsi="Times New Roman" w:cs="Times New Roman" w:eastAsiaTheme="minorEastAsia"/>
                      <w:color w:val="000000"/>
                      <w:kern w:val="0"/>
                      <w:sz w:val="21"/>
                      <w:szCs w:val="21"/>
                      <w:lang w:val="en-US" w:eastAsia="zh-CN" w:bidi="ar"/>
                    </w:rPr>
                    <w:t>本项目建设有冷藏设施。</w:t>
                  </w:r>
                </w:p>
              </w:tc>
              <w:tc>
                <w:tcPr>
                  <w:tcW w:w="461" w:type="pct"/>
                  <w:noWrap w:val="0"/>
                  <w:vAlign w:val="center"/>
                </w:tcPr>
                <w:p w14:paraId="1DC9C368">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4"/>
                      <w:sz w:val="21"/>
                      <w:szCs w:val="21"/>
                      <w:u w:val="none" w:color="auto"/>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5ACE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4" w:type="pct"/>
                  <w:gridSpan w:val="2"/>
                  <w:noWrap w:val="0"/>
                  <w:vAlign w:val="center"/>
                </w:tcPr>
                <w:p w14:paraId="5BBEB3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sz w:val="21"/>
                      <w:szCs w:val="21"/>
                      <w:u w:val="none" w:color="auto"/>
                      <w:lang w:eastAsia="zh-CN"/>
                    </w:rPr>
                  </w:pPr>
                  <w:r>
                    <w:rPr>
                      <w:rFonts w:hint="default" w:ascii="Times New Roman" w:hAnsi="Times New Roman" w:cs="Times New Roman" w:eastAsiaTheme="minorEastAsia"/>
                      <w:color w:val="auto"/>
                      <w:spacing w:val="15"/>
                      <w:sz w:val="21"/>
                      <w:szCs w:val="21"/>
                      <w:u w:val="none" w:color="auto"/>
                    </w:rPr>
                    <w:t>生</w:t>
                  </w:r>
                  <w:r>
                    <w:rPr>
                      <w:rFonts w:hint="default" w:ascii="Times New Roman" w:hAnsi="Times New Roman" w:cs="Times New Roman" w:eastAsiaTheme="minorEastAsia"/>
                      <w:color w:val="auto"/>
                      <w:spacing w:val="8"/>
                      <w:sz w:val="21"/>
                      <w:szCs w:val="21"/>
                      <w:u w:val="none" w:color="auto"/>
                    </w:rPr>
                    <w:t>猪定点屠宰厂</w:t>
                  </w:r>
                  <w:r>
                    <w:rPr>
                      <w:rFonts w:hint="default" w:ascii="Times New Roman" w:hAnsi="Times New Roman" w:cs="Times New Roman" w:eastAsiaTheme="minorEastAsia"/>
                      <w:color w:val="auto"/>
                      <w:spacing w:val="3"/>
                      <w:sz w:val="21"/>
                      <w:szCs w:val="21"/>
                      <w:u w:val="none" w:color="auto"/>
                      <w:lang w:eastAsia="zh-CN"/>
                    </w:rPr>
                    <w:t>（场）</w:t>
                  </w:r>
                  <w:r>
                    <w:rPr>
                      <w:rFonts w:hint="default" w:ascii="Times New Roman" w:hAnsi="Times New Roman" w:cs="Times New Roman" w:eastAsiaTheme="minorEastAsia"/>
                      <w:color w:val="auto"/>
                      <w:spacing w:val="8"/>
                      <w:sz w:val="21"/>
                      <w:szCs w:val="21"/>
                      <w:u w:val="none" w:color="auto"/>
                    </w:rPr>
                    <w:t>应当建立严格的</w:t>
                  </w:r>
                  <w:r>
                    <w:rPr>
                      <w:rFonts w:hint="default" w:ascii="Times New Roman" w:hAnsi="Times New Roman" w:cs="Times New Roman" w:eastAsiaTheme="minorEastAsia"/>
                      <w:color w:val="auto"/>
                      <w:spacing w:val="18"/>
                      <w:sz w:val="21"/>
                      <w:szCs w:val="21"/>
                      <w:u w:val="none" w:color="auto"/>
                    </w:rPr>
                    <w:t>肉</w:t>
                  </w:r>
                  <w:r>
                    <w:rPr>
                      <w:rFonts w:hint="default" w:ascii="Times New Roman" w:hAnsi="Times New Roman" w:cs="Times New Roman" w:eastAsiaTheme="minorEastAsia"/>
                      <w:color w:val="auto"/>
                      <w:spacing w:val="11"/>
                      <w:sz w:val="21"/>
                      <w:szCs w:val="21"/>
                      <w:u w:val="none" w:color="auto"/>
                    </w:rPr>
                    <w:t>品</w:t>
                  </w:r>
                  <w:r>
                    <w:rPr>
                      <w:rFonts w:hint="default" w:ascii="Times New Roman" w:hAnsi="Times New Roman" w:cs="Times New Roman" w:eastAsiaTheme="minorEastAsia"/>
                      <w:color w:val="auto"/>
                      <w:spacing w:val="9"/>
                      <w:sz w:val="21"/>
                      <w:szCs w:val="21"/>
                      <w:u w:val="none" w:color="auto"/>
                    </w:rPr>
                    <w:t>品质检验管理制度。肉品品质检验</w:t>
                  </w:r>
                  <w:r>
                    <w:rPr>
                      <w:rFonts w:hint="default" w:ascii="Times New Roman" w:hAnsi="Times New Roman" w:cs="Times New Roman" w:eastAsiaTheme="minorEastAsia"/>
                      <w:color w:val="auto"/>
                      <w:spacing w:val="18"/>
                      <w:sz w:val="21"/>
                      <w:szCs w:val="21"/>
                      <w:u w:val="none" w:color="auto"/>
                    </w:rPr>
                    <w:t>应</w:t>
                  </w:r>
                  <w:r>
                    <w:rPr>
                      <w:rFonts w:hint="default" w:ascii="Times New Roman" w:hAnsi="Times New Roman" w:cs="Times New Roman" w:eastAsiaTheme="minorEastAsia"/>
                      <w:color w:val="auto"/>
                      <w:spacing w:val="13"/>
                      <w:sz w:val="21"/>
                      <w:szCs w:val="21"/>
                      <w:u w:val="none" w:color="auto"/>
                    </w:rPr>
                    <w:t>当</w:t>
                  </w:r>
                  <w:r>
                    <w:rPr>
                      <w:rFonts w:hint="default" w:ascii="Times New Roman" w:hAnsi="Times New Roman" w:cs="Times New Roman" w:eastAsiaTheme="minorEastAsia"/>
                      <w:color w:val="auto"/>
                      <w:spacing w:val="9"/>
                      <w:sz w:val="21"/>
                      <w:szCs w:val="21"/>
                      <w:u w:val="none" w:color="auto"/>
                    </w:rPr>
                    <w:t>遵守生猪屠宰肉品品质检验规程，</w:t>
                  </w:r>
                  <w:r>
                    <w:rPr>
                      <w:rFonts w:hint="default" w:ascii="Times New Roman" w:hAnsi="Times New Roman" w:cs="Times New Roman" w:eastAsiaTheme="minorEastAsia"/>
                      <w:color w:val="auto"/>
                      <w:spacing w:val="18"/>
                      <w:sz w:val="21"/>
                      <w:szCs w:val="21"/>
                      <w:u w:val="none" w:color="auto"/>
                    </w:rPr>
                    <w:t>与</w:t>
                  </w:r>
                  <w:r>
                    <w:rPr>
                      <w:rFonts w:hint="default" w:ascii="Times New Roman" w:hAnsi="Times New Roman" w:cs="Times New Roman" w:eastAsiaTheme="minorEastAsia"/>
                      <w:color w:val="auto"/>
                      <w:spacing w:val="11"/>
                      <w:sz w:val="21"/>
                      <w:szCs w:val="21"/>
                      <w:u w:val="none" w:color="auto"/>
                    </w:rPr>
                    <w:t>生</w:t>
                  </w:r>
                  <w:r>
                    <w:rPr>
                      <w:rFonts w:hint="default" w:ascii="Times New Roman" w:hAnsi="Times New Roman" w:cs="Times New Roman" w:eastAsiaTheme="minorEastAsia"/>
                      <w:color w:val="auto"/>
                      <w:spacing w:val="9"/>
                      <w:sz w:val="21"/>
                      <w:szCs w:val="21"/>
                      <w:u w:val="none" w:color="auto"/>
                    </w:rPr>
                    <w:t>猪屠宰同步进行，并如实记录检验</w:t>
                  </w:r>
                  <w:r>
                    <w:rPr>
                      <w:rFonts w:hint="default" w:ascii="Times New Roman" w:hAnsi="Times New Roman" w:cs="Times New Roman" w:eastAsiaTheme="minorEastAsia"/>
                      <w:color w:val="auto"/>
                      <w:spacing w:val="18"/>
                      <w:sz w:val="21"/>
                      <w:szCs w:val="21"/>
                      <w:u w:val="none" w:color="auto"/>
                    </w:rPr>
                    <w:t>结</w:t>
                  </w:r>
                  <w:r>
                    <w:rPr>
                      <w:rFonts w:hint="default" w:ascii="Times New Roman" w:hAnsi="Times New Roman" w:cs="Times New Roman" w:eastAsiaTheme="minorEastAsia"/>
                      <w:color w:val="auto"/>
                      <w:spacing w:val="11"/>
                      <w:sz w:val="21"/>
                      <w:szCs w:val="21"/>
                      <w:u w:val="none" w:color="auto"/>
                    </w:rPr>
                    <w:t>果</w:t>
                  </w:r>
                  <w:r>
                    <w:rPr>
                      <w:rFonts w:hint="default" w:ascii="Times New Roman" w:hAnsi="Times New Roman" w:cs="Times New Roman" w:eastAsiaTheme="minorEastAsia"/>
                      <w:color w:val="auto"/>
                      <w:spacing w:val="9"/>
                      <w:sz w:val="21"/>
                      <w:szCs w:val="21"/>
                      <w:u w:val="none" w:color="auto"/>
                    </w:rPr>
                    <w:t>。检验结果记录保存期限不得少于</w:t>
                  </w:r>
                  <w:r>
                    <w:rPr>
                      <w:rFonts w:hint="default" w:ascii="Times New Roman" w:hAnsi="Times New Roman" w:cs="Times New Roman" w:eastAsiaTheme="minorEastAsia"/>
                      <w:color w:val="auto"/>
                      <w:sz w:val="21"/>
                      <w:szCs w:val="21"/>
                      <w:u w:val="none" w:color="auto"/>
                      <w:lang w:val="en-US" w:eastAsia="zh-CN"/>
                    </w:rPr>
                    <w:t>2</w:t>
                  </w:r>
                  <w:r>
                    <w:rPr>
                      <w:rFonts w:hint="default" w:ascii="Times New Roman" w:hAnsi="Times New Roman" w:cs="Times New Roman" w:eastAsiaTheme="minorEastAsia"/>
                      <w:color w:val="auto"/>
                      <w:spacing w:val="4"/>
                      <w:sz w:val="21"/>
                      <w:szCs w:val="21"/>
                      <w:u w:val="none" w:color="auto"/>
                    </w:rPr>
                    <w:t>年</w:t>
                  </w:r>
                  <w:r>
                    <w:rPr>
                      <w:rFonts w:hint="default" w:ascii="Times New Roman" w:hAnsi="Times New Roman" w:cs="Times New Roman" w:eastAsiaTheme="minorEastAsia"/>
                      <w:color w:val="auto"/>
                      <w:spacing w:val="4"/>
                      <w:sz w:val="21"/>
                      <w:szCs w:val="21"/>
                      <w:u w:val="none" w:color="auto"/>
                      <w:lang w:eastAsia="zh-CN"/>
                    </w:rPr>
                    <w:t>。</w:t>
                  </w:r>
                </w:p>
              </w:tc>
              <w:tc>
                <w:tcPr>
                  <w:tcW w:w="1934" w:type="pct"/>
                  <w:noWrap w:val="0"/>
                  <w:vAlign w:val="center"/>
                </w:tcPr>
                <w:p w14:paraId="71EBAF1C">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color w:val="auto"/>
                      <w:spacing w:val="14"/>
                      <w:sz w:val="21"/>
                      <w:szCs w:val="21"/>
                      <w:u w:val="none" w:color="auto"/>
                      <w:lang w:eastAsia="zh-CN"/>
                    </w:rPr>
                  </w:pPr>
                  <w:r>
                    <w:rPr>
                      <w:rFonts w:hint="default" w:ascii="Times New Roman" w:hAnsi="Times New Roman" w:cs="Times New Roman" w:eastAsiaTheme="minorEastAsia"/>
                      <w:color w:val="auto"/>
                      <w:spacing w:val="14"/>
                      <w:sz w:val="21"/>
                      <w:szCs w:val="21"/>
                      <w:u w:val="none" w:color="auto"/>
                    </w:rPr>
                    <w:t>项</w:t>
                  </w:r>
                  <w:r>
                    <w:rPr>
                      <w:rFonts w:hint="default" w:ascii="Times New Roman" w:hAnsi="Times New Roman" w:cs="Times New Roman" w:eastAsiaTheme="minorEastAsia"/>
                      <w:color w:val="auto"/>
                      <w:spacing w:val="8"/>
                      <w:sz w:val="21"/>
                      <w:szCs w:val="21"/>
                      <w:u w:val="none" w:color="auto"/>
                    </w:rPr>
                    <w:t>目建成运营后将建立</w:t>
                  </w:r>
                  <w:r>
                    <w:rPr>
                      <w:rFonts w:hint="default" w:ascii="Times New Roman" w:hAnsi="Times New Roman" w:cs="Times New Roman" w:eastAsiaTheme="minorEastAsia"/>
                      <w:color w:val="auto"/>
                      <w:spacing w:val="9"/>
                      <w:sz w:val="21"/>
                      <w:szCs w:val="21"/>
                      <w:u w:val="none" w:color="auto"/>
                    </w:rPr>
                    <w:t>严格的肉品品质检验</w:t>
                  </w:r>
                  <w:r>
                    <w:rPr>
                      <w:rFonts w:hint="default" w:ascii="Times New Roman" w:hAnsi="Times New Roman" w:cs="Times New Roman" w:eastAsiaTheme="minorEastAsia"/>
                      <w:color w:val="auto"/>
                      <w:spacing w:val="7"/>
                      <w:sz w:val="21"/>
                      <w:szCs w:val="21"/>
                      <w:u w:val="none" w:color="auto"/>
                    </w:rPr>
                    <w:t>管</w:t>
                  </w:r>
                  <w:r>
                    <w:rPr>
                      <w:rFonts w:hint="default" w:ascii="Times New Roman" w:hAnsi="Times New Roman" w:cs="Times New Roman" w:eastAsiaTheme="minorEastAsia"/>
                      <w:color w:val="auto"/>
                      <w:spacing w:val="15"/>
                      <w:sz w:val="21"/>
                      <w:szCs w:val="21"/>
                      <w:u w:val="none" w:color="auto"/>
                    </w:rPr>
                    <w:t>理</w:t>
                  </w:r>
                  <w:r>
                    <w:rPr>
                      <w:rFonts w:hint="default" w:ascii="Times New Roman" w:hAnsi="Times New Roman" w:cs="Times New Roman" w:eastAsiaTheme="minorEastAsia"/>
                      <w:color w:val="auto"/>
                      <w:spacing w:val="8"/>
                      <w:sz w:val="21"/>
                      <w:szCs w:val="21"/>
                      <w:u w:val="none" w:color="auto"/>
                    </w:rPr>
                    <w:t>制度，且将检验结果</w:t>
                  </w:r>
                  <w:r>
                    <w:rPr>
                      <w:rFonts w:hint="default" w:ascii="Times New Roman" w:hAnsi="Times New Roman" w:cs="Times New Roman" w:eastAsiaTheme="minorEastAsia"/>
                      <w:color w:val="auto"/>
                      <w:spacing w:val="9"/>
                      <w:sz w:val="21"/>
                      <w:szCs w:val="21"/>
                      <w:u w:val="none" w:color="auto"/>
                    </w:rPr>
                    <w:t>记录保存期限不得少于</w:t>
                  </w:r>
                  <w:r>
                    <w:rPr>
                      <w:rFonts w:hint="default" w:ascii="Times New Roman" w:hAnsi="Times New Roman" w:cs="Times New Roman" w:eastAsiaTheme="minorEastAsia"/>
                      <w:color w:val="auto"/>
                      <w:spacing w:val="4"/>
                      <w:sz w:val="21"/>
                      <w:szCs w:val="21"/>
                      <w:u w:val="none" w:color="auto"/>
                    </w:rPr>
                    <w:t>2</w:t>
                  </w:r>
                  <w:r>
                    <w:rPr>
                      <w:rFonts w:hint="default" w:ascii="Times New Roman" w:hAnsi="Times New Roman" w:cs="Times New Roman" w:eastAsiaTheme="minorEastAsia"/>
                      <w:color w:val="auto"/>
                      <w:spacing w:val="3"/>
                      <w:sz w:val="21"/>
                      <w:szCs w:val="21"/>
                      <w:u w:val="none" w:color="auto"/>
                    </w:rPr>
                    <w:t>年</w:t>
                  </w:r>
                  <w:r>
                    <w:rPr>
                      <w:rFonts w:hint="default" w:ascii="Times New Roman" w:hAnsi="Times New Roman" w:cs="Times New Roman" w:eastAsiaTheme="minorEastAsia"/>
                      <w:color w:val="auto"/>
                      <w:spacing w:val="3"/>
                      <w:sz w:val="21"/>
                      <w:szCs w:val="21"/>
                      <w:u w:val="none" w:color="auto"/>
                      <w:lang w:eastAsia="zh-CN"/>
                    </w:rPr>
                    <w:t>。</w:t>
                  </w:r>
                </w:p>
              </w:tc>
              <w:tc>
                <w:tcPr>
                  <w:tcW w:w="461" w:type="pct"/>
                  <w:noWrap w:val="0"/>
                  <w:vAlign w:val="center"/>
                </w:tcPr>
                <w:p w14:paraId="24317894">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4"/>
                      <w:sz w:val="21"/>
                      <w:szCs w:val="21"/>
                      <w:u w:val="none" w:color="auto"/>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2C6B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2604" w:type="pct"/>
                  <w:gridSpan w:val="2"/>
                  <w:noWrap w:val="0"/>
                  <w:vAlign w:val="center"/>
                </w:tcPr>
                <w:p w14:paraId="3F6A2A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sz w:val="21"/>
                      <w:szCs w:val="21"/>
                      <w:u w:val="none" w:color="auto"/>
                      <w:lang w:eastAsia="zh-CN"/>
                    </w:rPr>
                  </w:pPr>
                  <w:r>
                    <w:rPr>
                      <w:rFonts w:hint="default" w:ascii="Times New Roman" w:hAnsi="Times New Roman" w:cs="Times New Roman" w:eastAsiaTheme="minorEastAsia"/>
                      <w:color w:val="auto"/>
                      <w:spacing w:val="15"/>
                      <w:sz w:val="21"/>
                      <w:szCs w:val="21"/>
                      <w:u w:val="none" w:color="auto"/>
                    </w:rPr>
                    <w:t>严</w:t>
                  </w:r>
                  <w:r>
                    <w:rPr>
                      <w:rFonts w:hint="default" w:ascii="Times New Roman" w:hAnsi="Times New Roman" w:cs="Times New Roman" w:eastAsiaTheme="minorEastAsia"/>
                      <w:color w:val="auto"/>
                      <w:spacing w:val="8"/>
                      <w:sz w:val="21"/>
                      <w:szCs w:val="21"/>
                      <w:u w:val="none" w:color="auto"/>
                    </w:rPr>
                    <w:t>禁生猪定点屠宰厂</w:t>
                  </w:r>
                  <w:r>
                    <w:rPr>
                      <w:rFonts w:hint="default" w:ascii="Times New Roman" w:hAnsi="Times New Roman" w:cs="Times New Roman" w:eastAsiaTheme="minorEastAsia"/>
                      <w:color w:val="auto"/>
                      <w:spacing w:val="3"/>
                      <w:sz w:val="21"/>
                      <w:szCs w:val="21"/>
                      <w:u w:val="none" w:color="auto"/>
                      <w:lang w:eastAsia="zh-CN"/>
                    </w:rPr>
                    <w:t>（场）</w:t>
                  </w:r>
                  <w:r>
                    <w:rPr>
                      <w:rFonts w:hint="default" w:ascii="Times New Roman" w:hAnsi="Times New Roman" w:cs="Times New Roman" w:eastAsiaTheme="minorEastAsia"/>
                      <w:color w:val="auto"/>
                      <w:spacing w:val="8"/>
                      <w:sz w:val="21"/>
                      <w:szCs w:val="21"/>
                      <w:u w:val="none" w:color="auto"/>
                    </w:rPr>
                    <w:t>以及其他任</w:t>
                  </w:r>
                  <w:r>
                    <w:rPr>
                      <w:rFonts w:hint="default" w:ascii="Times New Roman" w:hAnsi="Times New Roman" w:cs="Times New Roman" w:eastAsiaTheme="minorEastAsia"/>
                      <w:color w:val="auto"/>
                      <w:spacing w:val="15"/>
                      <w:sz w:val="21"/>
                      <w:szCs w:val="21"/>
                      <w:u w:val="none" w:color="auto"/>
                    </w:rPr>
                    <w:t>何</w:t>
                  </w:r>
                  <w:r>
                    <w:rPr>
                      <w:rFonts w:hint="default" w:ascii="Times New Roman" w:hAnsi="Times New Roman" w:cs="Times New Roman" w:eastAsiaTheme="minorEastAsia"/>
                      <w:color w:val="auto"/>
                      <w:spacing w:val="9"/>
                      <w:sz w:val="21"/>
                      <w:szCs w:val="21"/>
                      <w:u w:val="none" w:color="auto"/>
                    </w:rPr>
                    <w:t>单位和个人对生猪、生猪产品注水或</w:t>
                  </w:r>
                  <w:r>
                    <w:rPr>
                      <w:rFonts w:hint="default" w:ascii="Times New Roman" w:hAnsi="Times New Roman" w:cs="Times New Roman" w:eastAsiaTheme="minorEastAsia"/>
                      <w:color w:val="auto"/>
                      <w:spacing w:val="11"/>
                      <w:sz w:val="21"/>
                      <w:szCs w:val="21"/>
                      <w:u w:val="none" w:color="auto"/>
                    </w:rPr>
                    <w:t>者</w:t>
                  </w:r>
                  <w:r>
                    <w:rPr>
                      <w:rFonts w:hint="default" w:ascii="Times New Roman" w:hAnsi="Times New Roman" w:cs="Times New Roman" w:eastAsiaTheme="minorEastAsia"/>
                      <w:color w:val="auto"/>
                      <w:spacing w:val="8"/>
                      <w:sz w:val="21"/>
                      <w:szCs w:val="21"/>
                      <w:u w:val="none" w:color="auto"/>
                    </w:rPr>
                    <w:t>注入其他物质</w:t>
                  </w:r>
                  <w:r>
                    <w:rPr>
                      <w:rFonts w:hint="default" w:ascii="Times New Roman" w:hAnsi="Times New Roman" w:cs="Times New Roman" w:eastAsiaTheme="minorEastAsia"/>
                      <w:color w:val="auto"/>
                      <w:spacing w:val="8"/>
                      <w:sz w:val="21"/>
                      <w:szCs w:val="21"/>
                      <w:u w:val="none" w:color="auto"/>
                      <w:lang w:eastAsia="zh-CN"/>
                    </w:rPr>
                    <w:t>。</w:t>
                  </w:r>
                </w:p>
              </w:tc>
              <w:tc>
                <w:tcPr>
                  <w:tcW w:w="1934" w:type="pct"/>
                  <w:noWrap w:val="0"/>
                  <w:vAlign w:val="center"/>
                </w:tcPr>
                <w:p w14:paraId="78C33AB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9"/>
                      <w:sz w:val="21"/>
                      <w:szCs w:val="21"/>
                      <w:u w:val="none" w:color="auto"/>
                      <w:lang w:eastAsia="zh-CN"/>
                    </w:rPr>
                  </w:pPr>
                  <w:r>
                    <w:rPr>
                      <w:rFonts w:hint="default" w:ascii="Times New Roman" w:hAnsi="Times New Roman" w:cs="Times New Roman" w:eastAsiaTheme="minorEastAsia"/>
                      <w:color w:val="auto"/>
                      <w:spacing w:val="9"/>
                      <w:sz w:val="21"/>
                      <w:szCs w:val="21"/>
                      <w:u w:val="none" w:color="auto"/>
                    </w:rPr>
                    <w:t>项目运营后在生</w:t>
                  </w:r>
                  <w:r>
                    <w:rPr>
                      <w:rFonts w:hint="default" w:ascii="Times New Roman" w:hAnsi="Times New Roman" w:cs="Times New Roman" w:eastAsiaTheme="minorEastAsia"/>
                      <w:color w:val="auto"/>
                      <w:spacing w:val="8"/>
                      <w:sz w:val="21"/>
                      <w:szCs w:val="21"/>
                      <w:u w:val="none" w:color="auto"/>
                    </w:rPr>
                    <w:t>产</w:t>
                  </w:r>
                  <w:r>
                    <w:rPr>
                      <w:rFonts w:hint="default" w:ascii="Times New Roman" w:hAnsi="Times New Roman" w:cs="Times New Roman" w:eastAsiaTheme="minorEastAsia"/>
                      <w:color w:val="auto"/>
                      <w:spacing w:val="9"/>
                      <w:sz w:val="21"/>
                      <w:szCs w:val="21"/>
                      <w:u w:val="none" w:color="auto"/>
                    </w:rPr>
                    <w:t>过程中严格落实此项</w:t>
                  </w:r>
                  <w:r>
                    <w:rPr>
                      <w:rFonts w:hint="default" w:ascii="Times New Roman" w:hAnsi="Times New Roman" w:cs="Times New Roman" w:eastAsiaTheme="minorEastAsia"/>
                      <w:color w:val="auto"/>
                      <w:spacing w:val="7"/>
                      <w:sz w:val="21"/>
                      <w:szCs w:val="21"/>
                      <w:u w:val="none" w:color="auto"/>
                    </w:rPr>
                    <w:t>规</w:t>
                  </w:r>
                  <w:r>
                    <w:rPr>
                      <w:rFonts w:hint="default" w:ascii="Times New Roman" w:hAnsi="Times New Roman" w:cs="Times New Roman" w:eastAsiaTheme="minorEastAsia"/>
                      <w:color w:val="auto"/>
                      <w:spacing w:val="8"/>
                      <w:sz w:val="21"/>
                      <w:szCs w:val="21"/>
                      <w:u w:val="none" w:color="auto"/>
                    </w:rPr>
                    <w:t>定，不进行屠宰注水</w:t>
                  </w:r>
                  <w:r>
                    <w:rPr>
                      <w:rFonts w:hint="default" w:ascii="Times New Roman" w:hAnsi="Times New Roman" w:cs="Times New Roman" w:eastAsiaTheme="minorEastAsia"/>
                      <w:color w:val="auto"/>
                      <w:spacing w:val="8"/>
                      <w:sz w:val="21"/>
                      <w:szCs w:val="21"/>
                      <w:u w:val="none" w:color="auto"/>
                      <w:lang w:eastAsia="zh-CN"/>
                    </w:rPr>
                    <w:t>，</w:t>
                  </w:r>
                  <w:r>
                    <w:rPr>
                      <w:rFonts w:hint="default" w:ascii="Times New Roman" w:hAnsi="Times New Roman" w:cs="Times New Roman" w:eastAsiaTheme="minorEastAsia"/>
                      <w:color w:val="auto"/>
                      <w:spacing w:val="9"/>
                      <w:sz w:val="21"/>
                      <w:szCs w:val="21"/>
                      <w:u w:val="none" w:color="auto"/>
                    </w:rPr>
                    <w:t>也不注入其他物质</w:t>
                  </w:r>
                  <w:r>
                    <w:rPr>
                      <w:rFonts w:hint="default" w:ascii="Times New Roman" w:hAnsi="Times New Roman" w:cs="Times New Roman" w:eastAsiaTheme="minorEastAsia"/>
                      <w:color w:val="auto"/>
                      <w:spacing w:val="9"/>
                      <w:sz w:val="21"/>
                      <w:szCs w:val="21"/>
                      <w:u w:val="none" w:color="auto"/>
                      <w:lang w:eastAsia="zh-CN"/>
                    </w:rPr>
                    <w:t>。</w:t>
                  </w:r>
                </w:p>
              </w:tc>
              <w:tc>
                <w:tcPr>
                  <w:tcW w:w="461" w:type="pct"/>
                  <w:noWrap w:val="0"/>
                  <w:vAlign w:val="center"/>
                </w:tcPr>
                <w:p w14:paraId="3125B08B">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4"/>
                      <w:sz w:val="21"/>
                      <w:szCs w:val="21"/>
                      <w:u w:val="none" w:color="auto"/>
                    </w:rPr>
                  </w:pPr>
                  <w:r>
                    <w:rPr>
                      <w:rFonts w:hint="default" w:ascii="Times New Roman" w:hAnsi="Times New Roman" w:cs="Times New Roman" w:eastAsiaTheme="minorEastAsia"/>
                      <w:color w:val="auto"/>
                      <w:spacing w:val="4"/>
                      <w:sz w:val="21"/>
                      <w:szCs w:val="21"/>
                      <w:u w:val="none" w:color="auto"/>
                    </w:rPr>
                    <w:t>符</w:t>
                  </w:r>
                  <w:r>
                    <w:rPr>
                      <w:rFonts w:hint="default" w:ascii="Times New Roman" w:hAnsi="Times New Roman" w:cs="Times New Roman" w:eastAsiaTheme="minorEastAsia"/>
                      <w:color w:val="auto"/>
                      <w:spacing w:val="3"/>
                      <w:sz w:val="21"/>
                      <w:szCs w:val="21"/>
                      <w:u w:val="none" w:color="auto"/>
                    </w:rPr>
                    <w:t>合</w:t>
                  </w:r>
                </w:p>
              </w:tc>
            </w:tr>
            <w:tr w14:paraId="023F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noWrap w:val="0"/>
                  <w:vAlign w:val="center"/>
                </w:tcPr>
                <w:p w14:paraId="1D22242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sz w:val="21"/>
                      <w:szCs w:val="21"/>
                      <w:u w:val="none" w:color="auto"/>
                    </w:rPr>
                  </w:pPr>
                  <w:r>
                    <w:rPr>
                      <w:rFonts w:hint="default" w:ascii="Times New Roman" w:hAnsi="Times New Roman" w:eastAsia="宋体" w:cs="Times New Roman"/>
                      <w:color w:val="auto"/>
                      <w:sz w:val="21"/>
                      <w:szCs w:val="21"/>
                      <w:u w:val="none" w:color="auto"/>
                      <w:vertAlign w:val="baseline"/>
                      <w:lang w:val="en-US" w:eastAsia="zh-CN"/>
                    </w:rPr>
                    <w:t>注：本次分析仅列举</w:t>
                  </w:r>
                  <w:r>
                    <w:rPr>
                      <w:rFonts w:hint="default" w:ascii="Times New Roman" w:hAnsi="Times New Roman" w:eastAsia="宋体" w:cs="Times New Roman"/>
                      <w:color w:val="auto"/>
                      <w:sz w:val="21"/>
                      <w:szCs w:val="21"/>
                      <w:u w:val="none" w:color="auto"/>
                    </w:rPr>
                    <w:t>《生猪屠宰管理条例》</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2021修订</w:t>
                  </w:r>
                  <w:r>
                    <w:rPr>
                      <w:rFonts w:hint="default"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vertAlign w:val="baseline"/>
                      <w:lang w:val="en-US" w:eastAsia="zh-CN"/>
                    </w:rPr>
                    <w:t>中与本项目有关的内容。</w:t>
                  </w:r>
                </w:p>
              </w:tc>
            </w:tr>
          </w:tbl>
          <w:p w14:paraId="239EFC32">
            <w:pPr>
              <w:keepNext w:val="0"/>
              <w:keepLines w:val="0"/>
              <w:pageBreakBefore w:val="0"/>
              <w:widowControl w:val="0"/>
              <w:tabs>
                <w:tab w:val="left" w:pos="126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本项目符合生猪屠宰管理条例里中的定点屠宰的各项规定，因此本项目的建设与《生猪屠宰管理条例》</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2021修订</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是相符的。</w:t>
            </w:r>
          </w:p>
          <w:p w14:paraId="35DA1034">
            <w:pPr>
              <w:widowControl/>
              <w:adjustRightInd/>
              <w:snapToGrid/>
              <w:spacing w:line="360" w:lineRule="auto"/>
              <w:ind w:firstLine="0" w:firstLineChars="0"/>
              <w:rPr>
                <w:rFonts w:hint="eastAsia" w:ascii="黑体" w:hAnsi="黑体" w:eastAsia="黑体" w:cs="黑体"/>
                <w:b/>
                <w:bCs/>
                <w:snapToGrid/>
                <w:color w:val="auto"/>
                <w:kern w:val="2"/>
                <w:sz w:val="24"/>
                <w:u w:val="none" w:color="auto"/>
              </w:rPr>
            </w:pPr>
            <w:r>
              <w:rPr>
                <w:rFonts w:hint="eastAsia" w:ascii="黑体" w:hAnsi="黑体" w:eastAsia="黑体" w:cs="黑体"/>
                <w:b/>
                <w:bCs/>
                <w:snapToGrid/>
                <w:color w:val="auto"/>
                <w:kern w:val="2"/>
                <w:sz w:val="24"/>
                <w:u w:val="none" w:color="auto"/>
                <w:lang w:val="en-US" w:eastAsia="zh-CN"/>
              </w:rPr>
              <w:t>4</w:t>
            </w:r>
            <w:r>
              <w:rPr>
                <w:rFonts w:hint="eastAsia" w:ascii="黑体" w:hAnsi="黑体" w:eastAsia="黑体" w:cs="黑体"/>
                <w:b/>
                <w:bCs/>
                <w:snapToGrid/>
                <w:color w:val="auto"/>
                <w:kern w:val="2"/>
                <w:sz w:val="24"/>
                <w:u w:val="none" w:color="auto"/>
                <w:lang w:eastAsia="zh-CN"/>
              </w:rPr>
              <w:t>、</w:t>
            </w:r>
            <w:r>
              <w:rPr>
                <w:rFonts w:hint="eastAsia" w:ascii="黑体" w:hAnsi="黑体" w:eastAsia="黑体" w:cs="黑体"/>
                <w:b/>
                <w:bCs/>
                <w:snapToGrid/>
                <w:color w:val="auto"/>
                <w:kern w:val="2"/>
                <w:sz w:val="24"/>
                <w:u w:val="none" w:color="auto"/>
              </w:rPr>
              <w:t>与《生猪屠宰</w:t>
            </w:r>
            <w:r>
              <w:rPr>
                <w:rFonts w:hint="eastAsia" w:ascii="黑体" w:hAnsi="黑体" w:eastAsia="黑体" w:cs="黑体"/>
                <w:b/>
                <w:bCs/>
                <w:snapToGrid/>
                <w:color w:val="auto"/>
                <w:kern w:val="2"/>
                <w:sz w:val="24"/>
                <w:u w:val="none" w:color="auto"/>
                <w:lang w:val="en-US" w:eastAsia="zh-CN"/>
              </w:rPr>
              <w:t>质量</w:t>
            </w:r>
            <w:r>
              <w:rPr>
                <w:rFonts w:hint="eastAsia" w:ascii="黑体" w:hAnsi="黑体" w:eastAsia="黑体" w:cs="黑体"/>
                <w:b/>
                <w:bCs/>
                <w:snapToGrid/>
                <w:color w:val="auto"/>
                <w:kern w:val="2"/>
                <w:sz w:val="24"/>
                <w:u w:val="none" w:color="auto"/>
              </w:rPr>
              <w:t>管理</w:t>
            </w:r>
            <w:r>
              <w:rPr>
                <w:rFonts w:hint="eastAsia" w:ascii="黑体" w:hAnsi="黑体" w:eastAsia="黑体" w:cs="黑体"/>
                <w:b/>
                <w:bCs/>
                <w:snapToGrid/>
                <w:color w:val="auto"/>
                <w:kern w:val="2"/>
                <w:sz w:val="24"/>
                <w:u w:val="none" w:color="auto"/>
                <w:lang w:val="en-US" w:eastAsia="zh-CN"/>
              </w:rPr>
              <w:t>规范</w:t>
            </w:r>
            <w:r>
              <w:rPr>
                <w:rFonts w:hint="eastAsia" w:ascii="黑体" w:hAnsi="黑体" w:eastAsia="黑体" w:cs="黑体"/>
                <w:b/>
                <w:bCs/>
                <w:snapToGrid/>
                <w:color w:val="auto"/>
                <w:kern w:val="2"/>
                <w:sz w:val="24"/>
                <w:u w:val="none" w:color="auto"/>
              </w:rPr>
              <w:t>》(中华人民共和国</w:t>
            </w:r>
            <w:r>
              <w:rPr>
                <w:rFonts w:hint="eastAsia" w:ascii="黑体" w:hAnsi="黑体" w:eastAsia="黑体" w:cs="黑体"/>
                <w:b/>
                <w:bCs/>
                <w:snapToGrid/>
                <w:color w:val="auto"/>
                <w:kern w:val="2"/>
                <w:sz w:val="24"/>
                <w:u w:val="none" w:color="auto"/>
                <w:lang w:val="en-US" w:eastAsia="zh-CN"/>
              </w:rPr>
              <w:t>农业农村部公告</w:t>
            </w:r>
            <w:r>
              <w:rPr>
                <w:rFonts w:hint="eastAsia" w:ascii="黑体" w:hAnsi="黑体" w:eastAsia="黑体" w:cs="黑体"/>
                <w:b/>
                <w:bCs/>
                <w:snapToGrid/>
                <w:color w:val="auto"/>
                <w:kern w:val="2"/>
                <w:sz w:val="24"/>
                <w:u w:val="none" w:color="auto"/>
              </w:rPr>
              <w:t>第7</w:t>
            </w:r>
            <w:r>
              <w:rPr>
                <w:rFonts w:hint="eastAsia" w:ascii="黑体" w:hAnsi="黑体" w:eastAsia="黑体" w:cs="黑体"/>
                <w:b/>
                <w:bCs/>
                <w:snapToGrid/>
                <w:color w:val="auto"/>
                <w:kern w:val="2"/>
                <w:sz w:val="24"/>
                <w:u w:val="none" w:color="auto"/>
                <w:lang w:val="en-US" w:eastAsia="zh-CN"/>
              </w:rPr>
              <w:t>10</w:t>
            </w:r>
            <w:r>
              <w:rPr>
                <w:rFonts w:hint="eastAsia" w:ascii="黑体" w:hAnsi="黑体" w:eastAsia="黑体" w:cs="黑体"/>
                <w:b/>
                <w:bCs/>
                <w:snapToGrid/>
                <w:color w:val="auto"/>
                <w:kern w:val="2"/>
                <w:sz w:val="24"/>
                <w:u w:val="none" w:color="auto"/>
              </w:rPr>
              <w:t>号)相符性分析</w:t>
            </w:r>
          </w:p>
          <w:p w14:paraId="209FED6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snapToGrid/>
                <w:color w:val="auto"/>
                <w:kern w:val="2"/>
                <w:sz w:val="24"/>
                <w:szCs w:val="24"/>
                <w:u w:val="none" w:color="auto"/>
              </w:rPr>
            </w:pPr>
            <w:r>
              <w:rPr>
                <w:rFonts w:hint="default" w:ascii="Times New Roman" w:hAnsi="Times New Roman" w:eastAsia="宋体" w:cs="Times New Roman"/>
                <w:b w:val="0"/>
                <w:snapToGrid/>
                <w:color w:val="auto"/>
                <w:kern w:val="2"/>
                <w:sz w:val="24"/>
                <w:szCs w:val="24"/>
                <w:u w:val="none" w:color="auto"/>
              </w:rPr>
              <w:t>表</w:t>
            </w:r>
            <w:r>
              <w:rPr>
                <w:rFonts w:hint="eastAsia" w:cs="Times New Roman"/>
                <w:b w:val="0"/>
                <w:snapToGrid/>
                <w:color w:val="auto"/>
                <w:kern w:val="2"/>
                <w:sz w:val="24"/>
                <w:szCs w:val="24"/>
                <w:u w:val="none" w:color="auto"/>
                <w:lang w:val="en-US" w:eastAsia="zh-CN"/>
              </w:rPr>
              <w:t>7</w:t>
            </w:r>
            <w:r>
              <w:rPr>
                <w:rFonts w:hint="default" w:ascii="Times New Roman" w:hAnsi="Times New Roman" w:eastAsia="宋体" w:cs="Times New Roman"/>
                <w:b w:val="0"/>
                <w:snapToGrid/>
                <w:color w:val="auto"/>
                <w:kern w:val="2"/>
                <w:sz w:val="24"/>
                <w:szCs w:val="24"/>
                <w:u w:val="none" w:color="auto"/>
                <w:lang w:val="en-US" w:eastAsia="zh-CN"/>
              </w:rPr>
              <w:t xml:space="preserve"> </w:t>
            </w:r>
            <w:r>
              <w:rPr>
                <w:rFonts w:hint="default" w:ascii="Times New Roman" w:hAnsi="Times New Roman" w:eastAsia="宋体" w:cs="Times New Roman"/>
                <w:b w:val="0"/>
                <w:snapToGrid/>
                <w:color w:val="auto"/>
                <w:kern w:val="2"/>
                <w:sz w:val="24"/>
                <w:szCs w:val="24"/>
                <w:u w:val="none" w:color="auto"/>
                <w:lang w:eastAsia="zh-CN"/>
              </w:rPr>
              <w:t>本项目</w:t>
            </w:r>
            <w:r>
              <w:rPr>
                <w:rFonts w:hint="default" w:ascii="Times New Roman" w:hAnsi="Times New Roman" w:eastAsia="宋体" w:cs="Times New Roman"/>
                <w:b w:val="0"/>
                <w:snapToGrid/>
                <w:color w:val="auto"/>
                <w:kern w:val="2"/>
                <w:sz w:val="24"/>
                <w:szCs w:val="24"/>
                <w:u w:val="none" w:color="auto"/>
              </w:rPr>
              <w:t>与《生猪屠宰</w:t>
            </w:r>
            <w:r>
              <w:rPr>
                <w:rFonts w:hint="eastAsia" w:ascii="Times New Roman" w:hAnsi="Times New Roman" w:eastAsia="宋体" w:cs="Times New Roman"/>
                <w:b w:val="0"/>
                <w:snapToGrid/>
                <w:color w:val="auto"/>
                <w:kern w:val="2"/>
                <w:sz w:val="24"/>
                <w:szCs w:val="24"/>
                <w:u w:val="none" w:color="auto"/>
                <w:lang w:val="en-US" w:eastAsia="zh-CN"/>
              </w:rPr>
              <w:t>质量</w:t>
            </w:r>
            <w:r>
              <w:rPr>
                <w:rFonts w:hint="default" w:ascii="Times New Roman" w:hAnsi="Times New Roman" w:eastAsia="宋体" w:cs="Times New Roman"/>
                <w:b w:val="0"/>
                <w:snapToGrid/>
                <w:color w:val="auto"/>
                <w:kern w:val="2"/>
                <w:sz w:val="24"/>
                <w:szCs w:val="24"/>
                <w:u w:val="none" w:color="auto"/>
              </w:rPr>
              <w:t>管理</w:t>
            </w:r>
            <w:r>
              <w:rPr>
                <w:rFonts w:hint="eastAsia" w:ascii="Times New Roman" w:hAnsi="Times New Roman" w:eastAsia="宋体" w:cs="Times New Roman"/>
                <w:b w:val="0"/>
                <w:snapToGrid/>
                <w:color w:val="auto"/>
                <w:kern w:val="2"/>
                <w:sz w:val="24"/>
                <w:szCs w:val="24"/>
                <w:u w:val="none" w:color="auto"/>
                <w:lang w:val="en-US" w:eastAsia="zh-CN"/>
              </w:rPr>
              <w:t>规范</w:t>
            </w:r>
            <w:r>
              <w:rPr>
                <w:rFonts w:hint="default" w:ascii="Times New Roman" w:hAnsi="Times New Roman" w:eastAsia="宋体" w:cs="Times New Roman"/>
                <w:b w:val="0"/>
                <w:snapToGrid/>
                <w:color w:val="auto"/>
                <w:kern w:val="2"/>
                <w:sz w:val="24"/>
                <w:szCs w:val="24"/>
                <w:u w:val="none" w:color="auto"/>
              </w:rPr>
              <w:t>》相符性分析表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3"/>
              <w:gridCol w:w="2376"/>
              <w:gridCol w:w="768"/>
            </w:tblGrid>
            <w:tr w14:paraId="4237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2EA9ADE2">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default" w:ascii="Times New Roman" w:hAnsi="Times New Roman" w:cs="Times New Roman" w:eastAsiaTheme="minorEastAsia"/>
                      <w:color w:val="auto"/>
                      <w:spacing w:val="7"/>
                      <w:sz w:val="21"/>
                      <w:szCs w:val="21"/>
                      <w:u w:val="single" w:color="auto"/>
                    </w:rPr>
                    <w:t>文件要</w:t>
                  </w:r>
                  <w:r>
                    <w:rPr>
                      <w:rFonts w:hint="default" w:ascii="Times New Roman" w:hAnsi="Times New Roman" w:cs="Times New Roman" w:eastAsiaTheme="minorEastAsia"/>
                      <w:color w:val="auto"/>
                      <w:spacing w:val="6"/>
                      <w:sz w:val="21"/>
                      <w:szCs w:val="21"/>
                      <w:u w:val="single" w:color="auto"/>
                    </w:rPr>
                    <w:t>求</w:t>
                  </w:r>
                </w:p>
              </w:tc>
              <w:tc>
                <w:tcPr>
                  <w:tcW w:w="1510" w:type="pct"/>
                  <w:noWrap w:val="0"/>
                  <w:vAlign w:val="center"/>
                </w:tcPr>
                <w:p w14:paraId="02B9505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default" w:ascii="Times New Roman" w:hAnsi="Times New Roman" w:cs="Times New Roman" w:eastAsiaTheme="minorEastAsia"/>
                      <w:color w:val="auto"/>
                      <w:spacing w:val="8"/>
                      <w:sz w:val="21"/>
                      <w:szCs w:val="21"/>
                      <w:u w:val="single" w:color="auto"/>
                    </w:rPr>
                    <w:t>本项目情</w:t>
                  </w:r>
                  <w:r>
                    <w:rPr>
                      <w:rFonts w:hint="default" w:ascii="Times New Roman" w:hAnsi="Times New Roman" w:cs="Times New Roman" w:eastAsiaTheme="minorEastAsia"/>
                      <w:color w:val="auto"/>
                      <w:spacing w:val="7"/>
                      <w:sz w:val="21"/>
                      <w:szCs w:val="21"/>
                      <w:u w:val="single" w:color="auto"/>
                    </w:rPr>
                    <w:t>况</w:t>
                  </w:r>
                </w:p>
              </w:tc>
              <w:tc>
                <w:tcPr>
                  <w:tcW w:w="487" w:type="pct"/>
                  <w:noWrap w:val="0"/>
                  <w:vAlign w:val="center"/>
                </w:tcPr>
                <w:p w14:paraId="7FA4DAE2">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default" w:ascii="Times New Roman" w:hAnsi="Times New Roman" w:cs="Times New Roman" w:eastAsiaTheme="minorEastAsia"/>
                      <w:color w:val="auto"/>
                      <w:spacing w:val="7"/>
                      <w:sz w:val="21"/>
                      <w:szCs w:val="21"/>
                      <w:u w:val="single" w:color="auto"/>
                    </w:rPr>
                    <w:t>符合情</w:t>
                  </w:r>
                  <w:r>
                    <w:rPr>
                      <w:rFonts w:hint="default" w:ascii="Times New Roman" w:hAnsi="Times New Roman" w:cs="Times New Roman" w:eastAsiaTheme="minorEastAsia"/>
                      <w:color w:val="auto"/>
                      <w:spacing w:val="6"/>
                      <w:sz w:val="21"/>
                      <w:szCs w:val="21"/>
                      <w:u w:val="single" w:color="auto"/>
                    </w:rPr>
                    <w:t>况</w:t>
                  </w:r>
                </w:p>
              </w:tc>
            </w:tr>
            <w:tr w14:paraId="1C6B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323A842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val="0"/>
                      <w:snapToGrid/>
                      <w:color w:val="auto"/>
                      <w:spacing w:val="9"/>
                      <w:kern w:val="2"/>
                      <w:sz w:val="21"/>
                      <w:szCs w:val="21"/>
                      <w:u w:val="single" w:color="auto"/>
                      <w:vertAlign w:val="baseline"/>
                    </w:rPr>
                  </w:pPr>
                  <w:r>
                    <w:rPr>
                      <w:rFonts w:ascii="Times New Roman" w:hAnsi="Times New Roman" w:cs="Times New Roman" w:eastAsiaTheme="minorEastAsia"/>
                      <w:color w:val="auto"/>
                      <w:spacing w:val="9"/>
                      <w:kern w:val="2"/>
                      <w:sz w:val="21"/>
                      <w:szCs w:val="21"/>
                      <w:u w:val="single" w:color="auto"/>
                      <w:lang w:val="en-US" w:eastAsia="zh-CN" w:bidi="ar"/>
                    </w:rPr>
                    <w:t>生猪定点屠宰厂</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场</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应当设立质量管理部门</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负责</w:t>
                  </w:r>
                  <w:r>
                    <w:rPr>
                      <w:rFonts w:hint="default" w:ascii="Times New Roman" w:hAnsi="Times New Roman" w:cs="Times New Roman" w:eastAsiaTheme="minorEastAsia"/>
                      <w:color w:val="auto"/>
                      <w:spacing w:val="9"/>
                      <w:sz w:val="21"/>
                      <w:szCs w:val="21"/>
                      <w:u w:val="single" w:color="auto"/>
                    </w:rPr>
                    <w:t>从生猪进厂</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场</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sz w:val="21"/>
                      <w:szCs w:val="21"/>
                      <w:u w:val="single" w:color="auto"/>
                    </w:rPr>
                    <w:t>到生猪产品出厂</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场</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sz w:val="21"/>
                      <w:szCs w:val="21"/>
                      <w:u w:val="single" w:color="auto"/>
                    </w:rPr>
                    <w:t>的全过程质量管理。</w:t>
                  </w:r>
                </w:p>
              </w:tc>
              <w:tc>
                <w:tcPr>
                  <w:tcW w:w="1510" w:type="pct"/>
                  <w:noWrap w:val="0"/>
                  <w:vAlign w:val="center"/>
                </w:tcPr>
                <w:p w14:paraId="029551B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lang w:val="en-US"/>
                    </w:rPr>
                  </w:pPr>
                  <w:r>
                    <w:rPr>
                      <w:rFonts w:hint="eastAsia" w:ascii="Times New Roman" w:hAnsi="Times New Roman" w:cs="Times New Roman" w:eastAsiaTheme="minorEastAsia"/>
                      <w:color w:val="auto"/>
                      <w:spacing w:val="13"/>
                      <w:sz w:val="21"/>
                      <w:szCs w:val="21"/>
                      <w:u w:val="single" w:color="auto"/>
                      <w:lang w:val="en-US" w:eastAsia="zh-CN"/>
                    </w:rPr>
                    <w:t>企业已设置</w:t>
                  </w:r>
                  <w:r>
                    <w:rPr>
                      <w:rFonts w:hint="default" w:ascii="Times New Roman" w:hAnsi="Times New Roman" w:cs="Times New Roman" w:eastAsiaTheme="minorEastAsia"/>
                      <w:color w:val="auto"/>
                      <w:spacing w:val="9"/>
                      <w:kern w:val="2"/>
                      <w:sz w:val="21"/>
                      <w:szCs w:val="21"/>
                      <w:u w:val="single" w:color="auto"/>
                      <w:lang w:val="en-US" w:eastAsia="zh-CN" w:bidi="ar"/>
                    </w:rPr>
                    <w:t>质量管理部门</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负责</w:t>
                  </w:r>
                  <w:r>
                    <w:rPr>
                      <w:rFonts w:hint="default" w:ascii="Times New Roman" w:hAnsi="Times New Roman" w:cs="Times New Roman" w:eastAsiaTheme="minorEastAsia"/>
                      <w:color w:val="auto"/>
                      <w:spacing w:val="9"/>
                      <w:sz w:val="21"/>
                      <w:szCs w:val="21"/>
                      <w:u w:val="single" w:color="auto"/>
                    </w:rPr>
                    <w:t>全过程质量管理</w:t>
                  </w:r>
                </w:p>
              </w:tc>
              <w:tc>
                <w:tcPr>
                  <w:tcW w:w="487" w:type="pct"/>
                  <w:noWrap w:val="0"/>
                  <w:vAlign w:val="center"/>
                </w:tcPr>
                <w:p w14:paraId="496C32B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default" w:ascii="Times New Roman" w:hAnsi="Times New Roman" w:cs="Times New Roman" w:eastAsiaTheme="minorEastAsia"/>
                      <w:color w:val="auto"/>
                      <w:spacing w:val="4"/>
                      <w:sz w:val="21"/>
                      <w:szCs w:val="21"/>
                      <w:u w:val="single" w:color="auto"/>
                    </w:rPr>
                    <w:t>符</w:t>
                  </w:r>
                  <w:r>
                    <w:rPr>
                      <w:rFonts w:hint="default" w:ascii="Times New Roman" w:hAnsi="Times New Roman" w:cs="Times New Roman" w:eastAsiaTheme="minorEastAsia"/>
                      <w:color w:val="auto"/>
                      <w:spacing w:val="3"/>
                      <w:sz w:val="21"/>
                      <w:szCs w:val="21"/>
                      <w:u w:val="single" w:color="auto"/>
                    </w:rPr>
                    <w:t>合</w:t>
                  </w:r>
                </w:p>
              </w:tc>
            </w:tr>
            <w:tr w14:paraId="6579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17F746CA">
                  <w:pPr>
                    <w:keepNext w:val="0"/>
                    <w:keepLines w:val="0"/>
                    <w:widowControl w:val="0"/>
                    <w:suppressLineNumbers w:val="0"/>
                    <w:spacing w:line="240" w:lineRule="auto"/>
                    <w:ind w:firstLine="0" w:firstLineChars="0"/>
                    <w:jc w:val="center"/>
                    <w:rPr>
                      <w:rFonts w:ascii="Times New Roman" w:hAnsi="Times New Roman" w:cs="Times New Roman" w:eastAsiaTheme="minorEastAsia"/>
                      <w:color w:val="auto"/>
                      <w:spacing w:val="9"/>
                      <w:sz w:val="21"/>
                      <w:szCs w:val="21"/>
                      <w:u w:val="single" w:color="auto"/>
                      <w:lang w:bidi="ar"/>
                    </w:rPr>
                  </w:pPr>
                  <w:r>
                    <w:rPr>
                      <w:rFonts w:ascii="Times New Roman" w:hAnsi="Times New Roman" w:cs="Times New Roman" w:eastAsiaTheme="minorEastAsia"/>
                      <w:color w:val="auto"/>
                      <w:spacing w:val="9"/>
                      <w:kern w:val="2"/>
                      <w:sz w:val="21"/>
                      <w:szCs w:val="21"/>
                      <w:u w:val="single" w:color="auto"/>
                      <w:lang w:val="en-US" w:eastAsia="zh-CN" w:bidi="ar"/>
                    </w:rPr>
                    <w:t>生猪定点屠宰厂</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场</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应当明确质量安全负责人。</w:t>
                  </w:r>
                </w:p>
                <w:p w14:paraId="141DD517">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default" w:ascii="Times New Roman" w:hAnsi="Times New Roman" w:cs="Times New Roman" w:eastAsiaTheme="minorEastAsia"/>
                      <w:color w:val="auto"/>
                      <w:spacing w:val="9"/>
                      <w:sz w:val="21"/>
                      <w:szCs w:val="21"/>
                      <w:u w:val="single" w:color="auto"/>
                      <w:lang w:bidi="ar"/>
                    </w:rPr>
                    <w:t>质量安全负责人应当至少具有畜牧兽医、食品卫生等相关专业大专学历或中级专业技术职称</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以及两年屠宰质量安全管理相关工作经验</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学历和技术职称都不能满足的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应当至少具有五年屠宰质量安全管理相关工作经验</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并具备下列能力</w:t>
                  </w:r>
                  <w:r>
                    <w:rPr>
                      <w:rFonts w:hint="eastAsia" w:ascii="Times New Roman" w:hAnsi="Times New Roman" w:cs="Times New Roman" w:eastAsiaTheme="minorEastAsia"/>
                      <w:color w:val="auto"/>
                      <w:spacing w:val="9"/>
                      <w:sz w:val="21"/>
                      <w:szCs w:val="21"/>
                      <w:u w:val="single" w:color="auto"/>
                      <w:lang w:eastAsia="zh-CN" w:bidi="ar"/>
                    </w:rPr>
                    <w:t>：</w:t>
                  </w:r>
                </w:p>
                <w:p w14:paraId="58A9B8F9">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一</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掌握生猪屠宰、动物防疫、食品安全等法律、法规和有关标准</w:t>
                  </w:r>
                  <w:r>
                    <w:rPr>
                      <w:rFonts w:hint="eastAsia" w:ascii="Times New Roman" w:hAnsi="Times New Roman" w:cs="Times New Roman" w:eastAsiaTheme="minorEastAsia"/>
                      <w:color w:val="auto"/>
                      <w:spacing w:val="9"/>
                      <w:sz w:val="21"/>
                      <w:szCs w:val="21"/>
                      <w:u w:val="single" w:color="auto"/>
                      <w:lang w:eastAsia="zh-CN" w:bidi="ar"/>
                    </w:rPr>
                    <w:t>；</w:t>
                  </w:r>
                </w:p>
                <w:p w14:paraId="48348F8D">
                  <w:pPr>
                    <w:keepNext w:val="0"/>
                    <w:keepLines w:val="0"/>
                    <w:widowControl w:val="0"/>
                    <w:suppressLineNumbers w:val="0"/>
                    <w:spacing w:line="240" w:lineRule="auto"/>
                    <w:ind w:left="0" w:firstLine="0" w:firstLineChars="0"/>
                    <w:jc w:val="center"/>
                    <w:rPr>
                      <w:rFonts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二</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具备识别和控制生猪产品质量安全风险的专业知识</w:t>
                  </w:r>
                  <w:r>
                    <w:rPr>
                      <w:rFonts w:hint="eastAsia" w:ascii="Times New Roman" w:hAnsi="Times New Roman" w:cs="Times New Roman" w:eastAsiaTheme="minorEastAsia"/>
                      <w:color w:val="auto"/>
                      <w:spacing w:val="9"/>
                      <w:kern w:val="2"/>
                      <w:sz w:val="21"/>
                      <w:szCs w:val="21"/>
                      <w:u w:val="single" w:color="auto"/>
                      <w:lang w:val="en-US" w:eastAsia="zh-CN" w:bidi="ar"/>
                    </w:rPr>
                    <w:t>；</w:t>
                  </w:r>
                </w:p>
                <w:p w14:paraId="1CD5810A">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三</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熟悉屠宰相关设施设备、工艺流程、操作程序以及过程控制等要求</w:t>
                  </w:r>
                  <w:r>
                    <w:rPr>
                      <w:rFonts w:hint="eastAsia" w:ascii="Times New Roman" w:hAnsi="Times New Roman" w:cs="Times New Roman" w:eastAsiaTheme="minorEastAsia"/>
                      <w:color w:val="auto"/>
                      <w:spacing w:val="9"/>
                      <w:sz w:val="21"/>
                      <w:szCs w:val="21"/>
                      <w:u w:val="single" w:color="auto"/>
                      <w:lang w:eastAsia="zh-CN" w:bidi="ar"/>
                    </w:rPr>
                    <w:t>；</w:t>
                  </w:r>
                </w:p>
                <w:p w14:paraId="2917230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eastAsiaTheme="minorEastAsia"/>
                      <w:color w:val="auto"/>
                      <w:spacing w:val="9"/>
                      <w:kern w:val="2"/>
                      <w:sz w:val="21"/>
                      <w:szCs w:val="21"/>
                      <w:u w:val="single" w:color="auto"/>
                      <w:lang w:val="en-US" w:eastAsia="zh-CN"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四</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其他应当具备的质量安全管理能力。</w:t>
                  </w:r>
                </w:p>
              </w:tc>
              <w:tc>
                <w:tcPr>
                  <w:tcW w:w="1510" w:type="pct"/>
                  <w:noWrap w:val="0"/>
                  <w:vAlign w:val="center"/>
                </w:tcPr>
                <w:p w14:paraId="1F039DE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u w:val="single" w:color="auto"/>
                      <w:lang w:val="en-US" w:eastAsia="zh-CN"/>
                    </w:rPr>
                  </w:pPr>
                  <w:r>
                    <w:rPr>
                      <w:rFonts w:hint="eastAsia" w:ascii="Times New Roman" w:hAnsi="Times New Roman" w:cs="Times New Roman" w:eastAsiaTheme="minorEastAsia"/>
                      <w:color w:val="auto"/>
                      <w:spacing w:val="13"/>
                      <w:sz w:val="21"/>
                      <w:szCs w:val="21"/>
                      <w:u w:val="single" w:color="auto"/>
                      <w:lang w:val="en-US" w:eastAsia="zh-CN"/>
                    </w:rPr>
                    <w:t>企业现有</w:t>
                  </w:r>
                  <w:r>
                    <w:rPr>
                      <w:rFonts w:hint="default" w:ascii="Times New Roman" w:hAnsi="Times New Roman" w:cs="Times New Roman" w:eastAsiaTheme="minorEastAsia"/>
                      <w:color w:val="auto"/>
                      <w:spacing w:val="9"/>
                      <w:sz w:val="21"/>
                      <w:szCs w:val="21"/>
                      <w:u w:val="single" w:color="auto"/>
                      <w:lang w:bidi="ar"/>
                    </w:rPr>
                    <w:t>质量安全负责人</w:t>
                  </w:r>
                  <w:r>
                    <w:rPr>
                      <w:rFonts w:hint="eastAsia" w:ascii="Times New Roman" w:hAnsi="Times New Roman" w:cs="Times New Roman" w:eastAsiaTheme="minorEastAsia"/>
                      <w:color w:val="auto"/>
                      <w:spacing w:val="9"/>
                      <w:sz w:val="21"/>
                      <w:szCs w:val="21"/>
                      <w:u w:val="single" w:color="auto"/>
                      <w:lang w:val="en-US" w:eastAsia="zh-CN" w:bidi="ar"/>
                    </w:rPr>
                    <w:t>符合左述要求，若后续生产过程中更换质量安全负责人，将严格按照左述要求进行招聘</w:t>
                  </w:r>
                </w:p>
              </w:tc>
              <w:tc>
                <w:tcPr>
                  <w:tcW w:w="487" w:type="pct"/>
                  <w:noWrap w:val="0"/>
                  <w:vAlign w:val="center"/>
                </w:tcPr>
                <w:p w14:paraId="2574B627">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eastAsiaTheme="minorEastAsia"/>
                      <w:color w:val="auto"/>
                      <w:spacing w:val="4"/>
                      <w:sz w:val="21"/>
                      <w:szCs w:val="21"/>
                      <w:u w:val="single" w:color="auto"/>
                      <w:lang w:val="en-US" w:eastAsia="zh-CN"/>
                    </w:rPr>
                  </w:pPr>
                  <w:r>
                    <w:rPr>
                      <w:rFonts w:hint="eastAsia" w:ascii="Times New Roman" w:hAnsi="Times New Roman" w:cs="Times New Roman" w:eastAsiaTheme="minorEastAsia"/>
                      <w:color w:val="auto"/>
                      <w:spacing w:val="4"/>
                      <w:sz w:val="21"/>
                      <w:szCs w:val="21"/>
                      <w:u w:val="single" w:color="auto"/>
                      <w:lang w:val="en-US" w:eastAsia="zh-CN"/>
                    </w:rPr>
                    <w:t>符合</w:t>
                  </w:r>
                </w:p>
              </w:tc>
            </w:tr>
            <w:tr w14:paraId="5287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5431A5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eastAsiaTheme="minorEastAsia"/>
                      <w:color w:val="auto"/>
                      <w:spacing w:val="9"/>
                      <w:kern w:val="2"/>
                      <w:sz w:val="21"/>
                      <w:szCs w:val="21"/>
                      <w:u w:val="single" w:color="auto"/>
                      <w:lang w:val="en-US" w:eastAsia="zh-CN" w:bidi="ar"/>
                    </w:rPr>
                  </w:pPr>
                  <w:r>
                    <w:rPr>
                      <w:rFonts w:ascii="Times New Roman" w:hAnsi="Times New Roman" w:cs="Times New Roman" w:eastAsiaTheme="minorEastAsia"/>
                      <w:color w:val="auto"/>
                      <w:spacing w:val="9"/>
                      <w:kern w:val="2"/>
                      <w:sz w:val="21"/>
                      <w:szCs w:val="21"/>
                      <w:u w:val="single" w:color="auto"/>
                      <w:lang w:val="en-US" w:eastAsia="zh-CN" w:bidi="ar"/>
                    </w:rPr>
                    <w:t>生猪定点屠宰厂</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场</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应当配备与屠宰规模相适应的屠宰技术人员。屠宰技术人员应当具有相关基础理论知识和实</w:t>
                  </w:r>
                  <w:r>
                    <w:rPr>
                      <w:rFonts w:hint="default" w:ascii="Times New Roman" w:hAnsi="Times New Roman" w:cs="Times New Roman" w:eastAsiaTheme="minorEastAsia"/>
                      <w:color w:val="auto"/>
                      <w:spacing w:val="9"/>
                      <w:sz w:val="21"/>
                      <w:szCs w:val="21"/>
                      <w:u w:val="single" w:color="auto"/>
                      <w:lang w:bidi="ar"/>
                    </w:rPr>
                    <w:t>际操作技能</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符合《畜禽屠宰加工人员岗位技能要求》</w:t>
                  </w:r>
                  <w:r>
                    <w:rPr>
                      <w:rFonts w:hint="eastAsia" w:ascii="Times New Roman" w:hAnsi="Times New Roman" w:cs="Times New Roman" w:eastAsiaTheme="minorEastAsia"/>
                      <w:color w:val="auto"/>
                      <w:spacing w:val="9"/>
                      <w:sz w:val="21"/>
                      <w:szCs w:val="21"/>
                      <w:u w:val="single" w:color="auto"/>
                      <w:lang w:eastAsia="zh-CN" w:bidi="ar"/>
                    </w:rPr>
                    <w:t>（</w:t>
                  </w:r>
                  <w:r>
                    <w:rPr>
                      <w:rFonts w:ascii="Times New Roman" w:hAnsi="Times New Roman" w:cs="Times New Roman" w:eastAsiaTheme="minorEastAsia"/>
                      <w:color w:val="auto"/>
                      <w:spacing w:val="9"/>
                      <w:sz w:val="21"/>
                      <w:szCs w:val="21"/>
                      <w:u w:val="single" w:color="auto"/>
                      <w:lang w:bidi="ar"/>
                    </w:rPr>
                    <w:t>NY/T</w:t>
                  </w:r>
                  <w:r>
                    <w:rPr>
                      <w:rFonts w:hint="eastAsia" w:ascii="Times New Roman" w:hAnsi="Times New Roman" w:cs="Times New Roman" w:eastAsiaTheme="minorEastAsia"/>
                      <w:color w:val="auto"/>
                      <w:spacing w:val="9"/>
                      <w:sz w:val="21"/>
                      <w:szCs w:val="21"/>
                      <w:u w:val="single" w:color="auto"/>
                      <w:lang w:val="en-US" w:eastAsia="zh-CN" w:bidi="ar"/>
                    </w:rPr>
                    <w:t xml:space="preserve"> </w:t>
                  </w:r>
                  <w:r>
                    <w:rPr>
                      <w:rFonts w:hint="default" w:ascii="Times New Roman" w:hAnsi="Times New Roman" w:cs="Times New Roman" w:eastAsiaTheme="minorEastAsia"/>
                      <w:color w:val="auto"/>
                      <w:spacing w:val="9"/>
                      <w:sz w:val="21"/>
                      <w:szCs w:val="21"/>
                      <w:u w:val="single" w:color="auto"/>
                      <w:lang w:bidi="ar"/>
                    </w:rPr>
                    <w:t>3349</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的规定。</w:t>
                  </w:r>
                </w:p>
              </w:tc>
              <w:tc>
                <w:tcPr>
                  <w:tcW w:w="1510" w:type="pct"/>
                  <w:noWrap w:val="0"/>
                  <w:vAlign w:val="center"/>
                </w:tcPr>
                <w:p w14:paraId="2196C21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u w:val="single" w:color="auto"/>
                      <w:lang w:val="en-US" w:eastAsia="zh-CN"/>
                    </w:rPr>
                  </w:pPr>
                  <w:r>
                    <w:rPr>
                      <w:rFonts w:hint="eastAsia" w:ascii="Times New Roman" w:hAnsi="Times New Roman" w:cs="Times New Roman" w:eastAsiaTheme="minorEastAsia"/>
                      <w:color w:val="auto"/>
                      <w:spacing w:val="13"/>
                      <w:sz w:val="21"/>
                      <w:szCs w:val="21"/>
                      <w:u w:val="single" w:color="auto"/>
                      <w:lang w:val="en-US" w:eastAsia="zh-CN"/>
                    </w:rPr>
                    <w:t>企业屠宰技术人员</w:t>
                  </w:r>
                  <w:r>
                    <w:rPr>
                      <w:rFonts w:hint="default" w:ascii="Times New Roman" w:hAnsi="Times New Roman" w:cs="Times New Roman" w:eastAsiaTheme="minorEastAsia"/>
                      <w:color w:val="auto"/>
                      <w:spacing w:val="9"/>
                      <w:sz w:val="21"/>
                      <w:szCs w:val="21"/>
                      <w:u w:val="single" w:color="auto"/>
                      <w:lang w:bidi="ar"/>
                    </w:rPr>
                    <w:t>符合《畜禽屠宰加工人员岗位技能要求》</w:t>
                  </w:r>
                  <w:r>
                    <w:rPr>
                      <w:rFonts w:hint="eastAsia" w:ascii="Times New Roman" w:hAnsi="Times New Roman" w:cs="Times New Roman" w:eastAsiaTheme="minorEastAsia"/>
                      <w:color w:val="auto"/>
                      <w:spacing w:val="9"/>
                      <w:sz w:val="21"/>
                      <w:szCs w:val="21"/>
                      <w:u w:val="single" w:color="auto"/>
                      <w:lang w:eastAsia="zh-CN" w:bidi="ar"/>
                    </w:rPr>
                    <w:t>（</w:t>
                  </w:r>
                  <w:r>
                    <w:rPr>
                      <w:rFonts w:ascii="Times New Roman" w:hAnsi="Times New Roman" w:cs="Times New Roman" w:eastAsiaTheme="minorEastAsia"/>
                      <w:color w:val="auto"/>
                      <w:spacing w:val="9"/>
                      <w:sz w:val="21"/>
                      <w:szCs w:val="21"/>
                      <w:u w:val="single" w:color="auto"/>
                      <w:lang w:bidi="ar"/>
                    </w:rPr>
                    <w:t>NY/T</w:t>
                  </w:r>
                  <w:r>
                    <w:rPr>
                      <w:rFonts w:hint="eastAsia" w:ascii="Times New Roman" w:hAnsi="Times New Roman" w:cs="Times New Roman" w:eastAsiaTheme="minorEastAsia"/>
                      <w:color w:val="auto"/>
                      <w:spacing w:val="9"/>
                      <w:sz w:val="21"/>
                      <w:szCs w:val="21"/>
                      <w:u w:val="single" w:color="auto"/>
                      <w:lang w:val="en-US" w:eastAsia="zh-CN" w:bidi="ar"/>
                    </w:rPr>
                    <w:t xml:space="preserve"> </w:t>
                  </w:r>
                  <w:r>
                    <w:rPr>
                      <w:rFonts w:hint="default" w:ascii="Times New Roman" w:hAnsi="Times New Roman" w:cs="Times New Roman" w:eastAsiaTheme="minorEastAsia"/>
                      <w:color w:val="auto"/>
                      <w:spacing w:val="9"/>
                      <w:sz w:val="21"/>
                      <w:szCs w:val="21"/>
                      <w:u w:val="single" w:color="auto"/>
                      <w:lang w:bidi="ar"/>
                    </w:rPr>
                    <w:t>3349</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的规定</w:t>
                  </w:r>
                </w:p>
              </w:tc>
              <w:tc>
                <w:tcPr>
                  <w:tcW w:w="487" w:type="pct"/>
                  <w:noWrap w:val="0"/>
                  <w:vAlign w:val="center"/>
                </w:tcPr>
                <w:p w14:paraId="6D49F25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eastAsiaTheme="minorEastAsia"/>
                      <w:color w:val="auto"/>
                      <w:spacing w:val="4"/>
                      <w:sz w:val="21"/>
                      <w:szCs w:val="21"/>
                      <w:u w:val="single" w:color="auto"/>
                      <w:lang w:val="en-US" w:eastAsia="zh-CN"/>
                    </w:rPr>
                  </w:pPr>
                  <w:r>
                    <w:rPr>
                      <w:rFonts w:hint="eastAsia" w:ascii="Times New Roman" w:hAnsi="Times New Roman" w:cs="Times New Roman" w:eastAsiaTheme="minorEastAsia"/>
                      <w:color w:val="auto"/>
                      <w:spacing w:val="4"/>
                      <w:sz w:val="21"/>
                      <w:szCs w:val="21"/>
                      <w:u w:val="single" w:color="auto"/>
                      <w:lang w:val="en-US" w:eastAsia="zh-CN"/>
                    </w:rPr>
                    <w:t>符合</w:t>
                  </w:r>
                </w:p>
              </w:tc>
            </w:tr>
            <w:tr w14:paraId="78CB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159443A5">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ascii="Times New Roman" w:hAnsi="Times New Roman" w:cs="Times New Roman" w:eastAsiaTheme="minorEastAsia"/>
                      <w:color w:val="auto"/>
                      <w:spacing w:val="9"/>
                      <w:sz w:val="21"/>
                      <w:szCs w:val="21"/>
                      <w:u w:val="single" w:color="auto"/>
                      <w:lang w:bidi="ar"/>
                    </w:rPr>
                    <w:t>生猪定点屠宰厂</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场</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sz w:val="21"/>
                      <w:szCs w:val="21"/>
                      <w:u w:val="single" w:color="auto"/>
                      <w:lang w:bidi="ar"/>
                    </w:rPr>
                    <w:t>应当配备与屠宰规模相适</w:t>
                  </w:r>
                  <w:r>
                    <w:rPr>
                      <w:rFonts w:ascii="Times New Roman" w:hAnsi="Times New Roman" w:cs="Times New Roman" w:eastAsiaTheme="minorEastAsia"/>
                      <w:color w:val="auto"/>
                      <w:spacing w:val="9"/>
                      <w:kern w:val="2"/>
                      <w:sz w:val="21"/>
                      <w:szCs w:val="21"/>
                      <w:u w:val="single" w:color="auto"/>
                      <w:lang w:val="en-US" w:eastAsia="zh-CN" w:bidi="ar"/>
                    </w:rPr>
                    <w:t>应的兽医卫生检验人员</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满足生猪屠宰肉品品质检验规程规定的</w:t>
                  </w:r>
                  <w:r>
                    <w:rPr>
                      <w:rFonts w:hint="default" w:ascii="Times New Roman" w:hAnsi="Times New Roman" w:cs="Times New Roman" w:eastAsiaTheme="minorEastAsia"/>
                      <w:color w:val="auto"/>
                      <w:spacing w:val="9"/>
                      <w:sz w:val="21"/>
                      <w:szCs w:val="21"/>
                      <w:u w:val="single" w:color="auto"/>
                      <w:lang w:bidi="ar"/>
                    </w:rPr>
                    <w:t>各岗位工作需要</w:t>
                  </w:r>
                  <w:r>
                    <w:rPr>
                      <w:rFonts w:hint="eastAsia" w:ascii="Times New Roman" w:hAnsi="Times New Roman" w:cs="Times New Roman" w:eastAsiaTheme="minorEastAsia"/>
                      <w:color w:val="auto"/>
                      <w:spacing w:val="9"/>
                      <w:sz w:val="21"/>
                      <w:szCs w:val="21"/>
                      <w:u w:val="single" w:color="auto"/>
                      <w:lang w:eastAsia="zh-CN" w:bidi="ar"/>
                    </w:rPr>
                    <w:t>：</w:t>
                  </w:r>
                </w:p>
                <w:p w14:paraId="2F3281FA">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一</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每小时屠宰量大于</w:t>
                  </w:r>
                  <w:r>
                    <w:rPr>
                      <w:rFonts w:ascii="Times New Roman" w:hAnsi="Times New Roman" w:cs="Times New Roman" w:eastAsiaTheme="minorEastAsia"/>
                      <w:color w:val="auto"/>
                      <w:spacing w:val="9"/>
                      <w:sz w:val="21"/>
                      <w:szCs w:val="21"/>
                      <w:u w:val="single" w:color="auto"/>
                      <w:lang w:bidi="ar"/>
                    </w:rPr>
                    <w:t>300</w:t>
                  </w:r>
                  <w:r>
                    <w:rPr>
                      <w:rFonts w:hint="default" w:ascii="Times New Roman" w:hAnsi="Times New Roman" w:cs="Times New Roman" w:eastAsiaTheme="minorEastAsia"/>
                      <w:color w:val="auto"/>
                      <w:spacing w:val="9"/>
                      <w:sz w:val="21"/>
                      <w:szCs w:val="21"/>
                      <w:u w:val="single" w:color="auto"/>
                      <w:lang w:bidi="ar"/>
                    </w:rPr>
                    <w:t>头的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至少配备11名兽医卫生检验人员</w:t>
                  </w:r>
                  <w:r>
                    <w:rPr>
                      <w:rFonts w:hint="eastAsia" w:ascii="Times New Roman" w:hAnsi="Times New Roman" w:cs="Times New Roman" w:eastAsiaTheme="minorEastAsia"/>
                      <w:color w:val="auto"/>
                      <w:spacing w:val="9"/>
                      <w:sz w:val="21"/>
                      <w:szCs w:val="21"/>
                      <w:u w:val="single" w:color="auto"/>
                      <w:lang w:eastAsia="zh-CN" w:bidi="ar"/>
                    </w:rPr>
                    <w:t>；</w:t>
                  </w:r>
                </w:p>
                <w:p w14:paraId="32CA133A">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eastAsia" w:ascii="Times New Roman" w:hAnsi="Times New Roman" w:cs="Times New Roman" w:eastAsiaTheme="minorEastAsia"/>
                      <w:color w:val="auto"/>
                      <w:spacing w:val="9"/>
                      <w:sz w:val="21"/>
                      <w:szCs w:val="21"/>
                      <w:u w:val="single" w:color="auto"/>
                      <w:lang w:val="en-US" w:eastAsia="zh-CN" w:bidi="ar"/>
                    </w:rPr>
                    <w:t>二</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每小时屠宰量大于150头</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不超过 300头的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至少配备9名兽医卫生检验人员</w:t>
                  </w:r>
                  <w:r>
                    <w:rPr>
                      <w:rFonts w:hint="eastAsia" w:ascii="Times New Roman" w:hAnsi="Times New Roman" w:cs="Times New Roman" w:eastAsiaTheme="minorEastAsia"/>
                      <w:color w:val="auto"/>
                      <w:spacing w:val="9"/>
                      <w:sz w:val="21"/>
                      <w:szCs w:val="21"/>
                      <w:u w:val="single" w:color="auto"/>
                      <w:lang w:eastAsia="zh-CN" w:bidi="ar"/>
                    </w:rPr>
                    <w:t>；</w:t>
                  </w:r>
                </w:p>
                <w:p w14:paraId="58D7B743">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三</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每小时屠宰量大于70头</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不超过150头的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至少配备7名兽医卫生检验人员</w:t>
                  </w:r>
                  <w:r>
                    <w:rPr>
                      <w:rFonts w:hint="eastAsia" w:ascii="Times New Roman" w:hAnsi="Times New Roman" w:cs="Times New Roman" w:eastAsiaTheme="minorEastAsia"/>
                      <w:color w:val="auto"/>
                      <w:spacing w:val="9"/>
                      <w:sz w:val="21"/>
                      <w:szCs w:val="21"/>
                      <w:u w:val="single" w:color="auto"/>
                      <w:lang w:eastAsia="zh-CN" w:bidi="ar"/>
                    </w:rPr>
                    <w:t>；</w:t>
                  </w:r>
                </w:p>
                <w:p w14:paraId="18B1617B">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四</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每小时屠宰量大于30头</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不超过70头的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至少配备5名兽医卫生检验人员</w:t>
                  </w:r>
                  <w:r>
                    <w:rPr>
                      <w:rFonts w:hint="eastAsia" w:ascii="Times New Roman" w:hAnsi="Times New Roman" w:cs="Times New Roman" w:eastAsiaTheme="minorEastAsia"/>
                      <w:color w:val="auto"/>
                      <w:spacing w:val="9"/>
                      <w:sz w:val="21"/>
                      <w:szCs w:val="21"/>
                      <w:u w:val="single" w:color="auto"/>
                      <w:lang w:eastAsia="zh-CN" w:bidi="ar"/>
                    </w:rPr>
                    <w:t>；</w:t>
                  </w:r>
                </w:p>
                <w:p w14:paraId="5842679B">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五</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每小时屠宰量大于10头</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不超过30头的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至少配备3名兽医卫生检验人员</w:t>
                  </w:r>
                  <w:r>
                    <w:rPr>
                      <w:rFonts w:hint="eastAsia" w:ascii="Times New Roman" w:hAnsi="Times New Roman" w:cs="Times New Roman" w:eastAsiaTheme="minorEastAsia"/>
                      <w:color w:val="auto"/>
                      <w:spacing w:val="9"/>
                      <w:sz w:val="21"/>
                      <w:szCs w:val="21"/>
                      <w:u w:val="single" w:color="auto"/>
                      <w:lang w:eastAsia="zh-CN" w:bidi="ar"/>
                    </w:rPr>
                    <w:t>；</w:t>
                  </w:r>
                </w:p>
                <w:p w14:paraId="050DBE01">
                  <w:pPr>
                    <w:widowControl w:val="0"/>
                    <w:spacing w:line="240" w:lineRule="auto"/>
                    <w:ind w:firstLine="0" w:firstLineChars="0"/>
                    <w:jc w:val="center"/>
                    <w:rPr>
                      <w:rFonts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六</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每小时屠宰量不超过10头的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至少配备2名兽医卫生检验人员。</w:t>
                  </w:r>
                </w:p>
                <w:p w14:paraId="2DB715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cs="Times New Roman" w:eastAsiaTheme="minorEastAsia"/>
                      <w:color w:val="auto"/>
                      <w:spacing w:val="9"/>
                      <w:kern w:val="2"/>
                      <w:sz w:val="21"/>
                      <w:szCs w:val="21"/>
                      <w:u w:val="single" w:color="auto"/>
                      <w:lang w:val="en-US" w:eastAsia="zh-CN" w:bidi="ar"/>
                    </w:rPr>
                  </w:pPr>
                  <w:r>
                    <w:rPr>
                      <w:rFonts w:hint="default" w:ascii="Times New Roman" w:hAnsi="Times New Roman" w:cs="Times New Roman" w:eastAsiaTheme="minorEastAsia"/>
                      <w:color w:val="auto"/>
                      <w:spacing w:val="9"/>
                      <w:sz w:val="21"/>
                      <w:szCs w:val="21"/>
                      <w:u w:val="single" w:color="auto"/>
                      <w:lang w:bidi="ar"/>
                    </w:rPr>
                    <w:t>兽医卫生检验人员应当符合《生猪屠宰兽医卫生检验人员岗位技能要求》</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NY/T</w:t>
                  </w:r>
                  <w:r>
                    <w:rPr>
                      <w:rFonts w:hint="eastAsia" w:ascii="Times New Roman" w:hAnsi="Times New Roman" w:cs="Times New Roman" w:eastAsiaTheme="minorEastAsia"/>
                      <w:color w:val="auto"/>
                      <w:spacing w:val="9"/>
                      <w:sz w:val="21"/>
                      <w:szCs w:val="21"/>
                      <w:u w:val="single" w:color="auto"/>
                      <w:lang w:val="en-US" w:eastAsia="zh-CN" w:bidi="ar"/>
                    </w:rPr>
                    <w:t xml:space="preserve"> </w:t>
                  </w:r>
                  <w:r>
                    <w:rPr>
                      <w:rFonts w:hint="default" w:ascii="Times New Roman" w:hAnsi="Times New Roman" w:cs="Times New Roman" w:eastAsiaTheme="minorEastAsia"/>
                      <w:color w:val="auto"/>
                      <w:spacing w:val="9"/>
                      <w:sz w:val="21"/>
                      <w:szCs w:val="21"/>
                      <w:u w:val="single" w:color="auto"/>
                      <w:lang w:bidi="ar"/>
                    </w:rPr>
                    <w:t>3350</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的规定</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经农业农村主管部门考核合格后方可上岗。</w:t>
                  </w:r>
                </w:p>
              </w:tc>
              <w:tc>
                <w:tcPr>
                  <w:tcW w:w="1510" w:type="pct"/>
                  <w:noWrap w:val="0"/>
                  <w:vAlign w:val="center"/>
                </w:tcPr>
                <w:p w14:paraId="437CCFD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u w:val="single" w:color="auto"/>
                      <w:lang w:val="en-US" w:eastAsia="zh-CN"/>
                    </w:rPr>
                  </w:pPr>
                  <w:r>
                    <w:rPr>
                      <w:rFonts w:hint="eastAsia" w:ascii="Times New Roman" w:hAnsi="Times New Roman" w:cs="Times New Roman" w:eastAsiaTheme="minorEastAsia"/>
                      <w:color w:val="auto"/>
                      <w:spacing w:val="13"/>
                      <w:sz w:val="21"/>
                      <w:szCs w:val="21"/>
                      <w:u w:val="single" w:color="auto"/>
                      <w:lang w:val="en-US" w:eastAsia="zh-CN"/>
                    </w:rPr>
                    <w:t>企业现有生猪屠宰规模</w:t>
                  </w:r>
                  <w:r>
                    <w:rPr>
                      <w:rFonts w:hint="default" w:ascii="Times New Roman" w:hAnsi="Times New Roman" w:cs="Times New Roman" w:eastAsiaTheme="minorEastAsia"/>
                      <w:color w:val="auto"/>
                      <w:spacing w:val="9"/>
                      <w:sz w:val="21"/>
                      <w:szCs w:val="21"/>
                      <w:u w:val="single" w:color="auto"/>
                      <w:lang w:bidi="ar"/>
                    </w:rPr>
                    <w:t>大于30头</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不超过70头的</w:t>
                  </w:r>
                  <w:r>
                    <w:rPr>
                      <w:rFonts w:hint="eastAsia" w:ascii="Times New Roman" w:hAnsi="Times New Roman" w:cs="Times New Roman" w:eastAsiaTheme="minorEastAsia"/>
                      <w:color w:val="auto"/>
                      <w:spacing w:val="9"/>
                      <w:sz w:val="21"/>
                      <w:szCs w:val="21"/>
                      <w:u w:val="single" w:color="auto"/>
                      <w:lang w:eastAsia="zh-CN" w:bidi="ar"/>
                    </w:rPr>
                    <w:t>，</w:t>
                  </w:r>
                  <w:r>
                    <w:rPr>
                      <w:rFonts w:hint="eastAsia" w:ascii="Times New Roman" w:hAnsi="Times New Roman" w:cs="Times New Roman" w:eastAsiaTheme="minorEastAsia"/>
                      <w:color w:val="auto"/>
                      <w:spacing w:val="9"/>
                      <w:sz w:val="21"/>
                      <w:szCs w:val="21"/>
                      <w:u w:val="single" w:color="auto"/>
                      <w:lang w:val="en-US" w:eastAsia="zh-CN" w:bidi="ar"/>
                    </w:rPr>
                    <w:t>已按要求配备</w:t>
                  </w:r>
                  <w:r>
                    <w:rPr>
                      <w:rFonts w:hint="default" w:ascii="Times New Roman" w:hAnsi="Times New Roman" w:cs="Times New Roman" w:eastAsiaTheme="minorEastAsia"/>
                      <w:color w:val="auto"/>
                      <w:spacing w:val="9"/>
                      <w:sz w:val="21"/>
                      <w:szCs w:val="21"/>
                      <w:u w:val="single" w:color="auto"/>
                      <w:lang w:bidi="ar"/>
                    </w:rPr>
                    <w:t>5名兽医卫生检验人员</w:t>
                  </w:r>
                </w:p>
              </w:tc>
              <w:tc>
                <w:tcPr>
                  <w:tcW w:w="487" w:type="pct"/>
                  <w:noWrap w:val="0"/>
                  <w:vAlign w:val="center"/>
                </w:tcPr>
                <w:p w14:paraId="705C886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eastAsiaTheme="minorEastAsia"/>
                      <w:color w:val="auto"/>
                      <w:spacing w:val="4"/>
                      <w:sz w:val="21"/>
                      <w:szCs w:val="21"/>
                      <w:u w:val="single" w:color="auto"/>
                      <w:lang w:val="en-US" w:eastAsia="zh-CN"/>
                    </w:rPr>
                  </w:pPr>
                  <w:r>
                    <w:rPr>
                      <w:rFonts w:hint="eastAsia" w:ascii="Times New Roman" w:hAnsi="Times New Roman" w:cs="Times New Roman" w:eastAsiaTheme="minorEastAsia"/>
                      <w:color w:val="auto"/>
                      <w:spacing w:val="4"/>
                      <w:sz w:val="21"/>
                      <w:szCs w:val="21"/>
                      <w:u w:val="single" w:color="auto"/>
                      <w:lang w:val="en-US" w:eastAsia="zh-CN"/>
                    </w:rPr>
                    <w:t>符合</w:t>
                  </w:r>
                </w:p>
              </w:tc>
            </w:tr>
            <w:tr w14:paraId="4C1B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08A70C31">
                  <w:pPr>
                    <w:widowControl w:val="0"/>
                    <w:spacing w:line="240" w:lineRule="auto"/>
                    <w:ind w:firstLine="0" w:firstLineChars="0"/>
                    <w:jc w:val="center"/>
                    <w:rPr>
                      <w:rFonts w:ascii="Times New Roman" w:hAnsi="Times New Roman" w:cs="Times New Roman" w:eastAsiaTheme="minorEastAsia"/>
                      <w:color w:val="auto"/>
                      <w:spacing w:val="9"/>
                      <w:kern w:val="2"/>
                      <w:sz w:val="21"/>
                      <w:szCs w:val="21"/>
                      <w:u w:val="single" w:color="auto"/>
                      <w:lang w:val="en-US" w:eastAsia="zh-CN" w:bidi="ar"/>
                    </w:rPr>
                  </w:pPr>
                  <w:r>
                    <w:rPr>
                      <w:rFonts w:ascii="Times New Roman" w:hAnsi="Times New Roman" w:cs="Times New Roman" w:eastAsiaTheme="minorEastAsia"/>
                      <w:color w:val="auto"/>
                      <w:spacing w:val="9"/>
                      <w:kern w:val="2"/>
                      <w:sz w:val="21"/>
                      <w:szCs w:val="21"/>
                      <w:u w:val="single" w:color="auto"/>
                      <w:lang w:val="en-US" w:eastAsia="zh-CN" w:bidi="ar"/>
                    </w:rPr>
                    <w:t>生猪定点屠宰厂</w:t>
                  </w:r>
                  <w:r>
                    <w:rPr>
                      <w:rFonts w:hint="default" w:ascii="Times New Roman" w:hAnsi="Times New Roman" w:cs="Times New Roman" w:eastAsiaTheme="minorEastAsia"/>
                      <w:color w:val="auto"/>
                      <w:spacing w:val="9"/>
                      <w:kern w:val="2"/>
                      <w:sz w:val="21"/>
                      <w:szCs w:val="21"/>
                      <w:u w:val="single" w:color="auto"/>
                      <w:lang w:val="en-US" w:eastAsia="zh-CN" w:bidi="ar"/>
                    </w:rPr>
                    <w:t>（场）的屠宰技术人员和兽医卫</w:t>
                  </w:r>
                  <w:r>
                    <w:rPr>
                      <w:rFonts w:hint="default" w:ascii="Times New Roman" w:hAnsi="Times New Roman" w:cs="Times New Roman" w:eastAsiaTheme="minorEastAsia"/>
                      <w:color w:val="auto"/>
                      <w:spacing w:val="9"/>
                      <w:sz w:val="21"/>
                      <w:szCs w:val="21"/>
                      <w:u w:val="single" w:color="auto"/>
                      <w:lang w:bidi="ar"/>
                    </w:rPr>
                    <w:t>生检验人员</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以及其他可能与生猪产品接触的人员每年应当至少进行一次健康检查</w:t>
                  </w:r>
                  <w:r>
                    <w:rPr>
                      <w:rFonts w:hint="default"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并取得健康证明。患有人畜共患传染病的人员不得直接从事生猪屠宰和检验检</w:t>
                  </w:r>
                  <w:r>
                    <w:rPr>
                      <w:rFonts w:hint="default" w:ascii="Times New Roman" w:hAnsi="Times New Roman" w:cs="Times New Roman" w:eastAsiaTheme="minorEastAsia"/>
                      <w:color w:val="auto"/>
                      <w:spacing w:val="9"/>
                      <w:sz w:val="21"/>
                      <w:szCs w:val="21"/>
                      <w:u w:val="single" w:color="auto"/>
                      <w:lang w:val="en-US" w:eastAsia="zh-CN" w:bidi="ar"/>
                    </w:rPr>
                    <w:t>测等工作</w:t>
                  </w:r>
                  <w:r>
                    <w:rPr>
                      <w:rFonts w:hint="eastAsia" w:ascii="Times New Roman" w:hAnsi="Times New Roman" w:cs="Times New Roman" w:eastAsiaTheme="minorEastAsia"/>
                      <w:color w:val="auto"/>
                      <w:spacing w:val="9"/>
                      <w:sz w:val="21"/>
                      <w:szCs w:val="21"/>
                      <w:u w:val="single" w:color="auto"/>
                      <w:lang w:val="en-US" w:eastAsia="zh-CN" w:bidi="ar"/>
                    </w:rPr>
                    <w:t>。</w:t>
                  </w:r>
                </w:p>
              </w:tc>
              <w:tc>
                <w:tcPr>
                  <w:tcW w:w="1510" w:type="pct"/>
                  <w:noWrap w:val="0"/>
                  <w:vAlign w:val="center"/>
                </w:tcPr>
                <w:p w14:paraId="70CD418E">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13"/>
                      <w:sz w:val="21"/>
                      <w:szCs w:val="21"/>
                      <w:u w:val="single" w:color="auto"/>
                      <w:lang w:val="en-US" w:eastAsia="zh-CN"/>
                    </w:rPr>
                  </w:pPr>
                  <w:r>
                    <w:rPr>
                      <w:rFonts w:hint="eastAsia" w:ascii="Times New Roman" w:hAnsi="Times New Roman" w:cs="Times New Roman" w:eastAsiaTheme="minorEastAsia"/>
                      <w:color w:val="auto"/>
                      <w:spacing w:val="13"/>
                      <w:sz w:val="21"/>
                      <w:szCs w:val="21"/>
                      <w:u w:val="single" w:color="auto"/>
                      <w:lang w:val="en-US" w:eastAsia="zh-CN"/>
                    </w:rPr>
                    <w:t>本评价要求企业</w:t>
                  </w:r>
                  <w:r>
                    <w:rPr>
                      <w:rFonts w:hint="default" w:ascii="Times New Roman" w:hAnsi="Times New Roman" w:cs="Times New Roman" w:eastAsiaTheme="minorEastAsia"/>
                      <w:color w:val="auto"/>
                      <w:spacing w:val="9"/>
                      <w:kern w:val="2"/>
                      <w:sz w:val="21"/>
                      <w:szCs w:val="21"/>
                      <w:u w:val="single" w:color="auto"/>
                      <w:lang w:val="en-US" w:eastAsia="zh-CN" w:bidi="ar"/>
                    </w:rPr>
                    <w:t>屠宰技术人员和兽医卫</w:t>
                  </w:r>
                  <w:r>
                    <w:rPr>
                      <w:rFonts w:hint="default" w:ascii="Times New Roman" w:hAnsi="Times New Roman" w:cs="Times New Roman" w:eastAsiaTheme="minorEastAsia"/>
                      <w:color w:val="auto"/>
                      <w:spacing w:val="9"/>
                      <w:sz w:val="21"/>
                      <w:szCs w:val="21"/>
                      <w:u w:val="single" w:color="auto"/>
                      <w:lang w:bidi="ar"/>
                    </w:rPr>
                    <w:t>生检验人员</w:t>
                  </w:r>
                  <w:r>
                    <w:rPr>
                      <w:rFonts w:hint="eastAsia" w:ascii="Times New Roman" w:hAnsi="Times New Roman" w:cs="Times New Roman" w:eastAsiaTheme="minorEastAsia"/>
                      <w:color w:val="auto"/>
                      <w:spacing w:val="9"/>
                      <w:sz w:val="21"/>
                      <w:szCs w:val="21"/>
                      <w:u w:val="single" w:color="auto"/>
                      <w:lang w:val="en-US" w:eastAsia="zh-CN" w:bidi="ar"/>
                    </w:rPr>
                    <w:t>定期体检，对</w:t>
                  </w:r>
                  <w:r>
                    <w:rPr>
                      <w:rFonts w:hint="default" w:ascii="Times New Roman" w:hAnsi="Times New Roman" w:cs="Times New Roman" w:eastAsiaTheme="minorEastAsia"/>
                      <w:color w:val="auto"/>
                      <w:spacing w:val="9"/>
                      <w:sz w:val="21"/>
                      <w:szCs w:val="21"/>
                      <w:u w:val="single" w:color="auto"/>
                      <w:lang w:bidi="ar"/>
                    </w:rPr>
                    <w:t>患有人畜共患传染病的人员</w:t>
                  </w:r>
                  <w:r>
                    <w:rPr>
                      <w:rFonts w:hint="eastAsia" w:ascii="Times New Roman" w:hAnsi="Times New Roman" w:cs="Times New Roman" w:eastAsiaTheme="minorEastAsia"/>
                      <w:color w:val="auto"/>
                      <w:spacing w:val="9"/>
                      <w:sz w:val="21"/>
                      <w:szCs w:val="21"/>
                      <w:u w:val="single" w:color="auto"/>
                      <w:lang w:val="en-US" w:eastAsia="zh-CN" w:bidi="ar"/>
                    </w:rPr>
                    <w:t>进行转岗</w:t>
                  </w:r>
                </w:p>
              </w:tc>
              <w:tc>
                <w:tcPr>
                  <w:tcW w:w="487" w:type="pct"/>
                  <w:noWrap w:val="0"/>
                  <w:vAlign w:val="center"/>
                </w:tcPr>
                <w:p w14:paraId="6580A37D">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eastAsiaTheme="minorEastAsia"/>
                      <w:color w:val="auto"/>
                      <w:spacing w:val="4"/>
                      <w:sz w:val="21"/>
                      <w:szCs w:val="21"/>
                      <w:u w:val="single" w:color="auto"/>
                      <w:lang w:val="en-US" w:eastAsia="zh-CN"/>
                    </w:rPr>
                  </w:pPr>
                  <w:r>
                    <w:rPr>
                      <w:rFonts w:hint="eastAsia" w:ascii="Times New Roman" w:hAnsi="Times New Roman" w:cs="Times New Roman" w:eastAsiaTheme="minorEastAsia"/>
                      <w:color w:val="auto"/>
                      <w:spacing w:val="4"/>
                      <w:sz w:val="21"/>
                      <w:szCs w:val="21"/>
                      <w:u w:val="single" w:color="auto"/>
                      <w:lang w:val="en-US" w:eastAsia="zh-CN"/>
                    </w:rPr>
                    <w:t>符合</w:t>
                  </w:r>
                </w:p>
              </w:tc>
            </w:tr>
            <w:tr w14:paraId="53D6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0BB96C37">
                  <w:pPr>
                    <w:widowControl w:val="0"/>
                    <w:spacing w:line="240" w:lineRule="auto"/>
                    <w:ind w:firstLine="0" w:firstLineChars="0"/>
                    <w:jc w:val="center"/>
                    <w:rPr>
                      <w:rFonts w:ascii="Times New Roman" w:hAnsi="Times New Roman" w:cs="Times New Roman" w:eastAsiaTheme="minorEastAsia"/>
                      <w:color w:val="auto"/>
                      <w:spacing w:val="9"/>
                      <w:kern w:val="2"/>
                      <w:sz w:val="21"/>
                      <w:szCs w:val="21"/>
                      <w:u w:val="single" w:color="auto"/>
                      <w:lang w:val="en-US" w:eastAsia="zh-CN" w:bidi="ar"/>
                    </w:rPr>
                  </w:pPr>
                  <w:r>
                    <w:rPr>
                      <w:rFonts w:ascii="Times New Roman" w:hAnsi="Times New Roman" w:cs="Times New Roman" w:eastAsiaTheme="minorEastAsia"/>
                      <w:color w:val="auto"/>
                      <w:spacing w:val="9"/>
                      <w:kern w:val="2"/>
                      <w:sz w:val="21"/>
                      <w:szCs w:val="21"/>
                      <w:u w:val="single" w:color="auto"/>
                      <w:lang w:val="en-US" w:eastAsia="zh-CN" w:bidi="ar"/>
                    </w:rPr>
                    <w:t>生猪定点屠宰厂</w:t>
                  </w:r>
                  <w:r>
                    <w:rPr>
                      <w:rFonts w:hint="default" w:ascii="Times New Roman" w:hAnsi="Times New Roman" w:cs="Times New Roman" w:eastAsiaTheme="minorEastAsia"/>
                      <w:color w:val="auto"/>
                      <w:spacing w:val="9"/>
                      <w:kern w:val="2"/>
                      <w:sz w:val="21"/>
                      <w:szCs w:val="21"/>
                      <w:u w:val="single" w:color="auto"/>
                      <w:lang w:val="en-US" w:eastAsia="zh-CN" w:bidi="ar"/>
                    </w:rPr>
                    <w:t>（场）应当加强员工培训</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制定年</w:t>
                  </w:r>
                  <w:r>
                    <w:rPr>
                      <w:rFonts w:hint="default" w:ascii="Times New Roman" w:hAnsi="Times New Roman" w:cs="Times New Roman" w:eastAsiaTheme="minorEastAsia"/>
                      <w:color w:val="auto"/>
                      <w:spacing w:val="9"/>
                      <w:sz w:val="21"/>
                      <w:szCs w:val="21"/>
                      <w:u w:val="single" w:color="auto"/>
                      <w:lang w:bidi="ar"/>
                    </w:rPr>
                    <w:t>度培训计划</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对不同岗位人员进行分类培训</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培训内容应当与岗位要求相适应</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填写并保存培训记录。</w:t>
                  </w:r>
                </w:p>
              </w:tc>
              <w:tc>
                <w:tcPr>
                  <w:tcW w:w="1510" w:type="pct"/>
                  <w:noWrap w:val="0"/>
                  <w:vAlign w:val="center"/>
                </w:tcPr>
                <w:p w14:paraId="0223199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eastAsiaTheme="minorEastAsia"/>
                      <w:color w:val="auto"/>
                      <w:spacing w:val="13"/>
                      <w:sz w:val="21"/>
                      <w:szCs w:val="21"/>
                      <w:u w:val="single" w:color="auto"/>
                      <w:lang w:val="en-US" w:eastAsia="zh-CN"/>
                    </w:rPr>
                  </w:pPr>
                  <w:r>
                    <w:rPr>
                      <w:rFonts w:hint="eastAsia" w:ascii="Times New Roman" w:hAnsi="Times New Roman" w:cs="Times New Roman" w:eastAsiaTheme="minorEastAsia"/>
                      <w:color w:val="auto"/>
                      <w:spacing w:val="13"/>
                      <w:sz w:val="21"/>
                      <w:szCs w:val="21"/>
                      <w:u w:val="single" w:color="auto"/>
                      <w:lang w:val="en-US" w:eastAsia="zh-CN"/>
                    </w:rPr>
                    <w:t>本评价要求企业</w:t>
                  </w:r>
                  <w:r>
                    <w:rPr>
                      <w:rFonts w:hint="default" w:ascii="Times New Roman" w:hAnsi="Times New Roman" w:cs="Times New Roman" w:eastAsiaTheme="minorEastAsia"/>
                      <w:color w:val="auto"/>
                      <w:spacing w:val="9"/>
                      <w:kern w:val="2"/>
                      <w:sz w:val="21"/>
                      <w:szCs w:val="21"/>
                      <w:u w:val="single" w:color="auto"/>
                      <w:lang w:val="en-US" w:eastAsia="zh-CN" w:bidi="ar"/>
                    </w:rPr>
                    <w:t>加强员工培训</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制定年</w:t>
                  </w:r>
                  <w:r>
                    <w:rPr>
                      <w:rFonts w:hint="default" w:ascii="Times New Roman" w:hAnsi="Times New Roman" w:cs="Times New Roman" w:eastAsiaTheme="minorEastAsia"/>
                      <w:color w:val="auto"/>
                      <w:spacing w:val="9"/>
                      <w:sz w:val="21"/>
                      <w:szCs w:val="21"/>
                      <w:u w:val="single" w:color="auto"/>
                      <w:lang w:bidi="ar"/>
                    </w:rPr>
                    <w:t>度培训计划</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对不同岗位人员进行分类培训</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培训内容应当与岗位要求相适应</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填写并保存培训记录</w:t>
                  </w:r>
                </w:p>
              </w:tc>
              <w:tc>
                <w:tcPr>
                  <w:tcW w:w="487" w:type="pct"/>
                  <w:noWrap w:val="0"/>
                  <w:vAlign w:val="center"/>
                </w:tcPr>
                <w:p w14:paraId="53B02215">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color w:val="auto"/>
                      <w:spacing w:val="4"/>
                      <w:sz w:val="21"/>
                      <w:szCs w:val="21"/>
                      <w:u w:val="single" w:color="auto"/>
                      <w:lang w:val="en-US" w:eastAsia="zh-CN"/>
                    </w:rPr>
                  </w:pPr>
                  <w:r>
                    <w:rPr>
                      <w:rFonts w:hint="eastAsia" w:ascii="Times New Roman" w:hAnsi="Times New Roman" w:cs="Times New Roman" w:eastAsiaTheme="minorEastAsia"/>
                      <w:color w:val="auto"/>
                      <w:spacing w:val="4"/>
                      <w:sz w:val="21"/>
                      <w:szCs w:val="21"/>
                      <w:u w:val="single" w:color="auto"/>
                      <w:lang w:val="en-US" w:eastAsia="zh-CN"/>
                    </w:rPr>
                    <w:t>符合</w:t>
                  </w:r>
                </w:p>
              </w:tc>
            </w:tr>
            <w:tr w14:paraId="1282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1E9CEFC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val="0"/>
                      <w:snapToGrid/>
                      <w:color w:val="auto"/>
                      <w:spacing w:val="9"/>
                      <w:kern w:val="2"/>
                      <w:sz w:val="21"/>
                      <w:szCs w:val="21"/>
                      <w:u w:val="single" w:color="auto"/>
                      <w:vertAlign w:val="baseline"/>
                      <w:lang w:bidi="ar"/>
                    </w:rPr>
                  </w:pPr>
                  <w:r>
                    <w:rPr>
                      <w:rFonts w:ascii="Times New Roman" w:hAnsi="Times New Roman" w:cs="Times New Roman" w:eastAsiaTheme="minorEastAsia"/>
                      <w:color w:val="auto"/>
                      <w:spacing w:val="9"/>
                      <w:sz w:val="21"/>
                      <w:szCs w:val="21"/>
                      <w:u w:val="single" w:color="auto"/>
                      <w:lang w:bidi="ar"/>
                    </w:rPr>
                    <w:t>生猪定点屠宰厂</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场</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sz w:val="21"/>
                      <w:szCs w:val="21"/>
                      <w:u w:val="single" w:color="auto"/>
                      <w:lang w:bidi="ar"/>
                    </w:rPr>
                    <w:t>应当符合动物防疫条件</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具备符合《生活饮用水卫生标准》</w:t>
                  </w:r>
                  <w:r>
                    <w:rPr>
                      <w:rFonts w:hint="eastAsia" w:ascii="Times New Roman" w:hAnsi="Times New Roman" w:cs="Times New Roman" w:eastAsiaTheme="minorEastAsia"/>
                      <w:color w:val="auto"/>
                      <w:spacing w:val="9"/>
                      <w:sz w:val="21"/>
                      <w:szCs w:val="21"/>
                      <w:u w:val="single" w:color="auto"/>
                      <w:lang w:eastAsia="zh-CN" w:bidi="ar"/>
                    </w:rPr>
                    <w:t>（</w:t>
                  </w:r>
                  <w:r>
                    <w:rPr>
                      <w:rFonts w:ascii="Times New Roman" w:hAnsi="Times New Roman" w:cs="Times New Roman" w:eastAsiaTheme="minorEastAsia"/>
                      <w:color w:val="auto"/>
                      <w:spacing w:val="9"/>
                      <w:sz w:val="21"/>
                      <w:szCs w:val="21"/>
                      <w:u w:val="single" w:color="auto"/>
                      <w:lang w:bidi="ar"/>
                    </w:rPr>
                    <w:t>GB 5749</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规定的水源和符合要求的电源。厂区周围应当有良好的环境卫生条件</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远离产生污染源的工业企业或其他场所</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远离受污染的水体以及虫害大量孳生的场所。</w:t>
                  </w:r>
                </w:p>
              </w:tc>
              <w:tc>
                <w:tcPr>
                  <w:tcW w:w="1510" w:type="pct"/>
                  <w:noWrap w:val="0"/>
                  <w:vAlign w:val="center"/>
                </w:tcPr>
                <w:p w14:paraId="78D64E9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eastAsia" w:ascii="Times New Roman" w:hAnsi="Times New Roman" w:cs="Times New Roman" w:eastAsiaTheme="minorEastAsia"/>
                      <w:color w:val="auto"/>
                      <w:spacing w:val="9"/>
                      <w:sz w:val="21"/>
                      <w:szCs w:val="21"/>
                      <w:u w:val="single" w:color="auto"/>
                      <w:lang w:val="en-US" w:eastAsia="zh-CN" w:bidi="ar"/>
                    </w:rPr>
                    <w:t>企业</w:t>
                  </w:r>
                  <w:r>
                    <w:rPr>
                      <w:rFonts w:hint="default" w:ascii="Times New Roman" w:hAnsi="Times New Roman" w:cs="Times New Roman" w:eastAsiaTheme="minorEastAsia"/>
                      <w:color w:val="auto"/>
                      <w:spacing w:val="9"/>
                      <w:sz w:val="21"/>
                      <w:szCs w:val="21"/>
                      <w:u w:val="single" w:color="auto"/>
                      <w:lang w:bidi="ar"/>
                    </w:rPr>
                    <w:t>符合动物防疫条件</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符合《生活饮用水卫生标准》</w:t>
                  </w:r>
                  <w:r>
                    <w:rPr>
                      <w:rFonts w:hint="eastAsia" w:ascii="Times New Roman" w:hAnsi="Times New Roman" w:cs="Times New Roman" w:eastAsiaTheme="minorEastAsia"/>
                      <w:color w:val="auto"/>
                      <w:spacing w:val="9"/>
                      <w:sz w:val="21"/>
                      <w:szCs w:val="21"/>
                      <w:u w:val="single" w:color="auto"/>
                      <w:lang w:eastAsia="zh-CN" w:bidi="ar"/>
                    </w:rPr>
                    <w:t>（</w:t>
                  </w:r>
                  <w:r>
                    <w:rPr>
                      <w:rFonts w:ascii="Times New Roman" w:hAnsi="Times New Roman" w:cs="Times New Roman" w:eastAsiaTheme="minorEastAsia"/>
                      <w:color w:val="auto"/>
                      <w:spacing w:val="9"/>
                      <w:sz w:val="21"/>
                      <w:szCs w:val="21"/>
                      <w:u w:val="single" w:color="auto"/>
                      <w:lang w:bidi="ar"/>
                    </w:rPr>
                    <w:t>GB 5749</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规定的水源和电源。厂区周围有良好的环境卫生条件</w:t>
                  </w:r>
                  <w:r>
                    <w:rPr>
                      <w:rFonts w:hint="eastAsia" w:ascii="Times New Roman" w:hAnsi="Times New Roman" w:cs="Times New Roman" w:eastAsiaTheme="minorEastAsia"/>
                      <w:color w:val="auto"/>
                      <w:spacing w:val="9"/>
                      <w:sz w:val="21"/>
                      <w:szCs w:val="21"/>
                      <w:u w:val="single" w:color="auto"/>
                      <w:lang w:eastAsia="zh-CN" w:bidi="ar"/>
                    </w:rPr>
                    <w:t>，</w:t>
                  </w:r>
                  <w:r>
                    <w:rPr>
                      <w:rFonts w:hint="eastAsia" w:ascii="Times New Roman" w:hAnsi="Times New Roman" w:cs="Times New Roman" w:eastAsiaTheme="minorEastAsia"/>
                      <w:color w:val="auto"/>
                      <w:spacing w:val="9"/>
                      <w:sz w:val="21"/>
                      <w:szCs w:val="21"/>
                      <w:u w:val="single" w:color="auto"/>
                      <w:lang w:val="en-US" w:eastAsia="zh-CN" w:bidi="ar"/>
                    </w:rPr>
                    <w:t>且</w:t>
                  </w:r>
                  <w:r>
                    <w:rPr>
                      <w:rFonts w:hint="default" w:ascii="Times New Roman" w:hAnsi="Times New Roman" w:cs="Times New Roman" w:eastAsiaTheme="minorEastAsia"/>
                      <w:color w:val="auto"/>
                      <w:spacing w:val="9"/>
                      <w:sz w:val="21"/>
                      <w:szCs w:val="21"/>
                      <w:u w:val="single" w:color="auto"/>
                      <w:lang w:bidi="ar"/>
                    </w:rPr>
                    <w:t>远离产生污染源的工业企业</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远离受污染的水体以及虫害大量孳生的场所。</w:t>
                  </w:r>
                </w:p>
              </w:tc>
              <w:tc>
                <w:tcPr>
                  <w:tcW w:w="487" w:type="pct"/>
                  <w:noWrap w:val="0"/>
                  <w:vAlign w:val="center"/>
                </w:tcPr>
                <w:p w14:paraId="14B718EC">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default" w:ascii="Times New Roman" w:hAnsi="Times New Roman" w:cs="Times New Roman" w:eastAsiaTheme="minorEastAsia"/>
                      <w:color w:val="auto"/>
                      <w:spacing w:val="4"/>
                      <w:sz w:val="21"/>
                      <w:szCs w:val="21"/>
                      <w:u w:val="single" w:color="auto"/>
                    </w:rPr>
                    <w:t>符</w:t>
                  </w:r>
                  <w:r>
                    <w:rPr>
                      <w:rFonts w:hint="default" w:ascii="Times New Roman" w:hAnsi="Times New Roman" w:cs="Times New Roman" w:eastAsiaTheme="minorEastAsia"/>
                      <w:color w:val="auto"/>
                      <w:spacing w:val="3"/>
                      <w:sz w:val="21"/>
                      <w:szCs w:val="21"/>
                      <w:u w:val="single" w:color="auto"/>
                    </w:rPr>
                    <w:t>合</w:t>
                  </w:r>
                </w:p>
              </w:tc>
            </w:tr>
            <w:tr w14:paraId="505D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5537999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val="0"/>
                      <w:snapToGrid/>
                      <w:color w:val="auto"/>
                      <w:spacing w:val="9"/>
                      <w:kern w:val="2"/>
                      <w:sz w:val="21"/>
                      <w:szCs w:val="21"/>
                      <w:u w:val="single" w:color="auto"/>
                      <w:vertAlign w:val="baseline"/>
                      <w:lang w:bidi="ar"/>
                    </w:rPr>
                  </w:pPr>
                  <w:r>
                    <w:rPr>
                      <w:rFonts w:ascii="Times New Roman" w:hAnsi="Times New Roman" w:cs="Times New Roman" w:eastAsiaTheme="minorEastAsia"/>
                      <w:color w:val="auto"/>
                      <w:spacing w:val="9"/>
                      <w:kern w:val="2"/>
                      <w:sz w:val="21"/>
                      <w:szCs w:val="21"/>
                      <w:u w:val="single" w:color="auto"/>
                      <w:lang w:val="en-US" w:eastAsia="zh-CN" w:bidi="ar"/>
                    </w:rPr>
                    <w:t>厂区周围应当建有围墙等隔离设施</w:t>
                  </w:r>
                  <w:r>
                    <w:rPr>
                      <w:rFonts w:hint="eastAsia" w:ascii="Times New Roman" w:hAnsi="Times New Roman" w:cs="Times New Roman" w:eastAsiaTheme="minorEastAsia"/>
                      <w:color w:val="auto"/>
                      <w:spacing w:val="9"/>
                      <w:kern w:val="2"/>
                      <w:sz w:val="21"/>
                      <w:szCs w:val="21"/>
                      <w:u w:val="single" w:color="auto"/>
                      <w:lang w:val="en-US" w:eastAsia="zh-CN" w:bidi="ar"/>
                    </w:rPr>
                    <w:t>，</w:t>
                  </w:r>
                  <w:r>
                    <w:rPr>
                      <w:rFonts w:hint="default" w:ascii="Times New Roman" w:hAnsi="Times New Roman" w:cs="Times New Roman" w:eastAsiaTheme="minorEastAsia"/>
                      <w:color w:val="auto"/>
                      <w:spacing w:val="9"/>
                      <w:kern w:val="2"/>
                      <w:sz w:val="21"/>
                      <w:szCs w:val="21"/>
                      <w:u w:val="single" w:color="auto"/>
                      <w:lang w:val="en-US" w:eastAsia="zh-CN" w:bidi="ar"/>
                    </w:rPr>
                    <w:t>厂区主要道</w:t>
                  </w:r>
                  <w:r>
                    <w:rPr>
                      <w:rFonts w:hint="default" w:ascii="Times New Roman" w:hAnsi="Times New Roman" w:cs="Times New Roman" w:eastAsiaTheme="minorEastAsia"/>
                      <w:color w:val="auto"/>
                      <w:spacing w:val="9"/>
                      <w:sz w:val="21"/>
                      <w:szCs w:val="21"/>
                      <w:u w:val="single" w:color="auto"/>
                      <w:lang w:bidi="ar"/>
                    </w:rPr>
                    <w:t>路应当硬化</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路面平整、易冲洗</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不积水。</w:t>
                  </w:r>
                </w:p>
              </w:tc>
              <w:tc>
                <w:tcPr>
                  <w:tcW w:w="1510" w:type="pct"/>
                  <w:noWrap w:val="0"/>
                  <w:vAlign w:val="center"/>
                </w:tcPr>
                <w:p w14:paraId="2F03B44F">
                  <w:pPr>
                    <w:keepNext w:val="0"/>
                    <w:keepLines w:val="0"/>
                    <w:widowControl/>
                    <w:suppressLineNumbers w:val="0"/>
                    <w:spacing w:line="240" w:lineRule="auto"/>
                    <w:ind w:firstLine="0" w:firstLineChars="0"/>
                    <w:jc w:val="center"/>
                    <w:rPr>
                      <w:rFonts w:hint="default" w:ascii="Times New Roman" w:hAnsi="Times New Roman" w:cs="Times New Roman" w:eastAsiaTheme="minorEastAsia"/>
                      <w:b/>
                      <w:snapToGrid w:val="0"/>
                      <w:color w:val="auto"/>
                      <w:kern w:val="0"/>
                      <w:sz w:val="21"/>
                      <w:szCs w:val="21"/>
                      <w:u w:val="single" w:color="auto"/>
                      <w:vertAlign w:val="baseline"/>
                      <w:lang w:val="en-US"/>
                    </w:rPr>
                  </w:pPr>
                  <w:r>
                    <w:rPr>
                      <w:rFonts w:hint="eastAsia" w:ascii="Times New Roman" w:hAnsi="Times New Roman" w:cs="Times New Roman" w:eastAsiaTheme="minorEastAsia"/>
                      <w:color w:val="auto"/>
                      <w:kern w:val="0"/>
                      <w:sz w:val="21"/>
                      <w:szCs w:val="21"/>
                      <w:u w:val="single" w:color="auto"/>
                      <w:lang w:val="en-US" w:eastAsia="zh-CN" w:bidi="ar"/>
                    </w:rPr>
                    <w:t>项目厂界已建设有围墙，</w:t>
                  </w:r>
                  <w:r>
                    <w:rPr>
                      <w:rFonts w:hint="default" w:ascii="Times New Roman" w:hAnsi="Times New Roman" w:cs="Times New Roman" w:eastAsiaTheme="minorEastAsia"/>
                      <w:color w:val="auto"/>
                      <w:spacing w:val="9"/>
                      <w:kern w:val="2"/>
                      <w:sz w:val="21"/>
                      <w:szCs w:val="21"/>
                      <w:u w:val="single" w:color="auto"/>
                      <w:lang w:val="en-US" w:eastAsia="zh-CN" w:bidi="ar"/>
                    </w:rPr>
                    <w:t>厂区主要道</w:t>
                  </w:r>
                  <w:r>
                    <w:rPr>
                      <w:rFonts w:hint="default" w:ascii="Times New Roman" w:hAnsi="Times New Roman" w:cs="Times New Roman" w:eastAsiaTheme="minorEastAsia"/>
                      <w:color w:val="auto"/>
                      <w:spacing w:val="9"/>
                      <w:sz w:val="21"/>
                      <w:szCs w:val="21"/>
                      <w:u w:val="single" w:color="auto"/>
                      <w:lang w:bidi="ar"/>
                    </w:rPr>
                    <w:t>路</w:t>
                  </w:r>
                  <w:r>
                    <w:rPr>
                      <w:rFonts w:hint="eastAsia" w:ascii="Times New Roman" w:hAnsi="Times New Roman" w:cs="Times New Roman" w:eastAsiaTheme="minorEastAsia"/>
                      <w:color w:val="auto"/>
                      <w:spacing w:val="9"/>
                      <w:sz w:val="21"/>
                      <w:szCs w:val="21"/>
                      <w:u w:val="single" w:color="auto"/>
                      <w:lang w:val="en-US" w:eastAsia="zh-CN" w:bidi="ar"/>
                    </w:rPr>
                    <w:t>已</w:t>
                  </w:r>
                  <w:r>
                    <w:rPr>
                      <w:rFonts w:hint="default" w:ascii="Times New Roman" w:hAnsi="Times New Roman" w:cs="Times New Roman" w:eastAsiaTheme="minorEastAsia"/>
                      <w:color w:val="auto"/>
                      <w:spacing w:val="9"/>
                      <w:sz w:val="21"/>
                      <w:szCs w:val="21"/>
                      <w:u w:val="single" w:color="auto"/>
                      <w:lang w:bidi="ar"/>
                    </w:rPr>
                    <w:t>硬化</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路面平整、易冲洗</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不积水</w:t>
                  </w:r>
                </w:p>
              </w:tc>
              <w:tc>
                <w:tcPr>
                  <w:tcW w:w="487" w:type="pct"/>
                  <w:noWrap w:val="0"/>
                  <w:vAlign w:val="center"/>
                </w:tcPr>
                <w:p w14:paraId="2B45429A">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default" w:ascii="Times New Roman" w:hAnsi="Times New Roman" w:cs="Times New Roman" w:eastAsiaTheme="minorEastAsia"/>
                      <w:color w:val="auto"/>
                      <w:spacing w:val="4"/>
                      <w:sz w:val="21"/>
                      <w:szCs w:val="21"/>
                      <w:u w:val="single" w:color="auto"/>
                    </w:rPr>
                    <w:t>符</w:t>
                  </w:r>
                  <w:r>
                    <w:rPr>
                      <w:rFonts w:hint="default" w:ascii="Times New Roman" w:hAnsi="Times New Roman" w:cs="Times New Roman" w:eastAsiaTheme="minorEastAsia"/>
                      <w:color w:val="auto"/>
                      <w:spacing w:val="3"/>
                      <w:sz w:val="21"/>
                      <w:szCs w:val="21"/>
                      <w:u w:val="single" w:color="auto"/>
                    </w:rPr>
                    <w:t>合</w:t>
                  </w:r>
                </w:p>
              </w:tc>
            </w:tr>
            <w:tr w14:paraId="06A4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2" w:type="pct"/>
                  <w:noWrap w:val="0"/>
                  <w:vAlign w:val="center"/>
                </w:tcPr>
                <w:p w14:paraId="5F63C50A">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ascii="Times New Roman" w:hAnsi="Times New Roman" w:cs="Times New Roman" w:eastAsiaTheme="minorEastAsia"/>
                      <w:color w:val="auto"/>
                      <w:spacing w:val="9"/>
                      <w:sz w:val="21"/>
                      <w:szCs w:val="21"/>
                      <w:u w:val="single" w:color="auto"/>
                      <w:lang w:bidi="ar"/>
                    </w:rPr>
                    <w:t>厂区布局应当符合下列要求</w:t>
                  </w:r>
                  <w:r>
                    <w:rPr>
                      <w:rFonts w:hint="eastAsia" w:ascii="Times New Roman" w:hAnsi="Times New Roman" w:cs="Times New Roman" w:eastAsiaTheme="minorEastAsia"/>
                      <w:color w:val="auto"/>
                      <w:spacing w:val="9"/>
                      <w:sz w:val="21"/>
                      <w:szCs w:val="21"/>
                      <w:u w:val="single" w:color="auto"/>
                      <w:lang w:eastAsia="zh-CN" w:bidi="ar"/>
                    </w:rPr>
                    <w:t>：</w:t>
                  </w:r>
                </w:p>
                <w:p w14:paraId="5DEAC805">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一</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厂区划分为生产区和非生产区</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二者之间设有隔离设施</w:t>
                  </w:r>
                  <w:r>
                    <w:rPr>
                      <w:rFonts w:hint="eastAsia" w:ascii="Times New Roman" w:hAnsi="Times New Roman" w:cs="Times New Roman" w:eastAsiaTheme="minorEastAsia"/>
                      <w:color w:val="auto"/>
                      <w:spacing w:val="9"/>
                      <w:sz w:val="21"/>
                      <w:szCs w:val="21"/>
                      <w:u w:val="single" w:color="auto"/>
                      <w:lang w:eastAsia="zh-CN" w:bidi="ar"/>
                    </w:rPr>
                    <w:t>；</w:t>
                  </w:r>
                </w:p>
                <w:p w14:paraId="50538831">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二</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成品出厂应当使用专用通道和出入口</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运送生猪和废弃物的</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不得与其共用</w:t>
                  </w:r>
                  <w:r>
                    <w:rPr>
                      <w:rFonts w:hint="eastAsia" w:ascii="Times New Roman" w:hAnsi="Times New Roman" w:cs="Times New Roman" w:eastAsiaTheme="minorEastAsia"/>
                      <w:color w:val="auto"/>
                      <w:spacing w:val="9"/>
                      <w:sz w:val="21"/>
                      <w:szCs w:val="21"/>
                      <w:u w:val="single" w:color="auto"/>
                      <w:lang w:eastAsia="zh-CN" w:bidi="ar"/>
                    </w:rPr>
                    <w:t>；</w:t>
                  </w:r>
                </w:p>
                <w:p w14:paraId="7A2B246D">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eastAsia="zh-CN"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三</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设有待宰间、隔离间、屠宰间、急宰间、检验室、官方兽医室和无害化处理间</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或暂存设施</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等</w:t>
                  </w:r>
                  <w:r>
                    <w:rPr>
                      <w:rFonts w:hint="eastAsia" w:ascii="Times New Roman" w:hAnsi="Times New Roman" w:cs="Times New Roman" w:eastAsiaTheme="minorEastAsia"/>
                      <w:color w:val="auto"/>
                      <w:spacing w:val="9"/>
                      <w:sz w:val="21"/>
                      <w:szCs w:val="21"/>
                      <w:u w:val="single" w:color="auto"/>
                      <w:lang w:eastAsia="zh-CN" w:bidi="ar"/>
                    </w:rPr>
                    <w:t>；</w:t>
                  </w:r>
                </w:p>
                <w:p w14:paraId="7E6EA040">
                  <w:pPr>
                    <w:widowControl w:val="0"/>
                    <w:spacing w:line="240" w:lineRule="auto"/>
                    <w:ind w:firstLine="0" w:firstLineChars="0"/>
                    <w:jc w:val="center"/>
                    <w:rPr>
                      <w:rFonts w:hint="eastAsia" w:ascii="Times New Roman" w:hAnsi="Times New Roman" w:cs="Times New Roman" w:eastAsiaTheme="minorEastAsia"/>
                      <w:color w:val="auto"/>
                      <w:spacing w:val="9"/>
                      <w:sz w:val="21"/>
                      <w:szCs w:val="21"/>
                      <w:u w:val="single" w:color="auto"/>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ascii="Times New Roman" w:hAnsi="Times New Roman" w:cs="Times New Roman" w:eastAsiaTheme="minorEastAsia"/>
                      <w:color w:val="auto"/>
                      <w:spacing w:val="9"/>
                      <w:sz w:val="21"/>
                      <w:szCs w:val="21"/>
                      <w:u w:val="single" w:color="auto"/>
                      <w:lang w:bidi="ar"/>
                    </w:rPr>
                    <w:t>四</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分别设有生猪运输车辆、产品运输车辆以及工具清洗消毒的区域</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生猪运输车辆清洗消毒区域应当临近生猪卸载区域</w:t>
                  </w:r>
                  <w:r>
                    <w:rPr>
                      <w:rFonts w:hint="eastAsia" w:ascii="Times New Roman" w:hAnsi="Times New Roman" w:cs="Times New Roman" w:eastAsiaTheme="minorEastAsia"/>
                      <w:color w:val="auto"/>
                      <w:spacing w:val="9"/>
                      <w:sz w:val="21"/>
                      <w:szCs w:val="21"/>
                      <w:u w:val="single" w:color="auto"/>
                      <w:lang w:eastAsia="zh-CN" w:bidi="ar"/>
                    </w:rPr>
                    <w:t>；</w:t>
                  </w:r>
                </w:p>
                <w:p w14:paraId="53CF625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b w:val="0"/>
                      <w:snapToGrid/>
                      <w:color w:val="auto"/>
                      <w:spacing w:val="9"/>
                      <w:kern w:val="2"/>
                      <w:sz w:val="21"/>
                      <w:szCs w:val="21"/>
                      <w:u w:val="single" w:color="auto"/>
                      <w:vertAlign w:val="baseline"/>
                      <w:lang w:bidi="ar"/>
                    </w:rPr>
                  </w:pP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五</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有符合环境保护要求的污染防治设施。</w:t>
                  </w:r>
                </w:p>
              </w:tc>
              <w:tc>
                <w:tcPr>
                  <w:tcW w:w="1510" w:type="pct"/>
                  <w:noWrap w:val="0"/>
                  <w:vAlign w:val="center"/>
                </w:tcPr>
                <w:p w14:paraId="1D4C72ED">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lang w:val="en-US"/>
                    </w:rPr>
                  </w:pPr>
                  <w:r>
                    <w:rPr>
                      <w:rFonts w:hint="eastAsia" w:ascii="Times New Roman" w:hAnsi="Times New Roman" w:cs="Times New Roman" w:eastAsiaTheme="minorEastAsia"/>
                      <w:color w:val="auto"/>
                      <w:spacing w:val="14"/>
                      <w:sz w:val="21"/>
                      <w:szCs w:val="21"/>
                      <w:u w:val="single" w:color="auto"/>
                      <w:lang w:val="en-US" w:eastAsia="zh-CN"/>
                    </w:rPr>
                    <w:t>本项目已</w:t>
                  </w:r>
                  <w:r>
                    <w:rPr>
                      <w:rFonts w:hint="default" w:ascii="Times New Roman" w:hAnsi="Times New Roman" w:cs="Times New Roman" w:eastAsiaTheme="minorEastAsia"/>
                      <w:color w:val="auto"/>
                      <w:spacing w:val="9"/>
                      <w:sz w:val="21"/>
                      <w:szCs w:val="21"/>
                      <w:u w:val="single" w:color="auto"/>
                      <w:lang w:bidi="ar"/>
                    </w:rPr>
                    <w:t>划分为生产区和非生产区</w:t>
                  </w:r>
                  <w:r>
                    <w:rPr>
                      <w:rFonts w:hint="eastAsia" w:ascii="Times New Roman" w:hAnsi="Times New Roman" w:cs="Times New Roman" w:eastAsiaTheme="minorEastAsia"/>
                      <w:color w:val="auto"/>
                      <w:spacing w:val="9"/>
                      <w:sz w:val="21"/>
                      <w:szCs w:val="21"/>
                      <w:u w:val="single" w:color="auto"/>
                      <w:lang w:eastAsia="zh-CN" w:bidi="ar"/>
                    </w:rPr>
                    <w:t>，</w:t>
                  </w:r>
                  <w:r>
                    <w:rPr>
                      <w:rFonts w:hint="eastAsia" w:ascii="Times New Roman" w:hAnsi="Times New Roman" w:cs="Times New Roman" w:eastAsiaTheme="minorEastAsia"/>
                      <w:color w:val="auto"/>
                      <w:spacing w:val="9"/>
                      <w:sz w:val="21"/>
                      <w:szCs w:val="21"/>
                      <w:u w:val="single" w:color="auto"/>
                      <w:lang w:val="en-US" w:eastAsia="zh-CN" w:bidi="ar"/>
                    </w:rPr>
                    <w:t>并设有</w:t>
                  </w:r>
                  <w:r>
                    <w:rPr>
                      <w:rFonts w:hint="default" w:ascii="Times New Roman" w:hAnsi="Times New Roman" w:cs="Times New Roman" w:eastAsiaTheme="minorEastAsia"/>
                      <w:color w:val="auto"/>
                      <w:spacing w:val="9"/>
                      <w:sz w:val="21"/>
                      <w:szCs w:val="21"/>
                      <w:u w:val="single" w:color="auto"/>
                      <w:lang w:bidi="ar"/>
                    </w:rPr>
                    <w:t>隔离设施</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成品出厂</w:t>
                  </w:r>
                  <w:r>
                    <w:rPr>
                      <w:rFonts w:hint="eastAsia" w:ascii="Times New Roman" w:hAnsi="Times New Roman" w:cs="Times New Roman" w:eastAsiaTheme="minorEastAsia"/>
                      <w:color w:val="auto"/>
                      <w:spacing w:val="9"/>
                      <w:sz w:val="21"/>
                      <w:szCs w:val="21"/>
                      <w:u w:val="single" w:color="auto"/>
                      <w:lang w:val="en-US" w:eastAsia="zh-CN" w:bidi="ar"/>
                    </w:rPr>
                    <w:t>设有专门通道；厂内设有</w:t>
                  </w:r>
                  <w:r>
                    <w:rPr>
                      <w:rFonts w:hint="default" w:ascii="Times New Roman" w:hAnsi="Times New Roman" w:cs="Times New Roman" w:eastAsiaTheme="minorEastAsia"/>
                      <w:color w:val="auto"/>
                      <w:spacing w:val="9"/>
                      <w:sz w:val="21"/>
                      <w:szCs w:val="21"/>
                      <w:u w:val="single" w:color="auto"/>
                      <w:lang w:bidi="ar"/>
                    </w:rPr>
                    <w:t>待宰间、隔离间、屠宰间、急宰间、检验室、官方兽医室和无害化处理间</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或暂存设施</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等</w:t>
                  </w:r>
                  <w:r>
                    <w:rPr>
                      <w:rFonts w:hint="eastAsia" w:ascii="Times New Roman" w:hAnsi="Times New Roman" w:cs="Times New Roman" w:eastAsiaTheme="minorEastAsia"/>
                      <w:color w:val="auto"/>
                      <w:spacing w:val="9"/>
                      <w:sz w:val="21"/>
                      <w:szCs w:val="21"/>
                      <w:u w:val="single" w:color="auto"/>
                      <w:lang w:val="en-US" w:eastAsia="zh-CN" w:bidi="ar"/>
                    </w:rPr>
                    <w:t>以及</w:t>
                  </w:r>
                  <w:r>
                    <w:rPr>
                      <w:rFonts w:hint="default" w:ascii="Times New Roman" w:hAnsi="Times New Roman" w:cs="Times New Roman" w:eastAsiaTheme="minorEastAsia"/>
                      <w:color w:val="auto"/>
                      <w:spacing w:val="9"/>
                      <w:sz w:val="21"/>
                      <w:szCs w:val="21"/>
                      <w:u w:val="single" w:color="auto"/>
                      <w:lang w:bidi="ar"/>
                    </w:rPr>
                    <w:t>生猪运输车辆、产品运输车辆以及工具清洗消毒的区域</w:t>
                  </w:r>
                  <w:r>
                    <w:rPr>
                      <w:rFonts w:hint="eastAsia" w:ascii="Times New Roman" w:hAnsi="Times New Roman" w:cs="Times New Roman" w:eastAsiaTheme="minorEastAsia"/>
                      <w:color w:val="auto"/>
                      <w:spacing w:val="9"/>
                      <w:sz w:val="21"/>
                      <w:szCs w:val="21"/>
                      <w:u w:val="single" w:color="auto"/>
                      <w:lang w:eastAsia="zh-CN" w:bidi="ar"/>
                    </w:rPr>
                    <w:t>，</w:t>
                  </w:r>
                  <w:r>
                    <w:rPr>
                      <w:rFonts w:hint="default" w:ascii="Times New Roman" w:hAnsi="Times New Roman" w:cs="Times New Roman" w:eastAsiaTheme="minorEastAsia"/>
                      <w:color w:val="auto"/>
                      <w:spacing w:val="9"/>
                      <w:sz w:val="21"/>
                      <w:szCs w:val="21"/>
                      <w:u w:val="single" w:color="auto"/>
                      <w:lang w:bidi="ar"/>
                    </w:rPr>
                    <w:t>生猪运输车辆清洗消毒区域应当临近生猪卸载区域</w:t>
                  </w:r>
                  <w:r>
                    <w:rPr>
                      <w:rFonts w:hint="eastAsia" w:ascii="Times New Roman" w:hAnsi="Times New Roman" w:cs="Times New Roman" w:eastAsiaTheme="minorEastAsia"/>
                      <w:color w:val="auto"/>
                      <w:spacing w:val="9"/>
                      <w:sz w:val="21"/>
                      <w:szCs w:val="21"/>
                      <w:u w:val="single" w:color="auto"/>
                      <w:lang w:eastAsia="zh-CN" w:bidi="ar"/>
                    </w:rPr>
                    <w:t>；</w:t>
                  </w:r>
                  <w:r>
                    <w:rPr>
                      <w:rFonts w:hint="eastAsia" w:ascii="Times New Roman" w:hAnsi="Times New Roman" w:cs="Times New Roman" w:eastAsiaTheme="minorEastAsia"/>
                      <w:color w:val="auto"/>
                      <w:spacing w:val="9"/>
                      <w:sz w:val="21"/>
                      <w:szCs w:val="21"/>
                      <w:u w:val="single" w:color="auto"/>
                      <w:lang w:val="en-US" w:eastAsia="zh-CN" w:bidi="ar"/>
                    </w:rPr>
                    <w:t>本项目配套有</w:t>
                  </w:r>
                  <w:r>
                    <w:rPr>
                      <w:rFonts w:hint="default" w:ascii="Times New Roman" w:hAnsi="Times New Roman" w:cs="Times New Roman" w:eastAsiaTheme="minorEastAsia"/>
                      <w:color w:val="auto"/>
                      <w:spacing w:val="9"/>
                      <w:sz w:val="21"/>
                      <w:szCs w:val="21"/>
                      <w:u w:val="single" w:color="auto"/>
                      <w:lang w:bidi="ar"/>
                    </w:rPr>
                    <w:t>符合环境保护要求的污染防治设施</w:t>
                  </w:r>
                </w:p>
              </w:tc>
              <w:tc>
                <w:tcPr>
                  <w:tcW w:w="487" w:type="pct"/>
                  <w:noWrap w:val="0"/>
                  <w:vAlign w:val="center"/>
                </w:tcPr>
                <w:p w14:paraId="59691BC2">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eastAsiaTheme="minorEastAsia"/>
                      <w:b/>
                      <w:snapToGrid w:val="0"/>
                      <w:color w:val="auto"/>
                      <w:kern w:val="0"/>
                      <w:sz w:val="21"/>
                      <w:szCs w:val="21"/>
                      <w:u w:val="single" w:color="auto"/>
                      <w:vertAlign w:val="baseline"/>
                    </w:rPr>
                  </w:pPr>
                  <w:r>
                    <w:rPr>
                      <w:rFonts w:hint="default" w:ascii="Times New Roman" w:hAnsi="Times New Roman" w:cs="Times New Roman" w:eastAsiaTheme="minorEastAsia"/>
                      <w:color w:val="auto"/>
                      <w:spacing w:val="4"/>
                      <w:sz w:val="21"/>
                      <w:szCs w:val="21"/>
                      <w:u w:val="single" w:color="auto"/>
                    </w:rPr>
                    <w:t>符</w:t>
                  </w:r>
                  <w:r>
                    <w:rPr>
                      <w:rFonts w:hint="default" w:ascii="Times New Roman" w:hAnsi="Times New Roman" w:cs="Times New Roman" w:eastAsiaTheme="minorEastAsia"/>
                      <w:color w:val="auto"/>
                      <w:spacing w:val="3"/>
                      <w:sz w:val="21"/>
                      <w:szCs w:val="21"/>
                      <w:u w:val="single" w:color="auto"/>
                    </w:rPr>
                    <w:t>合</w:t>
                  </w:r>
                </w:p>
              </w:tc>
            </w:tr>
            <w:tr w14:paraId="3C21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noWrap w:val="0"/>
                  <w:vAlign w:val="center"/>
                </w:tcPr>
                <w:p w14:paraId="4A4894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sz w:val="21"/>
                      <w:szCs w:val="21"/>
                      <w:u w:val="single" w:color="auto"/>
                    </w:rPr>
                  </w:pPr>
                  <w:r>
                    <w:rPr>
                      <w:rFonts w:hint="default" w:ascii="Times New Roman" w:hAnsi="Times New Roman" w:eastAsia="宋体" w:cs="Times New Roman"/>
                      <w:color w:val="auto"/>
                      <w:sz w:val="21"/>
                      <w:szCs w:val="21"/>
                      <w:u w:val="single" w:color="auto"/>
                      <w:vertAlign w:val="baseline"/>
                      <w:lang w:val="en-US" w:eastAsia="zh-CN"/>
                    </w:rPr>
                    <w:t>注：</w:t>
                  </w:r>
                  <w:r>
                    <w:rPr>
                      <w:rFonts w:hint="eastAsia" w:ascii="Times New Roman" w:hAnsi="Times New Roman" w:eastAsia="宋体" w:cs="Times New Roman"/>
                      <w:color w:val="auto"/>
                      <w:sz w:val="21"/>
                      <w:szCs w:val="21"/>
                      <w:u w:val="single" w:color="auto"/>
                      <w:vertAlign w:val="baseline"/>
                      <w:lang w:val="en-US" w:eastAsia="zh-CN"/>
                    </w:rPr>
                    <w:t>根据企业实际情况，本项目符合</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b w:val="0"/>
                      <w:snapToGrid/>
                      <w:color w:val="auto"/>
                      <w:kern w:val="2"/>
                      <w:sz w:val="21"/>
                      <w:szCs w:val="21"/>
                      <w:u w:val="single" w:color="auto"/>
                    </w:rPr>
                    <w:t>生猪屠宰</w:t>
                  </w:r>
                  <w:r>
                    <w:rPr>
                      <w:rFonts w:hint="default" w:ascii="Times New Roman" w:hAnsi="Times New Roman" w:eastAsia="宋体" w:cs="Times New Roman"/>
                      <w:b w:val="0"/>
                      <w:snapToGrid/>
                      <w:color w:val="auto"/>
                      <w:kern w:val="2"/>
                      <w:sz w:val="21"/>
                      <w:szCs w:val="21"/>
                      <w:u w:val="single" w:color="auto"/>
                      <w:lang w:val="en-US" w:eastAsia="zh-CN"/>
                    </w:rPr>
                    <w:t>质量</w:t>
                  </w:r>
                  <w:r>
                    <w:rPr>
                      <w:rFonts w:hint="default" w:ascii="Times New Roman" w:hAnsi="Times New Roman" w:eastAsia="宋体" w:cs="Times New Roman"/>
                      <w:b w:val="0"/>
                      <w:snapToGrid/>
                      <w:color w:val="auto"/>
                      <w:kern w:val="2"/>
                      <w:sz w:val="21"/>
                      <w:szCs w:val="21"/>
                      <w:u w:val="single" w:color="auto"/>
                    </w:rPr>
                    <w:t>管理</w:t>
                  </w:r>
                  <w:r>
                    <w:rPr>
                      <w:rFonts w:hint="default" w:ascii="Times New Roman" w:hAnsi="Times New Roman" w:eastAsia="宋体" w:cs="Times New Roman"/>
                      <w:b w:val="0"/>
                      <w:snapToGrid/>
                      <w:color w:val="auto"/>
                      <w:kern w:val="2"/>
                      <w:sz w:val="21"/>
                      <w:szCs w:val="21"/>
                      <w:u w:val="single" w:color="auto"/>
                      <w:lang w:val="en-US" w:eastAsia="zh-CN"/>
                    </w:rPr>
                    <w:t>规范</w:t>
                  </w:r>
                  <w:r>
                    <w:rPr>
                      <w:rFonts w:hint="default" w:ascii="Times New Roman" w:hAnsi="Times New Roman" w:eastAsia="宋体" w:cs="Times New Roman"/>
                      <w:color w:val="auto"/>
                      <w:sz w:val="21"/>
                      <w:szCs w:val="21"/>
                      <w:u w:val="single" w:color="auto"/>
                    </w:rPr>
                    <w:t>》</w:t>
                  </w:r>
                  <w:r>
                    <w:rPr>
                      <w:rFonts w:hint="default" w:ascii="Times New Roman" w:hAnsi="Times New Roman" w:eastAsia="宋体" w:cs="Times New Roman"/>
                      <w:color w:val="auto"/>
                      <w:sz w:val="21"/>
                      <w:szCs w:val="21"/>
                      <w:u w:val="single" w:color="auto"/>
                      <w:vertAlign w:val="baseline"/>
                      <w:lang w:val="en-US" w:eastAsia="zh-CN"/>
                    </w:rPr>
                    <w:t>中的有关</w:t>
                  </w:r>
                  <w:r>
                    <w:rPr>
                      <w:rFonts w:hint="eastAsia" w:ascii="Times New Roman" w:hAnsi="Times New Roman" w:eastAsia="宋体" w:cs="Times New Roman"/>
                      <w:color w:val="auto"/>
                      <w:sz w:val="21"/>
                      <w:szCs w:val="21"/>
                      <w:u w:val="single" w:color="auto"/>
                      <w:vertAlign w:val="baseline"/>
                      <w:lang w:val="en-US" w:eastAsia="zh-CN"/>
                    </w:rPr>
                    <w:t>要求，本表仅列举部分内容</w:t>
                  </w:r>
                  <w:r>
                    <w:rPr>
                      <w:rFonts w:hint="default" w:ascii="Times New Roman" w:hAnsi="Times New Roman" w:eastAsia="宋体" w:cs="Times New Roman"/>
                      <w:color w:val="auto"/>
                      <w:sz w:val="21"/>
                      <w:szCs w:val="21"/>
                      <w:u w:val="single" w:color="auto"/>
                      <w:vertAlign w:val="baseline"/>
                      <w:lang w:val="en-US" w:eastAsia="zh-CN"/>
                    </w:rPr>
                    <w:t>。</w:t>
                  </w:r>
                </w:p>
              </w:tc>
            </w:tr>
          </w:tbl>
          <w:p w14:paraId="5C6F8D74">
            <w:pPr>
              <w:widowControl/>
              <w:adjustRightInd/>
              <w:snapToGrid/>
              <w:spacing w:line="360" w:lineRule="auto"/>
              <w:ind w:firstLine="0" w:firstLineChars="0"/>
              <w:rPr>
                <w:rFonts w:hint="eastAsia" w:ascii="黑体" w:hAnsi="黑体" w:eastAsia="黑体" w:cs="黑体"/>
                <w:b/>
                <w:bCs/>
                <w:snapToGrid/>
                <w:color w:val="auto"/>
                <w:kern w:val="2"/>
                <w:sz w:val="24"/>
                <w:u w:val="none" w:color="auto"/>
              </w:rPr>
            </w:pPr>
            <w:r>
              <w:rPr>
                <w:rFonts w:hint="eastAsia" w:cs="Times New Roman"/>
                <w:b/>
                <w:bCs/>
                <w:color w:val="auto"/>
                <w:sz w:val="24"/>
                <w:u w:val="none"/>
                <w:lang w:val="en-US" w:eastAsia="zh-CN"/>
              </w:rPr>
              <w:t>5</w:t>
            </w:r>
            <w:r>
              <w:rPr>
                <w:rFonts w:hint="eastAsia" w:ascii="黑体" w:hAnsi="黑体" w:eastAsia="黑体" w:cs="黑体"/>
                <w:b/>
                <w:bCs/>
                <w:snapToGrid/>
                <w:color w:val="auto"/>
                <w:kern w:val="2"/>
                <w:sz w:val="24"/>
                <w:u w:val="none" w:color="auto"/>
                <w:lang w:val="en-US" w:eastAsia="zh-CN"/>
              </w:rPr>
              <w:t>、</w:t>
            </w:r>
            <w:r>
              <w:rPr>
                <w:rFonts w:hint="eastAsia" w:ascii="黑体" w:hAnsi="黑体" w:eastAsia="黑体" w:cs="黑体"/>
                <w:b/>
                <w:bCs/>
                <w:snapToGrid/>
                <w:color w:val="auto"/>
                <w:kern w:val="2"/>
                <w:sz w:val="24"/>
                <w:u w:val="none" w:color="auto"/>
              </w:rPr>
              <w:t>与《湖南省生猪屠宰管理条例》</w:t>
            </w:r>
            <w:r>
              <w:rPr>
                <w:rFonts w:hint="eastAsia" w:ascii="黑体" w:hAnsi="黑体" w:eastAsia="黑体" w:cs="黑体"/>
                <w:b/>
                <w:bCs/>
                <w:snapToGrid/>
                <w:color w:val="auto"/>
                <w:kern w:val="2"/>
                <w:sz w:val="24"/>
                <w:u w:val="none" w:color="auto"/>
                <w:lang w:eastAsia="zh-CN"/>
              </w:rPr>
              <w:t>（</w:t>
            </w:r>
            <w:r>
              <w:rPr>
                <w:rFonts w:hint="eastAsia" w:ascii="黑体" w:hAnsi="黑体" w:eastAsia="黑体" w:cs="黑体"/>
                <w:b/>
                <w:bCs/>
                <w:snapToGrid/>
                <w:color w:val="auto"/>
                <w:kern w:val="2"/>
                <w:sz w:val="24"/>
                <w:u w:val="none" w:color="auto"/>
              </w:rPr>
              <w:t>202</w:t>
            </w:r>
            <w:r>
              <w:rPr>
                <w:rFonts w:hint="eastAsia" w:ascii="黑体" w:hAnsi="黑体" w:eastAsia="黑体" w:cs="黑体"/>
                <w:b/>
                <w:bCs/>
                <w:snapToGrid/>
                <w:color w:val="auto"/>
                <w:kern w:val="2"/>
                <w:sz w:val="24"/>
                <w:u w:val="none" w:color="auto"/>
                <w:lang w:val="en-US" w:eastAsia="zh-CN"/>
              </w:rPr>
              <w:t>4</w:t>
            </w:r>
            <w:r>
              <w:rPr>
                <w:rFonts w:hint="eastAsia" w:ascii="黑体" w:hAnsi="黑体" w:eastAsia="黑体" w:cs="黑体"/>
                <w:b/>
                <w:bCs/>
                <w:snapToGrid/>
                <w:color w:val="auto"/>
                <w:kern w:val="2"/>
                <w:sz w:val="24"/>
                <w:u w:val="none" w:color="auto"/>
              </w:rPr>
              <w:t>年修</w:t>
            </w:r>
            <w:r>
              <w:rPr>
                <w:rFonts w:hint="eastAsia" w:ascii="黑体" w:hAnsi="黑体" w:eastAsia="黑体" w:cs="黑体"/>
                <w:b/>
                <w:bCs/>
                <w:snapToGrid/>
                <w:color w:val="auto"/>
                <w:kern w:val="2"/>
                <w:sz w:val="24"/>
                <w:u w:val="none" w:color="auto"/>
                <w:lang w:eastAsia="zh-CN"/>
              </w:rPr>
              <w:t>订）</w:t>
            </w:r>
            <w:r>
              <w:rPr>
                <w:rFonts w:hint="eastAsia" w:ascii="黑体" w:hAnsi="黑体" w:eastAsia="黑体" w:cs="黑体"/>
                <w:b/>
                <w:bCs/>
                <w:snapToGrid/>
                <w:color w:val="auto"/>
                <w:kern w:val="2"/>
                <w:sz w:val="24"/>
                <w:u w:val="none" w:color="auto"/>
              </w:rPr>
              <w:t>相符性分析</w:t>
            </w:r>
          </w:p>
          <w:p w14:paraId="452DE508">
            <w:pPr>
              <w:widowControl/>
              <w:adjustRightInd/>
              <w:snapToGrid/>
              <w:spacing w:line="360" w:lineRule="auto"/>
              <w:ind w:firstLine="0" w:firstLineChars="0"/>
              <w:jc w:val="center"/>
              <w:rPr>
                <w:rFonts w:hint="default" w:ascii="Times New Roman" w:hAnsi="Times New Roman" w:eastAsia="宋体" w:cs="Times New Roman"/>
                <w:b w:val="0"/>
                <w:snapToGrid/>
                <w:color w:val="auto"/>
                <w:kern w:val="2"/>
                <w:sz w:val="24"/>
                <w:szCs w:val="24"/>
                <w:u w:val="none" w:color="auto"/>
              </w:rPr>
            </w:pPr>
            <w:r>
              <w:rPr>
                <w:rFonts w:hint="default" w:ascii="Times New Roman" w:hAnsi="Times New Roman" w:eastAsia="宋体" w:cs="Times New Roman"/>
                <w:b w:val="0"/>
                <w:snapToGrid/>
                <w:color w:val="auto"/>
                <w:kern w:val="2"/>
                <w:sz w:val="24"/>
                <w:szCs w:val="24"/>
                <w:u w:val="none" w:color="auto"/>
              </w:rPr>
              <w:t>表</w:t>
            </w:r>
            <w:r>
              <w:rPr>
                <w:rFonts w:hint="eastAsia" w:cs="Times New Roman"/>
                <w:b w:val="0"/>
                <w:snapToGrid/>
                <w:color w:val="auto"/>
                <w:kern w:val="2"/>
                <w:sz w:val="24"/>
                <w:szCs w:val="24"/>
                <w:u w:val="none" w:color="auto"/>
                <w:lang w:val="en-US" w:eastAsia="zh-CN"/>
              </w:rPr>
              <w:t xml:space="preserve">8 </w:t>
            </w:r>
            <w:r>
              <w:rPr>
                <w:rFonts w:hint="default" w:ascii="Times New Roman" w:hAnsi="Times New Roman" w:eastAsia="宋体" w:cs="Times New Roman"/>
                <w:b w:val="0"/>
                <w:snapToGrid/>
                <w:color w:val="auto"/>
                <w:kern w:val="2"/>
                <w:sz w:val="24"/>
                <w:szCs w:val="24"/>
                <w:u w:val="none" w:color="auto"/>
                <w:lang w:eastAsia="zh-CN"/>
              </w:rPr>
              <w:t>项目</w:t>
            </w:r>
            <w:r>
              <w:rPr>
                <w:rFonts w:hint="default" w:ascii="Times New Roman" w:hAnsi="Times New Roman" w:eastAsia="宋体" w:cs="Times New Roman"/>
                <w:b w:val="0"/>
                <w:snapToGrid/>
                <w:color w:val="auto"/>
                <w:kern w:val="2"/>
                <w:sz w:val="24"/>
                <w:szCs w:val="24"/>
                <w:u w:val="none" w:color="auto"/>
              </w:rPr>
              <w:t>与《湖南省生猪屠宰管理条例》相符性分析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2774"/>
              <w:gridCol w:w="3463"/>
              <w:gridCol w:w="741"/>
            </w:tblGrid>
            <w:tr w14:paraId="52AE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328" w:type="pct"/>
                  <w:gridSpan w:val="2"/>
                  <w:noWrap w:val="0"/>
                  <w:vAlign w:val="center"/>
                </w:tcPr>
                <w:p w14:paraId="5DFD5AF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snapToGrid w:val="0"/>
                      <w:color w:val="auto"/>
                      <w:kern w:val="0"/>
                      <w:sz w:val="21"/>
                      <w:szCs w:val="21"/>
                      <w:u w:val="single" w:color="auto"/>
                      <w:vertAlign w:val="baseline"/>
                    </w:rPr>
                  </w:pPr>
                  <w:r>
                    <w:rPr>
                      <w:rFonts w:hint="default" w:ascii="Times New Roman" w:hAnsi="Times New Roman" w:eastAsia="宋体" w:cs="Times New Roman"/>
                      <w:color w:val="auto"/>
                      <w:spacing w:val="7"/>
                      <w:sz w:val="21"/>
                      <w:szCs w:val="21"/>
                      <w:u w:val="single" w:color="auto"/>
                    </w:rPr>
                    <w:t>文件要</w:t>
                  </w:r>
                  <w:r>
                    <w:rPr>
                      <w:rFonts w:hint="default" w:ascii="Times New Roman" w:hAnsi="Times New Roman" w:eastAsia="宋体" w:cs="Times New Roman"/>
                      <w:color w:val="auto"/>
                      <w:spacing w:val="6"/>
                      <w:sz w:val="21"/>
                      <w:szCs w:val="21"/>
                      <w:u w:val="single" w:color="auto"/>
                    </w:rPr>
                    <w:t>求</w:t>
                  </w:r>
                </w:p>
              </w:tc>
              <w:tc>
                <w:tcPr>
                  <w:tcW w:w="2201" w:type="pct"/>
                  <w:noWrap w:val="0"/>
                  <w:vAlign w:val="center"/>
                </w:tcPr>
                <w:p w14:paraId="356A3D9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snapToGrid w:val="0"/>
                      <w:color w:val="auto"/>
                      <w:kern w:val="0"/>
                      <w:sz w:val="21"/>
                      <w:szCs w:val="21"/>
                      <w:u w:val="single" w:color="auto"/>
                      <w:vertAlign w:val="baseline"/>
                    </w:rPr>
                  </w:pPr>
                  <w:r>
                    <w:rPr>
                      <w:rFonts w:hint="default" w:ascii="Times New Roman" w:hAnsi="Times New Roman" w:eastAsia="宋体" w:cs="Times New Roman"/>
                      <w:color w:val="auto"/>
                      <w:spacing w:val="8"/>
                      <w:sz w:val="21"/>
                      <w:szCs w:val="21"/>
                      <w:u w:val="single" w:color="auto"/>
                    </w:rPr>
                    <w:t>本项目情</w:t>
                  </w:r>
                  <w:r>
                    <w:rPr>
                      <w:rFonts w:hint="default" w:ascii="Times New Roman" w:hAnsi="Times New Roman" w:eastAsia="宋体" w:cs="Times New Roman"/>
                      <w:color w:val="auto"/>
                      <w:spacing w:val="7"/>
                      <w:sz w:val="21"/>
                      <w:szCs w:val="21"/>
                      <w:u w:val="single" w:color="auto"/>
                    </w:rPr>
                    <w:t>况</w:t>
                  </w:r>
                </w:p>
              </w:tc>
              <w:tc>
                <w:tcPr>
                  <w:tcW w:w="469" w:type="pct"/>
                  <w:noWrap w:val="0"/>
                  <w:vAlign w:val="center"/>
                </w:tcPr>
                <w:p w14:paraId="0E0D3469">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snapToGrid w:val="0"/>
                      <w:color w:val="auto"/>
                      <w:kern w:val="0"/>
                      <w:sz w:val="21"/>
                      <w:szCs w:val="21"/>
                      <w:u w:val="single" w:color="auto"/>
                      <w:vertAlign w:val="baseline"/>
                    </w:rPr>
                  </w:pPr>
                  <w:r>
                    <w:rPr>
                      <w:rFonts w:hint="default" w:ascii="Times New Roman" w:hAnsi="Times New Roman" w:eastAsia="宋体" w:cs="Times New Roman"/>
                      <w:color w:val="auto"/>
                      <w:spacing w:val="7"/>
                      <w:sz w:val="21"/>
                      <w:szCs w:val="21"/>
                      <w:u w:val="single" w:color="auto"/>
                    </w:rPr>
                    <w:t>符合情</w:t>
                  </w:r>
                  <w:r>
                    <w:rPr>
                      <w:rFonts w:hint="default" w:ascii="Times New Roman" w:hAnsi="Times New Roman" w:eastAsia="宋体" w:cs="Times New Roman"/>
                      <w:color w:val="auto"/>
                      <w:spacing w:val="6"/>
                      <w:sz w:val="21"/>
                      <w:szCs w:val="21"/>
                      <w:u w:val="single" w:color="auto"/>
                    </w:rPr>
                    <w:t>况</w:t>
                  </w:r>
                </w:p>
              </w:tc>
            </w:tr>
            <w:tr w14:paraId="27B2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328" w:type="pct"/>
                  <w:gridSpan w:val="2"/>
                  <w:noWrap w:val="0"/>
                  <w:vAlign w:val="center"/>
                </w:tcPr>
                <w:p w14:paraId="2E693DC0">
                  <w:pPr>
                    <w:widowControl w:val="0"/>
                    <w:spacing w:line="240" w:lineRule="auto"/>
                    <w:ind w:firstLine="0" w:firstLineChars="0"/>
                    <w:jc w:val="center"/>
                    <w:rPr>
                      <w:rFonts w:hint="default" w:ascii="Times New Roman" w:hAnsi="Times New Roman" w:cs="Times New Roman" w:eastAsiaTheme="minorEastAsia"/>
                      <w:color w:val="auto"/>
                      <w:spacing w:val="9"/>
                      <w:sz w:val="21"/>
                      <w:szCs w:val="21"/>
                      <w:u w:val="single" w:color="auto"/>
                      <w:lang w:bidi="ar"/>
                    </w:rPr>
                  </w:pPr>
                  <w:r>
                    <w:rPr>
                      <w:rFonts w:hint="default" w:ascii="Times New Roman" w:hAnsi="Times New Roman" w:cs="Times New Roman" w:eastAsiaTheme="minorEastAsia"/>
                      <w:color w:val="auto"/>
                      <w:spacing w:val="9"/>
                      <w:sz w:val="21"/>
                      <w:szCs w:val="21"/>
                      <w:u w:val="single" w:color="auto"/>
                      <w:lang w:bidi="ar"/>
                    </w:rPr>
                    <w:t>鼓励支持生猪养殖、屠宰以及生</w:t>
                  </w:r>
                  <w:r>
                    <w:rPr>
                      <w:rFonts w:hint="eastAsia" w:ascii="Times New Roman" w:hAnsi="Times New Roman" w:cs="Times New Roman" w:eastAsiaTheme="minorEastAsia"/>
                      <w:color w:val="auto"/>
                      <w:spacing w:val="9"/>
                      <w:sz w:val="21"/>
                      <w:szCs w:val="21"/>
                      <w:u w:val="single" w:color="auto"/>
                      <w:lang w:bidi="ar"/>
                    </w:rPr>
                    <w:t>猪产品加工、配送、销售等一体化发展，推行标准化屠宰，促进生猪屠宰行业优化升级。</w:t>
                  </w:r>
                </w:p>
              </w:tc>
              <w:tc>
                <w:tcPr>
                  <w:tcW w:w="2201" w:type="pct"/>
                  <w:noWrap w:val="0"/>
                  <w:vAlign w:val="center"/>
                </w:tcPr>
                <w:p w14:paraId="3974B620">
                  <w:pPr>
                    <w:widowControl w:val="0"/>
                    <w:spacing w:line="240" w:lineRule="auto"/>
                    <w:ind w:firstLine="0" w:firstLineChars="0"/>
                    <w:jc w:val="center"/>
                    <w:rPr>
                      <w:rFonts w:hint="default" w:ascii="Times New Roman" w:hAnsi="Times New Roman" w:cs="Times New Roman" w:eastAsiaTheme="minorEastAsia"/>
                      <w:color w:val="auto"/>
                      <w:spacing w:val="9"/>
                      <w:sz w:val="21"/>
                      <w:szCs w:val="21"/>
                      <w:u w:val="single" w:color="auto"/>
                      <w:lang w:val="en-US" w:eastAsia="zh-CN" w:bidi="ar"/>
                    </w:rPr>
                  </w:pPr>
                  <w:r>
                    <w:rPr>
                      <w:rFonts w:hint="eastAsia" w:ascii="Times New Roman" w:hAnsi="Times New Roman" w:cs="Times New Roman" w:eastAsiaTheme="minorEastAsia"/>
                      <w:color w:val="auto"/>
                      <w:spacing w:val="9"/>
                      <w:sz w:val="21"/>
                      <w:szCs w:val="21"/>
                      <w:u w:val="single" w:color="auto"/>
                      <w:lang w:val="en-US" w:eastAsia="zh-CN" w:bidi="ar"/>
                    </w:rPr>
                    <w:t>本项目为</w:t>
                  </w:r>
                  <w:r>
                    <w:rPr>
                      <w:rFonts w:hint="default" w:ascii="Times New Roman" w:hAnsi="Times New Roman" w:cs="Times New Roman" w:eastAsiaTheme="minorEastAsia"/>
                      <w:color w:val="auto"/>
                      <w:spacing w:val="9"/>
                      <w:sz w:val="21"/>
                      <w:szCs w:val="21"/>
                      <w:u w:val="single" w:color="auto"/>
                      <w:lang w:bidi="ar"/>
                    </w:rPr>
                    <w:t>生猪屠宰以及生</w:t>
                  </w:r>
                  <w:r>
                    <w:rPr>
                      <w:rFonts w:hint="eastAsia" w:ascii="Times New Roman" w:hAnsi="Times New Roman" w:cs="Times New Roman" w:eastAsiaTheme="minorEastAsia"/>
                      <w:color w:val="auto"/>
                      <w:spacing w:val="9"/>
                      <w:sz w:val="21"/>
                      <w:szCs w:val="21"/>
                      <w:u w:val="single" w:color="auto"/>
                      <w:lang w:bidi="ar"/>
                    </w:rPr>
                    <w:t>猪产品加工、配送、销售等一体化</w:t>
                  </w:r>
                  <w:r>
                    <w:rPr>
                      <w:rFonts w:hint="eastAsia" w:ascii="Times New Roman" w:hAnsi="Times New Roman" w:cs="Times New Roman" w:eastAsiaTheme="minorEastAsia"/>
                      <w:color w:val="auto"/>
                      <w:spacing w:val="9"/>
                      <w:sz w:val="21"/>
                      <w:szCs w:val="21"/>
                      <w:u w:val="single" w:color="auto"/>
                      <w:lang w:val="en-US" w:eastAsia="zh-CN" w:bidi="ar"/>
                    </w:rPr>
                    <w:t>生产，</w:t>
                  </w:r>
                  <w:r>
                    <w:rPr>
                      <w:rFonts w:hint="eastAsia" w:ascii="Times New Roman" w:hAnsi="Times New Roman" w:cs="Times New Roman" w:eastAsiaTheme="minorEastAsia"/>
                      <w:color w:val="auto"/>
                      <w:spacing w:val="9"/>
                      <w:sz w:val="21"/>
                      <w:szCs w:val="21"/>
                      <w:u w:val="single" w:color="auto"/>
                      <w:lang w:bidi="ar"/>
                    </w:rPr>
                    <w:t>推行标准化屠宰</w:t>
                  </w:r>
                </w:p>
              </w:tc>
              <w:tc>
                <w:tcPr>
                  <w:tcW w:w="469" w:type="pct"/>
                  <w:noWrap w:val="0"/>
                  <w:vAlign w:val="center"/>
                </w:tcPr>
                <w:p w14:paraId="2F27D46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color w:val="auto"/>
                      <w:spacing w:val="7"/>
                      <w:sz w:val="21"/>
                      <w:szCs w:val="21"/>
                      <w:u w:val="single" w:color="auto"/>
                      <w:lang w:val="en-US" w:eastAsia="zh-CN"/>
                    </w:rPr>
                  </w:pPr>
                  <w:r>
                    <w:rPr>
                      <w:rFonts w:hint="eastAsia" w:cs="Times New Roman"/>
                      <w:color w:val="auto"/>
                      <w:spacing w:val="7"/>
                      <w:sz w:val="21"/>
                      <w:szCs w:val="21"/>
                      <w:u w:val="single" w:color="auto"/>
                      <w:lang w:val="en-US" w:eastAsia="zh-CN"/>
                    </w:rPr>
                    <w:t>符合</w:t>
                  </w:r>
                </w:p>
              </w:tc>
            </w:tr>
            <w:tr w14:paraId="4553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pct"/>
                  <w:noWrap w:val="0"/>
                  <w:vAlign w:val="center"/>
                </w:tcPr>
                <w:p w14:paraId="5CD7FAF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u w:val="single" w:color="auto"/>
                    </w:rPr>
                  </w:pPr>
                  <w:r>
                    <w:rPr>
                      <w:rFonts w:hint="default" w:ascii="Times New Roman" w:hAnsi="Times New Roman" w:eastAsia="宋体" w:cs="Times New Roman"/>
                      <w:color w:val="auto"/>
                      <w:spacing w:val="9"/>
                      <w:sz w:val="21"/>
                      <w:szCs w:val="21"/>
                      <w:u w:val="single" w:color="auto"/>
                    </w:rPr>
                    <w:t>生猪定点屠宰厂</w:t>
                  </w:r>
                  <w:r>
                    <w:rPr>
                      <w:rFonts w:hint="default" w:ascii="Times New Roman" w:hAnsi="Times New Roman" w:eastAsia="宋体" w:cs="Times New Roman"/>
                      <w:color w:val="auto"/>
                      <w:spacing w:val="3"/>
                      <w:sz w:val="21"/>
                      <w:szCs w:val="21"/>
                      <w:u w:val="single" w:color="auto"/>
                      <w:lang w:eastAsia="zh-CN"/>
                    </w:rPr>
                    <w:t>（场）</w:t>
                  </w:r>
                </w:p>
                <w:p w14:paraId="65FCF24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snapToGrid w:val="0"/>
                      <w:color w:val="auto"/>
                      <w:kern w:val="0"/>
                      <w:sz w:val="21"/>
                      <w:szCs w:val="21"/>
                      <w:u w:val="single" w:color="auto"/>
                      <w:vertAlign w:val="baseline"/>
                    </w:rPr>
                  </w:pPr>
                  <w:r>
                    <w:rPr>
                      <w:rFonts w:hint="default" w:ascii="Times New Roman" w:hAnsi="Times New Roman" w:eastAsia="宋体" w:cs="Times New Roman"/>
                      <w:color w:val="auto"/>
                      <w:spacing w:val="9"/>
                      <w:sz w:val="21"/>
                      <w:szCs w:val="21"/>
                      <w:u w:val="single" w:color="auto"/>
                    </w:rPr>
                    <w:t>应当具备的条件</w:t>
                  </w:r>
                </w:p>
              </w:tc>
              <w:tc>
                <w:tcPr>
                  <w:tcW w:w="1762" w:type="pct"/>
                  <w:noWrap w:val="0"/>
                  <w:vAlign w:val="center"/>
                </w:tcPr>
                <w:p w14:paraId="5A81EDE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u w:val="single" w:color="auto"/>
                    </w:rPr>
                  </w:pPr>
                  <w:r>
                    <w:rPr>
                      <w:rFonts w:hint="eastAsia" w:ascii="Times New Roman" w:hAnsi="Times New Roman" w:eastAsia="宋体" w:cs="Times New Roman"/>
                      <w:color w:val="auto"/>
                      <w:spacing w:val="9"/>
                      <w:sz w:val="21"/>
                      <w:szCs w:val="21"/>
                      <w:u w:val="single" w:color="auto"/>
                      <w:lang w:val="en-US" w:eastAsia="zh-CN"/>
                    </w:rPr>
                    <w:t>小型生猪屠宰场应当具备待宰间、屠宰间以及屠宰设备，有符合国家规定标准的水源，有依法取得健康证明的屠宰技术人员和经考核合格的兽医卫生检验人员，有相应的检验设备、消毒设施和符合环境保护要求的污染防治设施，有无害化处理委托协议，并依法取得动物防疫条件合格证。</w:t>
                  </w:r>
                </w:p>
              </w:tc>
              <w:tc>
                <w:tcPr>
                  <w:tcW w:w="2201" w:type="pct"/>
                  <w:noWrap w:val="0"/>
                  <w:vAlign w:val="center"/>
                </w:tcPr>
                <w:p w14:paraId="71E2B28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color w:val="auto"/>
                      <w:spacing w:val="9"/>
                      <w:sz w:val="21"/>
                      <w:szCs w:val="21"/>
                      <w:u w:val="single" w:color="auto"/>
                      <w:lang w:val="en-US" w:eastAsia="zh-CN"/>
                    </w:rPr>
                    <w:t>①由区域自来水管网供水；</w:t>
                  </w:r>
                </w:p>
                <w:p w14:paraId="56DEFF9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color w:val="auto"/>
                      <w:spacing w:val="9"/>
                      <w:sz w:val="21"/>
                      <w:szCs w:val="21"/>
                      <w:u w:val="single" w:color="auto"/>
                      <w:lang w:val="en-US" w:eastAsia="zh-CN"/>
                    </w:rPr>
                    <w:t>②有与屠宰规模相适应的设备和场地；</w:t>
                  </w:r>
                </w:p>
                <w:p w14:paraId="46FA7D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color w:val="auto"/>
                      <w:spacing w:val="9"/>
                      <w:sz w:val="21"/>
                      <w:szCs w:val="21"/>
                      <w:u w:val="single" w:color="auto"/>
                      <w:lang w:val="en-US" w:eastAsia="zh-CN"/>
                    </w:rPr>
                    <w:t>③有健康证的屠宰技术员；</w:t>
                  </w:r>
                </w:p>
                <w:p w14:paraId="0DA1AEB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color w:val="auto"/>
                      <w:spacing w:val="9"/>
                      <w:sz w:val="21"/>
                      <w:szCs w:val="21"/>
                      <w:u w:val="single" w:color="auto"/>
                      <w:lang w:val="en-US" w:eastAsia="zh-CN"/>
                    </w:rPr>
                    <w:t>④有质检人员；</w:t>
                  </w:r>
                </w:p>
                <w:p w14:paraId="57A6D77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color w:val="auto"/>
                      <w:spacing w:val="9"/>
                      <w:sz w:val="21"/>
                      <w:szCs w:val="21"/>
                      <w:u w:val="single" w:color="auto"/>
                      <w:lang w:val="en-US" w:eastAsia="zh-CN"/>
                    </w:rPr>
                    <w:t>⑤有检验设备，有消毒设施和设备，有污染防治设施；</w:t>
                  </w:r>
                </w:p>
                <w:p w14:paraId="533C04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color w:val="auto"/>
                      <w:spacing w:val="9"/>
                      <w:sz w:val="21"/>
                      <w:szCs w:val="21"/>
                      <w:u w:val="single" w:color="auto"/>
                      <w:lang w:val="en-US" w:eastAsia="zh-CN"/>
                    </w:rPr>
                    <w:t>⑥根据《生猪屠宰管理条例》病死猪无害化委托溆浦永福盛生物科技有限公司进行无害化处理处置；</w:t>
                  </w:r>
                </w:p>
                <w:p w14:paraId="4DBC98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color w:val="auto"/>
                      <w:spacing w:val="9"/>
                      <w:sz w:val="21"/>
                      <w:szCs w:val="21"/>
                      <w:u w:val="single" w:color="auto"/>
                      <w:lang w:val="en-US" w:eastAsia="zh-CN"/>
                    </w:rPr>
                    <w:t>⑦依法办理动物防疫条件合格证。</w:t>
                  </w:r>
                </w:p>
              </w:tc>
              <w:tc>
                <w:tcPr>
                  <w:tcW w:w="469" w:type="pct"/>
                  <w:noWrap w:val="0"/>
                  <w:vAlign w:val="center"/>
                </w:tcPr>
                <w:p w14:paraId="2B2FBF0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single" w:color="auto"/>
                    </w:rPr>
                  </w:pPr>
                  <w:r>
                    <w:rPr>
                      <w:rFonts w:hint="default" w:ascii="Times New Roman" w:hAnsi="Times New Roman" w:eastAsia="宋体" w:cs="Times New Roman"/>
                      <w:color w:val="auto"/>
                      <w:spacing w:val="15"/>
                      <w:sz w:val="21"/>
                      <w:szCs w:val="21"/>
                      <w:u w:val="single" w:color="auto"/>
                    </w:rPr>
                    <w:t>符合</w:t>
                  </w:r>
                </w:p>
              </w:tc>
            </w:tr>
            <w:tr w14:paraId="0BE5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328" w:type="pct"/>
                  <w:gridSpan w:val="2"/>
                  <w:noWrap w:val="0"/>
                  <w:vAlign w:val="center"/>
                </w:tcPr>
                <w:p w14:paraId="56B8D24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ascii="Times New Roman" w:hAnsi="Times New Roman" w:eastAsia="宋体" w:cs="Times New Roman"/>
                      <w:i w:val="0"/>
                      <w:iCs w:val="0"/>
                      <w:caps w:val="0"/>
                      <w:color w:val="auto"/>
                      <w:spacing w:val="9"/>
                      <w:sz w:val="21"/>
                      <w:szCs w:val="21"/>
                      <w:u w:val="single" w:color="auto"/>
                      <w:shd w:val="clear"/>
                    </w:rPr>
                    <w:t>生猪屠宰场所的选址，应当符合生猪屠宰行业发展规划、国土空间规划，进行动物防疫条件和环境影响风险评估，与居民生活区、生活饮用水水源地以及学校、医院等公共场所保持安全距离。</w:t>
                  </w:r>
                </w:p>
              </w:tc>
              <w:tc>
                <w:tcPr>
                  <w:tcW w:w="2201" w:type="pct"/>
                  <w:noWrap w:val="0"/>
                  <w:vAlign w:val="center"/>
                </w:tcPr>
                <w:p w14:paraId="4CD4914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single" w:color="auto"/>
                      <w:lang w:val="en-US" w:eastAsia="zh-CN"/>
                    </w:rPr>
                  </w:pPr>
                  <w:r>
                    <w:rPr>
                      <w:rFonts w:hint="eastAsia" w:cs="Times New Roman"/>
                      <w:color w:val="auto"/>
                      <w:spacing w:val="9"/>
                      <w:sz w:val="21"/>
                      <w:szCs w:val="21"/>
                      <w:u w:val="single" w:color="auto"/>
                      <w:lang w:val="en-US" w:eastAsia="zh-CN"/>
                    </w:rPr>
                    <w:t>根据本节分析，本项目选址</w:t>
                  </w:r>
                  <w:r>
                    <w:rPr>
                      <w:rFonts w:hint="eastAsia" w:ascii="Times New Roman" w:hAnsi="Times New Roman" w:eastAsia="宋体" w:cs="Times New Roman"/>
                      <w:i w:val="0"/>
                      <w:iCs w:val="0"/>
                      <w:caps w:val="0"/>
                      <w:color w:val="auto"/>
                      <w:spacing w:val="9"/>
                      <w:sz w:val="21"/>
                      <w:szCs w:val="21"/>
                      <w:u w:val="single" w:color="auto"/>
                      <w:shd w:val="clear"/>
                    </w:rPr>
                    <w:t>符合生猪屠宰行业发展规划、国土空间规划</w:t>
                  </w:r>
                  <w:r>
                    <w:rPr>
                      <w:rFonts w:hint="eastAsia" w:ascii="Times New Roman" w:hAnsi="Times New Roman" w:eastAsia="宋体" w:cs="Times New Roman"/>
                      <w:i w:val="0"/>
                      <w:iCs w:val="0"/>
                      <w:caps w:val="0"/>
                      <w:color w:val="auto"/>
                      <w:spacing w:val="9"/>
                      <w:sz w:val="21"/>
                      <w:szCs w:val="21"/>
                      <w:u w:val="single" w:color="auto"/>
                      <w:shd w:val="clear"/>
                      <w:lang w:eastAsia="zh-CN"/>
                    </w:rPr>
                    <w:t>，</w:t>
                  </w:r>
                  <w:r>
                    <w:rPr>
                      <w:rFonts w:hint="eastAsia" w:ascii="Times New Roman" w:hAnsi="Times New Roman" w:eastAsia="宋体" w:cs="Times New Roman"/>
                      <w:i w:val="0"/>
                      <w:iCs w:val="0"/>
                      <w:caps w:val="0"/>
                      <w:color w:val="auto"/>
                      <w:spacing w:val="9"/>
                      <w:sz w:val="21"/>
                      <w:szCs w:val="21"/>
                      <w:u w:val="single" w:color="auto"/>
                      <w:shd w:val="clear"/>
                      <w:lang w:val="en-US" w:eastAsia="zh-CN"/>
                    </w:rPr>
                    <w:t>本项目已远离</w:t>
                  </w:r>
                  <w:r>
                    <w:rPr>
                      <w:rFonts w:hint="eastAsia" w:ascii="Times New Roman" w:hAnsi="Times New Roman" w:eastAsia="宋体" w:cs="Times New Roman"/>
                      <w:i w:val="0"/>
                      <w:iCs w:val="0"/>
                      <w:caps w:val="0"/>
                      <w:color w:val="auto"/>
                      <w:spacing w:val="9"/>
                      <w:sz w:val="21"/>
                      <w:szCs w:val="21"/>
                      <w:u w:val="single" w:color="auto"/>
                      <w:shd w:val="clear"/>
                    </w:rPr>
                    <w:t>生活饮用水水源地以及学校、医院等公共场所</w:t>
                  </w:r>
                </w:p>
              </w:tc>
              <w:tc>
                <w:tcPr>
                  <w:tcW w:w="469" w:type="pct"/>
                  <w:noWrap w:val="0"/>
                  <w:vAlign w:val="center"/>
                </w:tcPr>
                <w:p w14:paraId="3930BAE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5"/>
                      <w:sz w:val="21"/>
                      <w:szCs w:val="21"/>
                      <w:u w:val="single" w:color="auto"/>
                      <w:lang w:val="en-US" w:eastAsia="zh-CN"/>
                    </w:rPr>
                  </w:pPr>
                  <w:r>
                    <w:rPr>
                      <w:rFonts w:hint="eastAsia" w:cs="Times New Roman"/>
                      <w:color w:val="auto"/>
                      <w:spacing w:val="15"/>
                      <w:sz w:val="21"/>
                      <w:szCs w:val="21"/>
                      <w:u w:val="single" w:color="auto"/>
                      <w:lang w:val="en-US" w:eastAsia="zh-CN"/>
                    </w:rPr>
                    <w:t>符合</w:t>
                  </w:r>
                </w:p>
              </w:tc>
            </w:tr>
            <w:tr w14:paraId="01E9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328" w:type="pct"/>
                  <w:gridSpan w:val="2"/>
                  <w:noWrap w:val="0"/>
                  <w:vAlign w:val="center"/>
                </w:tcPr>
                <w:p w14:paraId="50E2ACA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9"/>
                      <w:sz w:val="21"/>
                      <w:szCs w:val="21"/>
                      <w:u w:val="single" w:color="auto"/>
                      <w:shd w:val="clear"/>
                    </w:rPr>
                  </w:pPr>
                  <w:r>
                    <w:rPr>
                      <w:rFonts w:hint="eastAsia" w:ascii="Times New Roman" w:hAnsi="Times New Roman" w:eastAsia="宋体" w:cs="Times New Roman"/>
                      <w:i w:val="0"/>
                      <w:iCs w:val="0"/>
                      <w:caps w:val="0"/>
                      <w:color w:val="auto"/>
                      <w:spacing w:val="9"/>
                      <w:sz w:val="21"/>
                      <w:szCs w:val="21"/>
                      <w:u w:val="single" w:color="auto"/>
                      <w:shd w:val="clear"/>
                    </w:rPr>
                    <w:t>生猪屠宰场所应当建立生态环境保护责任制度，配建符合环境保护要求的污水处理等污染防治设施；屠宰生猪排放的废水、废气、噪声和产生的固体废物等应当符合国家、省规定的相关标准。</w:t>
                  </w:r>
                </w:p>
              </w:tc>
              <w:tc>
                <w:tcPr>
                  <w:tcW w:w="2201" w:type="pct"/>
                  <w:noWrap w:val="0"/>
                  <w:vAlign w:val="center"/>
                </w:tcPr>
                <w:p w14:paraId="30BC03C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s="Times New Roman"/>
                      <w:color w:val="auto"/>
                      <w:spacing w:val="9"/>
                      <w:sz w:val="21"/>
                      <w:szCs w:val="21"/>
                      <w:u w:val="single" w:color="auto"/>
                      <w:lang w:val="en-US" w:eastAsia="zh-CN"/>
                    </w:rPr>
                  </w:pPr>
                  <w:r>
                    <w:rPr>
                      <w:rFonts w:hint="eastAsia" w:cs="Times New Roman"/>
                      <w:color w:val="auto"/>
                      <w:spacing w:val="9"/>
                      <w:sz w:val="21"/>
                      <w:szCs w:val="21"/>
                      <w:u w:val="single" w:color="auto"/>
                      <w:lang w:val="en-US" w:eastAsia="zh-CN"/>
                    </w:rPr>
                    <w:t>企已</w:t>
                  </w:r>
                  <w:r>
                    <w:rPr>
                      <w:rFonts w:hint="eastAsia" w:ascii="Times New Roman" w:hAnsi="Times New Roman" w:eastAsia="宋体" w:cs="Times New Roman"/>
                      <w:i w:val="0"/>
                      <w:iCs w:val="0"/>
                      <w:caps w:val="0"/>
                      <w:color w:val="auto"/>
                      <w:spacing w:val="9"/>
                      <w:sz w:val="21"/>
                      <w:szCs w:val="21"/>
                      <w:u w:val="single" w:color="auto"/>
                      <w:shd w:val="clear"/>
                    </w:rPr>
                    <w:t>建立生态环境保护责任制度，</w:t>
                  </w:r>
                  <w:r>
                    <w:rPr>
                      <w:rFonts w:hint="eastAsia" w:ascii="Times New Roman" w:hAnsi="Times New Roman" w:eastAsia="宋体" w:cs="Times New Roman"/>
                      <w:i w:val="0"/>
                      <w:iCs w:val="0"/>
                      <w:caps w:val="0"/>
                      <w:color w:val="auto"/>
                      <w:spacing w:val="9"/>
                      <w:sz w:val="21"/>
                      <w:szCs w:val="21"/>
                      <w:u w:val="single" w:color="auto"/>
                      <w:shd w:val="clear"/>
                      <w:lang w:val="en-US" w:eastAsia="zh-CN"/>
                    </w:rPr>
                    <w:t>并配套</w:t>
                  </w:r>
                  <w:r>
                    <w:rPr>
                      <w:rFonts w:hint="eastAsia" w:ascii="Times New Roman" w:hAnsi="Times New Roman" w:eastAsia="宋体" w:cs="Times New Roman"/>
                      <w:i w:val="0"/>
                      <w:iCs w:val="0"/>
                      <w:caps w:val="0"/>
                      <w:color w:val="auto"/>
                      <w:spacing w:val="9"/>
                      <w:sz w:val="21"/>
                      <w:szCs w:val="21"/>
                      <w:u w:val="single" w:color="auto"/>
                      <w:shd w:val="clear"/>
                    </w:rPr>
                    <w:t>配建</w:t>
                  </w:r>
                  <w:r>
                    <w:rPr>
                      <w:rFonts w:hint="eastAsia" w:ascii="Times New Roman" w:hAnsi="Times New Roman" w:eastAsia="宋体" w:cs="Times New Roman"/>
                      <w:i w:val="0"/>
                      <w:iCs w:val="0"/>
                      <w:caps w:val="0"/>
                      <w:color w:val="auto"/>
                      <w:spacing w:val="9"/>
                      <w:sz w:val="21"/>
                      <w:szCs w:val="21"/>
                      <w:u w:val="single" w:color="auto"/>
                      <w:shd w:val="clear"/>
                      <w:lang w:val="en-US" w:eastAsia="zh-CN"/>
                    </w:rPr>
                    <w:t>设有</w:t>
                  </w:r>
                  <w:r>
                    <w:rPr>
                      <w:rFonts w:hint="eastAsia" w:ascii="Times New Roman" w:hAnsi="Times New Roman" w:eastAsia="宋体" w:cs="Times New Roman"/>
                      <w:i w:val="0"/>
                      <w:iCs w:val="0"/>
                      <w:caps w:val="0"/>
                      <w:color w:val="auto"/>
                      <w:spacing w:val="9"/>
                      <w:sz w:val="21"/>
                      <w:szCs w:val="21"/>
                      <w:u w:val="single" w:color="auto"/>
                      <w:shd w:val="clear"/>
                    </w:rPr>
                    <w:t>符合环境保护要求的污水处理等污染防治设施；屠宰生猪排放的废水、废气、噪声</w:t>
                  </w:r>
                  <w:r>
                    <w:rPr>
                      <w:rFonts w:hint="eastAsia" w:ascii="Times New Roman" w:hAnsi="Times New Roman" w:eastAsia="宋体" w:cs="Times New Roman"/>
                      <w:i w:val="0"/>
                      <w:iCs w:val="0"/>
                      <w:caps w:val="0"/>
                      <w:color w:val="auto"/>
                      <w:spacing w:val="9"/>
                      <w:sz w:val="21"/>
                      <w:szCs w:val="21"/>
                      <w:u w:val="single" w:color="auto"/>
                      <w:shd w:val="clear"/>
                      <w:lang w:val="en-US" w:eastAsia="zh-CN"/>
                    </w:rPr>
                    <w:t>均能满足相关标准要求，</w:t>
                  </w:r>
                  <w:r>
                    <w:rPr>
                      <w:rFonts w:hint="eastAsia" w:ascii="Times New Roman" w:hAnsi="Times New Roman" w:eastAsia="宋体" w:cs="Times New Roman"/>
                      <w:i w:val="0"/>
                      <w:iCs w:val="0"/>
                      <w:caps w:val="0"/>
                      <w:color w:val="auto"/>
                      <w:spacing w:val="9"/>
                      <w:sz w:val="21"/>
                      <w:szCs w:val="21"/>
                      <w:u w:val="single" w:color="auto"/>
                      <w:shd w:val="clear"/>
                    </w:rPr>
                    <w:t>产生的固体废物</w:t>
                  </w:r>
                  <w:r>
                    <w:rPr>
                      <w:rFonts w:hint="eastAsia" w:ascii="Times New Roman" w:hAnsi="Times New Roman" w:eastAsia="宋体" w:cs="Times New Roman"/>
                      <w:i w:val="0"/>
                      <w:iCs w:val="0"/>
                      <w:caps w:val="0"/>
                      <w:color w:val="auto"/>
                      <w:spacing w:val="9"/>
                      <w:sz w:val="21"/>
                      <w:szCs w:val="21"/>
                      <w:u w:val="single" w:color="auto"/>
                      <w:shd w:val="clear"/>
                      <w:lang w:val="en-US" w:eastAsia="zh-CN"/>
                    </w:rPr>
                    <w:t>均能得到合法有效的处置。</w:t>
                  </w:r>
                </w:p>
              </w:tc>
              <w:tc>
                <w:tcPr>
                  <w:tcW w:w="469" w:type="pct"/>
                  <w:noWrap w:val="0"/>
                  <w:vAlign w:val="center"/>
                </w:tcPr>
                <w:p w14:paraId="22E19AF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s="Times New Roman"/>
                      <w:color w:val="auto"/>
                      <w:spacing w:val="15"/>
                      <w:sz w:val="21"/>
                      <w:szCs w:val="21"/>
                      <w:u w:val="single" w:color="auto"/>
                      <w:lang w:val="en-US" w:eastAsia="zh-CN"/>
                    </w:rPr>
                  </w:pPr>
                  <w:r>
                    <w:rPr>
                      <w:rFonts w:hint="eastAsia" w:cs="Times New Roman"/>
                      <w:color w:val="auto"/>
                      <w:spacing w:val="15"/>
                      <w:sz w:val="21"/>
                      <w:szCs w:val="21"/>
                      <w:u w:val="single" w:color="auto"/>
                      <w:lang w:val="en-US" w:eastAsia="zh-CN"/>
                    </w:rPr>
                    <w:t>符合</w:t>
                  </w:r>
                </w:p>
              </w:tc>
            </w:tr>
            <w:tr w14:paraId="41F3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328" w:type="pct"/>
                  <w:gridSpan w:val="2"/>
                  <w:noWrap w:val="0"/>
                  <w:vAlign w:val="center"/>
                </w:tcPr>
                <w:p w14:paraId="7C617DC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aps w:val="0"/>
                      <w:color w:val="auto"/>
                      <w:spacing w:val="9"/>
                      <w:sz w:val="21"/>
                      <w:szCs w:val="21"/>
                      <w:u w:val="single" w:color="auto"/>
                      <w:shd w:val="clear"/>
                    </w:rPr>
                  </w:pPr>
                  <w:r>
                    <w:rPr>
                      <w:rFonts w:hint="eastAsia" w:ascii="Times New Roman" w:hAnsi="Times New Roman" w:eastAsia="宋体" w:cs="Times New Roman"/>
                      <w:i w:val="0"/>
                      <w:iCs w:val="0"/>
                      <w:caps w:val="0"/>
                      <w:color w:val="auto"/>
                      <w:spacing w:val="9"/>
                      <w:sz w:val="21"/>
                      <w:szCs w:val="21"/>
                      <w:u w:val="single" w:color="auto"/>
                      <w:shd w:val="clear"/>
                    </w:rPr>
                    <w:t>生猪屠宰场所的生猪产品存放应当符合食品安全要求；对未能及时销售或者出场的生猪产品，应当采取冷冻或者冷藏等措施予以储存。</w:t>
                  </w:r>
                </w:p>
              </w:tc>
              <w:tc>
                <w:tcPr>
                  <w:tcW w:w="2201" w:type="pct"/>
                  <w:noWrap w:val="0"/>
                  <w:vAlign w:val="center"/>
                </w:tcPr>
                <w:p w14:paraId="5CBA16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pacing w:val="9"/>
                      <w:sz w:val="21"/>
                      <w:szCs w:val="21"/>
                      <w:u w:val="single" w:color="auto"/>
                      <w:lang w:val="en-US" w:eastAsia="zh-CN"/>
                    </w:rPr>
                  </w:pPr>
                  <w:r>
                    <w:rPr>
                      <w:rFonts w:hint="eastAsia" w:cs="Times New Roman"/>
                      <w:color w:val="auto"/>
                      <w:spacing w:val="9"/>
                      <w:sz w:val="21"/>
                      <w:szCs w:val="21"/>
                      <w:u w:val="single" w:color="auto"/>
                      <w:lang w:val="en-US" w:eastAsia="zh-CN"/>
                    </w:rPr>
                    <w:t>本项目设置有冷冻库，用于产品保鲜</w:t>
                  </w:r>
                </w:p>
              </w:tc>
              <w:tc>
                <w:tcPr>
                  <w:tcW w:w="469" w:type="pct"/>
                  <w:noWrap w:val="0"/>
                  <w:vAlign w:val="center"/>
                </w:tcPr>
                <w:p w14:paraId="56F6E1E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spacing w:val="15"/>
                      <w:sz w:val="21"/>
                      <w:szCs w:val="21"/>
                      <w:u w:val="single" w:color="auto"/>
                      <w:lang w:val="en-US" w:eastAsia="zh-CN"/>
                    </w:rPr>
                  </w:pPr>
                </w:p>
              </w:tc>
            </w:tr>
            <w:tr w14:paraId="0424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noWrap w:val="0"/>
                  <w:vAlign w:val="center"/>
                </w:tcPr>
                <w:p w14:paraId="6CF7891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15"/>
                      <w:sz w:val="21"/>
                      <w:szCs w:val="21"/>
                      <w:u w:val="single" w:color="auto"/>
                    </w:rPr>
                  </w:pPr>
                  <w:r>
                    <w:rPr>
                      <w:rFonts w:hint="default" w:ascii="Times New Roman" w:hAnsi="Times New Roman" w:eastAsia="宋体" w:cs="Times New Roman"/>
                      <w:color w:val="auto"/>
                      <w:sz w:val="21"/>
                      <w:szCs w:val="21"/>
                      <w:u w:val="single" w:color="auto"/>
                      <w:vertAlign w:val="baseline"/>
                      <w:lang w:val="en-US" w:eastAsia="zh-CN"/>
                    </w:rPr>
                    <w:t>注：本次分析仅列举</w:t>
                  </w:r>
                  <w:r>
                    <w:rPr>
                      <w:rFonts w:hint="default" w:ascii="Times New Roman" w:hAnsi="Times New Roman" w:eastAsia="宋体" w:cs="Times New Roman"/>
                      <w:color w:val="auto"/>
                      <w:sz w:val="21"/>
                      <w:szCs w:val="21"/>
                      <w:u w:val="single" w:color="auto"/>
                    </w:rPr>
                    <w:t>《</w:t>
                  </w:r>
                  <w:r>
                    <w:rPr>
                      <w:rFonts w:hint="eastAsia" w:ascii="Times New Roman" w:hAnsi="Times New Roman" w:eastAsia="宋体" w:cs="Times New Roman"/>
                      <w:color w:val="auto"/>
                      <w:sz w:val="21"/>
                      <w:szCs w:val="21"/>
                      <w:u w:val="single" w:color="auto"/>
                      <w:lang w:val="en-US" w:eastAsia="zh-CN"/>
                    </w:rPr>
                    <w:t>湖南省</w:t>
                  </w:r>
                  <w:r>
                    <w:rPr>
                      <w:rFonts w:hint="default" w:ascii="Times New Roman" w:hAnsi="Times New Roman" w:eastAsia="宋体" w:cs="Times New Roman"/>
                      <w:color w:val="auto"/>
                      <w:sz w:val="21"/>
                      <w:szCs w:val="21"/>
                      <w:u w:val="single" w:color="auto"/>
                    </w:rPr>
                    <w:t>生猪屠宰管理条例》</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rPr>
                    <w:t>202</w:t>
                  </w:r>
                  <w:r>
                    <w:rPr>
                      <w:rFonts w:hint="eastAsia" w:ascii="Times New Roman" w:hAnsi="Times New Roman" w:eastAsia="宋体" w:cs="Times New Roman"/>
                      <w:color w:val="auto"/>
                      <w:sz w:val="21"/>
                      <w:szCs w:val="21"/>
                      <w:u w:val="single" w:color="auto"/>
                      <w:lang w:val="en-US" w:eastAsia="zh-CN"/>
                    </w:rPr>
                    <w:t>4</w:t>
                  </w:r>
                  <w:r>
                    <w:rPr>
                      <w:rFonts w:hint="default" w:ascii="Times New Roman" w:hAnsi="Times New Roman" w:eastAsia="宋体" w:cs="Times New Roman"/>
                      <w:color w:val="auto"/>
                      <w:sz w:val="21"/>
                      <w:szCs w:val="21"/>
                      <w:u w:val="single" w:color="auto"/>
                    </w:rPr>
                    <w:t>修订</w:t>
                  </w:r>
                  <w:r>
                    <w:rPr>
                      <w:rFonts w:hint="default" w:ascii="Times New Roman" w:hAnsi="Times New Roman" w:eastAsia="宋体" w:cs="Times New Roman"/>
                      <w:color w:val="auto"/>
                      <w:sz w:val="21"/>
                      <w:szCs w:val="21"/>
                      <w:u w:val="single" w:color="auto"/>
                      <w:lang w:eastAsia="zh-CN"/>
                    </w:rPr>
                    <w:t>）</w:t>
                  </w:r>
                  <w:r>
                    <w:rPr>
                      <w:rFonts w:hint="default" w:ascii="Times New Roman" w:hAnsi="Times New Roman" w:eastAsia="宋体" w:cs="Times New Roman"/>
                      <w:color w:val="auto"/>
                      <w:sz w:val="21"/>
                      <w:szCs w:val="21"/>
                      <w:u w:val="single" w:color="auto"/>
                      <w:vertAlign w:val="baseline"/>
                      <w:lang w:val="en-US" w:eastAsia="zh-CN"/>
                    </w:rPr>
                    <w:t>中与本项目有关的内容。</w:t>
                  </w:r>
                </w:p>
              </w:tc>
            </w:tr>
          </w:tbl>
          <w:p w14:paraId="2AC45E4F">
            <w:pPr>
              <w:keepNext w:val="0"/>
              <w:keepLines w:val="0"/>
              <w:pageBreakBefore w:val="0"/>
              <w:widowControl w:val="0"/>
              <w:tabs>
                <w:tab w:val="left" w:pos="126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本项目符合《湖南省生猪屠宰管理条例》</w:t>
            </w:r>
            <w:r>
              <w:rPr>
                <w:rFonts w:hint="eastAsia"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20</w:t>
            </w:r>
            <w:r>
              <w:rPr>
                <w:rFonts w:hint="eastAsia" w:ascii="Times New Roman" w:hAnsi="Times New Roman" w:eastAsia="宋体" w:cs="Times New Roman"/>
                <w:color w:val="auto"/>
                <w:sz w:val="24"/>
                <w:u w:val="none"/>
                <w:lang w:val="en-US" w:eastAsia="zh-CN"/>
              </w:rPr>
              <w:t>24</w:t>
            </w:r>
            <w:r>
              <w:rPr>
                <w:rFonts w:hint="default" w:ascii="Times New Roman" w:hAnsi="Times New Roman" w:eastAsia="宋体" w:cs="Times New Roman"/>
                <w:color w:val="auto"/>
                <w:sz w:val="24"/>
                <w:u w:val="none"/>
              </w:rPr>
              <w:t>年修</w:t>
            </w:r>
            <w:r>
              <w:rPr>
                <w:rFonts w:hint="eastAsia" w:ascii="Times New Roman" w:hAnsi="Times New Roman" w:eastAsia="宋体" w:cs="Times New Roman"/>
                <w:color w:val="auto"/>
                <w:sz w:val="24"/>
                <w:u w:val="none"/>
                <w:lang w:eastAsia="zh-CN"/>
              </w:rPr>
              <w:t>订）</w:t>
            </w:r>
            <w:r>
              <w:rPr>
                <w:rFonts w:hint="default" w:ascii="Times New Roman" w:hAnsi="Times New Roman" w:eastAsia="宋体" w:cs="Times New Roman"/>
                <w:color w:val="auto"/>
                <w:sz w:val="24"/>
                <w:u w:val="none"/>
              </w:rPr>
              <w:t>中相关要求。</w:t>
            </w:r>
          </w:p>
          <w:p w14:paraId="13DCECA4">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黑体"/>
                <w:b/>
                <w:bCs/>
                <w:color w:val="auto"/>
                <w:sz w:val="24"/>
                <w:u w:val="none" w:color="auto"/>
              </w:rPr>
            </w:pPr>
            <w:r>
              <w:rPr>
                <w:rFonts w:hint="eastAsia" w:ascii="黑体" w:hAnsi="黑体" w:eastAsia="黑体" w:cs="黑体"/>
                <w:b/>
                <w:bCs/>
                <w:color w:val="auto"/>
                <w:sz w:val="24"/>
                <w:u w:val="none" w:color="auto"/>
                <w:lang w:val="en-US" w:eastAsia="zh-CN"/>
              </w:rPr>
              <w:t>6、</w:t>
            </w:r>
            <w:r>
              <w:rPr>
                <w:rFonts w:hint="eastAsia" w:ascii="黑体" w:hAnsi="黑体" w:eastAsia="黑体" w:cs="黑体"/>
                <w:b/>
                <w:bCs/>
                <w:color w:val="auto"/>
                <w:sz w:val="24"/>
                <w:u w:val="none" w:color="auto"/>
              </w:rPr>
              <w:t>与《动物防疫条件审查办法》相符性分析</w:t>
            </w:r>
          </w:p>
          <w:p w14:paraId="5FBA973D">
            <w:pPr>
              <w:keepNext w:val="0"/>
              <w:keepLines w:val="0"/>
              <w:pageBreakBefore w:val="0"/>
              <w:widowControl/>
              <w:numPr>
                <w:ilvl w:val="-1"/>
                <w:numId w:val="0"/>
              </w:numPr>
              <w:tabs>
                <w:tab w:val="left" w:pos="1264"/>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snapToGrid/>
                <w:color w:val="auto"/>
                <w:kern w:val="2"/>
                <w:sz w:val="24"/>
                <w:szCs w:val="24"/>
                <w:u w:val="none"/>
              </w:rPr>
            </w:pPr>
            <w:r>
              <w:rPr>
                <w:rFonts w:hint="default" w:ascii="Times New Roman" w:hAnsi="Times New Roman" w:eastAsia="宋体" w:cs="Times New Roman"/>
                <w:b w:val="0"/>
                <w:snapToGrid/>
                <w:color w:val="auto"/>
                <w:kern w:val="2"/>
                <w:sz w:val="24"/>
                <w:szCs w:val="24"/>
                <w:u w:val="none"/>
              </w:rPr>
              <w:t>表</w:t>
            </w:r>
            <w:r>
              <w:rPr>
                <w:rFonts w:hint="eastAsia" w:cs="Times New Roman"/>
                <w:b w:val="0"/>
                <w:snapToGrid/>
                <w:color w:val="auto"/>
                <w:kern w:val="2"/>
                <w:sz w:val="24"/>
                <w:szCs w:val="24"/>
                <w:u w:val="none"/>
                <w:lang w:val="en-US" w:eastAsia="zh-CN"/>
              </w:rPr>
              <w:t>9</w:t>
            </w:r>
            <w:r>
              <w:rPr>
                <w:rFonts w:hint="default" w:ascii="Times New Roman" w:hAnsi="Times New Roman" w:eastAsia="宋体" w:cs="Times New Roman"/>
                <w:b w:val="0"/>
                <w:snapToGrid/>
                <w:color w:val="auto"/>
                <w:kern w:val="2"/>
                <w:sz w:val="24"/>
                <w:szCs w:val="24"/>
                <w:u w:val="none"/>
                <w:lang w:val="en-US" w:eastAsia="zh-CN"/>
              </w:rPr>
              <w:t xml:space="preserve"> </w:t>
            </w:r>
            <w:r>
              <w:rPr>
                <w:rFonts w:hint="default" w:ascii="Times New Roman" w:hAnsi="Times New Roman" w:eastAsia="宋体" w:cs="Times New Roman"/>
                <w:b w:val="0"/>
                <w:snapToGrid/>
                <w:color w:val="auto"/>
                <w:kern w:val="2"/>
                <w:sz w:val="24"/>
                <w:szCs w:val="24"/>
                <w:u w:val="none"/>
              </w:rPr>
              <w:t>《动物防疫条件审查办法》相符性分析表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3219"/>
              <w:gridCol w:w="2963"/>
              <w:gridCol w:w="826"/>
            </w:tblGrid>
            <w:tr w14:paraId="2228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592" w:type="pct"/>
                  <w:gridSpan w:val="2"/>
                  <w:noWrap w:val="0"/>
                  <w:vAlign w:val="center"/>
                </w:tcPr>
                <w:p w14:paraId="596F0D6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snapToGrid w:val="0"/>
                      <w:color w:val="auto"/>
                      <w:kern w:val="0"/>
                      <w:sz w:val="21"/>
                      <w:szCs w:val="21"/>
                      <w:u w:val="none" w:color="auto"/>
                      <w:vertAlign w:val="baseline"/>
                    </w:rPr>
                  </w:pPr>
                  <w:r>
                    <w:rPr>
                      <w:rFonts w:hint="default" w:ascii="Times New Roman" w:hAnsi="Times New Roman" w:eastAsia="宋体" w:cs="Times New Roman"/>
                      <w:color w:val="auto"/>
                      <w:spacing w:val="7"/>
                      <w:sz w:val="21"/>
                      <w:szCs w:val="21"/>
                      <w:u w:val="none" w:color="auto"/>
                    </w:rPr>
                    <w:t>文件要</w:t>
                  </w:r>
                  <w:r>
                    <w:rPr>
                      <w:rFonts w:hint="default" w:ascii="Times New Roman" w:hAnsi="Times New Roman" w:eastAsia="宋体" w:cs="Times New Roman"/>
                      <w:color w:val="auto"/>
                      <w:spacing w:val="6"/>
                      <w:sz w:val="21"/>
                      <w:szCs w:val="21"/>
                      <w:u w:val="none" w:color="auto"/>
                    </w:rPr>
                    <w:t>求</w:t>
                  </w:r>
                </w:p>
              </w:tc>
              <w:tc>
                <w:tcPr>
                  <w:tcW w:w="1883" w:type="pct"/>
                  <w:noWrap w:val="0"/>
                  <w:vAlign w:val="center"/>
                </w:tcPr>
                <w:p w14:paraId="4BAA6F06">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snapToGrid w:val="0"/>
                      <w:color w:val="auto"/>
                      <w:kern w:val="0"/>
                      <w:sz w:val="21"/>
                      <w:szCs w:val="21"/>
                      <w:u w:val="none" w:color="auto"/>
                      <w:vertAlign w:val="baseline"/>
                    </w:rPr>
                  </w:pPr>
                  <w:r>
                    <w:rPr>
                      <w:rFonts w:hint="default" w:ascii="Times New Roman" w:hAnsi="Times New Roman" w:eastAsia="宋体" w:cs="Times New Roman"/>
                      <w:color w:val="auto"/>
                      <w:spacing w:val="8"/>
                      <w:sz w:val="21"/>
                      <w:szCs w:val="21"/>
                      <w:u w:val="none" w:color="auto"/>
                    </w:rPr>
                    <w:t>本项目情</w:t>
                  </w:r>
                  <w:r>
                    <w:rPr>
                      <w:rFonts w:hint="default" w:ascii="Times New Roman" w:hAnsi="Times New Roman" w:eastAsia="宋体" w:cs="Times New Roman"/>
                      <w:color w:val="auto"/>
                      <w:spacing w:val="7"/>
                      <w:sz w:val="21"/>
                      <w:szCs w:val="21"/>
                      <w:u w:val="none" w:color="auto"/>
                    </w:rPr>
                    <w:t>况</w:t>
                  </w:r>
                </w:p>
              </w:tc>
              <w:tc>
                <w:tcPr>
                  <w:tcW w:w="524" w:type="pct"/>
                  <w:noWrap w:val="0"/>
                  <w:vAlign w:val="center"/>
                </w:tcPr>
                <w:p w14:paraId="4B62514A">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snapToGrid w:val="0"/>
                      <w:color w:val="auto"/>
                      <w:kern w:val="0"/>
                      <w:sz w:val="21"/>
                      <w:szCs w:val="21"/>
                      <w:u w:val="none" w:color="auto"/>
                      <w:vertAlign w:val="baseline"/>
                    </w:rPr>
                  </w:pPr>
                  <w:r>
                    <w:rPr>
                      <w:rFonts w:hint="default" w:ascii="Times New Roman" w:hAnsi="Times New Roman" w:eastAsia="宋体" w:cs="Times New Roman"/>
                      <w:color w:val="auto"/>
                      <w:spacing w:val="7"/>
                      <w:sz w:val="21"/>
                      <w:szCs w:val="21"/>
                      <w:u w:val="none" w:color="auto"/>
                    </w:rPr>
                    <w:t>符合情</w:t>
                  </w:r>
                  <w:r>
                    <w:rPr>
                      <w:rFonts w:hint="default" w:ascii="Times New Roman" w:hAnsi="Times New Roman" w:eastAsia="宋体" w:cs="Times New Roman"/>
                      <w:color w:val="auto"/>
                      <w:spacing w:val="6"/>
                      <w:sz w:val="21"/>
                      <w:szCs w:val="21"/>
                      <w:u w:val="none" w:color="auto"/>
                    </w:rPr>
                    <w:t>况</w:t>
                  </w:r>
                </w:p>
              </w:tc>
            </w:tr>
            <w:tr w14:paraId="071C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restart"/>
                  <w:noWrap w:val="0"/>
                  <w:vAlign w:val="center"/>
                </w:tcPr>
                <w:p w14:paraId="7BE7BC4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选址</w:t>
                  </w:r>
                </w:p>
              </w:tc>
              <w:tc>
                <w:tcPr>
                  <w:tcW w:w="2046" w:type="pct"/>
                  <w:noWrap w:val="0"/>
                  <w:vAlign w:val="center"/>
                </w:tcPr>
                <w:p w14:paraId="71CD51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距</w:t>
                  </w:r>
                  <w:r>
                    <w:rPr>
                      <w:rFonts w:hint="default" w:ascii="Times New Roman" w:hAnsi="Times New Roman" w:eastAsia="宋体" w:cs="Times New Roman"/>
                      <w:color w:val="auto"/>
                      <w:spacing w:val="15"/>
                      <w:sz w:val="21"/>
                      <w:szCs w:val="21"/>
                      <w:u w:val="none" w:color="auto"/>
                      <w:lang w:eastAsia="zh-CN"/>
                    </w:rPr>
                    <w:t>离</w:t>
                  </w:r>
                  <w:r>
                    <w:rPr>
                      <w:rFonts w:hint="default" w:ascii="Times New Roman" w:hAnsi="Times New Roman" w:eastAsia="宋体" w:cs="Times New Roman"/>
                      <w:color w:val="auto"/>
                      <w:spacing w:val="15"/>
                      <w:sz w:val="21"/>
                      <w:szCs w:val="21"/>
                      <w:u w:val="none" w:color="auto"/>
                    </w:rPr>
                    <w:t>生活饮用水源地、动物饲养场、养殖小区、动物集贸市场500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m以上：距离种畜禽场3000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m以上</w:t>
                  </w:r>
                  <w:r>
                    <w:rPr>
                      <w:rFonts w:hint="default" w:ascii="Times New Roman" w:hAnsi="Times New Roman" w:eastAsia="宋体" w:cs="Times New Roman"/>
                      <w:color w:val="auto"/>
                      <w:spacing w:val="15"/>
                      <w:sz w:val="21"/>
                      <w:szCs w:val="21"/>
                      <w:u w:val="none" w:color="auto"/>
                      <w:lang w:eastAsia="zh-CN"/>
                    </w:rPr>
                    <w:t>；</w:t>
                  </w:r>
                  <w:r>
                    <w:rPr>
                      <w:rFonts w:hint="default" w:ascii="Times New Roman" w:hAnsi="Times New Roman" w:eastAsia="宋体" w:cs="Times New Roman"/>
                      <w:color w:val="auto"/>
                      <w:spacing w:val="15"/>
                      <w:sz w:val="21"/>
                      <w:szCs w:val="21"/>
                      <w:u w:val="none" w:color="auto"/>
                    </w:rPr>
                    <w:t>距离动物诊疗场所200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m以上</w:t>
                  </w:r>
                </w:p>
              </w:tc>
              <w:tc>
                <w:tcPr>
                  <w:tcW w:w="1883" w:type="pct"/>
                  <w:noWrap w:val="0"/>
                  <w:vAlign w:val="center"/>
                </w:tcPr>
                <w:p w14:paraId="02643A0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eastAsia" w:ascii="Times New Roman" w:hAnsi="Times New Roman" w:eastAsia="宋体" w:cs="Times New Roman"/>
                      <w:color w:val="auto"/>
                      <w:spacing w:val="15"/>
                      <w:sz w:val="21"/>
                      <w:szCs w:val="21"/>
                      <w:u w:val="none" w:color="auto"/>
                      <w:lang w:val="en-US" w:eastAsia="zh-CN"/>
                    </w:rPr>
                    <w:t>本项目</w:t>
                  </w:r>
                  <w:r>
                    <w:rPr>
                      <w:rFonts w:hint="default" w:ascii="Times New Roman" w:hAnsi="Times New Roman" w:eastAsia="宋体" w:cs="Times New Roman"/>
                      <w:color w:val="auto"/>
                      <w:spacing w:val="15"/>
                      <w:sz w:val="21"/>
                      <w:szCs w:val="21"/>
                      <w:u w:val="none" w:color="auto"/>
                    </w:rPr>
                    <w:t>500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m内无生活饮用水源地、动物伺养场、养殖小区、动物集贸市场</w:t>
                  </w:r>
                  <w:r>
                    <w:rPr>
                      <w:rFonts w:hint="default" w:ascii="Times New Roman" w:hAnsi="Times New Roman" w:eastAsia="宋体" w:cs="Times New Roman"/>
                      <w:color w:val="auto"/>
                      <w:spacing w:val="15"/>
                      <w:sz w:val="21"/>
                      <w:szCs w:val="21"/>
                      <w:u w:val="none" w:color="auto"/>
                      <w:lang w:eastAsia="zh-CN"/>
                    </w:rPr>
                    <w:t>；</w:t>
                  </w:r>
                  <w:r>
                    <w:rPr>
                      <w:rFonts w:hint="default" w:ascii="Times New Roman" w:hAnsi="Times New Roman" w:eastAsia="宋体" w:cs="Times New Roman"/>
                      <w:color w:val="auto"/>
                      <w:spacing w:val="15"/>
                      <w:sz w:val="21"/>
                      <w:szCs w:val="21"/>
                      <w:u w:val="none" w:color="auto"/>
                    </w:rPr>
                    <w:t>3000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m内无种畜禽场，200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m内无动物诊疗场所</w:t>
                  </w:r>
                </w:p>
              </w:tc>
              <w:tc>
                <w:tcPr>
                  <w:tcW w:w="524" w:type="pct"/>
                  <w:noWrap w:val="0"/>
                  <w:vAlign w:val="center"/>
                </w:tcPr>
                <w:p w14:paraId="2FAFB50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038F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3182304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086984B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距离动物隔离场所、无害化处理场所3000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m以上</w:t>
                  </w:r>
                </w:p>
              </w:tc>
              <w:tc>
                <w:tcPr>
                  <w:tcW w:w="1883" w:type="pct"/>
                  <w:noWrap w:val="0"/>
                  <w:vAlign w:val="center"/>
                </w:tcPr>
                <w:p w14:paraId="5569E81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eastAsia" w:ascii="Times New Roman" w:hAnsi="Times New Roman" w:eastAsia="宋体" w:cs="Times New Roman"/>
                      <w:color w:val="auto"/>
                      <w:spacing w:val="15"/>
                      <w:sz w:val="21"/>
                      <w:szCs w:val="21"/>
                      <w:u w:val="none" w:color="auto"/>
                      <w:lang w:val="en-US" w:eastAsia="zh-CN"/>
                    </w:rPr>
                    <w:t>本项目</w:t>
                  </w:r>
                  <w:r>
                    <w:rPr>
                      <w:rFonts w:hint="default" w:ascii="Times New Roman" w:hAnsi="Times New Roman" w:eastAsia="宋体" w:cs="Times New Roman"/>
                      <w:color w:val="auto"/>
                      <w:spacing w:val="15"/>
                      <w:sz w:val="21"/>
                      <w:szCs w:val="21"/>
                      <w:u w:val="none" w:color="auto"/>
                    </w:rPr>
                    <w:t>3000</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m内无动物隔离场所、无害化处理场</w:t>
                  </w:r>
                </w:p>
              </w:tc>
              <w:tc>
                <w:tcPr>
                  <w:tcW w:w="524" w:type="pct"/>
                  <w:noWrap w:val="0"/>
                  <w:vAlign w:val="center"/>
                </w:tcPr>
                <w:p w14:paraId="5D494FD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符合</w:t>
                  </w:r>
                </w:p>
              </w:tc>
            </w:tr>
            <w:tr w14:paraId="4797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restart"/>
                  <w:noWrap w:val="0"/>
                  <w:vAlign w:val="center"/>
                </w:tcPr>
                <w:p w14:paraId="565676C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动物屠宰加工场所布局应当符合下列条件</w:t>
                  </w:r>
                </w:p>
              </w:tc>
              <w:tc>
                <w:tcPr>
                  <w:tcW w:w="2046" w:type="pct"/>
                  <w:noWrap w:val="0"/>
                  <w:vAlign w:val="center"/>
                </w:tcPr>
                <w:p w14:paraId="4439953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场区周围建有围墙</w:t>
                  </w:r>
                </w:p>
              </w:tc>
              <w:tc>
                <w:tcPr>
                  <w:tcW w:w="1883" w:type="pct"/>
                  <w:noWrap w:val="0"/>
                  <w:vAlign w:val="center"/>
                </w:tcPr>
                <w:p w14:paraId="65D1960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项目厂区有围墙</w:t>
                  </w:r>
                </w:p>
              </w:tc>
              <w:tc>
                <w:tcPr>
                  <w:tcW w:w="524" w:type="pct"/>
                  <w:noWrap w:val="0"/>
                  <w:vAlign w:val="center"/>
                </w:tcPr>
                <w:p w14:paraId="17C144D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27A0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4934D95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0EA41B4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运输动物车辆出入口设置与门同宽，长4</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m、深0.3</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m以上的消毒池</w:t>
                  </w:r>
                </w:p>
              </w:tc>
              <w:tc>
                <w:tcPr>
                  <w:tcW w:w="1883" w:type="pct"/>
                  <w:noWrap w:val="0"/>
                  <w:vAlign w:val="center"/>
                </w:tcPr>
                <w:p w14:paraId="4AF1464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highlight w:val="none"/>
                      <w:u w:val="none" w:color="auto"/>
                      <w:lang w:val="en-US"/>
                    </w:rPr>
                  </w:pPr>
                  <w:r>
                    <w:rPr>
                      <w:rFonts w:hint="eastAsia" w:cs="Times New Roman"/>
                      <w:color w:val="auto"/>
                      <w:spacing w:val="15"/>
                      <w:sz w:val="21"/>
                      <w:szCs w:val="21"/>
                      <w:highlight w:val="none"/>
                      <w:u w:val="none" w:color="auto"/>
                      <w:lang w:val="en-US" w:eastAsia="zh-CN"/>
                    </w:rPr>
                    <w:t>本评价要求企业设置</w:t>
                  </w:r>
                  <w:r>
                    <w:rPr>
                      <w:rFonts w:hint="default" w:ascii="Times New Roman" w:hAnsi="Times New Roman" w:eastAsia="宋体" w:cs="Times New Roman"/>
                      <w:color w:val="auto"/>
                      <w:spacing w:val="15"/>
                      <w:sz w:val="21"/>
                      <w:szCs w:val="21"/>
                      <w:u w:val="none" w:color="auto"/>
                    </w:rPr>
                    <w:t>长4</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m、深0.3</w:t>
                  </w:r>
                  <w:r>
                    <w:rPr>
                      <w:rFonts w:hint="eastAsia" w:ascii="Times New Roman" w:hAnsi="Times New Roman" w:eastAsia="宋体" w:cs="Times New Roman"/>
                      <w:color w:val="auto"/>
                      <w:spacing w:val="15"/>
                      <w:sz w:val="21"/>
                      <w:szCs w:val="21"/>
                      <w:u w:val="none" w:color="auto"/>
                      <w:lang w:val="en-US" w:eastAsia="zh-CN"/>
                    </w:rPr>
                    <w:t xml:space="preserve"> </w:t>
                  </w:r>
                  <w:r>
                    <w:rPr>
                      <w:rFonts w:hint="default" w:ascii="Times New Roman" w:hAnsi="Times New Roman" w:eastAsia="宋体" w:cs="Times New Roman"/>
                      <w:color w:val="auto"/>
                      <w:spacing w:val="15"/>
                      <w:sz w:val="21"/>
                      <w:szCs w:val="21"/>
                      <w:u w:val="none" w:color="auto"/>
                    </w:rPr>
                    <w:t>m以上的消毒池</w:t>
                  </w:r>
                </w:p>
              </w:tc>
              <w:tc>
                <w:tcPr>
                  <w:tcW w:w="524" w:type="pct"/>
                  <w:noWrap w:val="0"/>
                  <w:vAlign w:val="center"/>
                </w:tcPr>
                <w:p w14:paraId="0088B58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7297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74656E1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2B21307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生产区与生活办公区分开，并有隔离设施</w:t>
                  </w:r>
                </w:p>
              </w:tc>
              <w:tc>
                <w:tcPr>
                  <w:tcW w:w="1883" w:type="pct"/>
                  <w:noWrap w:val="0"/>
                  <w:vAlign w:val="center"/>
                </w:tcPr>
                <w:p w14:paraId="06AD569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highlight w:val="none"/>
                      <w:u w:val="none" w:color="auto"/>
                    </w:rPr>
                  </w:pPr>
                  <w:r>
                    <w:rPr>
                      <w:rFonts w:hint="default" w:ascii="Times New Roman" w:hAnsi="Times New Roman" w:eastAsia="宋体" w:cs="Times New Roman"/>
                      <w:color w:val="auto"/>
                      <w:spacing w:val="15"/>
                      <w:sz w:val="21"/>
                      <w:szCs w:val="21"/>
                      <w:highlight w:val="none"/>
                      <w:u w:val="none" w:color="auto"/>
                    </w:rPr>
                    <w:t>生产区与生活办公区分开，有厂房隔离</w:t>
                  </w:r>
                </w:p>
              </w:tc>
              <w:tc>
                <w:tcPr>
                  <w:tcW w:w="524" w:type="pct"/>
                  <w:noWrap w:val="0"/>
                  <w:vAlign w:val="center"/>
                </w:tcPr>
                <w:p w14:paraId="560954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295F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05AFF8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3904F67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入场动物卸载区域有固定的车辆消毒场地，并配有车辆清洗、消毒设备</w:t>
                  </w:r>
                </w:p>
              </w:tc>
              <w:tc>
                <w:tcPr>
                  <w:tcW w:w="1883" w:type="pct"/>
                  <w:noWrap w:val="0"/>
                  <w:vAlign w:val="center"/>
                </w:tcPr>
                <w:p w14:paraId="06C49D6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highlight w:val="none"/>
                      <w:u w:val="none" w:color="auto"/>
                    </w:rPr>
                  </w:pPr>
                  <w:r>
                    <w:rPr>
                      <w:rFonts w:hint="default" w:ascii="Times New Roman" w:hAnsi="Times New Roman" w:eastAsia="宋体" w:cs="Times New Roman"/>
                      <w:color w:val="auto"/>
                      <w:spacing w:val="15"/>
                      <w:sz w:val="21"/>
                      <w:szCs w:val="21"/>
                      <w:highlight w:val="none"/>
                      <w:u w:val="none" w:color="auto"/>
                    </w:rPr>
                    <w:t>入场动物卸载区域有固定的车辆消毒场地，并配有车辆清洗、消毒设备</w:t>
                  </w:r>
                </w:p>
              </w:tc>
              <w:tc>
                <w:tcPr>
                  <w:tcW w:w="524" w:type="pct"/>
                  <w:noWrap w:val="0"/>
                  <w:vAlign w:val="center"/>
                </w:tcPr>
                <w:p w14:paraId="78AC2A5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0D33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4BCFB9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5E6E3A8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动物入场口和动物产品出场口应当分别设置</w:t>
                  </w:r>
                </w:p>
              </w:tc>
              <w:tc>
                <w:tcPr>
                  <w:tcW w:w="1883" w:type="pct"/>
                  <w:noWrap w:val="0"/>
                  <w:vAlign w:val="center"/>
                </w:tcPr>
                <w:p w14:paraId="5CCE34C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highlight w:val="none"/>
                      <w:u w:val="none" w:color="auto"/>
                    </w:rPr>
                  </w:pPr>
                  <w:r>
                    <w:rPr>
                      <w:rFonts w:hint="default" w:ascii="Times New Roman" w:hAnsi="Times New Roman" w:eastAsia="宋体" w:cs="Times New Roman"/>
                      <w:color w:val="auto"/>
                      <w:spacing w:val="15"/>
                      <w:sz w:val="21"/>
                      <w:szCs w:val="21"/>
                      <w:highlight w:val="none"/>
                      <w:u w:val="none" w:color="auto"/>
                    </w:rPr>
                    <w:t>分别设置动物入场口和动物产品出场口</w:t>
                  </w:r>
                </w:p>
              </w:tc>
              <w:tc>
                <w:tcPr>
                  <w:tcW w:w="524" w:type="pct"/>
                  <w:noWrap w:val="0"/>
                  <w:vAlign w:val="center"/>
                </w:tcPr>
                <w:p w14:paraId="491301A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2A22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4A3010D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6AE2A04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屠宰加工向入口设置人员更衣消毒室</w:t>
                  </w:r>
                </w:p>
              </w:tc>
              <w:tc>
                <w:tcPr>
                  <w:tcW w:w="1883" w:type="pct"/>
                  <w:noWrap w:val="0"/>
                  <w:vAlign w:val="center"/>
                </w:tcPr>
                <w:p w14:paraId="4AB8EE5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highlight w:val="none"/>
                      <w:u w:val="none" w:color="auto"/>
                    </w:rPr>
                  </w:pPr>
                  <w:r>
                    <w:rPr>
                      <w:rFonts w:hint="default" w:ascii="Times New Roman" w:hAnsi="Times New Roman" w:eastAsia="宋体" w:cs="Times New Roman"/>
                      <w:color w:val="auto"/>
                      <w:spacing w:val="15"/>
                      <w:sz w:val="21"/>
                      <w:szCs w:val="21"/>
                      <w:highlight w:val="none"/>
                      <w:u w:val="none" w:color="auto"/>
                    </w:rPr>
                    <w:t>屠宰加工间入口设置人员更衣消毒室</w:t>
                  </w:r>
                </w:p>
              </w:tc>
              <w:tc>
                <w:tcPr>
                  <w:tcW w:w="524" w:type="pct"/>
                  <w:noWrap w:val="0"/>
                  <w:vAlign w:val="center"/>
                </w:tcPr>
                <w:p w14:paraId="437C925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0421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2EEC678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3907E24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有与屠宰规模相适应的独立检疫室、办公室和休息室</w:t>
                  </w:r>
                </w:p>
              </w:tc>
              <w:tc>
                <w:tcPr>
                  <w:tcW w:w="1883" w:type="pct"/>
                  <w:noWrap w:val="0"/>
                  <w:vAlign w:val="center"/>
                </w:tcPr>
                <w:p w14:paraId="0837A19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highlight w:val="none"/>
                      <w:u w:val="none" w:color="auto"/>
                    </w:rPr>
                  </w:pPr>
                  <w:r>
                    <w:rPr>
                      <w:rFonts w:hint="default" w:ascii="Times New Roman" w:hAnsi="Times New Roman" w:eastAsia="宋体" w:cs="Times New Roman"/>
                      <w:color w:val="auto"/>
                      <w:spacing w:val="15"/>
                      <w:sz w:val="21"/>
                      <w:szCs w:val="21"/>
                      <w:highlight w:val="none"/>
                      <w:u w:val="none" w:color="auto"/>
                    </w:rPr>
                    <w:t>设有独立检疫室、办公室和休息室</w:t>
                  </w:r>
                </w:p>
              </w:tc>
              <w:tc>
                <w:tcPr>
                  <w:tcW w:w="524" w:type="pct"/>
                  <w:noWrap w:val="0"/>
                  <w:vAlign w:val="center"/>
                </w:tcPr>
                <w:p w14:paraId="18189D2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2E13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5875185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4950C8F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有待宰圈、患病动物隔离观察圈、急宰间</w:t>
                  </w:r>
                </w:p>
              </w:tc>
              <w:tc>
                <w:tcPr>
                  <w:tcW w:w="1883" w:type="pct"/>
                  <w:noWrap w:val="0"/>
                  <w:vAlign w:val="center"/>
                </w:tcPr>
                <w:p w14:paraId="4F01EB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highlight w:val="none"/>
                      <w:u w:val="none" w:color="auto"/>
                    </w:rPr>
                  </w:pPr>
                  <w:r>
                    <w:rPr>
                      <w:rFonts w:hint="default" w:ascii="Times New Roman" w:hAnsi="Times New Roman" w:eastAsia="宋体" w:cs="Times New Roman"/>
                      <w:color w:val="auto"/>
                      <w:spacing w:val="15"/>
                      <w:sz w:val="21"/>
                      <w:szCs w:val="21"/>
                      <w:highlight w:val="none"/>
                      <w:u w:val="none" w:color="auto"/>
                    </w:rPr>
                    <w:t>有待宰圈、患病动物隔离观察室、急宰间</w:t>
                  </w:r>
                </w:p>
              </w:tc>
              <w:tc>
                <w:tcPr>
                  <w:tcW w:w="524" w:type="pct"/>
                  <w:noWrap w:val="0"/>
                  <w:vAlign w:val="center"/>
                </w:tcPr>
                <w:p w14:paraId="68B710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符合</w:t>
                  </w:r>
                </w:p>
              </w:tc>
            </w:tr>
            <w:tr w14:paraId="19E9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restart"/>
                  <w:noWrap w:val="0"/>
                  <w:vAlign w:val="center"/>
                </w:tcPr>
                <w:p w14:paraId="53FA2C0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动物屠宰加工</w:t>
                  </w:r>
                </w:p>
                <w:p w14:paraId="1082F94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场所应当具有</w:t>
                  </w:r>
                </w:p>
                <w:p w14:paraId="44D2289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r>
                    <w:rPr>
                      <w:rFonts w:hint="default" w:ascii="Times New Roman" w:hAnsi="Times New Roman" w:eastAsia="宋体" w:cs="Times New Roman"/>
                      <w:color w:val="auto"/>
                      <w:spacing w:val="15"/>
                      <w:sz w:val="21"/>
                      <w:szCs w:val="21"/>
                      <w:u w:val="none" w:color="auto"/>
                    </w:rPr>
                    <w:t>下列设施设备</w:t>
                  </w:r>
                </w:p>
              </w:tc>
              <w:tc>
                <w:tcPr>
                  <w:tcW w:w="2046" w:type="pct"/>
                  <w:noWrap w:val="0"/>
                  <w:vAlign w:val="center"/>
                </w:tcPr>
                <w:p w14:paraId="34B0016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动物装卸台配备照度不小于300LX的照明设备</w:t>
                  </w:r>
                </w:p>
              </w:tc>
              <w:tc>
                <w:tcPr>
                  <w:tcW w:w="1883" w:type="pct"/>
                  <w:noWrap w:val="0"/>
                  <w:vAlign w:val="center"/>
                </w:tcPr>
                <w:p w14:paraId="28E6160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动物装卸台配备照度大于300LX的照明设备</w:t>
                  </w:r>
                </w:p>
              </w:tc>
              <w:tc>
                <w:tcPr>
                  <w:tcW w:w="524" w:type="pct"/>
                  <w:noWrap w:val="0"/>
                  <w:vAlign w:val="center"/>
                </w:tcPr>
                <w:p w14:paraId="74DDF62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符合</w:t>
                  </w:r>
                </w:p>
              </w:tc>
            </w:tr>
            <w:tr w14:paraId="0640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46" w:type="pct"/>
                  <w:vMerge w:val="continue"/>
                  <w:noWrap w:val="0"/>
                  <w:vAlign w:val="center"/>
                </w:tcPr>
                <w:p w14:paraId="182845E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rPr>
                  </w:pPr>
                </w:p>
              </w:tc>
              <w:tc>
                <w:tcPr>
                  <w:tcW w:w="2046" w:type="pct"/>
                  <w:noWrap w:val="0"/>
                  <w:vAlign w:val="center"/>
                </w:tcPr>
                <w:p w14:paraId="7A5E856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生产区有良好的采光设备，地面、操作台、墙壁、天棚应当耐腐蚀、不吸潮、易清洗</w:t>
                  </w:r>
                </w:p>
              </w:tc>
              <w:tc>
                <w:tcPr>
                  <w:tcW w:w="1883" w:type="pct"/>
                  <w:noWrap w:val="0"/>
                  <w:vAlign w:val="center"/>
                </w:tcPr>
                <w:p w14:paraId="46997E6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生产区有良好的采光设备，地面、操作台、墙壁、天棚选用耐腐蚀、不吸潮、易清洗材料</w:t>
                  </w:r>
                </w:p>
              </w:tc>
              <w:tc>
                <w:tcPr>
                  <w:tcW w:w="524" w:type="pct"/>
                  <w:noWrap w:val="0"/>
                  <w:vAlign w:val="center"/>
                </w:tcPr>
                <w:p w14:paraId="0466E0E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符合</w:t>
                  </w:r>
                </w:p>
              </w:tc>
            </w:tr>
            <w:tr w14:paraId="5CE0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592" w:type="pct"/>
                  <w:gridSpan w:val="2"/>
                  <w:noWrap w:val="0"/>
                  <w:vAlign w:val="center"/>
                </w:tcPr>
                <w:p w14:paraId="1193A96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动物屠宰加工场所应当建立动物入场和动物产品出场登记、检疫申报、疫情报告、消毒、无害化处理等制度</w:t>
                  </w:r>
                </w:p>
              </w:tc>
              <w:tc>
                <w:tcPr>
                  <w:tcW w:w="1883" w:type="pct"/>
                  <w:noWrap w:val="0"/>
                  <w:vAlign w:val="center"/>
                </w:tcPr>
                <w:p w14:paraId="128E89B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建立动物入场和动物产品出场登记、检疫申报、疫情报告、消毒、无害化处理等制度</w:t>
                  </w:r>
                </w:p>
              </w:tc>
              <w:tc>
                <w:tcPr>
                  <w:tcW w:w="524" w:type="pct"/>
                  <w:noWrap w:val="0"/>
                  <w:vAlign w:val="center"/>
                </w:tcPr>
                <w:p w14:paraId="30F4278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5"/>
                      <w:sz w:val="21"/>
                      <w:szCs w:val="21"/>
                      <w:u w:val="none" w:color="auto"/>
                      <w:lang w:val="en-US" w:eastAsia="zh-CN"/>
                    </w:rPr>
                  </w:pPr>
                  <w:r>
                    <w:rPr>
                      <w:rFonts w:hint="default" w:ascii="Times New Roman" w:hAnsi="Times New Roman" w:eastAsia="宋体" w:cs="Times New Roman"/>
                      <w:color w:val="auto"/>
                      <w:spacing w:val="15"/>
                      <w:sz w:val="21"/>
                      <w:szCs w:val="21"/>
                      <w:u w:val="none" w:color="auto"/>
                    </w:rPr>
                    <w:t>符合</w:t>
                  </w:r>
                </w:p>
              </w:tc>
            </w:tr>
            <w:tr w14:paraId="4299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5000" w:type="pct"/>
                  <w:gridSpan w:val="4"/>
                  <w:shd w:val="clear" w:color="auto" w:fill="auto"/>
                  <w:noWrap w:val="0"/>
                  <w:vAlign w:val="center"/>
                </w:tcPr>
                <w:p w14:paraId="27138D2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snapToGrid w:val="0"/>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注：本次分析仅列举</w:t>
                  </w:r>
                  <w:r>
                    <w:rPr>
                      <w:rFonts w:hint="default" w:ascii="Times New Roman" w:hAnsi="Times New Roman" w:eastAsia="宋体" w:cs="Times New Roman"/>
                      <w:b w:val="0"/>
                      <w:bCs w:val="0"/>
                      <w:color w:val="auto"/>
                      <w:sz w:val="21"/>
                      <w:szCs w:val="21"/>
                      <w:u w:val="none" w:color="auto"/>
                      <w:lang w:val="en-US" w:eastAsia="zh-CN"/>
                    </w:rPr>
                    <w:t>《</w:t>
                  </w:r>
                  <w:r>
                    <w:rPr>
                      <w:rFonts w:hint="default" w:ascii="Times New Roman" w:hAnsi="Times New Roman" w:eastAsia="宋体" w:cs="Times New Roman"/>
                      <w:color w:val="auto"/>
                      <w:spacing w:val="0"/>
                      <w:sz w:val="21"/>
                      <w:szCs w:val="21"/>
                      <w:u w:val="none" w:color="auto"/>
                    </w:rPr>
                    <w:t>动物防疫条件审查办法</w:t>
                  </w:r>
                  <w:r>
                    <w:rPr>
                      <w:rFonts w:hint="default" w:ascii="Times New Roman" w:hAnsi="Times New Roman" w:eastAsia="宋体" w:cs="Times New Roman"/>
                      <w:b w:val="0"/>
                      <w:bCs w:val="0"/>
                      <w:color w:val="auto"/>
                      <w:sz w:val="21"/>
                      <w:szCs w:val="21"/>
                      <w:u w:val="none" w:color="auto"/>
                      <w:lang w:val="en-US" w:eastAsia="zh-CN"/>
                    </w:rPr>
                    <w:t>》</w:t>
                  </w:r>
                  <w:r>
                    <w:rPr>
                      <w:rFonts w:hint="default" w:ascii="Times New Roman" w:hAnsi="Times New Roman" w:eastAsia="宋体" w:cs="Times New Roman"/>
                      <w:color w:val="auto"/>
                      <w:sz w:val="21"/>
                      <w:szCs w:val="21"/>
                      <w:u w:val="none" w:color="auto"/>
                      <w:vertAlign w:val="baseline"/>
                      <w:lang w:val="en-US" w:eastAsia="zh-CN"/>
                    </w:rPr>
                    <w:t>中与本项目有关的内容。</w:t>
                  </w:r>
                </w:p>
              </w:tc>
            </w:tr>
          </w:tbl>
          <w:p w14:paraId="4EA50230">
            <w:pPr>
              <w:keepNext w:val="0"/>
              <w:keepLines w:val="0"/>
              <w:pageBreakBefore w:val="0"/>
              <w:widowControl w:val="0"/>
              <w:kinsoku/>
              <w:wordWrap/>
              <w:overflowPunct/>
              <w:topLinePunct w:val="0"/>
              <w:autoSpaceDE/>
              <w:autoSpaceDN/>
              <w:bidi w:val="0"/>
              <w:spacing w:line="360" w:lineRule="auto"/>
              <w:ind w:firstLine="516" w:firstLineChars="200"/>
              <w:textAlignment w:val="auto"/>
              <w:rPr>
                <w:rFonts w:hint="default" w:ascii="Times New Roman" w:hAnsi="Times New Roman" w:eastAsia="宋体" w:cs="Times New Roman"/>
                <w:color w:val="auto"/>
                <w:spacing w:val="8"/>
                <w:sz w:val="24"/>
                <w:szCs w:val="24"/>
                <w:u w:val="none" w:color="auto"/>
              </w:rPr>
            </w:pPr>
            <w:r>
              <w:rPr>
                <w:rFonts w:hint="default" w:ascii="Times New Roman" w:hAnsi="Times New Roman" w:eastAsia="宋体" w:cs="Times New Roman"/>
                <w:color w:val="auto"/>
                <w:spacing w:val="9"/>
                <w:sz w:val="24"/>
                <w:szCs w:val="24"/>
                <w:u w:val="none" w:color="auto"/>
              </w:rPr>
              <w:t>根据《动物防疫条件审查办法》</w:t>
            </w:r>
            <w:r>
              <w:rPr>
                <w:rFonts w:hint="default" w:ascii="Times New Roman" w:hAnsi="Times New Roman" w:eastAsia="宋体" w:cs="Times New Roman"/>
                <w:color w:val="auto"/>
                <w:spacing w:val="9"/>
                <w:sz w:val="24"/>
                <w:szCs w:val="24"/>
                <w:u w:val="none" w:color="auto"/>
                <w:lang w:eastAsia="zh-CN"/>
              </w:rPr>
              <w:t>，</w:t>
            </w:r>
            <w:r>
              <w:rPr>
                <w:rFonts w:hint="default" w:ascii="Times New Roman" w:hAnsi="Times New Roman" w:eastAsia="宋体" w:cs="Times New Roman"/>
                <w:color w:val="auto"/>
                <w:spacing w:val="9"/>
                <w:sz w:val="24"/>
                <w:szCs w:val="24"/>
                <w:u w:val="none" w:color="auto"/>
              </w:rPr>
              <w:t>本项目符合动物防疫条件审查</w:t>
            </w:r>
            <w:r>
              <w:rPr>
                <w:rFonts w:hint="default" w:ascii="Times New Roman" w:hAnsi="Times New Roman" w:eastAsia="宋体" w:cs="Times New Roman"/>
                <w:color w:val="auto"/>
                <w:spacing w:val="14"/>
                <w:sz w:val="24"/>
                <w:szCs w:val="24"/>
                <w:u w:val="none" w:color="auto"/>
              </w:rPr>
              <w:t>办</w:t>
            </w:r>
            <w:r>
              <w:rPr>
                <w:rFonts w:hint="default" w:ascii="Times New Roman" w:hAnsi="Times New Roman" w:eastAsia="宋体" w:cs="Times New Roman"/>
                <w:color w:val="auto"/>
                <w:spacing w:val="13"/>
                <w:sz w:val="24"/>
                <w:szCs w:val="24"/>
                <w:u w:val="none" w:color="auto"/>
              </w:rPr>
              <w:t>法中的符合屠宰加工场所动物防疫条件里关于选址、布局、设备以</w:t>
            </w:r>
            <w:r>
              <w:rPr>
                <w:rFonts w:hint="default" w:ascii="Times New Roman" w:hAnsi="Times New Roman" w:eastAsia="宋体" w:cs="Times New Roman"/>
                <w:color w:val="auto"/>
                <w:spacing w:val="16"/>
                <w:sz w:val="24"/>
                <w:szCs w:val="24"/>
                <w:u w:val="none" w:color="auto"/>
              </w:rPr>
              <w:t>及</w:t>
            </w:r>
            <w:r>
              <w:rPr>
                <w:rFonts w:hint="default" w:ascii="Times New Roman" w:hAnsi="Times New Roman" w:eastAsia="宋体" w:cs="Times New Roman"/>
                <w:color w:val="auto"/>
                <w:spacing w:val="15"/>
                <w:sz w:val="24"/>
                <w:szCs w:val="24"/>
                <w:u w:val="none" w:color="auto"/>
              </w:rPr>
              <w:t>制</w:t>
            </w:r>
            <w:r>
              <w:rPr>
                <w:rFonts w:hint="default" w:ascii="Times New Roman" w:hAnsi="Times New Roman" w:eastAsia="宋体" w:cs="Times New Roman"/>
                <w:color w:val="auto"/>
                <w:spacing w:val="8"/>
                <w:sz w:val="24"/>
                <w:szCs w:val="24"/>
                <w:u w:val="none" w:color="auto"/>
              </w:rPr>
              <w:t>度等方面的要求。</w:t>
            </w:r>
          </w:p>
          <w:p w14:paraId="267DA0D5">
            <w:pPr>
              <w:bidi w:val="0"/>
              <w:rPr>
                <w:rFonts w:hint="default" w:ascii="Times New Roman" w:hAnsi="Times New Roman" w:eastAsia="宋体" w:cs="Times New Roman"/>
                <w:color w:val="auto"/>
                <w:spacing w:val="11"/>
                <w:sz w:val="24"/>
                <w:szCs w:val="24"/>
                <w:u w:val="none" w:color="auto"/>
              </w:rPr>
            </w:pPr>
            <w:r>
              <w:rPr>
                <w:rFonts w:hint="default" w:ascii="Times New Roman" w:hAnsi="Times New Roman" w:eastAsia="宋体" w:cs="Times New Roman"/>
                <w:color w:val="auto"/>
                <w:spacing w:val="8"/>
                <w:sz w:val="24"/>
                <w:szCs w:val="24"/>
                <w:u w:val="none" w:color="auto"/>
              </w:rPr>
              <w:t>因此本项目的建设与《动物防疫条件审查办法》</w:t>
            </w:r>
            <w:r>
              <w:rPr>
                <w:rFonts w:hint="default" w:ascii="Times New Roman" w:hAnsi="Times New Roman" w:eastAsia="宋体" w:cs="Times New Roman"/>
                <w:color w:val="auto"/>
                <w:spacing w:val="14"/>
                <w:sz w:val="24"/>
                <w:szCs w:val="24"/>
                <w:u w:val="none" w:color="auto"/>
              </w:rPr>
              <w:t>是</w:t>
            </w:r>
            <w:r>
              <w:rPr>
                <w:rFonts w:hint="default" w:ascii="Times New Roman" w:hAnsi="Times New Roman" w:eastAsia="宋体" w:cs="Times New Roman"/>
                <w:color w:val="auto"/>
                <w:spacing w:val="11"/>
                <w:sz w:val="24"/>
                <w:szCs w:val="24"/>
                <w:u w:val="none" w:color="auto"/>
              </w:rPr>
              <w:t>相符的。</w:t>
            </w:r>
          </w:p>
          <w:p w14:paraId="4DDDC704">
            <w:pPr>
              <w:widowControl/>
              <w:numPr>
                <w:ilvl w:val="0"/>
                <w:numId w:val="0"/>
              </w:numPr>
              <w:bidi w:val="0"/>
              <w:ind w:firstLine="0" w:firstLineChars="0"/>
              <w:rPr>
                <w:rFonts w:hint="eastAsia" w:ascii="黑体" w:hAnsi="黑体" w:eastAsia="黑体" w:cs="黑体"/>
                <w:b/>
                <w:bCs/>
                <w:color w:val="auto"/>
                <w:spacing w:val="0"/>
                <w:sz w:val="24"/>
                <w:szCs w:val="24"/>
                <w:u w:val="none" w:color="auto"/>
                <w:lang w:val="en-US" w:eastAsia="zh-CN"/>
              </w:rPr>
            </w:pPr>
            <w:r>
              <w:rPr>
                <w:rFonts w:hint="eastAsia" w:ascii="黑体" w:hAnsi="黑体" w:eastAsia="黑体" w:cs="黑体"/>
                <w:b/>
                <w:bCs/>
                <w:color w:val="auto"/>
                <w:spacing w:val="0"/>
                <w:sz w:val="24"/>
                <w:szCs w:val="24"/>
                <w:u w:val="none" w:color="auto"/>
                <w:lang w:val="en-US" w:eastAsia="zh-CN"/>
              </w:rPr>
              <w:t>7、</w:t>
            </w:r>
            <w:r>
              <w:rPr>
                <w:rFonts w:hint="eastAsia" w:ascii="黑体" w:hAnsi="黑体" w:eastAsia="黑体" w:cs="黑体"/>
                <w:b/>
                <w:bCs/>
                <w:color w:val="auto"/>
                <w:sz w:val="24"/>
                <w:szCs w:val="24"/>
                <w:u w:val="none" w:color="auto"/>
                <w:lang w:val="en-US" w:eastAsia="zh-CN"/>
              </w:rPr>
              <w:t>与《湖南省长江经济带发展负面清单实施细则（试行，2022年版）》符合性分析</w:t>
            </w:r>
          </w:p>
          <w:p w14:paraId="49C99E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表</w:t>
            </w:r>
            <w:r>
              <w:rPr>
                <w:rFonts w:hint="eastAsia" w:ascii="Times New Roman" w:hAnsi="Times New Roman" w:cs="Times New Roman"/>
                <w:color w:val="auto"/>
                <w:sz w:val="24"/>
                <w:szCs w:val="24"/>
                <w:u w:val="single" w:color="auto"/>
                <w:lang w:val="en-US" w:eastAsia="zh-CN"/>
              </w:rPr>
              <w:t>10</w:t>
            </w:r>
            <w:r>
              <w:rPr>
                <w:rFonts w:hint="default" w:ascii="Times New Roman" w:hAnsi="Times New Roman" w:eastAsia="宋体" w:cs="Times New Roman"/>
                <w:color w:val="auto"/>
                <w:sz w:val="24"/>
                <w:szCs w:val="24"/>
                <w:u w:val="single" w:color="auto"/>
                <w:lang w:val="en-US" w:eastAsia="zh-CN"/>
              </w:rPr>
              <w:t xml:space="preserve"> 与《</w:t>
            </w:r>
            <w:r>
              <w:rPr>
                <w:rFonts w:hint="eastAsia" w:cs="Times New Roman"/>
                <w:color w:val="auto"/>
                <w:sz w:val="24"/>
                <w:szCs w:val="24"/>
                <w:u w:val="single" w:color="auto"/>
                <w:lang w:val="en-US" w:eastAsia="zh-CN"/>
              </w:rPr>
              <w:t>湖南省</w:t>
            </w:r>
            <w:r>
              <w:rPr>
                <w:rFonts w:hint="default" w:ascii="Times New Roman" w:hAnsi="Times New Roman" w:eastAsia="宋体" w:cs="Times New Roman"/>
                <w:color w:val="auto"/>
                <w:sz w:val="24"/>
                <w:szCs w:val="24"/>
                <w:u w:val="single" w:color="auto"/>
                <w:lang w:val="en-US" w:eastAsia="zh-CN"/>
              </w:rPr>
              <w:t>长江经济带发展</w:t>
            </w:r>
            <w:r>
              <w:rPr>
                <w:rFonts w:hint="default" w:ascii="Times New Roman" w:hAnsi="Times New Roman" w:eastAsia="宋体" w:cs="Times New Roman"/>
                <w:color w:val="auto"/>
                <w:sz w:val="24"/>
                <w:u w:val="single" w:color="auto"/>
                <w:lang w:val="en-US" w:eastAsia="zh-CN"/>
              </w:rPr>
              <w:t>负面清单指南</w:t>
            </w:r>
            <w:r>
              <w:rPr>
                <w:rFonts w:hint="eastAsia" w:cs="Times New Roman"/>
                <w:color w:val="auto"/>
                <w:sz w:val="24"/>
                <w:u w:val="single" w:color="auto"/>
                <w:lang w:val="en-US" w:eastAsia="zh-CN"/>
              </w:rPr>
              <w:t>实施细则</w:t>
            </w:r>
            <w:r>
              <w:rPr>
                <w:rFonts w:hint="default" w:ascii="Times New Roman" w:hAnsi="Times New Roman" w:eastAsia="宋体" w:cs="Times New Roman"/>
                <w:color w:val="auto"/>
                <w:sz w:val="24"/>
                <w:u w:val="single" w:color="auto"/>
                <w:lang w:val="en-US" w:eastAsia="zh-CN"/>
              </w:rPr>
              <w:t>（试行</w:t>
            </w:r>
            <w:r>
              <w:rPr>
                <w:rFonts w:hint="eastAsia" w:cs="Times New Roman"/>
                <w:color w:val="auto"/>
                <w:sz w:val="24"/>
                <w:u w:val="single" w:color="auto"/>
                <w:lang w:val="en-US" w:eastAsia="zh-CN"/>
              </w:rPr>
              <w:t>，2022版</w:t>
            </w:r>
            <w:r>
              <w:rPr>
                <w:rFonts w:hint="default" w:ascii="Times New Roman" w:hAnsi="Times New Roman" w:eastAsia="宋体" w:cs="Times New Roman"/>
                <w:color w:val="auto"/>
                <w:sz w:val="24"/>
                <w:u w:val="single" w:color="auto"/>
                <w:lang w:val="en-US" w:eastAsia="zh-CN"/>
              </w:rPr>
              <w:t>）》符合性分析</w:t>
            </w:r>
          </w:p>
          <w:tbl>
            <w:tblPr>
              <w:tblStyle w:val="23"/>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4"/>
              <w:gridCol w:w="2427"/>
              <w:gridCol w:w="645"/>
            </w:tblGrid>
            <w:tr w14:paraId="331B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614" w:type="dxa"/>
                  <w:noWrap w:val="0"/>
                  <w:vAlign w:val="center"/>
                </w:tcPr>
                <w:p w14:paraId="2BE105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r>
                    <w:rPr>
                      <w:rFonts w:hint="eastAsia" w:cs="Times New Roman"/>
                      <w:color w:val="auto"/>
                      <w:sz w:val="21"/>
                      <w:szCs w:val="21"/>
                      <w:u w:val="single" w:color="auto"/>
                      <w:lang w:val="en-US" w:eastAsia="zh-CN"/>
                    </w:rPr>
                    <w:t>湖南省</w:t>
                  </w:r>
                  <w:r>
                    <w:rPr>
                      <w:rFonts w:hint="default" w:ascii="Times New Roman" w:hAnsi="Times New Roman" w:eastAsia="宋体" w:cs="Times New Roman"/>
                      <w:color w:val="auto"/>
                      <w:sz w:val="21"/>
                      <w:szCs w:val="21"/>
                      <w:u w:val="single" w:color="auto"/>
                      <w:lang w:val="en-US" w:eastAsia="zh-CN"/>
                    </w:rPr>
                    <w:t>长江经济带发展负面清单</w:t>
                  </w:r>
                  <w:r>
                    <w:rPr>
                      <w:rFonts w:hint="eastAsia" w:cs="Times New Roman"/>
                      <w:color w:val="auto"/>
                      <w:sz w:val="21"/>
                      <w:szCs w:val="21"/>
                      <w:u w:val="single" w:color="auto"/>
                      <w:lang w:val="en-US" w:eastAsia="zh-CN"/>
                    </w:rPr>
                    <w:t>实施细则</w:t>
                  </w:r>
                  <w:r>
                    <w:rPr>
                      <w:rFonts w:hint="default" w:ascii="Times New Roman" w:hAnsi="Times New Roman" w:eastAsia="宋体" w:cs="Times New Roman"/>
                      <w:color w:val="auto"/>
                      <w:sz w:val="21"/>
                      <w:szCs w:val="21"/>
                      <w:u w:val="single" w:color="auto"/>
                      <w:lang w:val="en-US" w:eastAsia="zh-CN"/>
                    </w:rPr>
                    <w:t>（试行</w:t>
                  </w:r>
                  <w:r>
                    <w:rPr>
                      <w:rFonts w:hint="eastAsia" w:cs="Times New Roman"/>
                      <w:color w:val="auto"/>
                      <w:sz w:val="21"/>
                      <w:szCs w:val="21"/>
                      <w:u w:val="single" w:color="auto"/>
                      <w:lang w:val="en-US" w:eastAsia="zh-CN"/>
                    </w:rPr>
                    <w:t>，2022版</w:t>
                  </w:r>
                  <w:r>
                    <w:rPr>
                      <w:rFonts w:hint="default" w:ascii="Times New Roman" w:hAnsi="Times New Roman" w:eastAsia="宋体"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》相关内容</w:t>
                  </w:r>
                </w:p>
              </w:tc>
              <w:tc>
                <w:tcPr>
                  <w:tcW w:w="2427" w:type="dxa"/>
                  <w:noWrap w:val="0"/>
                  <w:vAlign w:val="center"/>
                </w:tcPr>
                <w:p w14:paraId="1B3FAD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本项目情况</w:t>
                  </w:r>
                </w:p>
              </w:tc>
              <w:tc>
                <w:tcPr>
                  <w:tcW w:w="645" w:type="dxa"/>
                  <w:noWrap w:val="0"/>
                  <w:vAlign w:val="center"/>
                </w:tcPr>
                <w:p w14:paraId="165624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相符性</w:t>
                  </w:r>
                </w:p>
              </w:tc>
            </w:tr>
            <w:tr w14:paraId="6685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614" w:type="dxa"/>
                  <w:noWrap w:val="0"/>
                  <w:vAlign w:val="center"/>
                </w:tcPr>
                <w:p w14:paraId="460199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禁止建设不符合全国和省级港口布局规划以及港口总体规划的码头项目。对不符合港口总体规划的新建、改建和扩建的码头工程</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含舾装码头工程</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2020-2035年</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》的过长江通道项目。</w:t>
                  </w:r>
                </w:p>
              </w:tc>
              <w:tc>
                <w:tcPr>
                  <w:tcW w:w="2427" w:type="dxa"/>
                  <w:noWrap w:val="0"/>
                  <w:vAlign w:val="center"/>
                </w:tcPr>
                <w:p w14:paraId="5BD160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本项目</w:t>
                  </w:r>
                  <w:r>
                    <w:rPr>
                      <w:rFonts w:hint="eastAsia" w:cs="Times New Roman"/>
                      <w:color w:val="auto"/>
                      <w:sz w:val="21"/>
                      <w:szCs w:val="21"/>
                      <w:u w:val="single" w:color="auto"/>
                      <w:lang w:val="en-US" w:eastAsia="zh-CN"/>
                    </w:rPr>
                    <w:t>不涉及码头工程及</w:t>
                  </w:r>
                  <w:r>
                    <w:rPr>
                      <w:rFonts w:hint="default" w:ascii="Times New Roman" w:hAnsi="Times New Roman" w:cs="Times New Roman"/>
                      <w:color w:val="auto"/>
                      <w:sz w:val="21"/>
                      <w:szCs w:val="21"/>
                      <w:u w:val="single" w:color="auto"/>
                      <w:lang w:val="en-US" w:eastAsia="zh-CN"/>
                    </w:rPr>
                    <w:t>过长江通道</w:t>
                  </w:r>
                </w:p>
              </w:tc>
              <w:tc>
                <w:tcPr>
                  <w:tcW w:w="645" w:type="dxa"/>
                  <w:noWrap w:val="0"/>
                  <w:vAlign w:val="center"/>
                </w:tcPr>
                <w:p w14:paraId="5B3027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007B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614" w:type="dxa"/>
                  <w:noWrap w:val="0"/>
                  <w:vAlign w:val="center"/>
                </w:tcPr>
                <w:p w14:paraId="5C827A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禁止在自然保护区核心区、缓冲区的岸线和河段范围内投资建设以下旅游和生产经营项目</w:t>
                  </w:r>
                  <w:r>
                    <w:rPr>
                      <w:rFonts w:hint="eastAsia" w:cs="Times New Roman"/>
                      <w:color w:val="auto"/>
                      <w:sz w:val="21"/>
                      <w:szCs w:val="21"/>
                      <w:u w:val="single" w:color="auto"/>
                      <w:lang w:val="en-US" w:eastAsia="zh-CN"/>
                    </w:rPr>
                    <w:t>：</w:t>
                  </w:r>
                </w:p>
                <w:p w14:paraId="7E0035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一</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高尔夫球场开发、房地产开发、索道建设、会所建设等项目</w:t>
                  </w:r>
                  <w:r>
                    <w:rPr>
                      <w:rFonts w:hint="eastAsia" w:cs="Times New Roman"/>
                      <w:color w:val="auto"/>
                      <w:sz w:val="21"/>
                      <w:szCs w:val="21"/>
                      <w:u w:val="single" w:color="auto"/>
                      <w:lang w:val="en-US" w:eastAsia="zh-CN"/>
                    </w:rPr>
                    <w:t>；</w:t>
                  </w:r>
                </w:p>
                <w:p w14:paraId="412B26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二</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光伏发电、风力发电、火力发电建设项目</w:t>
                  </w:r>
                  <w:r>
                    <w:rPr>
                      <w:rFonts w:hint="eastAsia" w:cs="Times New Roman"/>
                      <w:color w:val="auto"/>
                      <w:sz w:val="21"/>
                      <w:szCs w:val="21"/>
                      <w:u w:val="single" w:color="auto"/>
                      <w:lang w:val="en-US" w:eastAsia="zh-CN"/>
                    </w:rPr>
                    <w:t>；</w:t>
                  </w:r>
                </w:p>
                <w:p w14:paraId="4B1BC4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三</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社会资金进行商业性探矿勘查，以及不属于国家紧缺矿种资源的基础地质调查和矿产远景调查等公益性工作的设施建设</w:t>
                  </w:r>
                  <w:r>
                    <w:rPr>
                      <w:rFonts w:hint="eastAsia" w:cs="Times New Roman"/>
                      <w:color w:val="auto"/>
                      <w:sz w:val="21"/>
                      <w:szCs w:val="21"/>
                      <w:u w:val="single" w:color="auto"/>
                      <w:lang w:val="en-US" w:eastAsia="zh-CN"/>
                    </w:rPr>
                    <w:t>；</w:t>
                  </w:r>
                </w:p>
                <w:p w14:paraId="63B36D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四</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野生动物驯养繁殖、展览基地建设项目</w:t>
                  </w:r>
                  <w:r>
                    <w:rPr>
                      <w:rFonts w:hint="eastAsia" w:cs="Times New Roman"/>
                      <w:color w:val="auto"/>
                      <w:sz w:val="21"/>
                      <w:szCs w:val="21"/>
                      <w:u w:val="single" w:color="auto"/>
                      <w:lang w:val="en-US" w:eastAsia="zh-CN"/>
                    </w:rPr>
                    <w:t>；</w:t>
                  </w:r>
                </w:p>
                <w:p w14:paraId="0B3F5F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五</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污染环境、破坏自然资源或自然景观的建设设施</w:t>
                  </w:r>
                  <w:r>
                    <w:rPr>
                      <w:rFonts w:hint="eastAsia" w:cs="Times New Roman"/>
                      <w:color w:val="auto"/>
                      <w:sz w:val="21"/>
                      <w:szCs w:val="21"/>
                      <w:u w:val="single" w:color="auto"/>
                      <w:lang w:val="en-US" w:eastAsia="zh-CN"/>
                    </w:rPr>
                    <w:t>；</w:t>
                  </w:r>
                </w:p>
                <w:p w14:paraId="2062EE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六</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对自然保护区主要保护对象产生重大影响、改变自然生态系统完整性、原真性、破坏自然景观的设施</w:t>
                  </w:r>
                  <w:r>
                    <w:rPr>
                      <w:rFonts w:hint="eastAsia" w:cs="Times New Roman"/>
                      <w:color w:val="auto"/>
                      <w:sz w:val="21"/>
                      <w:szCs w:val="21"/>
                      <w:u w:val="single" w:color="auto"/>
                      <w:lang w:val="en-US" w:eastAsia="zh-CN"/>
                    </w:rPr>
                    <w:t>；</w:t>
                  </w:r>
                </w:p>
                <w:p w14:paraId="3B1612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七</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其他不符合自然保护区主体功能定位和国家禁止的设施</w:t>
                  </w:r>
                  <w:r>
                    <w:rPr>
                      <w:rFonts w:hint="eastAsia" w:cs="Times New Roman"/>
                      <w:color w:val="auto"/>
                      <w:sz w:val="21"/>
                      <w:szCs w:val="21"/>
                      <w:u w:val="single" w:color="auto"/>
                      <w:lang w:val="en-US" w:eastAsia="zh-CN"/>
                    </w:rPr>
                    <w:t>。</w:t>
                  </w:r>
                </w:p>
              </w:tc>
              <w:tc>
                <w:tcPr>
                  <w:tcW w:w="2427" w:type="dxa"/>
                  <w:noWrap w:val="0"/>
                  <w:vAlign w:val="center"/>
                </w:tcPr>
                <w:p w14:paraId="71B930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本项目</w:t>
                  </w:r>
                  <w:r>
                    <w:rPr>
                      <w:rFonts w:hint="eastAsia" w:cs="Times New Roman"/>
                      <w:color w:val="auto"/>
                      <w:sz w:val="21"/>
                      <w:szCs w:val="21"/>
                      <w:u w:val="single" w:color="auto"/>
                      <w:lang w:val="en-US" w:eastAsia="zh-CN"/>
                    </w:rPr>
                    <w:t>不属于：（</w:t>
                  </w:r>
                  <w:r>
                    <w:rPr>
                      <w:rFonts w:hint="default" w:ascii="Times New Roman" w:hAnsi="Times New Roman" w:cs="Times New Roman"/>
                      <w:color w:val="auto"/>
                      <w:sz w:val="21"/>
                      <w:szCs w:val="21"/>
                      <w:u w:val="single" w:color="auto"/>
                      <w:lang w:val="en-US" w:eastAsia="zh-CN"/>
                    </w:rPr>
                    <w:t>一</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高尔夫球场开发、房地产开发、索道建设、会所建设等项目</w:t>
                  </w:r>
                  <w:r>
                    <w:rPr>
                      <w:rFonts w:hint="eastAsia" w:cs="Times New Roman"/>
                      <w:color w:val="auto"/>
                      <w:sz w:val="21"/>
                      <w:szCs w:val="21"/>
                      <w:u w:val="single" w:color="auto"/>
                      <w:lang w:val="en-US" w:eastAsia="zh-CN"/>
                    </w:rPr>
                    <w:t>；</w:t>
                  </w:r>
                </w:p>
                <w:p w14:paraId="1FB742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二</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光伏发电、风力发电、火力发电建设项目</w:t>
                  </w:r>
                  <w:r>
                    <w:rPr>
                      <w:rFonts w:hint="eastAsia" w:cs="Times New Roman"/>
                      <w:color w:val="auto"/>
                      <w:sz w:val="21"/>
                      <w:szCs w:val="21"/>
                      <w:u w:val="single" w:color="auto"/>
                      <w:lang w:val="en-US" w:eastAsia="zh-CN"/>
                    </w:rPr>
                    <w:t>；</w:t>
                  </w:r>
                </w:p>
                <w:p w14:paraId="275D81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三</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社会资金进行商业性探矿勘查，以及不属于国家紧缺矿种资源的基础地质调查和矿产远景调查等公益性工作的设施建设</w:t>
                  </w:r>
                  <w:r>
                    <w:rPr>
                      <w:rFonts w:hint="eastAsia" w:cs="Times New Roman"/>
                      <w:color w:val="auto"/>
                      <w:sz w:val="21"/>
                      <w:szCs w:val="21"/>
                      <w:u w:val="single" w:color="auto"/>
                      <w:lang w:val="en-US" w:eastAsia="zh-CN"/>
                    </w:rPr>
                    <w:t>；</w:t>
                  </w:r>
                </w:p>
                <w:p w14:paraId="4C0384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四</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野生动物驯养繁殖、展览基地建设项目</w:t>
                  </w:r>
                  <w:r>
                    <w:rPr>
                      <w:rFonts w:hint="eastAsia" w:cs="Times New Roman"/>
                      <w:color w:val="auto"/>
                      <w:sz w:val="21"/>
                      <w:szCs w:val="21"/>
                      <w:u w:val="single" w:color="auto"/>
                      <w:lang w:val="en-US" w:eastAsia="zh-CN"/>
                    </w:rPr>
                    <w:t>；</w:t>
                  </w:r>
                </w:p>
                <w:p w14:paraId="5E7E20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五</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污染环境、破坏自然资源或自然景观的建设设施</w:t>
                  </w:r>
                  <w:r>
                    <w:rPr>
                      <w:rFonts w:hint="eastAsia" w:cs="Times New Roman"/>
                      <w:color w:val="auto"/>
                      <w:sz w:val="21"/>
                      <w:szCs w:val="21"/>
                      <w:u w:val="single" w:color="auto"/>
                      <w:lang w:val="en-US" w:eastAsia="zh-CN"/>
                    </w:rPr>
                    <w:t>；</w:t>
                  </w:r>
                </w:p>
                <w:p w14:paraId="1E0500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六</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对自然保护区主要保护对象产生重大影响、改变自然生态系统完整性、原真性、破坏自然景观的设施</w:t>
                  </w:r>
                  <w:r>
                    <w:rPr>
                      <w:rFonts w:hint="eastAsia" w:cs="Times New Roman"/>
                      <w:color w:val="auto"/>
                      <w:sz w:val="21"/>
                      <w:szCs w:val="21"/>
                      <w:u w:val="single" w:color="auto"/>
                      <w:lang w:val="en-US" w:eastAsia="zh-CN"/>
                    </w:rPr>
                    <w:t>；</w:t>
                  </w:r>
                </w:p>
                <w:p w14:paraId="40C256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七</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其他不符合自然保护区主体功能定位和国家禁止的设施</w:t>
                  </w:r>
                  <w:r>
                    <w:rPr>
                      <w:rFonts w:hint="eastAsia" w:cs="Times New Roman"/>
                      <w:color w:val="auto"/>
                      <w:sz w:val="21"/>
                      <w:szCs w:val="21"/>
                      <w:u w:val="single" w:color="auto"/>
                      <w:lang w:val="en-US" w:eastAsia="zh-CN"/>
                    </w:rPr>
                    <w:t>。</w:t>
                  </w:r>
                </w:p>
              </w:tc>
              <w:tc>
                <w:tcPr>
                  <w:tcW w:w="645" w:type="dxa"/>
                  <w:noWrap w:val="0"/>
                  <w:vAlign w:val="center"/>
                </w:tcPr>
                <w:p w14:paraId="7C50ED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0D37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430DD5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机场、铁路、公路、水利、围堰等公益性基础设施的选址选线应多方案优化比选，尽量避让相关自然保护区域、野生动物迁徙洄游通道</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无法避让的，应当采取修建野生动物通道、过鱼设施等措施，消除或者减少对野生动物的不利影响</w:t>
                  </w:r>
                  <w:r>
                    <w:rPr>
                      <w:rFonts w:hint="eastAsia" w:ascii="Times New Roman" w:hAnsi="Times New Roman" w:cs="Times New Roman"/>
                      <w:color w:val="auto"/>
                      <w:sz w:val="21"/>
                      <w:szCs w:val="21"/>
                      <w:u w:val="single" w:color="auto"/>
                      <w:lang w:val="en-US" w:eastAsia="zh-CN"/>
                    </w:rPr>
                    <w:t>。</w:t>
                  </w:r>
                </w:p>
              </w:tc>
              <w:tc>
                <w:tcPr>
                  <w:tcW w:w="2427" w:type="dxa"/>
                  <w:noWrap w:val="0"/>
                  <w:vAlign w:val="center"/>
                </w:tcPr>
                <w:p w14:paraId="0B1F53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本项目</w:t>
                  </w:r>
                  <w:r>
                    <w:rPr>
                      <w:rFonts w:hint="eastAsia" w:cs="Times New Roman"/>
                      <w:color w:val="auto"/>
                      <w:sz w:val="21"/>
                      <w:szCs w:val="21"/>
                      <w:u w:val="single" w:color="auto"/>
                      <w:lang w:val="en-US" w:eastAsia="zh-CN"/>
                    </w:rPr>
                    <w:t>不涉及</w:t>
                  </w:r>
                  <w:r>
                    <w:rPr>
                      <w:rFonts w:hint="default" w:ascii="Times New Roman" w:hAnsi="Times New Roman" w:cs="Times New Roman"/>
                      <w:color w:val="auto"/>
                      <w:sz w:val="21"/>
                      <w:szCs w:val="21"/>
                      <w:u w:val="single" w:color="auto"/>
                      <w:lang w:val="en-US" w:eastAsia="zh-CN"/>
                    </w:rPr>
                    <w:t>自然保护区域、野生动物迁徙洄游通道</w:t>
                  </w:r>
                  <w:r>
                    <w:rPr>
                      <w:rFonts w:hint="eastAsia" w:ascii="Times New Roman" w:hAnsi="Times New Roman" w:cs="Times New Roman"/>
                      <w:color w:val="auto"/>
                      <w:sz w:val="21"/>
                      <w:szCs w:val="21"/>
                      <w:u w:val="single" w:color="auto"/>
                      <w:lang w:val="en-US" w:eastAsia="zh-CN"/>
                    </w:rPr>
                    <w:t>等</w:t>
                  </w:r>
                </w:p>
              </w:tc>
              <w:tc>
                <w:tcPr>
                  <w:tcW w:w="645" w:type="dxa"/>
                  <w:noWrap w:val="0"/>
                  <w:vAlign w:val="center"/>
                </w:tcPr>
                <w:p w14:paraId="37CAB8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2568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4614" w:type="dxa"/>
                  <w:noWrap w:val="0"/>
                  <w:vAlign w:val="center"/>
                </w:tcPr>
                <w:p w14:paraId="200512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禁止违反风景名胜区规划，在风景名胜区内设立各类开发区和在核心景区内建设宾馆、招待所、培训中心、疗养院以及与风景名胜资源保护无关的其他建筑物</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已经建设的，应当按照风景名胜区规划，逐步迁出。</w:t>
                  </w:r>
                </w:p>
              </w:tc>
              <w:tc>
                <w:tcPr>
                  <w:tcW w:w="2427" w:type="dxa"/>
                  <w:noWrap w:val="0"/>
                  <w:vAlign w:val="center"/>
                </w:tcPr>
                <w:p w14:paraId="791509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本项目不</w:t>
                  </w:r>
                  <w:r>
                    <w:rPr>
                      <w:rFonts w:hint="eastAsia" w:cs="Times New Roman"/>
                      <w:color w:val="auto"/>
                      <w:sz w:val="21"/>
                      <w:szCs w:val="21"/>
                      <w:u w:val="single" w:color="auto"/>
                      <w:vertAlign w:val="baseline"/>
                      <w:lang w:val="en-US" w:eastAsia="zh-CN"/>
                    </w:rPr>
                    <w:t>在</w:t>
                  </w:r>
                  <w:r>
                    <w:rPr>
                      <w:rFonts w:hint="default" w:ascii="Times New Roman" w:hAnsi="Times New Roman" w:cs="Times New Roman"/>
                      <w:color w:val="auto"/>
                      <w:sz w:val="21"/>
                      <w:szCs w:val="21"/>
                      <w:u w:val="single" w:color="auto"/>
                      <w:lang w:val="en-US" w:eastAsia="zh-CN"/>
                    </w:rPr>
                    <w:t>风景名胜区规划</w:t>
                  </w:r>
                  <w:r>
                    <w:rPr>
                      <w:rFonts w:hint="eastAsia" w:ascii="Times New Roman" w:hAnsi="Times New Roman" w:cs="Times New Roman"/>
                      <w:color w:val="auto"/>
                      <w:sz w:val="21"/>
                      <w:szCs w:val="21"/>
                      <w:u w:val="single" w:color="auto"/>
                      <w:lang w:val="en-US" w:eastAsia="zh-CN"/>
                    </w:rPr>
                    <w:t>范围内</w:t>
                  </w:r>
                </w:p>
              </w:tc>
              <w:tc>
                <w:tcPr>
                  <w:tcW w:w="645" w:type="dxa"/>
                  <w:noWrap w:val="0"/>
                  <w:vAlign w:val="center"/>
                </w:tcPr>
                <w:p w14:paraId="3D909B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100B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shd w:val="clear" w:color="auto" w:fill="auto"/>
                  <w:noWrap w:val="0"/>
                  <w:vAlign w:val="center"/>
                </w:tcPr>
                <w:p w14:paraId="7BEB27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饮用水水源一级保护区内禁止新建、改建、扩建与供水设施和保护水源无关的建设项目，以及网箱养殖、畜禽养殖、旅游等可能污染饮用水水体的投资建设项目</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禁止向水域排放污水，已设置的排污口必须拆除</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不得设置与供水需要无关的码头，禁止停靠船舶</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禁止堆置和存放工业废渣、城市垃圾、粪便和其它废弃物</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禁止设置油库</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禁止使用含磷洗涤用品</w:t>
                  </w:r>
                  <w:r>
                    <w:rPr>
                      <w:rFonts w:hint="eastAsia" w:ascii="Times New Roman" w:hAnsi="Times New Roman" w:cs="Times New Roman"/>
                      <w:color w:val="auto"/>
                      <w:sz w:val="21"/>
                      <w:szCs w:val="21"/>
                      <w:u w:val="single" w:color="auto"/>
                      <w:lang w:val="en-US" w:eastAsia="zh-CN"/>
                    </w:rPr>
                    <w:t>。</w:t>
                  </w:r>
                </w:p>
              </w:tc>
              <w:tc>
                <w:tcPr>
                  <w:tcW w:w="2427" w:type="dxa"/>
                  <w:noWrap w:val="0"/>
                  <w:vAlign w:val="center"/>
                </w:tcPr>
                <w:p w14:paraId="14723F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本项</w:t>
                  </w:r>
                  <w:r>
                    <w:rPr>
                      <w:rFonts w:hint="eastAsia" w:cs="Times New Roman"/>
                      <w:color w:val="auto"/>
                      <w:sz w:val="21"/>
                      <w:szCs w:val="21"/>
                      <w:u w:val="single" w:color="auto"/>
                      <w:lang w:val="en-US" w:eastAsia="zh-CN"/>
                    </w:rPr>
                    <w:t>在</w:t>
                  </w:r>
                  <w:r>
                    <w:rPr>
                      <w:rFonts w:hint="default" w:ascii="Times New Roman" w:hAnsi="Times New Roman" w:eastAsia="宋体" w:cs="Times New Roman"/>
                      <w:color w:val="auto"/>
                      <w:sz w:val="21"/>
                      <w:szCs w:val="21"/>
                      <w:u w:val="single" w:color="auto"/>
                      <w:lang w:val="en-US" w:eastAsia="zh-CN"/>
                    </w:rPr>
                    <w:t>目</w:t>
                  </w:r>
                  <w:r>
                    <w:rPr>
                      <w:rFonts w:hint="eastAsia" w:cs="Times New Roman"/>
                      <w:color w:val="auto"/>
                      <w:sz w:val="21"/>
                      <w:szCs w:val="21"/>
                      <w:u w:val="single" w:color="auto"/>
                      <w:lang w:val="en-US" w:eastAsia="zh-CN"/>
                    </w:rPr>
                    <w:t>不</w:t>
                  </w:r>
                  <w:r>
                    <w:rPr>
                      <w:rFonts w:hint="default" w:ascii="Times New Roman" w:hAnsi="Times New Roman" w:cs="Times New Roman"/>
                      <w:color w:val="auto"/>
                      <w:sz w:val="21"/>
                      <w:szCs w:val="21"/>
                      <w:u w:val="single" w:color="auto"/>
                      <w:lang w:val="en-US" w:eastAsia="zh-CN"/>
                    </w:rPr>
                    <w:t>饮用水水源一级保护区内</w:t>
                  </w:r>
                  <w:r>
                    <w:rPr>
                      <w:rFonts w:hint="eastAsia" w:cs="Times New Roman"/>
                      <w:color w:val="auto"/>
                      <w:sz w:val="21"/>
                      <w:szCs w:val="21"/>
                      <w:u w:val="single" w:color="auto"/>
                      <w:lang w:val="en-US" w:eastAsia="zh-CN"/>
                    </w:rPr>
                    <w:t>；本项目废水经市政污水管网进入卢峰镇污水处理厂处理后外排，不直接外排；本项目不涉及码头、不设置油库、不使用</w:t>
                  </w:r>
                  <w:r>
                    <w:rPr>
                      <w:rFonts w:hint="default" w:ascii="Times New Roman" w:hAnsi="Times New Roman" w:cs="Times New Roman"/>
                      <w:color w:val="auto"/>
                      <w:sz w:val="21"/>
                      <w:szCs w:val="21"/>
                      <w:u w:val="single" w:color="auto"/>
                      <w:lang w:val="en-US" w:eastAsia="zh-CN"/>
                    </w:rPr>
                    <w:t>含磷洗涤用品</w:t>
                  </w:r>
                  <w:r>
                    <w:rPr>
                      <w:rFonts w:hint="eastAsia" w:ascii="Times New Roman" w:hAnsi="Times New Roman" w:cs="Times New Roman"/>
                      <w:color w:val="auto"/>
                      <w:sz w:val="21"/>
                      <w:szCs w:val="21"/>
                      <w:u w:val="single" w:color="auto"/>
                      <w:lang w:val="en-US" w:eastAsia="zh-CN"/>
                    </w:rPr>
                    <w:t>；所有固体废物均能得到合法有效的处置</w:t>
                  </w:r>
                </w:p>
              </w:tc>
              <w:tc>
                <w:tcPr>
                  <w:tcW w:w="645" w:type="dxa"/>
                  <w:noWrap w:val="0"/>
                  <w:vAlign w:val="center"/>
                </w:tcPr>
                <w:p w14:paraId="475CFB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5A9E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shd w:val="clear" w:color="auto" w:fill="auto"/>
                  <w:noWrap w:val="0"/>
                  <w:vAlign w:val="center"/>
                </w:tcPr>
                <w:p w14:paraId="3C7081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饮用水水源二级保护区内禁止新建、改建、扩建向水体排放污染物的投资建设项目。原有排污口依法拆除或关闭。禁止设立装卸垃圾、粪便、油类和有毒物品的码头。</w:t>
                  </w:r>
                </w:p>
              </w:tc>
              <w:tc>
                <w:tcPr>
                  <w:tcW w:w="2427" w:type="dxa"/>
                  <w:noWrap w:val="0"/>
                  <w:vAlign w:val="center"/>
                </w:tcPr>
                <w:p w14:paraId="506283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本项目废水经市政污水管网进入卢峰镇污水处理厂处理后外排，不直接外排；本项目不涉及码头</w:t>
                  </w:r>
                </w:p>
              </w:tc>
              <w:tc>
                <w:tcPr>
                  <w:tcW w:w="645" w:type="dxa"/>
                  <w:noWrap w:val="0"/>
                  <w:vAlign w:val="center"/>
                </w:tcPr>
                <w:p w14:paraId="59E139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7F7F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4614" w:type="dxa"/>
                  <w:noWrap w:val="0"/>
                  <w:vAlign w:val="center"/>
                </w:tcPr>
                <w:p w14:paraId="73C535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禁止在水产种质资源保护区的岸线和河段范围内新建排污口、实施非法围垦河道和围湖造田造地等投资建设项目</w:t>
                  </w:r>
                  <w:r>
                    <w:rPr>
                      <w:rFonts w:hint="eastAsia" w:ascii="Times New Roman" w:hAnsi="Times New Roman" w:cs="Times New Roman"/>
                      <w:color w:val="auto"/>
                      <w:sz w:val="21"/>
                      <w:szCs w:val="21"/>
                      <w:u w:val="single" w:color="auto"/>
                      <w:lang w:val="en-US" w:eastAsia="zh-CN"/>
                    </w:rPr>
                    <w:t>。</w:t>
                  </w:r>
                </w:p>
              </w:tc>
              <w:tc>
                <w:tcPr>
                  <w:tcW w:w="2427" w:type="dxa"/>
                  <w:noWrap w:val="0"/>
                  <w:vAlign w:val="center"/>
                </w:tcPr>
                <w:p w14:paraId="7CF614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本项目废水经市政污水管网进入卢峰镇污水处理厂处理后外排，不新建排污口；本项目不涉及</w:t>
                  </w:r>
                  <w:r>
                    <w:rPr>
                      <w:rFonts w:hint="default" w:ascii="Times New Roman" w:hAnsi="Times New Roman" w:cs="Times New Roman"/>
                      <w:color w:val="auto"/>
                      <w:sz w:val="21"/>
                      <w:szCs w:val="21"/>
                      <w:u w:val="single" w:color="auto"/>
                      <w:lang w:val="en-US" w:eastAsia="zh-CN"/>
                    </w:rPr>
                    <w:t>围垦河道和围湖造田造地等</w:t>
                  </w:r>
                </w:p>
              </w:tc>
              <w:tc>
                <w:tcPr>
                  <w:tcW w:w="645" w:type="dxa"/>
                  <w:noWrap w:val="0"/>
                  <w:vAlign w:val="center"/>
                </w:tcPr>
                <w:p w14:paraId="169689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137D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4345B3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除《中华人民共和国防洪法》规定的紧急防汛期采取的紧急措施外，禁止在国家湿地公园的岸线和河段范围内挖沙、采矿，以及以下不符合主体功能定位的行为和活动</w:t>
                  </w:r>
                  <w:r>
                    <w:rPr>
                      <w:rFonts w:hint="eastAsia" w:cs="Times New Roman"/>
                      <w:color w:val="auto"/>
                      <w:sz w:val="21"/>
                      <w:szCs w:val="21"/>
                      <w:u w:val="single" w:color="auto"/>
                      <w:lang w:val="en-US" w:eastAsia="zh-CN"/>
                    </w:rPr>
                    <w:t>：</w:t>
                  </w:r>
                </w:p>
                <w:p w14:paraId="087DBF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一</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开</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围</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垦、填埋或者排干湿地。</w:t>
                  </w:r>
                </w:p>
                <w:p w14:paraId="2335A2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二</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截断湿地水源</w:t>
                  </w:r>
                  <w:r>
                    <w:rPr>
                      <w:rFonts w:hint="eastAsia" w:cs="Times New Roman"/>
                      <w:color w:val="auto"/>
                      <w:sz w:val="21"/>
                      <w:szCs w:val="21"/>
                      <w:u w:val="single" w:color="auto"/>
                      <w:lang w:val="en-US" w:eastAsia="zh-CN"/>
                    </w:rPr>
                    <w:t>。</w:t>
                  </w:r>
                </w:p>
                <w:p w14:paraId="2BAAE5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三</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倾倒有毒有害物质、废弃物、垃圾。</w:t>
                  </w:r>
                </w:p>
                <w:p w14:paraId="5016AE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四</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从事房地产、度假村、高尔夫球场、风力发电、光伏发电等任何不符合主体功能定位的建设项目和开发活动。</w:t>
                  </w:r>
                </w:p>
                <w:p w14:paraId="0ADA56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五</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破坏野生动物栖息地和迁徙通道、鱼类洄游通道滥采滥捕野生动植物。</w:t>
                  </w:r>
                </w:p>
                <w:p w14:paraId="6AEE8C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六</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引入外来物种。</w:t>
                  </w:r>
                </w:p>
                <w:p w14:paraId="1F7A2C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七</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擅自放牧、捕捞、取土、取水、排污、放生。</w:t>
                  </w:r>
                </w:p>
                <w:p w14:paraId="685AF8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八</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其他破坏湿地及其生态功能的活动</w:t>
                  </w:r>
                  <w:r>
                    <w:rPr>
                      <w:rFonts w:hint="eastAsia" w:cs="Times New Roman"/>
                      <w:color w:val="auto"/>
                      <w:sz w:val="21"/>
                      <w:szCs w:val="21"/>
                      <w:u w:val="single" w:color="auto"/>
                      <w:lang w:val="en-US" w:eastAsia="zh-CN"/>
                    </w:rPr>
                    <w:t>。</w:t>
                  </w:r>
                </w:p>
              </w:tc>
              <w:tc>
                <w:tcPr>
                  <w:tcW w:w="2427" w:type="dxa"/>
                  <w:noWrap w:val="0"/>
                  <w:vAlign w:val="center"/>
                </w:tcPr>
                <w:p w14:paraId="26BBF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本项目不在</w:t>
                  </w:r>
                  <w:r>
                    <w:rPr>
                      <w:rFonts w:hint="default" w:ascii="Times New Roman" w:hAnsi="Times New Roman" w:cs="Times New Roman"/>
                      <w:color w:val="auto"/>
                      <w:sz w:val="21"/>
                      <w:szCs w:val="21"/>
                      <w:u w:val="single" w:color="auto"/>
                      <w:lang w:val="en-US" w:eastAsia="zh-CN"/>
                    </w:rPr>
                    <w:t>国家湿地公园的岸线和河段范围内挖沙、采矿，</w:t>
                  </w:r>
                  <w:r>
                    <w:rPr>
                      <w:rFonts w:hint="eastAsia" w:ascii="Times New Roman" w:hAnsi="Times New Roman" w:cs="Times New Roman"/>
                      <w:color w:val="auto"/>
                      <w:sz w:val="21"/>
                      <w:szCs w:val="21"/>
                      <w:u w:val="single" w:color="auto"/>
                      <w:lang w:val="en-US" w:eastAsia="zh-CN"/>
                    </w:rPr>
                    <w:t>不涉及</w:t>
                  </w:r>
                  <w:r>
                    <w:rPr>
                      <w:rFonts w:hint="default" w:ascii="Times New Roman" w:hAnsi="Times New Roman" w:cs="Times New Roman"/>
                      <w:color w:val="auto"/>
                      <w:sz w:val="21"/>
                      <w:szCs w:val="21"/>
                      <w:u w:val="single" w:color="auto"/>
                      <w:lang w:val="en-US" w:eastAsia="zh-CN"/>
                    </w:rPr>
                    <w:t>以下的行为和活动</w:t>
                  </w:r>
                  <w:r>
                    <w:rPr>
                      <w:rFonts w:hint="eastAsia" w:cs="Times New Roman"/>
                      <w:color w:val="auto"/>
                      <w:sz w:val="21"/>
                      <w:szCs w:val="21"/>
                      <w:u w:val="single" w:color="auto"/>
                      <w:lang w:val="en-US" w:eastAsia="zh-CN"/>
                    </w:rPr>
                    <w:t>：</w:t>
                  </w:r>
                </w:p>
                <w:p w14:paraId="3BE598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一</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开</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围</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垦、填埋或者排干湿地。</w:t>
                  </w:r>
                </w:p>
                <w:p w14:paraId="3DE8FB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二</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截断湿地水源</w:t>
                  </w:r>
                  <w:r>
                    <w:rPr>
                      <w:rFonts w:hint="eastAsia" w:cs="Times New Roman"/>
                      <w:color w:val="auto"/>
                      <w:sz w:val="21"/>
                      <w:szCs w:val="21"/>
                      <w:u w:val="single" w:color="auto"/>
                      <w:lang w:val="en-US" w:eastAsia="zh-CN"/>
                    </w:rPr>
                    <w:t>。</w:t>
                  </w:r>
                </w:p>
                <w:p w14:paraId="3BFCCD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三</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倾倒有毒有害物质、废弃物、垃圾。</w:t>
                  </w:r>
                </w:p>
                <w:p w14:paraId="1C31E0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四</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从事房地产、度假村、高尔夫球场、风力发电、光伏发电等任何不符合主体功能定位的建设项目和开发活动。</w:t>
                  </w:r>
                </w:p>
                <w:p w14:paraId="776B15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五</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破坏野生动物栖息地和迁徙通道、鱼类洄游通道滥采滥捕野生动植物。</w:t>
                  </w:r>
                </w:p>
                <w:p w14:paraId="2CD8D4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六</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引入外来物种。</w:t>
                  </w:r>
                </w:p>
                <w:p w14:paraId="402840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七</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擅自放牧、捕捞、取土、取水、排污、放生。</w:t>
                  </w:r>
                </w:p>
                <w:p w14:paraId="1C47A9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single" w:color="auto"/>
                      <w:vertAlign w:val="baseline"/>
                      <w:lang w:val="en-US" w:eastAsia="zh-CN"/>
                    </w:rPr>
                  </w:pP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八</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其他破坏湿地及其生态功能的活动</w:t>
                  </w:r>
                  <w:r>
                    <w:rPr>
                      <w:rFonts w:hint="eastAsia" w:cs="Times New Roman"/>
                      <w:color w:val="auto"/>
                      <w:sz w:val="21"/>
                      <w:szCs w:val="21"/>
                      <w:u w:val="single" w:color="auto"/>
                      <w:lang w:val="en-US" w:eastAsia="zh-CN"/>
                    </w:rPr>
                    <w:t>。</w:t>
                  </w:r>
                </w:p>
              </w:tc>
              <w:tc>
                <w:tcPr>
                  <w:tcW w:w="645" w:type="dxa"/>
                  <w:noWrap w:val="0"/>
                  <w:vAlign w:val="center"/>
                </w:tcPr>
                <w:p w14:paraId="3389EF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69BF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2F7588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14:paraId="2E20BB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禁止填湖造地、围湖造田及非法围垦河道，禁止非法建设矮围网围、填埋湿地等侵占河湖水域或者违法利用、占用河湖岸线的行为。</w:t>
                  </w:r>
                </w:p>
              </w:tc>
              <w:tc>
                <w:tcPr>
                  <w:tcW w:w="2427" w:type="dxa"/>
                  <w:noWrap w:val="0"/>
                  <w:vAlign w:val="center"/>
                </w:tcPr>
                <w:p w14:paraId="6F0B69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本项目不在长江</w:t>
                  </w:r>
                  <w:r>
                    <w:rPr>
                      <w:rFonts w:hint="default" w:ascii="Times New Roman" w:hAnsi="Times New Roman" w:cs="Times New Roman"/>
                      <w:color w:val="auto"/>
                      <w:sz w:val="21"/>
                      <w:szCs w:val="21"/>
                      <w:u w:val="single" w:color="auto"/>
                      <w:lang w:val="en-US" w:eastAsia="zh-CN"/>
                    </w:rPr>
                    <w:t>岸线保护区和保留区内</w:t>
                  </w:r>
                  <w:r>
                    <w:rPr>
                      <w:rFonts w:hint="eastAsia" w:ascii="Times New Roman" w:hAnsi="Times New Roman" w:cs="Times New Roman"/>
                      <w:color w:val="auto"/>
                      <w:sz w:val="21"/>
                      <w:szCs w:val="21"/>
                      <w:u w:val="single" w:color="auto"/>
                      <w:lang w:val="en-US" w:eastAsia="zh-CN"/>
                    </w:rPr>
                    <w:t>、不涉及</w:t>
                  </w:r>
                  <w:r>
                    <w:rPr>
                      <w:rFonts w:hint="default" w:ascii="Times New Roman" w:hAnsi="Times New Roman" w:cs="Times New Roman"/>
                      <w:color w:val="auto"/>
                      <w:sz w:val="21"/>
                      <w:szCs w:val="21"/>
                      <w:u w:val="single" w:color="auto"/>
                      <w:lang w:val="en-US" w:eastAsia="zh-CN"/>
                    </w:rPr>
                    <w:t>填湖造地、围湖造田及围垦河道</w:t>
                  </w:r>
                  <w:r>
                    <w:rPr>
                      <w:rFonts w:hint="eastAsia" w:ascii="Times New Roman" w:hAnsi="Times New Roman" w:cs="Times New Roman"/>
                      <w:color w:val="auto"/>
                      <w:sz w:val="21"/>
                      <w:szCs w:val="21"/>
                      <w:u w:val="single" w:color="auto"/>
                      <w:lang w:val="en-US" w:eastAsia="zh-CN"/>
                    </w:rPr>
                    <w:t>、不涉及</w:t>
                  </w:r>
                  <w:r>
                    <w:rPr>
                      <w:rFonts w:hint="default" w:ascii="Times New Roman" w:hAnsi="Times New Roman" w:cs="Times New Roman"/>
                      <w:color w:val="auto"/>
                      <w:sz w:val="21"/>
                      <w:szCs w:val="21"/>
                      <w:u w:val="single" w:color="auto"/>
                      <w:lang w:val="en-US" w:eastAsia="zh-CN"/>
                    </w:rPr>
                    <w:t>矮围网围、填埋湿地等</w:t>
                  </w:r>
                  <w:r>
                    <w:rPr>
                      <w:rFonts w:hint="eastAsia" w:ascii="Times New Roman" w:hAnsi="Times New Roman" w:cs="Times New Roman"/>
                      <w:color w:val="auto"/>
                      <w:sz w:val="21"/>
                      <w:szCs w:val="21"/>
                      <w:u w:val="single" w:color="auto"/>
                      <w:lang w:val="en-US" w:eastAsia="zh-CN"/>
                    </w:rPr>
                    <w:t>建设</w:t>
                  </w:r>
                  <w:r>
                    <w:rPr>
                      <w:rFonts w:hint="default" w:ascii="Times New Roman" w:hAnsi="Times New Roman" w:cs="Times New Roman"/>
                      <w:color w:val="auto"/>
                      <w:sz w:val="21"/>
                      <w:szCs w:val="21"/>
                      <w:u w:val="single" w:color="auto"/>
                      <w:lang w:val="en-US" w:eastAsia="zh-CN"/>
                    </w:rPr>
                    <w:t>。</w:t>
                  </w:r>
                </w:p>
              </w:tc>
              <w:tc>
                <w:tcPr>
                  <w:tcW w:w="645" w:type="dxa"/>
                  <w:noWrap w:val="0"/>
                  <w:vAlign w:val="center"/>
                </w:tcPr>
                <w:p w14:paraId="13DB03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4AD6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602D4D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禁止在《全国重要江河湖泊水功能区划》划定的河段及湖泊保护区、保留区内投资建设不利于水资源及自然生态保护的项目。</w:t>
                  </w:r>
                </w:p>
              </w:tc>
              <w:tc>
                <w:tcPr>
                  <w:tcW w:w="2427" w:type="dxa"/>
                  <w:noWrap w:val="0"/>
                  <w:vAlign w:val="center"/>
                </w:tcPr>
                <w:p w14:paraId="15C8DC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本项目不</w:t>
                  </w:r>
                  <w:r>
                    <w:rPr>
                      <w:rFonts w:hint="default" w:ascii="Times New Roman" w:hAnsi="Times New Roman" w:cs="Times New Roman"/>
                      <w:color w:val="auto"/>
                      <w:sz w:val="21"/>
                      <w:szCs w:val="21"/>
                      <w:u w:val="single" w:color="auto"/>
                      <w:lang w:val="en-US" w:eastAsia="zh-CN"/>
                    </w:rPr>
                    <w:t>在《全国重要江河湖泊水功能区划》划定的河段及湖泊保护区、保留区内</w:t>
                  </w:r>
                </w:p>
              </w:tc>
              <w:tc>
                <w:tcPr>
                  <w:tcW w:w="645" w:type="dxa"/>
                  <w:noWrap w:val="0"/>
                  <w:vAlign w:val="center"/>
                </w:tcPr>
                <w:p w14:paraId="450322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51B6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1EE64D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禁止未经许可在长江千支流及湖泊新设、改设或扩大排污口。</w:t>
                  </w:r>
                </w:p>
              </w:tc>
              <w:tc>
                <w:tcPr>
                  <w:tcW w:w="2427" w:type="dxa"/>
                  <w:noWrap w:val="0"/>
                  <w:vAlign w:val="center"/>
                </w:tcPr>
                <w:p w14:paraId="07DD61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本项目不单独设置河流排污口</w:t>
                  </w:r>
                </w:p>
              </w:tc>
              <w:tc>
                <w:tcPr>
                  <w:tcW w:w="645" w:type="dxa"/>
                  <w:noWrap w:val="0"/>
                  <w:vAlign w:val="center"/>
                </w:tcPr>
                <w:p w14:paraId="3D2E3E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4A3C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110852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禁止在洞庭湖、湘江、资江、沅江、澧水干流和45个</w:t>
                  </w:r>
                  <w:r>
                    <w:rPr>
                      <w:rFonts w:hint="eastAsia" w:cs="Times New Roman"/>
                      <w:color w:val="auto"/>
                      <w:sz w:val="21"/>
                      <w:szCs w:val="21"/>
                      <w:u w:val="single" w:color="auto"/>
                      <w:lang w:val="en-US" w:eastAsia="zh-CN"/>
                    </w:rPr>
                    <w:t>水生</w:t>
                  </w:r>
                  <w:r>
                    <w:rPr>
                      <w:rFonts w:hint="default" w:ascii="Times New Roman" w:hAnsi="Times New Roman" w:cs="Times New Roman"/>
                      <w:color w:val="auto"/>
                      <w:sz w:val="21"/>
                      <w:szCs w:val="21"/>
                      <w:u w:val="single" w:color="auto"/>
                      <w:lang w:val="en-US" w:eastAsia="zh-CN"/>
                    </w:rPr>
                    <w:t>生物保护区开展生产性捕捞。在相关自然保护区域和禁猎</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渔</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区、禁猎</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渔</w:t>
                  </w:r>
                  <w:r>
                    <w:rPr>
                      <w:rFonts w:hint="eastAsia"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期内，禁止猎捕以及其他妨碍野生动物生息繁衍的活动，但法律法规另有规定的除外</w:t>
                  </w:r>
                </w:p>
              </w:tc>
              <w:tc>
                <w:tcPr>
                  <w:tcW w:w="2427" w:type="dxa"/>
                  <w:noWrap w:val="0"/>
                  <w:vAlign w:val="center"/>
                </w:tcPr>
                <w:p w14:paraId="39ABB5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本项目不涉及水产捕捞</w:t>
                  </w:r>
                </w:p>
              </w:tc>
              <w:tc>
                <w:tcPr>
                  <w:tcW w:w="645" w:type="dxa"/>
                  <w:noWrap w:val="0"/>
                  <w:vAlign w:val="center"/>
                </w:tcPr>
                <w:p w14:paraId="2B0B35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647F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1727B9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2427" w:type="dxa"/>
                  <w:noWrap w:val="0"/>
                  <w:vAlign w:val="center"/>
                </w:tcPr>
                <w:p w14:paraId="75B0B6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本项目不属于化工项目、不涉及</w:t>
                  </w:r>
                  <w:r>
                    <w:rPr>
                      <w:rFonts w:hint="default" w:ascii="Times New Roman" w:hAnsi="Times New Roman" w:cs="Times New Roman"/>
                      <w:color w:val="auto"/>
                      <w:sz w:val="21"/>
                      <w:szCs w:val="21"/>
                      <w:u w:val="single" w:color="auto"/>
                      <w:lang w:val="en-US" w:eastAsia="zh-CN"/>
                    </w:rPr>
                    <w:t>尾矿库、冶炼渣库和磷石膏库</w:t>
                  </w:r>
                  <w:r>
                    <w:rPr>
                      <w:rFonts w:hint="eastAsia" w:ascii="Times New Roman" w:hAnsi="Times New Roman" w:cs="Times New Roman"/>
                      <w:color w:val="auto"/>
                      <w:sz w:val="21"/>
                      <w:szCs w:val="21"/>
                      <w:u w:val="single" w:color="auto"/>
                      <w:lang w:val="en-US" w:eastAsia="zh-CN"/>
                    </w:rPr>
                    <w:t>建设</w:t>
                  </w:r>
                </w:p>
              </w:tc>
              <w:tc>
                <w:tcPr>
                  <w:tcW w:w="645" w:type="dxa"/>
                  <w:noWrap w:val="0"/>
                  <w:vAlign w:val="center"/>
                </w:tcPr>
                <w:p w14:paraId="049F51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14CB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21F147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禁止在合规园区外新建、扩建钢铁、石化、化工、焦化、建材、有色、制浆造纸等高污染项目。高污染项目严格按照生态环境部《环境保护综合名录</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2021年版</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》有关要求执行。</w:t>
                  </w:r>
                </w:p>
              </w:tc>
              <w:tc>
                <w:tcPr>
                  <w:tcW w:w="2427" w:type="dxa"/>
                  <w:noWrap w:val="0"/>
                  <w:vAlign w:val="center"/>
                </w:tcPr>
                <w:p w14:paraId="4A6FA1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本项目不属于</w:t>
                  </w:r>
                  <w:r>
                    <w:rPr>
                      <w:rFonts w:hint="default" w:ascii="Times New Roman" w:hAnsi="Times New Roman" w:cs="Times New Roman"/>
                      <w:color w:val="auto"/>
                      <w:sz w:val="21"/>
                      <w:szCs w:val="21"/>
                      <w:u w:val="single" w:color="auto"/>
                      <w:lang w:val="en-US" w:eastAsia="zh-CN"/>
                    </w:rPr>
                    <w:t>钢铁、石化、化工、焦化、建材、有色、制浆造纸等高污染项目</w:t>
                  </w:r>
                </w:p>
              </w:tc>
              <w:tc>
                <w:tcPr>
                  <w:tcW w:w="645" w:type="dxa"/>
                  <w:noWrap w:val="0"/>
                  <w:vAlign w:val="center"/>
                </w:tcPr>
                <w:p w14:paraId="1B064D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7DA7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303081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禁止新建、扩建不符合国家石化、现代煤化工等产业布局规划的项目。未通过认定的化工园区，不得新建改扩建化工项目</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安全、环保、节能和智能化改造项目除外</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w:t>
                  </w:r>
                </w:p>
              </w:tc>
              <w:tc>
                <w:tcPr>
                  <w:tcW w:w="2427" w:type="dxa"/>
                  <w:noWrap w:val="0"/>
                  <w:vAlign w:val="center"/>
                </w:tcPr>
                <w:p w14:paraId="77068D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本项目不属于化工行业</w:t>
                  </w:r>
                </w:p>
              </w:tc>
              <w:tc>
                <w:tcPr>
                  <w:tcW w:w="645" w:type="dxa"/>
                  <w:noWrap w:val="0"/>
                  <w:vAlign w:val="center"/>
                </w:tcPr>
                <w:p w14:paraId="012812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26BD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614" w:type="dxa"/>
                  <w:noWrap w:val="0"/>
                  <w:vAlign w:val="center"/>
                </w:tcPr>
                <w:p w14:paraId="036279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禁止新建、扩建法律法规和相关政策明令禁止的落后产能项目</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对不符合要求的落后产能存量项目依法依规退出。禁止新建、扩建不符合国家产能置换要求的严重过剩产能行业</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钢铁、水泥、电解铝、平板玻璃、船舶等行业</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的项目。对确有必要新建、扩建的，必须严格执行产能置换实施办法，实施减量或等量置换，依法依规办理有关手续。禁止新建扩建不符合要求的高耗能高排放项目。</w:t>
                  </w:r>
                </w:p>
              </w:tc>
              <w:tc>
                <w:tcPr>
                  <w:tcW w:w="2427" w:type="dxa"/>
                  <w:noWrap w:val="0"/>
                  <w:vAlign w:val="center"/>
                </w:tcPr>
                <w:p w14:paraId="7DEF5F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本项目不属于</w:t>
                  </w:r>
                  <w:r>
                    <w:rPr>
                      <w:rFonts w:hint="default" w:ascii="Times New Roman" w:hAnsi="Times New Roman" w:cs="Times New Roman"/>
                      <w:color w:val="auto"/>
                      <w:sz w:val="21"/>
                      <w:szCs w:val="21"/>
                      <w:u w:val="single" w:color="auto"/>
                      <w:lang w:val="en-US" w:eastAsia="zh-CN"/>
                    </w:rPr>
                    <w:t>落后产能项目</w:t>
                  </w:r>
                  <w:r>
                    <w:rPr>
                      <w:rFonts w:hint="eastAsia" w:ascii="Times New Roman" w:hAnsi="Times New Roman" w:cs="Times New Roman"/>
                      <w:color w:val="auto"/>
                      <w:sz w:val="21"/>
                      <w:szCs w:val="21"/>
                      <w:u w:val="single" w:color="auto"/>
                      <w:lang w:val="en-US" w:eastAsia="zh-CN"/>
                    </w:rPr>
                    <w:t>、本项目不属于</w:t>
                  </w:r>
                  <w:r>
                    <w:rPr>
                      <w:rFonts w:hint="default" w:ascii="Times New Roman" w:hAnsi="Times New Roman" w:cs="Times New Roman"/>
                      <w:color w:val="auto"/>
                      <w:sz w:val="21"/>
                      <w:szCs w:val="21"/>
                      <w:u w:val="single" w:color="auto"/>
                      <w:lang w:val="en-US" w:eastAsia="zh-CN"/>
                    </w:rPr>
                    <w:t>钢铁、水泥、电解铝、平板玻璃、船舶等行业</w:t>
                  </w:r>
                </w:p>
              </w:tc>
              <w:tc>
                <w:tcPr>
                  <w:tcW w:w="645" w:type="dxa"/>
                  <w:noWrap w:val="0"/>
                  <w:vAlign w:val="center"/>
                </w:tcPr>
                <w:p w14:paraId="4A2FE2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79AB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686" w:type="dxa"/>
                  <w:gridSpan w:val="3"/>
                  <w:noWrap w:val="0"/>
                  <w:vAlign w:val="center"/>
                </w:tcPr>
                <w:p w14:paraId="53D7B4B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vertAlign w:val="baseline"/>
                      <w:lang w:val="en-US" w:eastAsia="zh-CN"/>
                    </w:rPr>
                    <w:t>注：本次分析仅列举</w:t>
                  </w:r>
                  <w:r>
                    <w:rPr>
                      <w:rFonts w:hint="default" w:ascii="Times New Roman" w:hAnsi="Times New Roman" w:cs="Times New Roman"/>
                      <w:color w:val="auto"/>
                      <w:sz w:val="21"/>
                      <w:szCs w:val="21"/>
                      <w:u w:val="single" w:color="auto"/>
                      <w:lang w:val="en-US" w:eastAsia="zh-CN"/>
                    </w:rPr>
                    <w:t>《</w:t>
                  </w:r>
                  <w:r>
                    <w:rPr>
                      <w:rFonts w:hint="eastAsia" w:cs="Times New Roman"/>
                      <w:color w:val="auto"/>
                      <w:sz w:val="21"/>
                      <w:szCs w:val="21"/>
                      <w:u w:val="single" w:color="auto"/>
                      <w:lang w:val="en-US" w:eastAsia="zh-CN"/>
                    </w:rPr>
                    <w:t>湖南省</w:t>
                  </w:r>
                  <w:r>
                    <w:rPr>
                      <w:rFonts w:hint="default" w:ascii="Times New Roman" w:hAnsi="Times New Roman" w:eastAsia="宋体" w:cs="Times New Roman"/>
                      <w:color w:val="auto"/>
                      <w:sz w:val="21"/>
                      <w:szCs w:val="21"/>
                      <w:u w:val="single" w:color="auto"/>
                      <w:lang w:val="en-US" w:eastAsia="zh-CN"/>
                    </w:rPr>
                    <w:t>长江经济带发展负面清单</w:t>
                  </w:r>
                  <w:r>
                    <w:rPr>
                      <w:rFonts w:hint="eastAsia" w:cs="Times New Roman"/>
                      <w:color w:val="auto"/>
                      <w:sz w:val="21"/>
                      <w:szCs w:val="21"/>
                      <w:u w:val="single" w:color="auto"/>
                      <w:lang w:val="en-US" w:eastAsia="zh-CN"/>
                    </w:rPr>
                    <w:t>实施细则</w:t>
                  </w:r>
                  <w:r>
                    <w:rPr>
                      <w:rFonts w:hint="default" w:ascii="Times New Roman" w:hAnsi="Times New Roman" w:eastAsia="宋体" w:cs="Times New Roman"/>
                      <w:color w:val="auto"/>
                      <w:sz w:val="21"/>
                      <w:szCs w:val="21"/>
                      <w:u w:val="single" w:color="auto"/>
                      <w:lang w:val="en-US" w:eastAsia="zh-CN"/>
                    </w:rPr>
                    <w:t>（试行</w:t>
                  </w:r>
                  <w:r>
                    <w:rPr>
                      <w:rFonts w:hint="eastAsia" w:cs="Times New Roman"/>
                      <w:color w:val="auto"/>
                      <w:sz w:val="21"/>
                      <w:szCs w:val="21"/>
                      <w:u w:val="single" w:color="auto"/>
                      <w:lang w:val="en-US" w:eastAsia="zh-CN"/>
                    </w:rPr>
                    <w:t>，2022版</w:t>
                  </w:r>
                  <w:r>
                    <w:rPr>
                      <w:rFonts w:hint="default" w:ascii="Times New Roman" w:hAnsi="Times New Roman" w:eastAsia="宋体"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w:t>
                  </w:r>
                  <w:r>
                    <w:rPr>
                      <w:rFonts w:hint="default" w:ascii="Times New Roman" w:hAnsi="Times New Roman" w:eastAsia="宋体" w:cs="Times New Roman"/>
                      <w:color w:val="auto"/>
                      <w:sz w:val="21"/>
                      <w:szCs w:val="21"/>
                      <w:u w:val="single" w:color="auto"/>
                      <w:vertAlign w:val="baseline"/>
                      <w:lang w:val="en-US" w:eastAsia="zh-CN"/>
                    </w:rPr>
                    <w:t>中与本项目有关的内容。</w:t>
                  </w:r>
                </w:p>
              </w:tc>
            </w:tr>
          </w:tbl>
          <w:p w14:paraId="124C1D8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综上，本项目符合</w:t>
            </w:r>
            <w:r>
              <w:rPr>
                <w:rFonts w:hint="default" w:ascii="Times New Roman" w:hAnsi="Times New Roman" w:eastAsia="宋体" w:cs="Times New Roman"/>
                <w:color w:val="auto"/>
                <w:sz w:val="24"/>
                <w:szCs w:val="24"/>
                <w:u w:val="single" w:color="auto"/>
                <w:lang w:val="en-US" w:eastAsia="zh-CN"/>
              </w:rPr>
              <w:t>《湖南省长江经济带发展负面清单实施细则（试行，2022版）》</w:t>
            </w:r>
            <w:r>
              <w:rPr>
                <w:rFonts w:hint="default" w:ascii="Times New Roman" w:hAnsi="Times New Roman" w:eastAsia="宋体" w:cs="Times New Roman"/>
                <w:color w:val="auto"/>
                <w:sz w:val="24"/>
                <w:u w:val="single" w:color="auto"/>
                <w:lang w:val="en-US" w:eastAsia="zh-CN"/>
              </w:rPr>
              <w:t>相关要求。</w:t>
            </w:r>
          </w:p>
          <w:p w14:paraId="2A44FC42">
            <w:pPr>
              <w:widowControl/>
              <w:numPr>
                <w:ilvl w:val="0"/>
                <w:numId w:val="0"/>
              </w:numPr>
              <w:bidi w:val="0"/>
              <w:ind w:firstLine="0" w:firstLineChars="0"/>
              <w:rPr>
                <w:rFonts w:hint="eastAsia" w:ascii="黑体" w:hAnsi="黑体" w:eastAsia="黑体" w:cs="黑体"/>
                <w:b/>
                <w:bCs/>
                <w:color w:val="auto"/>
                <w:spacing w:val="0"/>
                <w:sz w:val="24"/>
                <w:szCs w:val="24"/>
                <w:u w:val="none" w:color="auto"/>
                <w:lang w:val="en-US" w:eastAsia="zh-CN"/>
              </w:rPr>
            </w:pPr>
            <w:r>
              <w:rPr>
                <w:rFonts w:hint="eastAsia" w:ascii="黑体" w:hAnsi="黑体" w:eastAsia="黑体" w:cs="黑体"/>
                <w:b/>
                <w:bCs/>
                <w:color w:val="auto"/>
                <w:spacing w:val="0"/>
                <w:sz w:val="24"/>
                <w:szCs w:val="24"/>
                <w:u w:val="none" w:color="auto"/>
                <w:lang w:val="en-US" w:eastAsia="zh-CN"/>
              </w:rPr>
              <w:t>8、与</w:t>
            </w:r>
            <w:r>
              <w:rPr>
                <w:rFonts w:hint="eastAsia" w:ascii="黑体" w:hAnsi="黑体" w:eastAsia="黑体" w:cs="黑体"/>
                <w:b/>
                <w:bCs/>
                <w:color w:val="auto"/>
                <w:sz w:val="24"/>
                <w:szCs w:val="24"/>
                <w:u w:val="none" w:color="auto"/>
                <w:lang w:val="en-US" w:eastAsia="zh-CN"/>
              </w:rPr>
              <w:t>《怀化市“十四五”生态环境保护规划》符合性分析</w:t>
            </w:r>
          </w:p>
          <w:p w14:paraId="352970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表</w:t>
            </w:r>
            <w:r>
              <w:rPr>
                <w:rFonts w:hint="eastAsia" w:ascii="Times New Roman" w:hAnsi="Times New Roman" w:cs="Times New Roman"/>
                <w:color w:val="auto"/>
                <w:sz w:val="24"/>
                <w:szCs w:val="24"/>
                <w:u w:val="single" w:color="auto"/>
                <w:lang w:val="en-US" w:eastAsia="zh-CN"/>
              </w:rPr>
              <w:t>11</w:t>
            </w:r>
            <w:r>
              <w:rPr>
                <w:rFonts w:hint="default" w:ascii="Times New Roman" w:hAnsi="Times New Roman" w:eastAsia="宋体" w:cs="Times New Roman"/>
                <w:color w:val="auto"/>
                <w:sz w:val="24"/>
                <w:szCs w:val="24"/>
                <w:u w:val="single" w:color="auto"/>
                <w:lang w:val="en-US" w:eastAsia="zh-CN"/>
              </w:rPr>
              <w:t xml:space="preserve"> 与《</w:t>
            </w:r>
            <w:r>
              <w:rPr>
                <w:rFonts w:hint="eastAsia" w:cs="Times New Roman"/>
                <w:color w:val="auto"/>
                <w:sz w:val="24"/>
                <w:szCs w:val="24"/>
                <w:u w:val="single" w:color="auto"/>
                <w:lang w:val="en-US" w:eastAsia="zh-CN"/>
              </w:rPr>
              <w:t>怀化市“十四五”生态环境保护规划</w:t>
            </w:r>
            <w:r>
              <w:rPr>
                <w:rFonts w:hint="default" w:ascii="Times New Roman" w:hAnsi="Times New Roman" w:eastAsia="宋体" w:cs="Times New Roman"/>
                <w:color w:val="auto"/>
                <w:sz w:val="24"/>
                <w:u w:val="single" w:color="auto"/>
                <w:lang w:val="en-US" w:eastAsia="zh-CN"/>
              </w:rPr>
              <w:t>》符合性分析</w:t>
            </w:r>
          </w:p>
          <w:tbl>
            <w:tblPr>
              <w:tblStyle w:val="23"/>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4"/>
              <w:gridCol w:w="2427"/>
              <w:gridCol w:w="645"/>
            </w:tblGrid>
            <w:tr w14:paraId="0579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614" w:type="dxa"/>
                  <w:noWrap w:val="0"/>
                  <w:vAlign w:val="center"/>
                </w:tcPr>
                <w:p w14:paraId="7C9AED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《怀化市“十四五”生态环境保护规划》相关内容</w:t>
                  </w:r>
                </w:p>
              </w:tc>
              <w:tc>
                <w:tcPr>
                  <w:tcW w:w="2427" w:type="dxa"/>
                  <w:noWrap w:val="0"/>
                  <w:vAlign w:val="center"/>
                </w:tcPr>
                <w:p w14:paraId="2057B4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本项目情况</w:t>
                  </w:r>
                </w:p>
              </w:tc>
              <w:tc>
                <w:tcPr>
                  <w:tcW w:w="645" w:type="dxa"/>
                  <w:noWrap w:val="0"/>
                  <w:vAlign w:val="center"/>
                </w:tcPr>
                <w:p w14:paraId="1563B6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相符性</w:t>
                  </w:r>
                </w:p>
              </w:tc>
            </w:tr>
            <w:tr w14:paraId="7F2F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614" w:type="dxa"/>
                  <w:noWrap w:val="0"/>
                  <w:vAlign w:val="center"/>
                </w:tcPr>
                <w:p w14:paraId="2451E3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展望2035年，美丽中国怀化样板全面建成，高质量绿色发展取得决定性成果，绿色低碳发展助推碳达峰碳中和，生态环境质量根本性好转，生态系统健康稳定，生态环境安全风险防控全面有效，环境治理体系和治理能力现代化基本实现，人与自然和谐共生的现代化建设新格局基本形成，山绿水清、天蓝景美、自然和谐、绿色繁荣、市强民富的现代化美丽怀化全面呈现，率先走出人与自然和谐共生的现代化之路。</w:t>
                  </w:r>
                </w:p>
              </w:tc>
              <w:tc>
                <w:tcPr>
                  <w:tcW w:w="2427" w:type="dxa"/>
                  <w:noWrap w:val="0"/>
                  <w:vAlign w:val="center"/>
                </w:tcPr>
                <w:p w14:paraId="78B468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lang w:val="en-US" w:eastAsia="zh-CN" w:bidi="ar-SA"/>
                    </w:rPr>
                    <w:t>根据后文分析，本项目各污染物均能达标排放，不会对溆浦县环境质量现状造成较大冲击。</w:t>
                  </w:r>
                </w:p>
              </w:tc>
              <w:tc>
                <w:tcPr>
                  <w:tcW w:w="645" w:type="dxa"/>
                  <w:noWrap w:val="0"/>
                  <w:vAlign w:val="center"/>
                </w:tcPr>
                <w:p w14:paraId="2DB847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70A0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614" w:type="dxa"/>
                  <w:noWrap w:val="0"/>
                  <w:vAlign w:val="center"/>
                </w:tcPr>
                <w:p w14:paraId="2AFCB2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落实生态保护红线、永久基本农田、城镇开发边界“三线”刚性管控规则，从严控制各类建设占用自然生态空间。明确国土空间用途分区指引，制定分区差异化用途转换规则，推动管制手段向刚性和柔性有机结合转变。充分利用大数据、智慧化等技术手段，对市域“三区”空间用途变化情况进行动态管理。生态保护红线内，自然保护地核心区原则上禁止人为活动，其他区域严禁开发性、生产性建设活动，在符合现行法律法规前提下，除国家重大战略项目外，仅允许对生态功能不造成破坏的有限人为活动，确保生态功能不降低、面积不减少、性质不改变;加强永久基本农田保护，对土壤污染详查严格管控类的永久基本农田进行核实整改补足，确保面积不减、质量提升、布局稳定;城镇开发区域应充分考虑资源环境承载能力，合理确定发展布局、结构和规模，引导重点行业向环境容量充足、扩散条件较好的区域优化布局。</w:t>
                  </w:r>
                </w:p>
              </w:tc>
              <w:tc>
                <w:tcPr>
                  <w:tcW w:w="2427" w:type="dxa"/>
                  <w:shd w:val="clear" w:color="auto" w:fill="auto"/>
                  <w:noWrap w:val="0"/>
                  <w:vAlign w:val="center"/>
                </w:tcPr>
                <w:p w14:paraId="561A8C2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3"/>
                      <w:kern w:val="2"/>
                      <w:sz w:val="21"/>
                      <w:szCs w:val="21"/>
                      <w:u w:val="none" w:color="auto"/>
                      <w:lang w:val="en-US" w:eastAsia="zh-CN" w:bidi="ar-SA"/>
                    </w:rPr>
                  </w:pPr>
                  <w:r>
                    <w:rPr>
                      <w:rFonts w:hint="eastAsia" w:ascii="Times New Roman" w:hAnsi="Times New Roman" w:cs="Times New Roman" w:eastAsiaTheme="minorEastAsia"/>
                      <w:color w:val="auto"/>
                      <w:spacing w:val="13"/>
                      <w:sz w:val="21"/>
                      <w:szCs w:val="21"/>
                      <w:u w:val="none" w:color="auto"/>
                      <w:lang w:val="en-US" w:eastAsia="zh-CN"/>
                    </w:rPr>
                    <w:t>本项目选址已取得溆浦县自然资源部门认可，项目选址位于城镇开发区域内，不涉及永久基本农田及生态红线</w:t>
                  </w:r>
                </w:p>
              </w:tc>
              <w:tc>
                <w:tcPr>
                  <w:tcW w:w="645" w:type="dxa"/>
                  <w:noWrap w:val="0"/>
                  <w:vAlign w:val="center"/>
                </w:tcPr>
                <w:p w14:paraId="285AB2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3F28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4F8DA9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严守生态环境底线，着力绿色制造体系建设，大力构建制造业集聚发展“C”型走廊，加快推进电子信息、生物医药、先进桥隧装备制造、新材料</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精细化工</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装配式建筑制造业、绿色食品加工六大基地和八大产业链建设，以智能科技推动产业向价值链中高端迈进。合理布局和建设以山地精细农业、品质农业为特色的全国知名绿色优质农产品供应基地，推进农产品产、加、储、运、销全产业链绿色化标准化发展，鼓励农村一二三产业深度融合发展。遏制“两高”项目盲目发展，全面理排查拟建、在建和存量“两高”项目</w:t>
                  </w:r>
                  <w:r>
                    <w:rPr>
                      <w:rFonts w:hint="eastAsia" w:ascii="Times New Roman" w:hAnsi="Times New Roman" w:cs="Times New Roman"/>
                      <w:color w:val="auto"/>
                      <w:sz w:val="21"/>
                      <w:szCs w:val="21"/>
                      <w:u w:val="single" w:color="auto"/>
                      <w:lang w:val="en-US" w:eastAsia="zh-CN"/>
                    </w:rPr>
                    <w:t>：</w:t>
                  </w:r>
                  <w:r>
                    <w:rPr>
                      <w:rFonts w:hint="default" w:ascii="Times New Roman" w:hAnsi="Times New Roman" w:cs="Times New Roman"/>
                      <w:color w:val="auto"/>
                      <w:sz w:val="21"/>
                      <w:szCs w:val="21"/>
                      <w:u w:val="single" w:color="auto"/>
                      <w:lang w:val="en-US" w:eastAsia="zh-CN"/>
                    </w:rPr>
                    <w:t>严格“两高”项目环评审批，对“两高”项目实行清单管理，依法依规进行“两高项目分类处置。加大淘汰落后产能、工艺和设备的力度，严禁未经批准新增煤炭、钢铁、水泥、电解铝、平板玻璃等行业产能，鼓励发展专业化节能环保企业。开展减污降碳综合治理，积极推动能源、矿冶、森工、建材、化工等传统产业智能化改造、生态化转型。</w:t>
                  </w:r>
                </w:p>
              </w:tc>
              <w:tc>
                <w:tcPr>
                  <w:tcW w:w="2427" w:type="dxa"/>
                  <w:noWrap w:val="0"/>
                  <w:vAlign w:val="center"/>
                </w:tcPr>
                <w:p w14:paraId="755A8C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eastAsiaTheme="minorEastAsia"/>
                      <w:b w:val="0"/>
                      <w:bCs w:val="0"/>
                      <w:snapToGrid w:val="0"/>
                      <w:color w:val="auto"/>
                      <w:kern w:val="0"/>
                      <w:sz w:val="21"/>
                      <w:szCs w:val="21"/>
                      <w:u w:val="none" w:color="auto"/>
                      <w:vertAlign w:val="baseline"/>
                      <w:lang w:val="en-US" w:eastAsia="zh-CN"/>
                    </w:rPr>
                    <w:t>本项目属于</w:t>
                  </w:r>
                  <w:r>
                    <w:rPr>
                      <w:rFonts w:hint="eastAsia"/>
                      <w:b w:val="0"/>
                      <w:bCs w:val="0"/>
                      <w:color w:val="auto"/>
                      <w:sz w:val="21"/>
                      <w:szCs w:val="21"/>
                      <w:u w:val="none" w:color="auto"/>
                      <w:lang w:val="en-US" w:eastAsia="zh-CN"/>
                    </w:rPr>
                    <w:t>农副食品加工业中的屠宰及肉类加工，不属于溆浦县禁止发展的行业；本项目不属于两高项目，无落后产能、设备、工艺</w:t>
                  </w:r>
                </w:p>
              </w:tc>
              <w:tc>
                <w:tcPr>
                  <w:tcW w:w="645" w:type="dxa"/>
                  <w:noWrap w:val="0"/>
                  <w:vAlign w:val="center"/>
                </w:tcPr>
                <w:p w14:paraId="50F631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372B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686" w:type="dxa"/>
                  <w:gridSpan w:val="3"/>
                  <w:noWrap w:val="0"/>
                  <w:vAlign w:val="center"/>
                </w:tcPr>
                <w:p w14:paraId="2DC0176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vertAlign w:val="baseline"/>
                      <w:lang w:val="en-US" w:eastAsia="zh-CN"/>
                    </w:rPr>
                    <w:t>注：本次分析仅列举</w:t>
                  </w:r>
                  <w:r>
                    <w:rPr>
                      <w:rFonts w:hint="default" w:ascii="Times New Roman" w:hAnsi="Times New Roman" w:eastAsia="宋体" w:cs="Times New Roman"/>
                      <w:color w:val="auto"/>
                      <w:sz w:val="21"/>
                      <w:szCs w:val="21"/>
                      <w:u w:val="single" w:color="auto"/>
                      <w:lang w:val="en-US" w:eastAsia="zh-CN"/>
                    </w:rPr>
                    <w:t>《怀化市“十四五”生态环境保护规划》</w:t>
                  </w:r>
                  <w:r>
                    <w:rPr>
                      <w:rFonts w:hint="default" w:ascii="Times New Roman" w:hAnsi="Times New Roman" w:eastAsia="宋体" w:cs="Times New Roman"/>
                      <w:color w:val="auto"/>
                      <w:sz w:val="21"/>
                      <w:szCs w:val="21"/>
                      <w:u w:val="single" w:color="auto"/>
                      <w:vertAlign w:val="baseline"/>
                      <w:lang w:val="en-US" w:eastAsia="zh-CN"/>
                    </w:rPr>
                    <w:t>中与本项目有关的内容。</w:t>
                  </w:r>
                </w:p>
              </w:tc>
            </w:tr>
          </w:tbl>
          <w:p w14:paraId="2EE9978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综上，本项目符合</w:t>
            </w:r>
            <w:r>
              <w:rPr>
                <w:rFonts w:hint="default" w:ascii="Times New Roman" w:hAnsi="Times New Roman" w:eastAsia="宋体" w:cs="Times New Roman"/>
                <w:color w:val="auto"/>
                <w:sz w:val="24"/>
                <w:szCs w:val="24"/>
                <w:u w:val="single" w:color="auto"/>
                <w:lang w:val="en-US" w:eastAsia="zh-CN"/>
              </w:rPr>
              <w:t>《</w:t>
            </w:r>
            <w:r>
              <w:rPr>
                <w:rFonts w:hint="eastAsia" w:cs="Times New Roman"/>
                <w:color w:val="auto"/>
                <w:sz w:val="24"/>
                <w:szCs w:val="24"/>
                <w:u w:val="single" w:color="auto"/>
                <w:lang w:val="en-US" w:eastAsia="zh-CN"/>
              </w:rPr>
              <w:t>怀化市“十四五”生态环境保护规划</w:t>
            </w:r>
            <w:r>
              <w:rPr>
                <w:rFonts w:hint="default" w:ascii="Times New Roman" w:hAnsi="Times New Roman" w:eastAsia="宋体" w:cs="Times New Roman"/>
                <w:color w:val="auto"/>
                <w:sz w:val="24"/>
                <w:u w:val="single" w:color="auto"/>
                <w:lang w:val="en-US" w:eastAsia="zh-CN"/>
              </w:rPr>
              <w:t>》相关要求。</w:t>
            </w:r>
          </w:p>
          <w:p w14:paraId="7A7C65ED">
            <w:pPr>
              <w:widowControl/>
              <w:numPr>
                <w:ilvl w:val="0"/>
                <w:numId w:val="0"/>
              </w:numPr>
              <w:bidi w:val="0"/>
              <w:ind w:firstLine="0" w:firstLineChars="0"/>
              <w:rPr>
                <w:rFonts w:hint="default" w:ascii="Times New Roman" w:hAnsi="Times New Roman" w:eastAsia="黑体" w:cs="Times New Roman"/>
                <w:b/>
                <w:bCs/>
                <w:color w:val="auto"/>
                <w:spacing w:val="0"/>
                <w:sz w:val="24"/>
                <w:szCs w:val="24"/>
                <w:u w:val="none" w:color="auto"/>
                <w:lang w:val="en-US" w:eastAsia="zh-CN"/>
              </w:rPr>
            </w:pPr>
            <w:r>
              <w:rPr>
                <w:rFonts w:hint="eastAsia" w:ascii="黑体" w:hAnsi="黑体" w:eastAsia="黑体" w:cs="黑体"/>
                <w:b/>
                <w:bCs/>
                <w:color w:val="auto"/>
                <w:spacing w:val="0"/>
                <w:sz w:val="24"/>
                <w:szCs w:val="24"/>
                <w:u w:val="none" w:color="auto"/>
                <w:lang w:val="en-US" w:eastAsia="zh-CN"/>
              </w:rPr>
              <w:t>9、与</w:t>
            </w:r>
            <w:r>
              <w:rPr>
                <w:rFonts w:hint="eastAsia" w:ascii="黑体" w:hAnsi="黑体" w:eastAsia="黑体" w:cs="黑体"/>
                <w:b/>
                <w:bCs/>
                <w:color w:val="auto"/>
                <w:sz w:val="24"/>
                <w:szCs w:val="24"/>
                <w:u w:val="none" w:color="auto"/>
                <w:lang w:val="en-US" w:eastAsia="zh-CN"/>
              </w:rPr>
              <w:t>《屠宰与</w:t>
            </w:r>
            <w:r>
              <w:rPr>
                <w:rFonts w:hint="default" w:ascii="Times New Roman" w:hAnsi="Times New Roman" w:eastAsia="黑体" w:cs="Times New Roman"/>
                <w:b/>
                <w:bCs/>
                <w:color w:val="auto"/>
                <w:sz w:val="24"/>
                <w:szCs w:val="24"/>
                <w:u w:val="none" w:color="auto"/>
                <w:lang w:val="en-US" w:eastAsia="zh-CN"/>
              </w:rPr>
              <w:t>肉类加工废水治理工程技术规范》（HJ 2004-2010）符合性分析</w:t>
            </w:r>
          </w:p>
          <w:p w14:paraId="1924F7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表</w:t>
            </w:r>
            <w:r>
              <w:rPr>
                <w:rFonts w:hint="eastAsia" w:ascii="Times New Roman" w:hAnsi="Times New Roman" w:cs="Times New Roman"/>
                <w:color w:val="auto"/>
                <w:sz w:val="24"/>
                <w:szCs w:val="24"/>
                <w:u w:val="single" w:color="auto"/>
                <w:lang w:val="en-US" w:eastAsia="zh-CN"/>
              </w:rPr>
              <w:t>1</w:t>
            </w:r>
            <w:r>
              <w:rPr>
                <w:rFonts w:hint="eastAsia" w:cs="Times New Roman"/>
                <w:color w:val="auto"/>
                <w:sz w:val="24"/>
                <w:szCs w:val="24"/>
                <w:u w:val="single" w:color="auto"/>
                <w:lang w:val="en-US" w:eastAsia="zh-CN"/>
              </w:rPr>
              <w:t>2</w:t>
            </w:r>
            <w:r>
              <w:rPr>
                <w:rFonts w:hint="default" w:ascii="Times New Roman" w:hAnsi="Times New Roman" w:eastAsia="宋体" w:cs="Times New Roman"/>
                <w:color w:val="auto"/>
                <w:sz w:val="24"/>
                <w:szCs w:val="24"/>
                <w:u w:val="single" w:color="auto"/>
                <w:lang w:val="en-US" w:eastAsia="zh-CN"/>
              </w:rPr>
              <w:t xml:space="preserve"> 与</w:t>
            </w:r>
            <w:r>
              <w:rPr>
                <w:rFonts w:hint="default" w:ascii="Times New Roman" w:hAnsi="Times New Roman" w:eastAsia="宋体" w:cs="Times New Roman"/>
                <w:bCs w:val="0"/>
                <w:color w:val="auto"/>
                <w:sz w:val="24"/>
                <w:szCs w:val="24"/>
                <w:u w:val="single" w:color="auto"/>
                <w:lang w:val="en-US" w:eastAsia="zh-CN"/>
              </w:rPr>
              <w:t>《屠宰与肉类加工废水治理工程技术规范》</w:t>
            </w:r>
            <w:r>
              <w:rPr>
                <w:rFonts w:hint="default" w:ascii="Times New Roman" w:hAnsi="Times New Roman" w:eastAsia="宋体" w:cs="Times New Roman"/>
                <w:color w:val="auto"/>
                <w:sz w:val="24"/>
                <w:u w:val="single" w:color="auto"/>
                <w:lang w:val="en-US" w:eastAsia="zh-CN"/>
              </w:rPr>
              <w:t>符合性分析</w:t>
            </w:r>
          </w:p>
          <w:tbl>
            <w:tblPr>
              <w:tblStyle w:val="23"/>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4"/>
              <w:gridCol w:w="2427"/>
              <w:gridCol w:w="645"/>
            </w:tblGrid>
            <w:tr w14:paraId="306E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614" w:type="dxa"/>
                  <w:noWrap w:val="0"/>
                  <w:vAlign w:val="center"/>
                </w:tcPr>
                <w:p w14:paraId="7BF477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eastAsia="宋体" w:cs="Times New Roman"/>
                      <w:bCs w:val="0"/>
                      <w:color w:val="auto"/>
                      <w:sz w:val="21"/>
                      <w:szCs w:val="21"/>
                      <w:u w:val="single" w:color="auto"/>
                      <w:lang w:val="en-US" w:eastAsia="zh-CN"/>
                    </w:rPr>
                    <w:t>（HJ 2004-2010）</w:t>
                  </w:r>
                  <w:r>
                    <w:rPr>
                      <w:rFonts w:hint="default" w:ascii="Times New Roman" w:hAnsi="Times New Roman" w:eastAsia="宋体" w:cs="Times New Roman"/>
                      <w:color w:val="auto"/>
                      <w:sz w:val="21"/>
                      <w:szCs w:val="21"/>
                      <w:u w:val="single" w:color="auto"/>
                      <w:lang w:val="en-US" w:eastAsia="zh-CN"/>
                    </w:rPr>
                    <w:t>相关内容</w:t>
                  </w:r>
                </w:p>
              </w:tc>
              <w:tc>
                <w:tcPr>
                  <w:tcW w:w="2427" w:type="dxa"/>
                  <w:noWrap w:val="0"/>
                  <w:vAlign w:val="center"/>
                </w:tcPr>
                <w:p w14:paraId="440809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本项目情况</w:t>
                  </w:r>
                </w:p>
              </w:tc>
              <w:tc>
                <w:tcPr>
                  <w:tcW w:w="645" w:type="dxa"/>
                  <w:noWrap w:val="0"/>
                  <w:vAlign w:val="center"/>
                </w:tcPr>
                <w:p w14:paraId="57AD70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相符性</w:t>
                  </w:r>
                </w:p>
              </w:tc>
            </w:tr>
            <w:tr w14:paraId="2ADF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614" w:type="dxa"/>
                  <w:noWrap w:val="0"/>
                  <w:vAlign w:val="center"/>
                </w:tcPr>
                <w:p w14:paraId="2F9620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屠宰与肉类加工废水治理工程的建设应符合当地有关规划，合理确定近期与远期、处理与利用的关系。</w:t>
                  </w:r>
                </w:p>
              </w:tc>
              <w:tc>
                <w:tcPr>
                  <w:tcW w:w="2427" w:type="dxa"/>
                  <w:noWrap w:val="0"/>
                  <w:vAlign w:val="center"/>
                </w:tcPr>
                <w:p w14:paraId="733456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根据前文分析，本项目符合相关规划</w:t>
                  </w:r>
                </w:p>
              </w:tc>
              <w:tc>
                <w:tcPr>
                  <w:tcW w:w="645" w:type="dxa"/>
                  <w:noWrap w:val="0"/>
                  <w:vAlign w:val="center"/>
                </w:tcPr>
                <w:p w14:paraId="33FAE1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5682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614" w:type="dxa"/>
                  <w:noWrap w:val="0"/>
                  <w:vAlign w:val="center"/>
                </w:tcPr>
                <w:p w14:paraId="657724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屠宰与肉类加工行业应积极采用节能减排及清洁生产技术，不断改进生产工艺，降低污染物产生量和排放量，防止环境污染。</w:t>
                  </w:r>
                </w:p>
              </w:tc>
              <w:tc>
                <w:tcPr>
                  <w:tcW w:w="2427" w:type="dxa"/>
                  <w:shd w:val="clear" w:color="auto" w:fill="auto"/>
                  <w:noWrap w:val="0"/>
                  <w:vAlign w:val="center"/>
                </w:tcPr>
                <w:p w14:paraId="0432CD6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3"/>
                      <w:kern w:val="2"/>
                      <w:sz w:val="21"/>
                      <w:szCs w:val="21"/>
                      <w:u w:val="none" w:color="auto"/>
                      <w:lang w:val="en-US" w:eastAsia="zh-CN" w:bidi="ar-SA"/>
                    </w:rPr>
                  </w:pPr>
                  <w:r>
                    <w:rPr>
                      <w:rFonts w:hint="eastAsia" w:ascii="Times New Roman" w:hAnsi="Times New Roman" w:cs="Times New Roman" w:eastAsiaTheme="minorEastAsia"/>
                      <w:color w:val="auto"/>
                      <w:spacing w:val="13"/>
                      <w:sz w:val="21"/>
                      <w:szCs w:val="21"/>
                      <w:u w:val="none" w:color="auto"/>
                      <w:lang w:val="en-US" w:eastAsia="zh-CN"/>
                    </w:rPr>
                    <w:t>本项目选址已取得溆浦县自然资源部门认可，项目选址位于城镇开发区域内，不涉及永久基本农田及生态红线</w:t>
                  </w:r>
                </w:p>
              </w:tc>
              <w:tc>
                <w:tcPr>
                  <w:tcW w:w="645" w:type="dxa"/>
                  <w:noWrap w:val="0"/>
                  <w:vAlign w:val="center"/>
                </w:tcPr>
                <w:p w14:paraId="3677FB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20DB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609C06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出水直接向周边水域排放时，应按国家和地方有关规定设置规范化排污口。排放水质应满足国家、行业、地方有关排放标准规定及项目环境影响评价审批文件有关要求。</w:t>
                  </w:r>
                </w:p>
              </w:tc>
              <w:tc>
                <w:tcPr>
                  <w:tcW w:w="2427" w:type="dxa"/>
                  <w:noWrap w:val="0"/>
                  <w:vAlign w:val="center"/>
                </w:tcPr>
                <w:p w14:paraId="3CFDF6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eastAsiaTheme="minorEastAsia"/>
                      <w:b w:val="0"/>
                      <w:bCs w:val="0"/>
                      <w:snapToGrid w:val="0"/>
                      <w:color w:val="auto"/>
                      <w:kern w:val="0"/>
                      <w:sz w:val="21"/>
                      <w:szCs w:val="21"/>
                      <w:u w:val="none" w:color="auto"/>
                      <w:vertAlign w:val="baseline"/>
                      <w:lang w:val="en-US" w:eastAsia="zh-CN"/>
                    </w:rPr>
                    <w:t>本项目废水为间接排放，不直排</w:t>
                  </w:r>
                </w:p>
              </w:tc>
              <w:tc>
                <w:tcPr>
                  <w:tcW w:w="645" w:type="dxa"/>
                  <w:noWrap w:val="0"/>
                  <w:vAlign w:val="center"/>
                </w:tcPr>
                <w:p w14:paraId="2FA72D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081B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40D2B0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应根据屠宰场和肉类加工厂的类型、建设规模、当地自然地理环境条件、排水去向及排放标准等因素确定废水处理工艺路线及处理目标，力求经济合理、技术先进可靠、运行稳定。</w:t>
                  </w:r>
                </w:p>
              </w:tc>
              <w:tc>
                <w:tcPr>
                  <w:tcW w:w="2427" w:type="dxa"/>
                  <w:noWrap w:val="0"/>
                  <w:vAlign w:val="center"/>
                </w:tcPr>
                <w:p w14:paraId="0A822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snapToGrid w:val="0"/>
                      <w:color w:val="auto"/>
                      <w:kern w:val="0"/>
                      <w:sz w:val="21"/>
                      <w:szCs w:val="21"/>
                      <w:u w:val="none" w:color="auto"/>
                      <w:vertAlign w:val="baseline"/>
                      <w:lang w:val="en-US" w:eastAsia="zh-CN"/>
                    </w:rPr>
                  </w:pPr>
                  <w:r>
                    <w:rPr>
                      <w:rFonts w:hint="eastAsia" w:cs="Times New Roman" w:eastAsiaTheme="minorEastAsia"/>
                      <w:b w:val="0"/>
                      <w:bCs w:val="0"/>
                      <w:snapToGrid w:val="0"/>
                      <w:color w:val="auto"/>
                      <w:kern w:val="0"/>
                      <w:sz w:val="21"/>
                      <w:szCs w:val="21"/>
                      <w:u w:val="none" w:color="auto"/>
                      <w:vertAlign w:val="baseline"/>
                      <w:lang w:val="en-US" w:eastAsia="zh-CN"/>
                    </w:rPr>
                    <w:t>根据后文分析，本项目废水处理工艺可满足本项目废水达标排放</w:t>
                  </w:r>
                </w:p>
              </w:tc>
              <w:tc>
                <w:tcPr>
                  <w:tcW w:w="645" w:type="dxa"/>
                  <w:noWrap w:val="0"/>
                  <w:vAlign w:val="center"/>
                </w:tcPr>
                <w:p w14:paraId="6855D7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相符</w:t>
                  </w:r>
                </w:p>
              </w:tc>
            </w:tr>
            <w:tr w14:paraId="6B85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06FD33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主要废水处理设施应按不少于两格或两组并联设计，主要设备应考虑备用。</w:t>
                  </w:r>
                </w:p>
              </w:tc>
              <w:tc>
                <w:tcPr>
                  <w:tcW w:w="2427" w:type="dxa"/>
                  <w:noWrap w:val="0"/>
                  <w:vAlign w:val="center"/>
                </w:tcPr>
                <w:p w14:paraId="15C6FA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snapToGrid w:val="0"/>
                      <w:color w:val="auto"/>
                      <w:kern w:val="0"/>
                      <w:sz w:val="21"/>
                      <w:szCs w:val="21"/>
                      <w:u w:val="none" w:color="auto"/>
                      <w:vertAlign w:val="baseline"/>
                      <w:lang w:val="en-US" w:eastAsia="zh-CN"/>
                    </w:rPr>
                  </w:pPr>
                  <w:r>
                    <w:rPr>
                      <w:rFonts w:hint="eastAsia" w:cs="Times New Roman"/>
                      <w:color w:val="auto"/>
                      <w:sz w:val="21"/>
                      <w:szCs w:val="21"/>
                      <w:u w:val="single" w:color="auto"/>
                      <w:lang w:val="en-US" w:eastAsia="zh-CN"/>
                    </w:rPr>
                    <w:t>本项目</w:t>
                  </w:r>
                  <w:r>
                    <w:rPr>
                      <w:rFonts w:hint="default" w:ascii="Times New Roman" w:hAnsi="Times New Roman" w:cs="Times New Roman"/>
                      <w:color w:val="auto"/>
                      <w:sz w:val="21"/>
                      <w:szCs w:val="21"/>
                      <w:u w:val="single" w:color="auto"/>
                      <w:lang w:val="en-US" w:eastAsia="zh-CN"/>
                    </w:rPr>
                    <w:t>主要废水处理设施不少于两格并联</w:t>
                  </w:r>
                </w:p>
              </w:tc>
              <w:tc>
                <w:tcPr>
                  <w:tcW w:w="645" w:type="dxa"/>
                  <w:noWrap w:val="0"/>
                  <w:vAlign w:val="center"/>
                </w:tcPr>
                <w:p w14:paraId="6A883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相符</w:t>
                  </w:r>
                </w:p>
              </w:tc>
            </w:tr>
            <w:tr w14:paraId="25E8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54891A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废水处理构筑物应设检修排空设施，排空废水应经处理达标后外排。</w:t>
                  </w:r>
                </w:p>
              </w:tc>
              <w:tc>
                <w:tcPr>
                  <w:tcW w:w="2427" w:type="dxa"/>
                  <w:noWrap w:val="0"/>
                  <w:vAlign w:val="center"/>
                </w:tcPr>
                <w:p w14:paraId="0B69BA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snapToGrid w:val="0"/>
                      <w:color w:val="auto"/>
                      <w:kern w:val="0"/>
                      <w:sz w:val="21"/>
                      <w:szCs w:val="21"/>
                      <w:u w:val="none" w:color="auto"/>
                      <w:vertAlign w:val="baseline"/>
                      <w:lang w:val="en-US" w:eastAsia="zh-CN"/>
                    </w:rPr>
                  </w:pPr>
                  <w:r>
                    <w:rPr>
                      <w:rFonts w:hint="eastAsia" w:cs="Times New Roman"/>
                      <w:color w:val="auto"/>
                      <w:sz w:val="21"/>
                      <w:szCs w:val="21"/>
                      <w:u w:val="single" w:color="auto"/>
                      <w:lang w:val="en-US" w:eastAsia="zh-CN"/>
                    </w:rPr>
                    <w:t>本项目废水处理</w:t>
                  </w:r>
                  <w:r>
                    <w:rPr>
                      <w:rFonts w:hint="default" w:ascii="Times New Roman" w:hAnsi="Times New Roman" w:cs="Times New Roman"/>
                      <w:color w:val="auto"/>
                      <w:sz w:val="21"/>
                      <w:szCs w:val="21"/>
                      <w:u w:val="single" w:color="auto"/>
                      <w:lang w:val="en-US" w:eastAsia="zh-CN"/>
                    </w:rPr>
                    <w:t>构筑物设</w:t>
                  </w:r>
                  <w:r>
                    <w:rPr>
                      <w:rFonts w:hint="eastAsia" w:cs="Times New Roman"/>
                      <w:color w:val="auto"/>
                      <w:sz w:val="21"/>
                      <w:szCs w:val="21"/>
                      <w:u w:val="single" w:color="auto"/>
                      <w:lang w:val="en-US" w:eastAsia="zh-CN"/>
                    </w:rPr>
                    <w:t>有</w:t>
                  </w:r>
                  <w:r>
                    <w:rPr>
                      <w:rFonts w:hint="default" w:ascii="Times New Roman" w:hAnsi="Times New Roman" w:cs="Times New Roman"/>
                      <w:color w:val="auto"/>
                      <w:sz w:val="21"/>
                      <w:szCs w:val="21"/>
                      <w:u w:val="single" w:color="auto"/>
                      <w:lang w:val="en-US" w:eastAsia="zh-CN"/>
                    </w:rPr>
                    <w:t>检修排空设施，排空废水经处理达标后外排。</w:t>
                  </w:r>
                </w:p>
              </w:tc>
              <w:tc>
                <w:tcPr>
                  <w:tcW w:w="645" w:type="dxa"/>
                  <w:noWrap w:val="0"/>
                  <w:vAlign w:val="center"/>
                </w:tcPr>
                <w:p w14:paraId="02851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相符</w:t>
                  </w:r>
                </w:p>
              </w:tc>
            </w:tr>
            <w:tr w14:paraId="0ED4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79C6D8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屠宰与肉类加工废水处理工艺应包含消毒及除臭单元。</w:t>
                  </w:r>
                </w:p>
              </w:tc>
              <w:tc>
                <w:tcPr>
                  <w:tcW w:w="2427" w:type="dxa"/>
                  <w:noWrap w:val="0"/>
                  <w:vAlign w:val="center"/>
                </w:tcPr>
                <w:p w14:paraId="5B2B1C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snapToGrid w:val="0"/>
                      <w:color w:val="auto"/>
                      <w:kern w:val="0"/>
                      <w:sz w:val="21"/>
                      <w:szCs w:val="21"/>
                      <w:u w:val="none" w:color="auto"/>
                      <w:vertAlign w:val="baseline"/>
                      <w:lang w:val="en-US" w:eastAsia="zh-CN"/>
                    </w:rPr>
                  </w:pPr>
                  <w:r>
                    <w:rPr>
                      <w:rFonts w:hint="eastAsia" w:cs="Times New Roman" w:eastAsiaTheme="minorEastAsia"/>
                      <w:b w:val="0"/>
                      <w:bCs w:val="0"/>
                      <w:snapToGrid w:val="0"/>
                      <w:color w:val="auto"/>
                      <w:kern w:val="0"/>
                      <w:sz w:val="21"/>
                      <w:szCs w:val="21"/>
                      <w:u w:val="none" w:color="auto"/>
                      <w:vertAlign w:val="baseline"/>
                      <w:lang w:val="en-US" w:eastAsia="zh-CN"/>
                    </w:rPr>
                    <w:t>本项目废水处理工艺包括消毒单元（消毒池）及除臭单元（曝气池）</w:t>
                  </w:r>
                </w:p>
              </w:tc>
              <w:tc>
                <w:tcPr>
                  <w:tcW w:w="645" w:type="dxa"/>
                  <w:noWrap w:val="0"/>
                  <w:vAlign w:val="center"/>
                </w:tcPr>
                <w:p w14:paraId="26689E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相符</w:t>
                  </w:r>
                </w:p>
              </w:tc>
            </w:tr>
            <w:tr w14:paraId="15FD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4" w:type="dxa"/>
                  <w:noWrap w:val="0"/>
                  <w:vAlign w:val="center"/>
                </w:tcPr>
                <w:p w14:paraId="4CDA86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废水处理厂(站)应按照&lt;&lt;污染源自动监控管理办法&gt;&gt;和地方环保部门有关规定安装废水在线监测设备。</w:t>
                  </w:r>
                </w:p>
              </w:tc>
              <w:tc>
                <w:tcPr>
                  <w:tcW w:w="2427" w:type="dxa"/>
                  <w:noWrap w:val="0"/>
                  <w:vAlign w:val="center"/>
                </w:tcPr>
                <w:p w14:paraId="40471B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snapToGrid w:val="0"/>
                      <w:color w:val="auto"/>
                      <w:kern w:val="0"/>
                      <w:sz w:val="21"/>
                      <w:szCs w:val="21"/>
                      <w:u w:val="none" w:color="auto"/>
                      <w:vertAlign w:val="baseline"/>
                      <w:lang w:val="en-US" w:eastAsia="zh-CN"/>
                    </w:rPr>
                  </w:pPr>
                  <w:r>
                    <w:rPr>
                      <w:rFonts w:hint="eastAsia" w:cs="Times New Roman" w:eastAsiaTheme="minorEastAsia"/>
                      <w:b w:val="0"/>
                      <w:bCs w:val="0"/>
                      <w:snapToGrid w:val="0"/>
                      <w:color w:val="auto"/>
                      <w:kern w:val="0"/>
                      <w:sz w:val="21"/>
                      <w:szCs w:val="21"/>
                      <w:u w:val="none" w:color="auto"/>
                      <w:vertAlign w:val="baseline"/>
                      <w:lang w:val="en-US" w:eastAsia="zh-CN"/>
                    </w:rPr>
                    <w:t>本评价要求企业在本项目建成后，根据</w:t>
                  </w:r>
                  <w:r>
                    <w:rPr>
                      <w:rFonts w:hint="default" w:ascii="Times New Roman" w:hAnsi="Times New Roman" w:cs="Times New Roman"/>
                      <w:color w:val="auto"/>
                      <w:sz w:val="21"/>
                      <w:szCs w:val="21"/>
                      <w:u w:val="single" w:color="auto"/>
                      <w:lang w:val="en-US" w:eastAsia="zh-CN"/>
                    </w:rPr>
                    <w:t>&lt;&lt;污染源自动监控管理办法&gt;&gt;和地方环保部门有关规定</w:t>
                  </w:r>
                  <w:r>
                    <w:rPr>
                      <w:rFonts w:hint="eastAsia" w:cs="Times New Roman"/>
                      <w:color w:val="auto"/>
                      <w:sz w:val="21"/>
                      <w:szCs w:val="21"/>
                      <w:u w:val="single" w:color="auto"/>
                      <w:lang w:val="en-US" w:eastAsia="zh-CN"/>
                    </w:rPr>
                    <w:t>进行</w:t>
                  </w:r>
                  <w:r>
                    <w:rPr>
                      <w:rFonts w:hint="default" w:ascii="Times New Roman" w:hAnsi="Times New Roman" w:cs="Times New Roman"/>
                      <w:color w:val="auto"/>
                      <w:sz w:val="21"/>
                      <w:szCs w:val="21"/>
                      <w:u w:val="single" w:color="auto"/>
                      <w:lang w:val="en-US" w:eastAsia="zh-CN"/>
                    </w:rPr>
                    <w:t>废水在线监测设备</w:t>
                  </w:r>
                  <w:r>
                    <w:rPr>
                      <w:rFonts w:hint="eastAsia" w:cs="Times New Roman"/>
                      <w:color w:val="auto"/>
                      <w:sz w:val="21"/>
                      <w:szCs w:val="21"/>
                      <w:u w:val="single" w:color="auto"/>
                      <w:lang w:val="en-US" w:eastAsia="zh-CN"/>
                    </w:rPr>
                    <w:t>的安装</w:t>
                  </w:r>
                </w:p>
              </w:tc>
              <w:tc>
                <w:tcPr>
                  <w:tcW w:w="645" w:type="dxa"/>
                  <w:noWrap w:val="0"/>
                  <w:vAlign w:val="center"/>
                </w:tcPr>
                <w:p w14:paraId="4A5813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相符</w:t>
                  </w:r>
                </w:p>
              </w:tc>
            </w:tr>
          </w:tbl>
          <w:p w14:paraId="71A8B76E">
            <w:pPr>
              <w:widowControl/>
              <w:numPr>
                <w:ilvl w:val="0"/>
                <w:numId w:val="0"/>
              </w:numPr>
              <w:bidi w:val="0"/>
              <w:ind w:firstLine="480" w:firstLineChars="200"/>
              <w:rPr>
                <w:rFonts w:hint="default" w:ascii="Times New Roman" w:hAnsi="Times New Roman" w:eastAsia="宋体" w:cs="Times New Roman"/>
                <w:color w:val="auto"/>
                <w:spacing w:val="0"/>
                <w:sz w:val="24"/>
                <w:szCs w:val="24"/>
                <w:u w:val="single" w:color="auto"/>
                <w:lang w:val="en-US" w:eastAsia="zh-CN"/>
              </w:rPr>
            </w:pPr>
            <w:r>
              <w:rPr>
                <w:rFonts w:hint="default" w:ascii="Times New Roman" w:hAnsi="Times New Roman" w:eastAsia="宋体" w:cs="Times New Roman"/>
                <w:color w:val="auto"/>
                <w:sz w:val="24"/>
                <w:u w:val="single" w:color="auto"/>
                <w:lang w:val="en-US" w:eastAsia="zh-CN"/>
              </w:rPr>
              <w:t>综上，本项目符合</w:t>
            </w:r>
            <w:r>
              <w:rPr>
                <w:rFonts w:hint="default" w:ascii="Times New Roman" w:hAnsi="Times New Roman" w:eastAsia="宋体" w:cs="Times New Roman"/>
                <w:bCs w:val="0"/>
                <w:color w:val="auto"/>
                <w:sz w:val="24"/>
                <w:szCs w:val="24"/>
                <w:u w:val="single" w:color="auto"/>
                <w:lang w:val="en-US" w:eastAsia="zh-CN"/>
              </w:rPr>
              <w:t>《屠宰与肉类加工废水治理工程技术规范》（HJ 2004-2010）</w:t>
            </w:r>
            <w:r>
              <w:rPr>
                <w:rFonts w:hint="default" w:ascii="Times New Roman" w:hAnsi="Times New Roman" w:eastAsia="宋体" w:cs="Times New Roman"/>
                <w:color w:val="auto"/>
                <w:sz w:val="24"/>
                <w:u w:val="single" w:color="auto"/>
                <w:lang w:val="en-US" w:eastAsia="zh-CN"/>
              </w:rPr>
              <w:t>相关要求。</w:t>
            </w:r>
          </w:p>
          <w:p w14:paraId="50820216">
            <w:pPr>
              <w:widowControl/>
              <w:numPr>
                <w:ilvl w:val="0"/>
                <w:numId w:val="0"/>
              </w:numPr>
              <w:bidi w:val="0"/>
              <w:ind w:firstLine="0" w:firstLineChars="0"/>
              <w:rPr>
                <w:rFonts w:hint="default" w:ascii="黑体" w:hAnsi="黑体" w:eastAsia="黑体" w:cs="黑体"/>
                <w:b/>
                <w:bCs/>
                <w:color w:val="auto"/>
                <w:spacing w:val="0"/>
                <w:sz w:val="24"/>
                <w:szCs w:val="24"/>
                <w:u w:val="none" w:color="auto"/>
                <w:lang w:val="en-US" w:eastAsia="zh-CN"/>
              </w:rPr>
            </w:pPr>
            <w:r>
              <w:rPr>
                <w:rFonts w:hint="eastAsia" w:ascii="黑体" w:hAnsi="黑体" w:eastAsia="黑体" w:cs="黑体"/>
                <w:b/>
                <w:bCs/>
                <w:color w:val="auto"/>
                <w:spacing w:val="0"/>
                <w:sz w:val="24"/>
                <w:szCs w:val="24"/>
                <w:u w:val="none" w:color="auto"/>
                <w:lang w:val="en-US" w:eastAsia="zh-CN"/>
              </w:rPr>
              <w:t>10、与《屠宰及肉类加工业污染防治可行技术指南》（HJ 1285-2023）相符性分析</w:t>
            </w:r>
          </w:p>
          <w:p w14:paraId="6BA493D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表</w:t>
            </w:r>
            <w:r>
              <w:rPr>
                <w:rFonts w:hint="eastAsia" w:ascii="Times New Roman" w:hAnsi="Times New Roman" w:cs="Times New Roman"/>
                <w:color w:val="auto"/>
                <w:sz w:val="24"/>
                <w:szCs w:val="24"/>
                <w:u w:val="single" w:color="auto"/>
                <w:lang w:val="en-US" w:eastAsia="zh-CN"/>
              </w:rPr>
              <w:t>1</w:t>
            </w:r>
            <w:r>
              <w:rPr>
                <w:rFonts w:hint="eastAsia" w:cs="Times New Roman"/>
                <w:color w:val="auto"/>
                <w:sz w:val="24"/>
                <w:szCs w:val="24"/>
                <w:u w:val="single" w:color="auto"/>
                <w:lang w:val="en-US" w:eastAsia="zh-CN"/>
              </w:rPr>
              <w:t>3</w:t>
            </w:r>
            <w:r>
              <w:rPr>
                <w:rFonts w:hint="default" w:ascii="Times New Roman" w:hAnsi="Times New Roman" w:eastAsia="宋体" w:cs="Times New Roman"/>
                <w:color w:val="auto"/>
                <w:sz w:val="24"/>
                <w:szCs w:val="24"/>
                <w:u w:val="single" w:color="auto"/>
                <w:lang w:val="en-US" w:eastAsia="zh-CN"/>
              </w:rPr>
              <w:t xml:space="preserve"> 与</w:t>
            </w:r>
            <w:r>
              <w:rPr>
                <w:rFonts w:hint="default" w:ascii="Times New Roman" w:hAnsi="Times New Roman" w:eastAsia="宋体" w:cs="Times New Roman"/>
                <w:color w:val="auto"/>
                <w:spacing w:val="0"/>
                <w:sz w:val="24"/>
                <w:szCs w:val="24"/>
                <w:u w:val="single" w:color="auto"/>
                <w:lang w:val="en-US" w:eastAsia="zh-CN"/>
              </w:rPr>
              <w:t>《屠宰及肉类加工业污染防治可行技术指南》</w:t>
            </w:r>
            <w:r>
              <w:rPr>
                <w:rFonts w:hint="default" w:ascii="Times New Roman" w:hAnsi="Times New Roman" w:eastAsia="宋体" w:cs="Times New Roman"/>
                <w:color w:val="auto"/>
                <w:sz w:val="24"/>
                <w:u w:val="single" w:color="auto"/>
                <w:lang w:val="en-US" w:eastAsia="zh-CN"/>
              </w:rPr>
              <w:t>符合性分析</w:t>
            </w:r>
          </w:p>
          <w:tbl>
            <w:tblPr>
              <w:tblStyle w:val="23"/>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0"/>
              <w:gridCol w:w="2291"/>
              <w:gridCol w:w="645"/>
            </w:tblGrid>
            <w:tr w14:paraId="5112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750" w:type="dxa"/>
                  <w:noWrap w:val="0"/>
                  <w:vAlign w:val="center"/>
                </w:tcPr>
                <w:p w14:paraId="474B38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eastAsia="宋体" w:cs="Times New Roman"/>
                      <w:color w:val="auto"/>
                      <w:spacing w:val="0"/>
                      <w:sz w:val="21"/>
                      <w:szCs w:val="21"/>
                      <w:u w:val="single" w:color="auto"/>
                      <w:lang w:val="en-US" w:eastAsia="zh-CN"/>
                    </w:rPr>
                    <w:t>（HJ 1285-2023）</w:t>
                  </w:r>
                  <w:r>
                    <w:rPr>
                      <w:rFonts w:hint="default" w:ascii="Times New Roman" w:hAnsi="Times New Roman" w:eastAsia="宋体" w:cs="Times New Roman"/>
                      <w:color w:val="auto"/>
                      <w:sz w:val="21"/>
                      <w:szCs w:val="21"/>
                      <w:u w:val="single" w:color="auto"/>
                      <w:lang w:val="en-US" w:eastAsia="zh-CN"/>
                    </w:rPr>
                    <w:t>相关内容</w:t>
                  </w:r>
                </w:p>
              </w:tc>
              <w:tc>
                <w:tcPr>
                  <w:tcW w:w="2291" w:type="dxa"/>
                  <w:noWrap w:val="0"/>
                  <w:vAlign w:val="center"/>
                </w:tcPr>
                <w:p w14:paraId="1E2CBE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本项目情况</w:t>
                  </w:r>
                </w:p>
              </w:tc>
              <w:tc>
                <w:tcPr>
                  <w:tcW w:w="645" w:type="dxa"/>
                  <w:noWrap w:val="0"/>
                  <w:vAlign w:val="center"/>
                </w:tcPr>
                <w:p w14:paraId="62FF8A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相符性</w:t>
                  </w:r>
                </w:p>
              </w:tc>
            </w:tr>
            <w:tr w14:paraId="047A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750" w:type="dxa"/>
                  <w:noWrap w:val="0"/>
                  <w:vAlign w:val="center"/>
                </w:tcPr>
                <w:p w14:paraId="225D9E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宋体" w:hAnsi="宋体" w:eastAsia="宋体" w:cs="宋体"/>
                      <w:color w:val="auto"/>
                      <w:sz w:val="21"/>
                      <w:szCs w:val="21"/>
                      <w:u w:val="single" w:color="auto"/>
                      <w:lang w:val="en-US" w:eastAsia="zh-CN"/>
                    </w:rPr>
                    <w:t>清洁生产技术：</w:t>
                  </w:r>
                  <w:r>
                    <w:rPr>
                      <w:rFonts w:ascii="宋体" w:hAnsi="宋体" w:eastAsia="宋体" w:cs="宋体"/>
                      <w:color w:val="auto"/>
                      <w:sz w:val="21"/>
                      <w:szCs w:val="21"/>
                      <w:u w:val="single" w:color="auto"/>
                    </w:rPr>
                    <w:t>干清粪，适用于屠宰企业待宰间。该技术可使粪便一经产生便分流，保持舍内清洁，无臭味，产生的污水量少且浓度低，易于净化处理，最大限度地减少废水的产生和排放，降低废水的污染负荷。</w:t>
                  </w:r>
                </w:p>
              </w:tc>
              <w:tc>
                <w:tcPr>
                  <w:tcW w:w="2291" w:type="dxa"/>
                  <w:noWrap w:val="0"/>
                  <w:vAlign w:val="center"/>
                </w:tcPr>
                <w:p w14:paraId="0951A2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本项目待宰间使用</w:t>
                  </w:r>
                  <w:r>
                    <w:rPr>
                      <w:rFonts w:ascii="宋体" w:hAnsi="宋体" w:eastAsia="宋体" w:cs="宋体"/>
                      <w:color w:val="auto"/>
                      <w:sz w:val="21"/>
                      <w:szCs w:val="21"/>
                      <w:u w:val="single" w:color="auto"/>
                    </w:rPr>
                    <w:t>干清粪</w:t>
                  </w:r>
                  <w:r>
                    <w:rPr>
                      <w:rFonts w:hint="eastAsia" w:ascii="宋体" w:hAnsi="宋体" w:cs="宋体"/>
                      <w:color w:val="auto"/>
                      <w:sz w:val="21"/>
                      <w:szCs w:val="21"/>
                      <w:u w:val="single" w:color="auto"/>
                      <w:lang w:val="en-US" w:eastAsia="zh-CN"/>
                    </w:rPr>
                    <w:t>技术</w:t>
                  </w:r>
                </w:p>
              </w:tc>
              <w:tc>
                <w:tcPr>
                  <w:tcW w:w="645" w:type="dxa"/>
                  <w:noWrap w:val="0"/>
                  <w:vAlign w:val="center"/>
                </w:tcPr>
                <w:p w14:paraId="1790CF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6D9D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750" w:type="dxa"/>
                  <w:noWrap w:val="0"/>
                  <w:vAlign w:val="center"/>
                </w:tcPr>
                <w:p w14:paraId="68FEB7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废水污染治理技术：预处理技术（格栅、隔油池、调节池、沉淀池、气浮池）、厌氧生化处理技术（水解酸化、UASB、EGSB）、好氧生化处理技术（活性污泥、生物接触氧化、曝气生物滤池）、深度处理技术（消毒、混凝、过滤等）</w:t>
                  </w:r>
                </w:p>
              </w:tc>
              <w:tc>
                <w:tcPr>
                  <w:tcW w:w="2291" w:type="dxa"/>
                  <w:shd w:val="clear" w:color="auto" w:fill="auto"/>
                  <w:noWrap w:val="0"/>
                  <w:vAlign w:val="center"/>
                </w:tcPr>
                <w:p w14:paraId="0DD0EA9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3"/>
                      <w:kern w:val="2"/>
                      <w:sz w:val="21"/>
                      <w:szCs w:val="21"/>
                      <w:u w:val="single" w:color="auto"/>
                      <w:lang w:val="en-US" w:eastAsia="zh-CN" w:bidi="ar-SA"/>
                    </w:rPr>
                  </w:pPr>
                  <w:r>
                    <w:rPr>
                      <w:rFonts w:hint="eastAsia" w:cs="Times New Roman" w:eastAsiaTheme="minorEastAsia"/>
                      <w:color w:val="auto"/>
                      <w:spacing w:val="13"/>
                      <w:kern w:val="2"/>
                      <w:sz w:val="21"/>
                      <w:szCs w:val="21"/>
                      <w:u w:val="single" w:color="auto"/>
                      <w:lang w:val="en-US" w:eastAsia="zh-CN" w:bidi="ar-SA"/>
                    </w:rPr>
                    <w:t>本项目废水处理工艺为：</w:t>
                  </w:r>
                  <w:r>
                    <w:rPr>
                      <w:rFonts w:hint="eastAsia" w:cs="Times New Roman"/>
                      <w:color w:val="auto"/>
                      <w:sz w:val="21"/>
                      <w:szCs w:val="21"/>
                      <w:u w:val="single" w:color="auto"/>
                      <w:lang w:val="en-US" w:eastAsia="zh-CN"/>
                    </w:rPr>
                    <w:t>格栅+隔油+曝气+气浮+厌氧+好氧+沉淀+消毒池</w:t>
                  </w:r>
                </w:p>
              </w:tc>
              <w:tc>
                <w:tcPr>
                  <w:tcW w:w="645" w:type="dxa"/>
                  <w:noWrap w:val="0"/>
                  <w:vAlign w:val="center"/>
                </w:tcPr>
                <w:p w14:paraId="379A17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13F8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0" w:type="dxa"/>
                  <w:noWrap w:val="0"/>
                  <w:vAlign w:val="center"/>
                </w:tcPr>
                <w:p w14:paraId="107A0B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废气恶臭治理技术：化学除臭、物理除臭、生物除臭、复合除臭</w:t>
                  </w:r>
                </w:p>
              </w:tc>
              <w:tc>
                <w:tcPr>
                  <w:tcW w:w="2291" w:type="dxa"/>
                  <w:noWrap w:val="0"/>
                  <w:vAlign w:val="center"/>
                </w:tcPr>
                <w:p w14:paraId="257D2C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本项目废气采用生物除臭工艺</w:t>
                  </w:r>
                </w:p>
              </w:tc>
              <w:tc>
                <w:tcPr>
                  <w:tcW w:w="645" w:type="dxa"/>
                  <w:noWrap w:val="0"/>
                  <w:vAlign w:val="center"/>
                </w:tcPr>
                <w:p w14:paraId="75F832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相符</w:t>
                  </w:r>
                </w:p>
              </w:tc>
            </w:tr>
            <w:tr w14:paraId="6ADF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0" w:type="dxa"/>
                  <w:noWrap w:val="0"/>
                  <w:vAlign w:val="center"/>
                </w:tcPr>
                <w:p w14:paraId="1A323C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噪声治理技术：</w:t>
                  </w:r>
                  <w:r>
                    <w:rPr>
                      <w:rFonts w:hint="eastAsia" w:ascii="Times New Roman" w:hAnsi="Times New Roman" w:eastAsia="宋体" w:cs="Times New Roman"/>
                      <w:color w:val="auto"/>
                      <w:sz w:val="21"/>
                      <w:szCs w:val="21"/>
                      <w:u w:val="single" w:color="auto"/>
                    </w:rPr>
                    <w:t>企业规划布局宜使待宰间、屠宰车间等主要噪声源远离厂界和噪声敏感点。采用二氧化碳或者电击方式将畜禽致昏可有效控制待宰畜禽的叫声；对于由振动、摩擦和撞击等引起的机械噪声，通常采用减振、隔声措施，如：对设备加装隔振元件、隔振基座、弹性连接、隔声罩等；对于空气动力性噪声，通常采取安装消声器的措施。此外，车间内可采取吸声和隔声等降噪措施，进一步阻止噪声传播。</w:t>
                  </w:r>
                </w:p>
              </w:tc>
              <w:tc>
                <w:tcPr>
                  <w:tcW w:w="2291" w:type="dxa"/>
                  <w:noWrap w:val="0"/>
                  <w:vAlign w:val="center"/>
                </w:tcPr>
                <w:p w14:paraId="4C290D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snapToGrid w:val="0"/>
                      <w:color w:val="auto"/>
                      <w:kern w:val="0"/>
                      <w:sz w:val="21"/>
                      <w:szCs w:val="21"/>
                      <w:u w:val="single" w:color="auto"/>
                      <w:vertAlign w:val="baseline"/>
                      <w:lang w:val="en-US" w:eastAsia="zh-CN"/>
                    </w:rPr>
                  </w:pPr>
                  <w:r>
                    <w:rPr>
                      <w:rFonts w:hint="eastAsia" w:cs="Times New Roman" w:eastAsiaTheme="minorEastAsia"/>
                      <w:b w:val="0"/>
                      <w:bCs w:val="0"/>
                      <w:snapToGrid w:val="0"/>
                      <w:color w:val="auto"/>
                      <w:kern w:val="0"/>
                      <w:sz w:val="21"/>
                      <w:szCs w:val="21"/>
                      <w:u w:val="single" w:color="auto"/>
                      <w:vertAlign w:val="baseline"/>
                      <w:lang w:val="en-US" w:eastAsia="zh-CN"/>
                    </w:rPr>
                    <w:t>根据后文分析，本项目布局合理，噪声可达标排放</w:t>
                  </w:r>
                </w:p>
              </w:tc>
              <w:tc>
                <w:tcPr>
                  <w:tcW w:w="645" w:type="dxa"/>
                  <w:noWrap w:val="0"/>
                  <w:vAlign w:val="center"/>
                </w:tcPr>
                <w:p w14:paraId="23AC40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相符</w:t>
                  </w:r>
                </w:p>
              </w:tc>
            </w:tr>
          </w:tbl>
          <w:p w14:paraId="14076AC3">
            <w:pPr>
              <w:widowControl/>
              <w:numPr>
                <w:ilvl w:val="0"/>
                <w:numId w:val="0"/>
              </w:numPr>
              <w:bidi w:val="0"/>
              <w:ind w:firstLine="480" w:firstLineChars="200"/>
              <w:rPr>
                <w:rFonts w:hint="default" w:ascii="Times New Roman" w:hAnsi="Times New Roman" w:eastAsia="宋体" w:cs="Times New Roman"/>
                <w:color w:val="auto"/>
                <w:spacing w:val="0"/>
                <w:sz w:val="24"/>
                <w:szCs w:val="24"/>
                <w:u w:val="single" w:color="auto"/>
                <w:lang w:val="en-US" w:eastAsia="zh-CN"/>
              </w:rPr>
            </w:pPr>
            <w:r>
              <w:rPr>
                <w:rFonts w:hint="default" w:ascii="Times New Roman" w:hAnsi="Times New Roman" w:eastAsia="宋体" w:cs="Times New Roman"/>
                <w:color w:val="auto"/>
                <w:sz w:val="24"/>
                <w:u w:val="single" w:color="auto"/>
                <w:lang w:val="en-US" w:eastAsia="zh-CN"/>
              </w:rPr>
              <w:t>综上，本项目符合</w:t>
            </w:r>
            <w:r>
              <w:rPr>
                <w:rFonts w:hint="default" w:ascii="Times New Roman" w:hAnsi="Times New Roman" w:eastAsia="宋体" w:cs="Times New Roman"/>
                <w:color w:val="auto"/>
                <w:spacing w:val="0"/>
                <w:sz w:val="24"/>
                <w:szCs w:val="24"/>
                <w:u w:val="single" w:color="auto"/>
                <w:lang w:val="en-US" w:eastAsia="zh-CN"/>
              </w:rPr>
              <w:t>《屠宰及肉类加工业污染防治可行技术指南》（HJ 1285-2023）</w:t>
            </w:r>
            <w:r>
              <w:rPr>
                <w:rFonts w:hint="default" w:ascii="Times New Roman" w:hAnsi="Times New Roman" w:eastAsia="宋体" w:cs="Times New Roman"/>
                <w:color w:val="auto"/>
                <w:sz w:val="24"/>
                <w:u w:val="single" w:color="auto"/>
                <w:lang w:val="en-US" w:eastAsia="zh-CN"/>
              </w:rPr>
              <w:t>相关要求。</w:t>
            </w:r>
          </w:p>
          <w:p w14:paraId="53B580CC">
            <w:pPr>
              <w:keepNext w:val="0"/>
              <w:keepLines w:val="0"/>
              <w:pageBreakBefore w:val="0"/>
              <w:widowControl/>
              <w:numPr>
                <w:ilvl w:val="-1"/>
                <w:numId w:val="0"/>
              </w:numPr>
              <w:kinsoku/>
              <w:wordWrap/>
              <w:overflowPunct/>
              <w:topLinePunct w:val="0"/>
              <w:autoSpaceDE/>
              <w:autoSpaceDN/>
              <w:bidi w:val="0"/>
              <w:adjustRightInd/>
              <w:snapToGrid/>
              <w:textAlignment w:val="auto"/>
              <w:rPr>
                <w:rFonts w:hint="default" w:ascii="Times New Roman" w:hAnsi="Times New Roman" w:eastAsia="黑体" w:cs="Times New Roman"/>
                <w:b/>
                <w:bCs/>
                <w:color w:val="auto"/>
                <w:u w:val="none" w:color="auto"/>
                <w:lang w:val="en-US" w:eastAsia="zh-CN"/>
              </w:rPr>
            </w:pPr>
            <w:r>
              <w:rPr>
                <w:rFonts w:hint="eastAsia"/>
                <w:b/>
                <w:bCs/>
                <w:color w:val="auto"/>
                <w:u w:val="none" w:color="auto"/>
                <w:lang w:val="en-US" w:eastAsia="zh-CN"/>
              </w:rPr>
              <w:t>11</w:t>
            </w:r>
            <w:r>
              <w:rPr>
                <w:rFonts w:hint="eastAsia" w:eastAsia="黑体" w:cs="Times New Roman"/>
                <w:b/>
                <w:bCs/>
                <w:color w:val="auto"/>
                <w:u w:val="none" w:color="auto"/>
                <w:lang w:val="en-US" w:eastAsia="zh-CN"/>
              </w:rPr>
              <w:t>、</w:t>
            </w:r>
            <w:r>
              <w:rPr>
                <w:rFonts w:hint="default" w:ascii="Times New Roman" w:hAnsi="Times New Roman" w:eastAsia="黑体" w:cs="Times New Roman"/>
                <w:b/>
                <w:bCs/>
                <w:color w:val="auto"/>
                <w:u w:val="none" w:color="auto"/>
                <w:lang w:val="en-US" w:eastAsia="zh-CN"/>
              </w:rPr>
              <w:t>选址合理性分析</w:t>
            </w:r>
          </w:p>
          <w:p w14:paraId="4D9B95CE">
            <w:pPr>
              <w:bidi w:val="0"/>
              <w:ind w:firstLine="480" w:firstLineChars="20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本项目位于湖南省溆浦县卢峰镇水田垅村，原厂运行多年，本次仅在原址上进行技改，不新增用地</w:t>
            </w:r>
            <w:r>
              <w:rPr>
                <w:rFonts w:hint="eastAsia" w:cs="Times New Roman"/>
                <w:color w:val="auto"/>
                <w:u w:val="none" w:color="auto"/>
                <w:lang w:val="en-US" w:eastAsia="zh-CN"/>
              </w:rPr>
              <w:t>，项目用地为工业用地</w:t>
            </w:r>
            <w:r>
              <w:rPr>
                <w:rFonts w:hint="default" w:ascii="Times New Roman" w:hAnsi="Times New Roman" w:eastAsia="宋体" w:cs="Times New Roman"/>
                <w:color w:val="auto"/>
                <w:u w:val="none" w:color="auto"/>
                <w:lang w:val="en-US" w:eastAsia="zh-CN"/>
              </w:rPr>
              <w:t>。为了让公众充分了解本项目给本地区社会环境带来的影响，本项目在报告表编制过程中，建设单位采取现场调查、现场粘贴公示的方式对周边居民以及溆浦县农业农村局、溆浦县卢峰镇人民政府对项目选址进行了调查工作，调查期间，溆浦县农业农村局、溆浦县卢峰镇人民政府对项目选址意见为：同意选址。未收到其他居民意见。</w:t>
            </w:r>
          </w:p>
          <w:p w14:paraId="6842A5FC">
            <w:pPr>
              <w:bidi w:val="0"/>
              <w:ind w:firstLine="480" w:firstLineChars="20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项目所在区域环境质量现状监测资料可知，项目所在区域声环境、大气环境和地表水环境质量较好，有一定的环境容量。项目所在地交通便利，便于原辅材料和产品的运输；项目区域内水、电设施基本可满足本项目运营期生产、办公和生活需求。项目在建设及运营过程中采取本报告提出的措施后，能够实现达标排放，项目的建设和营运不会对周边环境产生明显的影响。从环境保护的角度而言，本项目选址合理可行。</w:t>
            </w:r>
          </w:p>
          <w:p w14:paraId="3A4E7F2B">
            <w:pPr>
              <w:widowControl/>
              <w:numPr>
                <w:ilvl w:val="0"/>
                <w:numId w:val="0"/>
              </w:numPr>
              <w:bidi w:val="0"/>
              <w:ind w:firstLine="0" w:firstLineChars="0"/>
              <w:rPr>
                <w:rFonts w:hint="eastAsia" w:ascii="黑体" w:hAnsi="黑体" w:eastAsia="黑体" w:cs="黑体"/>
                <w:b/>
                <w:bCs/>
                <w:color w:val="auto"/>
                <w:spacing w:val="0"/>
                <w:sz w:val="24"/>
                <w:szCs w:val="24"/>
                <w:u w:val="single" w:color="auto"/>
                <w:lang w:val="en-US" w:eastAsia="zh-CN"/>
              </w:rPr>
            </w:pPr>
            <w:r>
              <w:rPr>
                <w:rFonts w:hint="eastAsia" w:ascii="黑体" w:hAnsi="黑体" w:eastAsia="黑体" w:cs="黑体"/>
                <w:b/>
                <w:bCs/>
                <w:color w:val="auto"/>
                <w:spacing w:val="0"/>
                <w:sz w:val="24"/>
                <w:szCs w:val="24"/>
                <w:u w:val="single" w:color="auto"/>
                <w:lang w:val="en-US" w:eastAsia="zh-CN"/>
              </w:rPr>
              <w:t>12、环境相容性分析</w:t>
            </w:r>
          </w:p>
          <w:p w14:paraId="4DED5500">
            <w:pPr>
              <w:bidi w:val="0"/>
              <w:rPr>
                <w:rFonts w:hint="default" w:ascii="Times New Roman" w:hAnsi="Times New Roman" w:eastAsia="宋体" w:cs="Times New Roman"/>
                <w:color w:val="auto"/>
                <w:spacing w:val="11"/>
                <w:sz w:val="24"/>
                <w:szCs w:val="24"/>
                <w:u w:val="single" w:color="auto"/>
                <w:lang w:val="en-US" w:eastAsia="zh-CN"/>
              </w:rPr>
            </w:pPr>
            <w:r>
              <w:rPr>
                <w:rFonts w:hint="eastAsia" w:cs="Times New Roman"/>
                <w:color w:val="auto"/>
                <w:spacing w:val="11"/>
                <w:sz w:val="24"/>
                <w:szCs w:val="24"/>
                <w:u w:val="single" w:color="auto"/>
                <w:lang w:val="en-US" w:eastAsia="zh-CN"/>
              </w:rPr>
              <w:t>根据前文分析可知，本项目符合相关规范要求，选址可行；企业周边500 m范围内无其他工业企业，不存在对本项目造成冲击影响，根据后文分析可知，本项目废气、废水、噪声均能达标排放，固废均能得到合法有效的处置，对外界环境影响较小。</w:t>
            </w:r>
          </w:p>
          <w:p w14:paraId="5105F44F">
            <w:pPr>
              <w:bidi w:val="0"/>
              <w:rPr>
                <w:rFonts w:hint="eastAsia" w:ascii="Times New Roman" w:hAnsi="Times New Roman" w:eastAsia="宋体" w:cs="Times New Roman"/>
                <w:color w:val="auto"/>
                <w:spacing w:val="11"/>
                <w:sz w:val="24"/>
                <w:szCs w:val="24"/>
                <w:u w:val="none" w:color="auto"/>
                <w:lang w:val="en-US" w:eastAsia="zh-CN"/>
              </w:rPr>
            </w:pPr>
          </w:p>
          <w:p w14:paraId="513264E8">
            <w:pPr>
              <w:bidi w:val="0"/>
              <w:ind w:firstLine="480" w:firstLineChars="200"/>
              <w:rPr>
                <w:rFonts w:hint="default" w:ascii="Times New Roman" w:hAnsi="Times New Roman" w:cs="Times New Roman"/>
                <w:color w:val="FF0000"/>
                <w:u w:val="none" w:color="auto"/>
                <w:lang w:val="en-US" w:eastAsia="zh-CN"/>
              </w:rPr>
            </w:pPr>
          </w:p>
        </w:tc>
      </w:tr>
    </w:tbl>
    <w:p w14:paraId="4DF3261A">
      <w:pPr>
        <w:numPr>
          <w:ilvl w:val="0"/>
          <w:numId w:val="4"/>
        </w:numPr>
        <w:rPr>
          <w:rFonts w:hint="default" w:ascii="Times New Roman" w:hAnsi="Times New Roman" w:cs="Times New Roman"/>
          <w:color w:val="FF0000"/>
          <w:u w:val="none" w:color="auto"/>
          <w:lang w:val="en-US" w:eastAsia="zh-CN"/>
        </w:rPr>
        <w:sectPr>
          <w:headerReference r:id="rId6" w:type="default"/>
          <w:footerReference r:id="rId7"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AE79D1B">
      <w:pPr>
        <w:pStyle w:val="2"/>
        <w:bidi w:val="0"/>
        <w:ind w:firstLine="0" w:firstLineChars="0"/>
        <w:jc w:val="left"/>
        <w:rPr>
          <w:rFonts w:hint="default" w:ascii="Times New Roman" w:hAnsi="Times New Roman" w:cs="Times New Roman"/>
          <w:b/>
          <w:bCs/>
          <w:color w:val="auto"/>
          <w:u w:val="none" w:color="auto"/>
          <w:vertAlign w:val="baseline"/>
          <w:lang w:val="en-US" w:eastAsia="zh-CN"/>
        </w:rPr>
      </w:pPr>
      <w:bookmarkStart w:id="32" w:name="_Toc11526"/>
      <w:bookmarkStart w:id="33" w:name="_Toc21713"/>
      <w:bookmarkStart w:id="34" w:name="_Toc21781"/>
      <w:bookmarkStart w:id="35" w:name="_Toc21617"/>
      <w:bookmarkStart w:id="36" w:name="_Toc13826"/>
      <w:bookmarkStart w:id="37" w:name="_Toc13244"/>
      <w:bookmarkStart w:id="38" w:name="_Toc1998"/>
      <w:bookmarkStart w:id="39" w:name="_Toc18074"/>
      <w:bookmarkStart w:id="40" w:name="_Toc18710"/>
      <w:bookmarkStart w:id="41" w:name="_Toc30567"/>
      <w:bookmarkStart w:id="42" w:name="_Toc30355"/>
      <w:bookmarkStart w:id="43" w:name="_Toc26767"/>
      <w:bookmarkStart w:id="44" w:name="_Toc17825"/>
      <w:bookmarkStart w:id="45" w:name="_Toc29786"/>
      <w:bookmarkStart w:id="46" w:name="_Toc14778"/>
      <w:bookmarkStart w:id="47" w:name="_Toc14645"/>
      <w:bookmarkStart w:id="48" w:name="_Toc31588"/>
      <w:bookmarkStart w:id="49" w:name="_Toc6143"/>
      <w:bookmarkStart w:id="50" w:name="_Toc4447"/>
      <w:bookmarkStart w:id="51" w:name="_Toc2344"/>
      <w:bookmarkStart w:id="52" w:name="_Toc20034"/>
      <w:bookmarkStart w:id="53" w:name="_Toc18203"/>
      <w:bookmarkStart w:id="54" w:name="_Toc26811"/>
      <w:bookmarkStart w:id="55" w:name="_Toc9703"/>
      <w:r>
        <w:rPr>
          <w:rFonts w:hint="default" w:ascii="Times New Roman" w:hAnsi="Times New Roman" w:cs="Times New Roman"/>
          <w:b/>
          <w:bCs/>
          <w:color w:val="auto"/>
          <w:u w:val="none" w:color="auto"/>
          <w:lang w:val="en-US" w:eastAsia="zh-CN"/>
        </w:rPr>
        <w:t>二、建设项目工程分析</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8685"/>
      </w:tblGrid>
      <w:tr w14:paraId="4735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03" w:type="dxa"/>
            <w:vAlign w:val="center"/>
          </w:tcPr>
          <w:p w14:paraId="2549E4E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建设内容</w:t>
            </w:r>
          </w:p>
        </w:tc>
        <w:tc>
          <w:tcPr>
            <w:tcW w:w="8685" w:type="dxa"/>
            <w:vAlign w:val="center"/>
          </w:tcPr>
          <w:p w14:paraId="64A01278">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2.1 </w:t>
            </w:r>
            <w:r>
              <w:rPr>
                <w:rFonts w:hint="default" w:ascii="Times New Roman" w:hAnsi="Times New Roman" w:eastAsia="黑体" w:cs="Times New Roman"/>
                <w:b/>
                <w:bCs/>
                <w:color w:val="auto"/>
                <w:u w:val="none" w:color="auto"/>
                <w:lang w:val="en-US" w:eastAsia="zh-CN"/>
              </w:rPr>
              <w:t>项目由来</w:t>
            </w:r>
          </w:p>
          <w:p w14:paraId="7D4D8B22">
            <w:pPr>
              <w:snapToGrid w:val="0"/>
              <w:spacing w:line="360" w:lineRule="auto"/>
              <w:ind w:firstLine="480" w:firstLineChars="200"/>
              <w:rPr>
                <w:rFonts w:hint="default" w:ascii="Times New Roman" w:hAnsi="Times New Roman" w:eastAsia="宋体" w:cs="Times New Roman"/>
                <w:bCs/>
                <w:snapToGrid w:val="0"/>
                <w:color w:val="auto"/>
                <w:sz w:val="24"/>
                <w:u w:val="none"/>
                <w:lang w:val="en-US" w:eastAsia="zh-CN"/>
              </w:rPr>
            </w:pPr>
            <w:r>
              <w:rPr>
                <w:rFonts w:hint="eastAsia" w:ascii="Times New Roman" w:hAnsi="Times New Roman" w:eastAsia="宋体" w:cs="Times New Roman"/>
                <w:bCs/>
                <w:snapToGrid w:val="0"/>
                <w:color w:val="auto"/>
                <w:sz w:val="24"/>
                <w:u w:val="none"/>
                <w:lang w:eastAsia="zh-CN"/>
              </w:rPr>
              <w:t>溆浦县金中定点屠宰场原名“溆浦县扬立屠宰场”，溆浦县扬立屠宰场于</w:t>
            </w:r>
            <w:r>
              <w:rPr>
                <w:rFonts w:hint="eastAsia" w:ascii="Times New Roman" w:hAnsi="Times New Roman" w:eastAsia="宋体" w:cs="Times New Roman"/>
                <w:bCs/>
                <w:snapToGrid w:val="0"/>
                <w:color w:val="auto"/>
                <w:sz w:val="24"/>
                <w:u w:val="none"/>
                <w:lang w:val="en-US" w:eastAsia="zh-CN"/>
              </w:rPr>
              <w:t>2008年</w:t>
            </w:r>
            <w:r>
              <w:rPr>
                <w:rFonts w:hint="eastAsia" w:cs="Times New Roman"/>
                <w:bCs/>
                <w:snapToGrid w:val="0"/>
                <w:color w:val="auto"/>
                <w:sz w:val="24"/>
                <w:u w:val="none"/>
                <w:lang w:val="en-US" w:eastAsia="zh-CN"/>
              </w:rPr>
              <w:t>租赁溆浦县再生资源公司已建厂房，</w:t>
            </w:r>
            <w:r>
              <w:rPr>
                <w:rFonts w:hint="eastAsia" w:ascii="Times New Roman" w:hAnsi="Times New Roman" w:eastAsia="宋体" w:cs="Times New Roman"/>
                <w:bCs/>
                <w:snapToGrid w:val="0"/>
                <w:color w:val="auto"/>
                <w:sz w:val="24"/>
                <w:u w:val="none"/>
                <w:lang w:val="en-US" w:eastAsia="zh-CN"/>
              </w:rPr>
              <w:t>投资100万元建设了日屠宰200头牲猪项目（年屠宰7.</w:t>
            </w:r>
            <w:r>
              <w:rPr>
                <w:rFonts w:hint="eastAsia" w:cs="Times New Roman"/>
                <w:bCs/>
                <w:snapToGrid w:val="0"/>
                <w:color w:val="auto"/>
                <w:sz w:val="24"/>
                <w:u w:val="none"/>
                <w:lang w:val="en-US" w:eastAsia="zh-CN"/>
              </w:rPr>
              <w:t>3</w:t>
            </w:r>
            <w:r>
              <w:rPr>
                <w:rFonts w:hint="eastAsia" w:ascii="Times New Roman" w:hAnsi="Times New Roman" w:eastAsia="宋体" w:cs="Times New Roman"/>
                <w:bCs/>
                <w:snapToGrid w:val="0"/>
                <w:color w:val="auto"/>
                <w:sz w:val="24"/>
                <w:u w:val="none"/>
                <w:lang w:val="en-US" w:eastAsia="zh-CN"/>
              </w:rPr>
              <w:t>万头）。2008年8月22日，该项目办理了环评登记手续，取得环评登记表审批意见。</w:t>
            </w:r>
          </w:p>
          <w:p w14:paraId="36CB3BEF">
            <w:pPr>
              <w:snapToGrid w:val="0"/>
              <w:spacing w:line="360" w:lineRule="auto"/>
              <w:ind w:firstLine="480" w:firstLineChars="200"/>
              <w:rPr>
                <w:rFonts w:hint="default" w:ascii="Times New Roman" w:hAnsi="Times New Roman" w:eastAsia="宋体" w:cs="Times New Roman"/>
                <w:bCs/>
                <w:snapToGrid w:val="0"/>
                <w:color w:val="auto"/>
                <w:sz w:val="24"/>
                <w:u w:val="single"/>
              </w:rPr>
            </w:pPr>
            <w:r>
              <w:rPr>
                <w:rFonts w:hint="default" w:ascii="Times New Roman" w:hAnsi="Times New Roman" w:eastAsia="宋体" w:cs="Times New Roman"/>
                <w:bCs/>
                <w:snapToGrid w:val="0"/>
                <w:color w:val="auto"/>
                <w:sz w:val="24"/>
                <w:u w:val="none"/>
              </w:rPr>
              <w:t>为了保证生猪产品质量安全，保障人民身体健康，根据《生猪屠宰管理条例》</w:t>
            </w:r>
            <w:r>
              <w:rPr>
                <w:rFonts w:hint="default" w:ascii="Times New Roman" w:hAnsi="Times New Roman" w:eastAsia="宋体" w:cs="Times New Roman"/>
                <w:bCs/>
                <w:snapToGrid w:val="0"/>
                <w:color w:val="auto"/>
                <w:sz w:val="24"/>
                <w:u w:val="none"/>
                <w:lang w:eastAsia="zh-CN"/>
              </w:rPr>
              <w:t>（</w:t>
            </w:r>
            <w:r>
              <w:rPr>
                <w:rFonts w:hint="default" w:ascii="Times New Roman" w:hAnsi="Times New Roman" w:eastAsia="宋体" w:cs="Times New Roman"/>
                <w:bCs/>
                <w:snapToGrid w:val="0"/>
                <w:color w:val="auto"/>
                <w:sz w:val="24"/>
                <w:u w:val="none"/>
              </w:rPr>
              <w:t>国务院令第742号</w:t>
            </w:r>
            <w:r>
              <w:rPr>
                <w:rFonts w:hint="default" w:ascii="Times New Roman" w:hAnsi="Times New Roman" w:eastAsia="宋体" w:cs="Times New Roman"/>
                <w:bCs/>
                <w:snapToGrid w:val="0"/>
                <w:color w:val="auto"/>
                <w:sz w:val="24"/>
                <w:u w:val="none"/>
                <w:lang w:eastAsia="zh-CN"/>
              </w:rPr>
              <w:t>）</w:t>
            </w:r>
            <w:r>
              <w:rPr>
                <w:rFonts w:hint="default" w:ascii="Times New Roman" w:hAnsi="Times New Roman" w:eastAsia="宋体" w:cs="Times New Roman"/>
                <w:bCs/>
                <w:snapToGrid w:val="0"/>
                <w:color w:val="auto"/>
                <w:sz w:val="24"/>
                <w:u w:val="none"/>
              </w:rPr>
              <w:t>，为了加强生猪屠宰管理，保证生猪产品质量安全，保障人民身体健康，除农村地区个人自宰自食的不实行定点屠宰外，任何单位和个人未经定点不得从事生猪屠宰活动。国家根据生猪定点屠宰厂</w:t>
            </w:r>
            <w:r>
              <w:rPr>
                <w:rFonts w:hint="default" w:ascii="Times New Roman" w:hAnsi="Times New Roman" w:eastAsia="宋体" w:cs="Times New Roman"/>
                <w:bCs/>
                <w:snapToGrid w:val="0"/>
                <w:color w:val="auto"/>
                <w:sz w:val="24"/>
                <w:u w:val="none"/>
                <w:lang w:eastAsia="zh-CN"/>
              </w:rPr>
              <w:t>（场）</w:t>
            </w:r>
            <w:r>
              <w:rPr>
                <w:rFonts w:hint="default" w:ascii="Times New Roman" w:hAnsi="Times New Roman" w:eastAsia="宋体" w:cs="Times New Roman"/>
                <w:bCs/>
                <w:snapToGrid w:val="0"/>
                <w:color w:val="auto"/>
                <w:sz w:val="24"/>
                <w:u w:val="none"/>
              </w:rPr>
              <w:t>的规模、生产和技术条件以及质量安全管理状况，推行生猪定点屠宰厂</w:t>
            </w:r>
            <w:r>
              <w:rPr>
                <w:rFonts w:hint="default" w:ascii="Times New Roman" w:hAnsi="Times New Roman" w:eastAsia="宋体" w:cs="Times New Roman"/>
                <w:bCs/>
                <w:snapToGrid w:val="0"/>
                <w:color w:val="auto"/>
                <w:sz w:val="24"/>
                <w:u w:val="none"/>
                <w:lang w:eastAsia="zh-CN"/>
              </w:rPr>
              <w:t>（场）</w:t>
            </w:r>
            <w:r>
              <w:rPr>
                <w:rFonts w:hint="default" w:ascii="Times New Roman" w:hAnsi="Times New Roman" w:eastAsia="宋体" w:cs="Times New Roman"/>
                <w:bCs/>
                <w:snapToGrid w:val="0"/>
                <w:color w:val="auto"/>
                <w:sz w:val="24"/>
                <w:u w:val="none"/>
              </w:rPr>
              <w:t>分级管理制度，鼓励、引导、扶持生猪定点屠宰厂</w:t>
            </w:r>
            <w:r>
              <w:rPr>
                <w:rFonts w:hint="default" w:ascii="Times New Roman" w:hAnsi="Times New Roman" w:eastAsia="宋体" w:cs="Times New Roman"/>
                <w:bCs/>
                <w:snapToGrid w:val="0"/>
                <w:color w:val="auto"/>
                <w:sz w:val="24"/>
                <w:u w:val="none"/>
                <w:lang w:eastAsia="zh-CN"/>
              </w:rPr>
              <w:t>（场）</w:t>
            </w:r>
            <w:r>
              <w:rPr>
                <w:rFonts w:hint="default" w:ascii="Times New Roman" w:hAnsi="Times New Roman" w:eastAsia="宋体" w:cs="Times New Roman"/>
                <w:bCs/>
                <w:snapToGrid w:val="0"/>
                <w:color w:val="auto"/>
                <w:sz w:val="24"/>
                <w:u w:val="none"/>
              </w:rPr>
              <w:t>改善生产和技术条件，加强质量安全管理，提高生猪产品质量安全水平</w:t>
            </w:r>
            <w:r>
              <w:rPr>
                <w:rFonts w:hint="default" w:ascii="Times New Roman" w:hAnsi="Times New Roman" w:eastAsia="宋体" w:cs="Times New Roman"/>
                <w:bCs/>
                <w:snapToGrid w:val="0"/>
                <w:color w:val="auto"/>
                <w:sz w:val="24"/>
                <w:szCs w:val="24"/>
                <w:u w:val="none"/>
              </w:rPr>
              <w:t>。</w:t>
            </w:r>
            <w:r>
              <w:rPr>
                <w:sz w:val="24"/>
                <w:szCs w:val="24"/>
                <w:lang w:val="en-US"/>
              </w:rPr>
              <w:t>为</w:t>
            </w:r>
            <w:r>
              <w:rPr>
                <w:sz w:val="24"/>
                <w:szCs w:val="24"/>
                <w:highlight w:val="none"/>
                <w:lang w:val="en-US"/>
              </w:rPr>
              <w:t>适应市</w:t>
            </w:r>
            <w:r>
              <w:rPr>
                <w:color w:val="auto"/>
                <w:sz w:val="24"/>
                <w:szCs w:val="24"/>
                <w:highlight w:val="none"/>
                <w:lang w:val="en-US"/>
              </w:rPr>
              <w:t>场需求，</w:t>
            </w:r>
            <w:r>
              <w:rPr>
                <w:rFonts w:hint="eastAsia"/>
                <w:color w:val="auto"/>
                <w:sz w:val="24"/>
                <w:szCs w:val="24"/>
                <w:highlight w:val="none"/>
                <w:lang w:val="en-US" w:eastAsia="zh-CN"/>
              </w:rPr>
              <w:t>进一步满足人民日益增长的物质生活需要</w:t>
            </w:r>
            <w:r>
              <w:rPr>
                <w:rFonts w:hint="default" w:ascii="Times New Roman" w:hAnsi="Times New Roman" w:eastAsia="宋体" w:cs="Times New Roman"/>
                <w:bCs/>
                <w:snapToGrid w:val="0"/>
                <w:color w:val="auto"/>
                <w:sz w:val="24"/>
                <w:szCs w:val="24"/>
                <w:u w:val="none"/>
              </w:rPr>
              <w:t>，</w:t>
            </w:r>
            <w:r>
              <w:rPr>
                <w:rFonts w:hint="eastAsia" w:ascii="Times New Roman" w:hAnsi="Times New Roman" w:eastAsia="宋体" w:cs="Times New Roman"/>
                <w:bCs/>
                <w:snapToGrid w:val="0"/>
                <w:color w:val="auto"/>
                <w:sz w:val="24"/>
                <w:szCs w:val="24"/>
                <w:u w:val="none"/>
                <w:lang w:eastAsia="zh-CN"/>
              </w:rPr>
              <w:t>溆浦县金中定点屠宰</w:t>
            </w:r>
            <w:r>
              <w:rPr>
                <w:rFonts w:hint="eastAsia" w:ascii="Times New Roman" w:hAnsi="Times New Roman" w:eastAsia="宋体" w:cs="Times New Roman"/>
                <w:bCs/>
                <w:snapToGrid w:val="0"/>
                <w:color w:val="auto"/>
                <w:sz w:val="24"/>
                <w:u w:val="none"/>
                <w:lang w:eastAsia="zh-CN"/>
              </w:rPr>
              <w:t>场</w:t>
            </w:r>
            <w:r>
              <w:rPr>
                <w:rFonts w:hint="default" w:ascii="Times New Roman" w:hAnsi="Times New Roman" w:eastAsia="宋体" w:cs="Times New Roman"/>
                <w:bCs/>
                <w:snapToGrid w:val="0"/>
                <w:color w:val="auto"/>
                <w:sz w:val="24"/>
                <w:u w:val="none"/>
              </w:rPr>
              <w:t>拟投资</w:t>
            </w:r>
            <w:r>
              <w:rPr>
                <w:rFonts w:hint="eastAsia" w:ascii="Times New Roman" w:hAnsi="Times New Roman" w:eastAsia="宋体" w:cs="Times New Roman"/>
                <w:bCs/>
                <w:snapToGrid w:val="0"/>
                <w:color w:val="auto"/>
                <w:sz w:val="24"/>
                <w:u w:val="none"/>
                <w:lang w:val="en-US" w:eastAsia="zh-CN"/>
              </w:rPr>
              <w:t>20</w:t>
            </w:r>
            <w:r>
              <w:rPr>
                <w:rFonts w:hint="default" w:ascii="Times New Roman" w:hAnsi="Times New Roman" w:eastAsia="宋体" w:cs="Times New Roman"/>
                <w:bCs/>
                <w:snapToGrid w:val="0"/>
                <w:color w:val="auto"/>
                <w:sz w:val="24"/>
                <w:u w:val="none"/>
                <w:lang w:val="en-US" w:eastAsia="zh-CN"/>
              </w:rPr>
              <w:t>00</w:t>
            </w:r>
            <w:r>
              <w:rPr>
                <w:rFonts w:hint="default" w:ascii="Times New Roman" w:hAnsi="Times New Roman" w:eastAsia="宋体" w:cs="Times New Roman"/>
                <w:bCs/>
                <w:snapToGrid w:val="0"/>
                <w:color w:val="auto"/>
                <w:sz w:val="24"/>
                <w:u w:val="none"/>
              </w:rPr>
              <w:t>万元在怀化市溆浦县卢峰镇</w:t>
            </w:r>
            <w:r>
              <w:rPr>
                <w:rFonts w:hint="eastAsia" w:ascii="Times New Roman" w:hAnsi="Times New Roman" w:eastAsia="宋体" w:cs="Times New Roman"/>
                <w:bCs/>
                <w:snapToGrid w:val="0"/>
                <w:color w:val="auto"/>
                <w:sz w:val="24"/>
                <w:u w:val="none"/>
                <w:lang w:eastAsia="zh-CN"/>
              </w:rPr>
              <w:t>水田垅村</w:t>
            </w:r>
            <w:r>
              <w:rPr>
                <w:rFonts w:hint="default" w:ascii="Times New Roman" w:hAnsi="Times New Roman" w:eastAsia="宋体" w:cs="Times New Roman"/>
                <w:bCs/>
                <w:snapToGrid w:val="0"/>
                <w:color w:val="auto"/>
                <w:sz w:val="24"/>
                <w:u w:val="none"/>
              </w:rPr>
              <w:t>建设</w:t>
            </w:r>
            <w:r>
              <w:rPr>
                <w:rFonts w:hint="default" w:ascii="Times New Roman" w:hAnsi="Times New Roman" w:eastAsia="宋体" w:cs="Times New Roman"/>
                <w:bCs/>
                <w:snapToGrid w:val="0"/>
                <w:color w:val="auto"/>
                <w:sz w:val="24"/>
                <w:u w:val="none"/>
                <w:lang w:eastAsia="zh-CN"/>
              </w:rPr>
              <w:t>溆浦县金中定点屠宰场升级改造建设项目</w:t>
            </w:r>
            <w:r>
              <w:rPr>
                <w:rFonts w:hint="default" w:ascii="Times New Roman" w:hAnsi="Times New Roman" w:eastAsia="宋体" w:cs="Times New Roman"/>
                <w:bCs/>
                <w:snapToGrid w:val="0"/>
                <w:color w:val="auto"/>
                <w:sz w:val="24"/>
                <w:u w:val="none"/>
              </w:rPr>
              <w:t>，</w:t>
            </w:r>
            <w:r>
              <w:rPr>
                <w:rFonts w:hint="eastAsia" w:cs="Times New Roman"/>
                <w:b/>
                <w:bCs w:val="0"/>
                <w:snapToGrid w:val="0"/>
                <w:color w:val="auto"/>
                <w:sz w:val="24"/>
                <w:u w:val="none"/>
                <w:lang w:val="en-US" w:eastAsia="zh-CN"/>
              </w:rPr>
              <w:t>本项目技术改造完成后将实现</w:t>
            </w:r>
            <w:r>
              <w:rPr>
                <w:rFonts w:hint="default" w:ascii="Times New Roman" w:hAnsi="Times New Roman" w:eastAsia="宋体" w:cs="Times New Roman"/>
                <w:b/>
                <w:bCs w:val="0"/>
                <w:snapToGrid w:val="0"/>
                <w:color w:val="auto"/>
                <w:sz w:val="24"/>
                <w:u w:val="none"/>
              </w:rPr>
              <w:t>年屠宰生猪</w:t>
            </w:r>
            <w:r>
              <w:rPr>
                <w:rFonts w:hint="eastAsia" w:cs="Times New Roman"/>
                <w:b/>
                <w:bCs w:val="0"/>
                <w:snapToGrid w:val="0"/>
                <w:color w:val="auto"/>
                <w:sz w:val="24"/>
                <w:u w:val="none"/>
                <w:lang w:val="en-US" w:eastAsia="zh-CN"/>
              </w:rPr>
              <w:t>89733</w:t>
            </w:r>
            <w:r>
              <w:rPr>
                <w:rFonts w:hint="default" w:ascii="Times New Roman" w:hAnsi="Times New Roman" w:eastAsia="宋体" w:cs="Times New Roman"/>
                <w:b/>
                <w:bCs w:val="0"/>
                <w:snapToGrid w:val="0"/>
                <w:color w:val="auto"/>
                <w:sz w:val="24"/>
                <w:u w:val="none"/>
              </w:rPr>
              <w:t>头</w:t>
            </w:r>
            <w:r>
              <w:rPr>
                <w:rFonts w:hint="eastAsia" w:ascii="Times New Roman" w:hAnsi="Times New Roman" w:eastAsia="宋体" w:cs="Times New Roman"/>
                <w:b/>
                <w:bCs w:val="0"/>
                <w:snapToGrid w:val="0"/>
                <w:color w:val="auto"/>
                <w:sz w:val="24"/>
                <w:u w:val="none"/>
                <w:lang w:eastAsia="zh-CN"/>
              </w:rPr>
              <w:t>、肉牛</w:t>
            </w:r>
            <w:r>
              <w:rPr>
                <w:rFonts w:hint="eastAsia" w:cs="Times New Roman"/>
                <w:b/>
                <w:bCs w:val="0"/>
                <w:snapToGrid w:val="0"/>
                <w:color w:val="auto"/>
                <w:sz w:val="24"/>
                <w:u w:val="none"/>
                <w:lang w:val="en-US" w:eastAsia="zh-CN"/>
              </w:rPr>
              <w:t>1000</w:t>
            </w:r>
            <w:r>
              <w:rPr>
                <w:rFonts w:hint="eastAsia" w:ascii="Times New Roman" w:hAnsi="Times New Roman" w:eastAsia="宋体" w:cs="Times New Roman"/>
                <w:b/>
                <w:bCs w:val="0"/>
                <w:snapToGrid w:val="0"/>
                <w:color w:val="auto"/>
                <w:sz w:val="24"/>
                <w:u w:val="none"/>
                <w:lang w:val="en-US" w:eastAsia="zh-CN"/>
              </w:rPr>
              <w:t>头</w:t>
            </w:r>
            <w:r>
              <w:rPr>
                <w:rFonts w:hint="eastAsia" w:cs="Times New Roman"/>
                <w:b/>
                <w:bCs w:val="0"/>
                <w:snapToGrid w:val="0"/>
                <w:color w:val="auto"/>
                <w:sz w:val="24"/>
                <w:u w:val="none"/>
                <w:lang w:val="en-US" w:eastAsia="zh-CN"/>
              </w:rPr>
              <w:t>、年屠宰肉鸡1000只、年屠宰肉鸭1000只、年屠宰肉鹅1000只</w:t>
            </w:r>
            <w:r>
              <w:rPr>
                <w:rFonts w:hint="default" w:ascii="Times New Roman" w:hAnsi="Times New Roman" w:eastAsia="宋体" w:cs="Times New Roman"/>
                <w:b/>
                <w:bCs w:val="0"/>
                <w:snapToGrid w:val="0"/>
                <w:color w:val="auto"/>
                <w:sz w:val="24"/>
                <w:u w:val="none"/>
              </w:rPr>
              <w:t>。</w:t>
            </w:r>
            <w:r>
              <w:rPr>
                <w:rFonts w:hint="eastAsia" w:cs="Times New Roman"/>
                <w:bCs/>
                <w:snapToGrid w:val="0"/>
                <w:color w:val="auto"/>
                <w:sz w:val="24"/>
                <w:u w:val="single"/>
                <w:lang w:val="en-US" w:eastAsia="zh-CN"/>
              </w:rPr>
              <w:t>企业</w:t>
            </w:r>
            <w:r>
              <w:rPr>
                <w:rFonts w:hint="eastAsia" w:ascii="Times New Roman" w:hAnsi="Times New Roman" w:eastAsia="宋体" w:cs="Times New Roman"/>
                <w:bCs/>
                <w:snapToGrid w:val="0"/>
                <w:color w:val="auto"/>
                <w:sz w:val="24"/>
                <w:u w:val="single"/>
                <w:lang w:val="en-US" w:eastAsia="zh-CN"/>
              </w:rPr>
              <w:t>于2021年10月29日取得项目排污许可证（详见附件6）</w:t>
            </w:r>
            <w:r>
              <w:rPr>
                <w:rFonts w:hint="default" w:ascii="Times New Roman" w:hAnsi="Times New Roman" w:eastAsia="宋体" w:cs="Times New Roman"/>
                <w:bCs/>
                <w:snapToGrid w:val="0"/>
                <w:color w:val="auto"/>
                <w:sz w:val="24"/>
                <w:u w:val="single"/>
              </w:rPr>
              <w:t>。该项目已于</w:t>
            </w:r>
            <w:r>
              <w:rPr>
                <w:rFonts w:hint="eastAsia" w:cs="Times New Roman"/>
                <w:bCs/>
                <w:snapToGrid w:val="0"/>
                <w:color w:val="auto"/>
                <w:sz w:val="24"/>
                <w:u w:val="single"/>
                <w:lang w:val="en-US" w:eastAsia="zh-CN"/>
              </w:rPr>
              <w:t>2024年11月22日取得了溆浦县人民政府的批准（溆政[2024]80号）；企业于</w:t>
            </w:r>
            <w:r>
              <w:rPr>
                <w:rFonts w:hint="default" w:ascii="Times New Roman" w:hAnsi="Times New Roman" w:eastAsia="宋体" w:cs="Times New Roman"/>
                <w:bCs/>
                <w:snapToGrid w:val="0"/>
                <w:color w:val="auto"/>
                <w:sz w:val="24"/>
                <w:u w:val="single"/>
              </w:rPr>
              <w:t>202</w:t>
            </w:r>
            <w:r>
              <w:rPr>
                <w:rFonts w:hint="eastAsia" w:ascii="Times New Roman" w:hAnsi="Times New Roman" w:eastAsia="宋体" w:cs="Times New Roman"/>
                <w:bCs/>
                <w:snapToGrid w:val="0"/>
                <w:color w:val="auto"/>
                <w:sz w:val="24"/>
                <w:u w:val="single"/>
                <w:lang w:val="en-US" w:eastAsia="zh-CN"/>
              </w:rPr>
              <w:t>4</w:t>
            </w:r>
            <w:r>
              <w:rPr>
                <w:rFonts w:hint="default" w:ascii="Times New Roman" w:hAnsi="Times New Roman" w:eastAsia="宋体" w:cs="Times New Roman"/>
                <w:bCs/>
                <w:snapToGrid w:val="0"/>
                <w:color w:val="auto"/>
                <w:sz w:val="24"/>
                <w:u w:val="single"/>
              </w:rPr>
              <w:t>年11月2</w:t>
            </w:r>
            <w:r>
              <w:rPr>
                <w:rFonts w:hint="eastAsia" w:ascii="Times New Roman" w:hAnsi="Times New Roman" w:eastAsia="宋体" w:cs="Times New Roman"/>
                <w:bCs/>
                <w:snapToGrid w:val="0"/>
                <w:color w:val="auto"/>
                <w:sz w:val="24"/>
                <w:u w:val="single"/>
                <w:lang w:val="en-US" w:eastAsia="zh-CN"/>
              </w:rPr>
              <w:t>7</w:t>
            </w:r>
            <w:r>
              <w:rPr>
                <w:rFonts w:hint="default" w:ascii="Times New Roman" w:hAnsi="Times New Roman" w:eastAsia="宋体" w:cs="Times New Roman"/>
                <w:bCs/>
                <w:snapToGrid w:val="0"/>
                <w:color w:val="auto"/>
                <w:sz w:val="24"/>
                <w:u w:val="single"/>
              </w:rPr>
              <w:t>日在湖南省投资项目在线</w:t>
            </w:r>
            <w:r>
              <w:rPr>
                <w:rFonts w:hint="default" w:ascii="Times New Roman" w:hAnsi="Times New Roman" w:eastAsia="宋体" w:cs="Times New Roman"/>
                <w:bCs/>
                <w:snapToGrid w:val="0"/>
                <w:color w:val="auto"/>
                <w:sz w:val="24"/>
                <w:u w:val="single"/>
                <w:lang w:eastAsia="zh-CN"/>
              </w:rPr>
              <w:t>审批</w:t>
            </w:r>
            <w:r>
              <w:rPr>
                <w:rFonts w:hint="eastAsia" w:ascii="Times New Roman" w:hAnsi="Times New Roman" w:eastAsia="宋体" w:cs="Times New Roman"/>
                <w:bCs/>
                <w:snapToGrid w:val="0"/>
                <w:color w:val="auto"/>
                <w:sz w:val="24"/>
                <w:u w:val="single"/>
                <w:lang w:eastAsia="zh-CN"/>
              </w:rPr>
              <w:t>监管</w:t>
            </w:r>
            <w:r>
              <w:rPr>
                <w:rFonts w:hint="default" w:ascii="Times New Roman" w:hAnsi="Times New Roman" w:eastAsia="宋体" w:cs="Times New Roman"/>
                <w:bCs/>
                <w:snapToGrid w:val="0"/>
                <w:color w:val="auto"/>
                <w:sz w:val="24"/>
                <w:u w:val="single"/>
                <w:lang w:eastAsia="zh-CN"/>
              </w:rPr>
              <w:t>平台备案</w:t>
            </w:r>
            <w:r>
              <w:rPr>
                <w:rFonts w:hint="eastAsia" w:ascii="Times New Roman" w:hAnsi="Times New Roman" w:eastAsia="宋体" w:cs="Times New Roman"/>
                <w:bCs/>
                <w:snapToGrid w:val="0"/>
                <w:color w:val="auto"/>
                <w:sz w:val="24"/>
                <w:u w:val="single"/>
                <w:lang w:eastAsia="zh-CN"/>
              </w:rPr>
              <w:t>（</w:t>
            </w:r>
            <w:r>
              <w:rPr>
                <w:rFonts w:hint="default" w:ascii="Times New Roman" w:hAnsi="Times New Roman" w:eastAsia="宋体" w:cs="Times New Roman"/>
                <w:bCs/>
                <w:snapToGrid w:val="0"/>
                <w:color w:val="auto"/>
                <w:sz w:val="24"/>
                <w:u w:val="single"/>
                <w:lang w:eastAsia="zh-CN"/>
              </w:rPr>
              <w:t>项目代码为2411-431224-04-01-891332，详见附件</w:t>
            </w:r>
            <w:r>
              <w:rPr>
                <w:rFonts w:hint="eastAsia" w:ascii="Times New Roman" w:hAnsi="Times New Roman" w:eastAsia="宋体" w:cs="Times New Roman"/>
                <w:bCs/>
                <w:snapToGrid w:val="0"/>
                <w:color w:val="auto"/>
                <w:sz w:val="24"/>
                <w:u w:val="single"/>
                <w:lang w:val="en-US" w:eastAsia="zh-CN"/>
              </w:rPr>
              <w:t>5</w:t>
            </w:r>
            <w:r>
              <w:rPr>
                <w:rFonts w:hint="eastAsia" w:ascii="Times New Roman" w:hAnsi="Times New Roman" w:eastAsia="宋体" w:cs="Times New Roman"/>
                <w:bCs/>
                <w:snapToGrid w:val="0"/>
                <w:color w:val="auto"/>
                <w:sz w:val="24"/>
                <w:u w:val="single"/>
                <w:lang w:eastAsia="zh-CN"/>
              </w:rPr>
              <w:t>）</w:t>
            </w:r>
            <w:r>
              <w:rPr>
                <w:rFonts w:hint="eastAsia" w:cs="Times New Roman"/>
                <w:bCs/>
                <w:snapToGrid w:val="0"/>
                <w:color w:val="auto"/>
                <w:sz w:val="24"/>
                <w:u w:val="single"/>
                <w:lang w:eastAsia="zh-CN"/>
              </w:rPr>
              <w:t>；</w:t>
            </w:r>
            <w:r>
              <w:rPr>
                <w:rFonts w:hint="eastAsia" w:cs="Times New Roman"/>
                <w:bCs/>
                <w:snapToGrid w:val="0"/>
                <w:color w:val="auto"/>
                <w:sz w:val="24"/>
                <w:u w:val="single"/>
                <w:lang w:val="en-US" w:eastAsia="zh-CN"/>
              </w:rPr>
              <w:t>2024年12月10日，怀化市农业农村局对本项目进行了核查（怀农[2024]41号）；2024年12月13日，怀化市人民政府同意本项目的建设（怀政函[2024]134号）</w:t>
            </w:r>
            <w:r>
              <w:rPr>
                <w:rFonts w:hint="default" w:ascii="Times New Roman" w:hAnsi="Times New Roman" w:eastAsia="宋体" w:cs="Times New Roman"/>
                <w:bCs/>
                <w:snapToGrid w:val="0"/>
                <w:color w:val="auto"/>
                <w:sz w:val="24"/>
                <w:u w:val="single"/>
                <w:lang w:eastAsia="zh-CN"/>
              </w:rPr>
              <w:t>。</w:t>
            </w:r>
          </w:p>
          <w:p w14:paraId="7559C20F">
            <w:pPr>
              <w:snapToGrid w:val="0"/>
              <w:spacing w:line="360" w:lineRule="auto"/>
              <w:ind w:firstLine="480" w:firstLineChars="200"/>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pPr>
            <w:bookmarkStart w:id="56" w:name="OLE_LINK221"/>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根据国家环境保护政策及主管部门要求，建设单位</w:t>
            </w:r>
            <w:r>
              <w:rPr>
                <w:rFonts w:hint="default" w:ascii="Times New Roman" w:hAnsi="Times New Roman" w:cs="Times New Roman"/>
                <w:bCs/>
                <w:snapToGrid w:val="0"/>
                <w:color w:val="000000" w:themeColor="text1"/>
                <w:u w:val="single" w:color="auto"/>
                <w:lang w:val="en-US" w:eastAsia="zh-CN"/>
                <w14:textFill>
                  <w14:solidFill>
                    <w14:schemeClr w14:val="tx1"/>
                  </w14:solidFill>
                </w14:textFill>
              </w:rPr>
              <w:t>拟投资</w:t>
            </w:r>
            <w:r>
              <w:rPr>
                <w:rFonts w:hint="default" w:cs="Times New Roman"/>
                <w:bCs/>
                <w:snapToGrid w:val="0"/>
                <w:color w:val="000000" w:themeColor="text1"/>
                <w:u w:val="single" w:color="auto"/>
                <w:lang w:val="en-US" w:eastAsia="zh-CN"/>
                <w14:textFill>
                  <w14:solidFill>
                    <w14:schemeClr w14:val="tx1"/>
                  </w14:solidFill>
                </w14:textFill>
              </w:rPr>
              <w:t>2000</w:t>
            </w:r>
            <w:r>
              <w:rPr>
                <w:rFonts w:hint="default" w:ascii="Times New Roman" w:hAnsi="Times New Roman" w:cs="Times New Roman"/>
                <w:bCs/>
                <w:snapToGrid w:val="0"/>
                <w:color w:val="000000" w:themeColor="text1"/>
                <w:u w:val="single" w:color="auto"/>
                <w:lang w:val="en-US" w:eastAsia="zh-CN"/>
                <w14:textFill>
                  <w14:solidFill>
                    <w14:schemeClr w14:val="tx1"/>
                  </w14:solidFill>
                </w14:textFill>
              </w:rPr>
              <w:t>万元</w:t>
            </w:r>
            <w:r>
              <w:rPr>
                <w:rFonts w:hint="default" w:cs="Times New Roman"/>
                <w:bCs/>
                <w:snapToGrid w:val="0"/>
                <w:color w:val="000000" w:themeColor="text1"/>
                <w:u w:val="single" w:color="auto"/>
                <w:lang w:val="en-US" w:eastAsia="zh-CN"/>
                <w14:textFill>
                  <w14:solidFill>
                    <w14:schemeClr w14:val="tx1"/>
                  </w14:solidFill>
                </w14:textFill>
              </w:rPr>
              <w:t>在</w:t>
            </w:r>
            <w:r>
              <w:rPr>
                <w:rFonts w:hint="eastAsia" w:cs="Times New Roman"/>
                <w:bCs/>
                <w:snapToGrid w:val="0"/>
                <w:color w:val="000000" w:themeColor="text1"/>
                <w:u w:val="single"/>
                <w:lang w:val="en-US" w:eastAsia="zh-CN"/>
                <w14:textFill>
                  <w14:solidFill>
                    <w14:schemeClr w14:val="tx1"/>
                  </w14:solidFill>
                </w14:textFill>
              </w:rPr>
              <w:t>原厂区</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进行升级改造，</w:t>
            </w:r>
            <w:r>
              <w:rPr>
                <w:rFonts w:hint="default" w:cs="Times New Roman"/>
                <w:bCs/>
                <w:snapToGrid w:val="0"/>
                <w:color w:val="000000" w:themeColor="text1"/>
                <w:u w:val="single" w:color="auto"/>
                <w:lang w:val="en-US" w:eastAsia="zh-CN"/>
                <w14:textFill>
                  <w14:solidFill>
                    <w14:schemeClr w14:val="tx1"/>
                  </w14:solidFill>
                </w14:textFill>
              </w:rPr>
              <w:t>拆除现有厂房</w:t>
            </w:r>
            <w:r>
              <w:rPr>
                <w:rFonts w:hint="eastAsia" w:cs="Times New Roman"/>
                <w:bCs/>
                <w:snapToGrid w:val="0"/>
                <w:color w:val="000000" w:themeColor="text1"/>
                <w:u w:val="single"/>
                <w:lang w:val="en-US" w:eastAsia="zh-CN"/>
                <w14:textFill>
                  <w14:solidFill>
                    <w14:schemeClr w14:val="tx1"/>
                  </w14:solidFill>
                </w14:textFill>
              </w:rPr>
              <w:t>并</w:t>
            </w:r>
            <w:r>
              <w:rPr>
                <w:rFonts w:hint="default" w:cs="Times New Roman"/>
                <w:bCs/>
                <w:snapToGrid w:val="0"/>
                <w:color w:val="000000" w:themeColor="text1"/>
                <w:u w:val="single" w:color="auto"/>
                <w:lang w:val="en-US" w:eastAsia="zh-CN"/>
                <w14:textFill>
                  <w14:solidFill>
                    <w14:schemeClr w14:val="tx1"/>
                  </w14:solidFill>
                </w14:textFill>
              </w:rPr>
              <w:t>重建，</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淘汰</w:t>
            </w:r>
            <w:r>
              <w:rPr>
                <w:rFonts w:hint="eastAsia" w:cs="Times New Roman"/>
                <w:bCs/>
                <w:snapToGrid w:val="0"/>
                <w:color w:val="000000" w:themeColor="text1"/>
                <w:sz w:val="24"/>
                <w:u w:val="single"/>
                <w:lang w:eastAsia="zh-CN"/>
                <w14:textFill>
                  <w14:solidFill>
                    <w14:schemeClr w14:val="tx1"/>
                  </w14:solidFill>
                </w14:textFill>
              </w:rPr>
              <w:t>现有</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燃煤锅炉，更换为</w:t>
            </w:r>
            <w:r>
              <w:rPr>
                <w:rFonts w:hint="default" w:ascii="Times New Roman" w:hAnsi="Times New Roman" w:eastAsia="宋体" w:cs="Times New Roman"/>
                <w:bCs/>
                <w:snapToGrid w:val="0"/>
                <w:color w:val="000000" w:themeColor="text1"/>
                <w:sz w:val="24"/>
                <w:u w:val="single"/>
                <w:lang w:val="en-US" w:eastAsia="zh-CN"/>
                <w14:textFill>
                  <w14:solidFill>
                    <w14:schemeClr w14:val="tx1"/>
                  </w14:solidFill>
                </w14:textFill>
              </w:rPr>
              <w:t>电</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锅炉，</w:t>
            </w:r>
            <w:r>
              <w:rPr>
                <w:rFonts w:hint="default" w:cs="Times New Roman"/>
                <w:bCs/>
                <w:snapToGrid w:val="0"/>
                <w:color w:val="000000" w:themeColor="text1"/>
                <w:u w:val="single" w:color="auto"/>
                <w:lang w:val="en-US" w:eastAsia="zh-CN"/>
                <w14:textFill>
                  <w14:solidFill>
                    <w14:schemeClr w14:val="tx1"/>
                  </w14:solidFill>
                </w14:textFill>
              </w:rPr>
              <w:t>升级改造现有废水处理设施，</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更改给水处理工艺</w:t>
            </w:r>
            <w:r>
              <w:rPr>
                <w:rFonts w:hint="default" w:cs="Times New Roman"/>
                <w:bCs/>
                <w:snapToGrid w:val="0"/>
                <w:color w:val="000000" w:themeColor="text1"/>
                <w:sz w:val="24"/>
                <w:u w:val="single"/>
                <w:lang w:val="en-US" w:eastAsia="zh-CN"/>
                <w14:textFill>
                  <w14:solidFill>
                    <w14:schemeClr w14:val="tx1"/>
                  </w14:solidFill>
                </w14:textFill>
              </w:rPr>
              <w:t>并</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将原有脱毛机更新（备用），</w:t>
            </w:r>
            <w:r>
              <w:rPr>
                <w:rFonts w:hint="eastAsia" w:cs="Times New Roman"/>
                <w:bCs/>
                <w:snapToGrid w:val="0"/>
                <w:color w:val="000000" w:themeColor="text1"/>
                <w:sz w:val="24"/>
                <w:u w:val="single"/>
                <w:lang w:eastAsia="zh-CN"/>
                <w14:textFill>
                  <w14:solidFill>
                    <w14:schemeClr w14:val="tx1"/>
                  </w14:solidFill>
                </w14:textFill>
              </w:rPr>
              <w:t>同时</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新增一台脱毛机，其余设备</w:t>
            </w:r>
            <w:r>
              <w:rPr>
                <w:rFonts w:hint="default" w:cs="Times New Roman"/>
                <w:bCs/>
                <w:snapToGrid w:val="0"/>
                <w:color w:val="000000" w:themeColor="text1"/>
                <w:sz w:val="24"/>
                <w:u w:val="single"/>
                <w:lang w:val="en-US" w:eastAsia="zh-CN"/>
                <w14:textFill>
                  <w14:solidFill>
                    <w14:schemeClr w14:val="tx1"/>
                  </w14:solidFill>
                </w14:textFill>
              </w:rPr>
              <w:t>均进行更新，更新后的设备类型、数量不变</w:t>
            </w:r>
            <w:r>
              <w:rPr>
                <w:rFonts w:hint="default" w:ascii="Times New Roman" w:hAnsi="Times New Roman" w:eastAsia="宋体" w:cs="Times New Roman"/>
                <w:bCs/>
                <w:snapToGrid w:val="0"/>
                <w:color w:val="000000" w:themeColor="text1"/>
                <w:sz w:val="24"/>
                <w:u w:val="single"/>
                <w:lang w:eastAsia="zh-CN"/>
                <w14:textFill>
                  <w14:solidFill>
                    <w14:schemeClr w14:val="tx1"/>
                  </w14:solidFill>
                </w14:textFill>
              </w:rPr>
              <w:t>。</w:t>
            </w:r>
          </w:p>
          <w:bookmarkEnd w:id="56"/>
          <w:p w14:paraId="53F73B04">
            <w:pPr>
              <w:bidi w:val="0"/>
              <w:rPr>
                <w:rFonts w:hint="default" w:ascii="Times New Roman" w:hAnsi="Times New Roman" w:cs="Times New Roman"/>
                <w:color w:val="auto"/>
                <w:highlight w:val="yellow"/>
                <w:u w:val="none" w:color="auto"/>
                <w:lang w:val="en-US" w:eastAsia="zh-CN"/>
              </w:rPr>
            </w:pPr>
            <w:r>
              <w:rPr>
                <w:rFonts w:hint="default" w:ascii="Times New Roman" w:hAnsi="Times New Roman" w:cs="Times New Roman"/>
                <w:color w:val="auto"/>
                <w:u w:val="none" w:color="auto"/>
                <w:lang w:val="en-US" w:eastAsia="zh-CN"/>
              </w:rPr>
              <w:t>根据《中华人民共和国环境保护法》（2015年1月1日）、《中华人民共和国环境影响评价法》（2018年12月29日）的有关规定，对环境存在影响的新建、改建、扩建项目应当进行环境影响评价。根据《建设项目环境影响评价分类管理名录》（2021年版），本项目</w:t>
            </w:r>
            <w:r>
              <w:rPr>
                <w:rFonts w:hint="eastAsia"/>
                <w:color w:val="auto"/>
                <w:lang w:eastAsia="zh-CN"/>
              </w:rPr>
              <w:t>属于</w:t>
            </w:r>
            <w:r>
              <w:rPr>
                <w:rFonts w:hint="default" w:ascii="Times New Roman" w:hAnsi="Times New Roman" w:cs="Times New Roman"/>
                <w:color w:val="auto"/>
                <w:u w:val="none" w:color="auto"/>
                <w:lang w:val="en-US" w:eastAsia="zh-CN"/>
              </w:rPr>
              <w:t>“</w:t>
            </w:r>
            <w:r>
              <w:rPr>
                <w:rFonts w:hint="eastAsia"/>
                <w:color w:val="auto"/>
                <w:sz w:val="24"/>
                <w:u w:val="none" w:color="auto"/>
                <w:lang w:val="en-US" w:eastAsia="zh-CN"/>
              </w:rPr>
              <w:t>十、农副食品加工业13、屠宰及肉类加工135*</w:t>
            </w:r>
            <w:r>
              <w:rPr>
                <w:rFonts w:hint="default" w:ascii="Times New Roman" w:hAnsi="Times New Roman" w:cs="Times New Roman"/>
                <w:color w:val="auto"/>
                <w:u w:val="none" w:color="auto"/>
                <w:lang w:val="en-US" w:eastAsia="zh-CN"/>
              </w:rPr>
              <w:t>”中的“</w:t>
            </w:r>
            <w:r>
              <w:rPr>
                <w:rFonts w:hint="eastAsia" w:cs="Times New Roman"/>
                <w:color w:val="auto"/>
                <w:u w:val="none" w:color="auto"/>
                <w:lang w:val="en-US" w:eastAsia="zh-CN"/>
              </w:rPr>
              <w:t>其他屠宰</w:t>
            </w:r>
            <w:r>
              <w:rPr>
                <w:rFonts w:hint="default" w:ascii="Times New Roman" w:hAnsi="Times New Roman" w:cs="Times New Roman"/>
                <w:color w:val="auto"/>
                <w:u w:val="none" w:color="auto"/>
                <w:lang w:val="en-US" w:eastAsia="zh-CN"/>
              </w:rPr>
              <w:t>”，需编制环境影响报告表。</w:t>
            </w:r>
          </w:p>
          <w:p w14:paraId="702002F3">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受</w:t>
            </w:r>
            <w:r>
              <w:rPr>
                <w:rFonts w:hint="eastAsia" w:cs="Times New Roman"/>
                <w:color w:val="auto"/>
                <w:u w:val="none" w:color="auto"/>
                <w:lang w:val="en-US" w:eastAsia="zh-CN"/>
              </w:rPr>
              <w:t>溆浦县金中定点屠宰场</w:t>
            </w:r>
            <w:r>
              <w:rPr>
                <w:rFonts w:hint="default" w:ascii="Times New Roman" w:hAnsi="Times New Roman" w:cs="Times New Roman"/>
                <w:color w:val="auto"/>
                <w:u w:val="none" w:color="auto"/>
                <w:lang w:val="en-US" w:eastAsia="zh-CN"/>
              </w:rPr>
              <w:t>委托，</w:t>
            </w:r>
            <w:r>
              <w:rPr>
                <w:rFonts w:hint="eastAsia" w:cs="Times New Roman"/>
                <w:color w:val="auto"/>
                <w:u w:val="none" w:color="auto"/>
                <w:lang w:val="en-US" w:eastAsia="zh-CN"/>
              </w:rPr>
              <w:t>我司</w:t>
            </w:r>
            <w:r>
              <w:rPr>
                <w:rFonts w:hint="default" w:ascii="Times New Roman" w:hAnsi="Times New Roman" w:cs="Times New Roman"/>
                <w:color w:val="auto"/>
                <w:u w:val="none" w:color="auto"/>
                <w:lang w:val="en-US" w:eastAsia="zh-CN"/>
              </w:rPr>
              <w:t>承担本项目的环境影响评价工作。我单位接受委托后立即对项目进行现场踏勘，收集相关资料，按照《建设项目环境影响报告表编制技术指南（污染影响类）（试行）》及相关技术规范要求，编制了该项目的环境影响报告表。</w:t>
            </w:r>
          </w:p>
          <w:p w14:paraId="13672ECC">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w:t>
            </w:r>
            <w:r>
              <w:rPr>
                <w:rFonts w:hint="eastAsia" w:cs="Times New Roman"/>
                <w:b/>
                <w:bCs/>
                <w:color w:val="auto"/>
                <w:u w:val="none" w:color="auto"/>
                <w:lang w:val="en-US" w:eastAsia="zh-CN"/>
              </w:rPr>
              <w:t>2</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项目建设内容</w:t>
            </w:r>
          </w:p>
          <w:p w14:paraId="381C012F">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2.2.1</w:t>
            </w:r>
            <w:r>
              <w:rPr>
                <w:rFonts w:hint="default" w:ascii="Times New Roman" w:hAnsi="Times New Roman" w:eastAsia="黑体" w:cs="Times New Roman"/>
                <w:b/>
                <w:bCs/>
                <w:color w:val="auto"/>
                <w:u w:val="none" w:color="auto"/>
                <w:lang w:val="en-US" w:eastAsia="zh-CN"/>
              </w:rPr>
              <w:t>项目工程建设内容及规模</w:t>
            </w:r>
          </w:p>
          <w:p w14:paraId="59A28748">
            <w:pPr>
              <w:pStyle w:val="7"/>
              <w:rPr>
                <w:rFonts w:hint="default" w:eastAsia="宋体"/>
                <w:color w:val="auto"/>
                <w:lang w:val="en-US" w:eastAsia="zh-CN"/>
              </w:rPr>
            </w:pPr>
            <w:r>
              <w:rPr>
                <w:rFonts w:hint="eastAsia" w:cs="Times New Roman"/>
                <w:color w:val="auto"/>
                <w:u w:val="none" w:color="auto"/>
                <w:lang w:val="en-US" w:eastAsia="zh-CN"/>
              </w:rPr>
              <w:t>溆浦县金中定点屠宰场</w:t>
            </w:r>
            <w:r>
              <w:rPr>
                <w:rFonts w:hint="default" w:ascii="Times New Roman" w:hAnsi="Times New Roman" w:cs="Times New Roman"/>
                <w:color w:val="auto"/>
                <w:u w:val="none" w:color="auto"/>
                <w:lang w:val="en-US" w:eastAsia="zh-CN"/>
              </w:rPr>
              <w:t>位于湖南省</w:t>
            </w:r>
            <w:r>
              <w:rPr>
                <w:rFonts w:hint="eastAsia" w:ascii="Times New Roman" w:hAnsi="Times New Roman" w:eastAsia="宋体" w:cs="Times New Roman"/>
                <w:color w:val="auto"/>
                <w:sz w:val="24"/>
                <w:u w:val="none"/>
                <w:lang w:eastAsia="zh-CN"/>
              </w:rPr>
              <w:t>怀化市</w:t>
            </w:r>
            <w:r>
              <w:rPr>
                <w:rFonts w:hint="default" w:ascii="Times New Roman" w:hAnsi="Times New Roman" w:eastAsia="宋体" w:cs="Times New Roman"/>
                <w:color w:val="auto"/>
                <w:sz w:val="24"/>
                <w:u w:val="none"/>
                <w:lang w:eastAsia="zh-CN"/>
              </w:rPr>
              <w:t>溆浦县卢峰镇</w:t>
            </w:r>
            <w:r>
              <w:rPr>
                <w:rFonts w:hint="eastAsia" w:ascii="Times New Roman" w:hAnsi="Times New Roman" w:eastAsia="宋体" w:cs="Times New Roman"/>
                <w:color w:val="auto"/>
                <w:sz w:val="24"/>
                <w:u w:val="none"/>
                <w:lang w:eastAsia="zh-CN"/>
              </w:rPr>
              <w:t>水田垅村</w:t>
            </w:r>
            <w:r>
              <w:rPr>
                <w:rFonts w:hint="default" w:ascii="Times New Roman" w:hAnsi="Times New Roman" w:cs="Times New Roman"/>
                <w:color w:val="auto"/>
                <w:u w:val="none" w:color="auto"/>
                <w:lang w:val="en-US" w:eastAsia="zh-CN"/>
              </w:rPr>
              <w:t>，本项目在</w:t>
            </w:r>
            <w:r>
              <w:rPr>
                <w:rFonts w:hint="eastAsia" w:cs="Times New Roman"/>
                <w:color w:val="auto"/>
                <w:u w:val="none" w:color="auto"/>
                <w:lang w:val="en-US" w:eastAsia="zh-CN"/>
              </w:rPr>
              <w:t>溆浦县金中定点屠宰场现</w:t>
            </w:r>
            <w:r>
              <w:rPr>
                <w:rFonts w:hint="eastAsia" w:cs="Times New Roman"/>
                <w:color w:val="auto"/>
                <w:sz w:val="24"/>
                <w:szCs w:val="24"/>
                <w:u w:val="none" w:color="auto"/>
                <w:lang w:val="en-US" w:eastAsia="zh-CN"/>
              </w:rPr>
              <w:t>有厂区内进行技术改造</w:t>
            </w:r>
            <w:r>
              <w:rPr>
                <w:rFonts w:hint="eastAsia"/>
                <w:color w:val="auto"/>
                <w:lang w:val="en-US" w:eastAsia="zh-CN"/>
              </w:rPr>
              <w:t>。</w:t>
            </w:r>
          </w:p>
          <w:p w14:paraId="246C77E4">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项目主要建设内容详见下表。</w:t>
            </w:r>
          </w:p>
          <w:p w14:paraId="60ACBD05">
            <w:pPr>
              <w:bidi w:val="0"/>
              <w:ind w:left="0" w:leftChars="0" w:firstLine="0" w:firstLineChars="0"/>
              <w:jc w:val="center"/>
              <w:rPr>
                <w:color w:val="auto"/>
              </w:rPr>
            </w:pPr>
            <w:r>
              <w:rPr>
                <w:rFonts w:hint="default" w:ascii="Times New Roman" w:hAnsi="Times New Roman" w:cs="Times New Roman"/>
                <w:color w:val="auto"/>
                <w:u w:val="none" w:color="auto"/>
                <w:lang w:val="en-US" w:eastAsia="zh-CN"/>
              </w:rPr>
              <w:t>表2.2-1 项目建设内容一览表</w:t>
            </w:r>
          </w:p>
          <w:tbl>
            <w:tblPr>
              <w:tblStyle w:val="23"/>
              <w:tblW w:w="8459"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588"/>
              <w:gridCol w:w="1141"/>
              <w:gridCol w:w="2365"/>
              <w:gridCol w:w="2200"/>
              <w:gridCol w:w="1475"/>
            </w:tblGrid>
            <w:tr w14:paraId="4049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419" w:type="dxa"/>
                  <w:gridSpan w:val="3"/>
                  <w:vMerge w:val="restart"/>
                  <w:vAlign w:val="center"/>
                </w:tcPr>
                <w:p w14:paraId="07D873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项目组成</w:t>
                  </w:r>
                </w:p>
              </w:tc>
              <w:tc>
                <w:tcPr>
                  <w:tcW w:w="4565" w:type="dxa"/>
                  <w:gridSpan w:val="2"/>
                  <w:vAlign w:val="center"/>
                </w:tcPr>
                <w:p w14:paraId="322FD2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建设内容</w:t>
                  </w:r>
                </w:p>
              </w:tc>
              <w:tc>
                <w:tcPr>
                  <w:tcW w:w="1475" w:type="dxa"/>
                  <w:vMerge w:val="restart"/>
                  <w:vAlign w:val="center"/>
                </w:tcPr>
                <w:p w14:paraId="326F79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备注</w:t>
                  </w:r>
                </w:p>
              </w:tc>
            </w:tr>
            <w:tr w14:paraId="654C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419" w:type="dxa"/>
                  <w:gridSpan w:val="3"/>
                  <w:vMerge w:val="continue"/>
                  <w:vAlign w:val="center"/>
                </w:tcPr>
                <w:p w14:paraId="2DBF69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u w:val="single" w:color="auto"/>
                    </w:rPr>
                  </w:pPr>
                </w:p>
              </w:tc>
              <w:tc>
                <w:tcPr>
                  <w:tcW w:w="2365" w:type="dxa"/>
                  <w:vAlign w:val="center"/>
                </w:tcPr>
                <w:p w14:paraId="675577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技改前</w:t>
                  </w:r>
                </w:p>
              </w:tc>
              <w:tc>
                <w:tcPr>
                  <w:tcW w:w="2200" w:type="dxa"/>
                  <w:vAlign w:val="center"/>
                </w:tcPr>
                <w:p w14:paraId="522536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技改</w:t>
                  </w:r>
                  <w:r>
                    <w:rPr>
                      <w:rFonts w:hint="default" w:ascii="Times New Roman" w:hAnsi="Times New Roman" w:cs="Times New Roman"/>
                      <w:color w:val="auto"/>
                      <w:sz w:val="21"/>
                      <w:szCs w:val="21"/>
                      <w:u w:val="single" w:color="auto"/>
                      <w:vertAlign w:val="baseline"/>
                      <w:lang w:val="en-US" w:eastAsia="zh-CN"/>
                    </w:rPr>
                    <w:t>后</w:t>
                  </w:r>
                </w:p>
              </w:tc>
              <w:tc>
                <w:tcPr>
                  <w:tcW w:w="1475" w:type="dxa"/>
                  <w:vMerge w:val="continue"/>
                  <w:vAlign w:val="center"/>
                </w:tcPr>
                <w:p w14:paraId="2A0BD1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tr w14:paraId="0525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690" w:type="dxa"/>
                  <w:vMerge w:val="restart"/>
                  <w:vAlign w:val="center"/>
                </w:tcPr>
                <w:p w14:paraId="2889D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主体工程</w:t>
                  </w:r>
                </w:p>
              </w:tc>
              <w:tc>
                <w:tcPr>
                  <w:tcW w:w="1729" w:type="dxa"/>
                  <w:gridSpan w:val="2"/>
                  <w:vAlign w:val="center"/>
                </w:tcPr>
                <w:p w14:paraId="7182F8E2">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生产车间</w:t>
                  </w:r>
                </w:p>
              </w:tc>
              <w:tc>
                <w:tcPr>
                  <w:tcW w:w="2365" w:type="dxa"/>
                  <w:vAlign w:val="center"/>
                </w:tcPr>
                <w:p w14:paraId="1BCD0C0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kern w:val="2"/>
                      <w:sz w:val="21"/>
                      <w:szCs w:val="21"/>
                      <w:u w:val="single" w:color="auto"/>
                      <w:lang w:val="en-US" w:eastAsia="zh-CN" w:bidi="ar"/>
                    </w:rPr>
                    <w:t>1</w:t>
                  </w:r>
                  <w:r>
                    <w:rPr>
                      <w:rFonts w:hint="eastAsia" w:ascii="Times New Roman" w:hAnsi="Times New Roman" w:eastAsia="宋体" w:cs="Times New Roman"/>
                      <w:color w:val="auto"/>
                      <w:kern w:val="2"/>
                      <w:sz w:val="21"/>
                      <w:szCs w:val="21"/>
                      <w:u w:val="single" w:color="auto"/>
                      <w:lang w:val="en-US" w:eastAsia="zh-CN" w:bidi="ar"/>
                    </w:rPr>
                    <w:t xml:space="preserve"> </w:t>
                  </w:r>
                  <w:r>
                    <w:rPr>
                      <w:rFonts w:hint="default" w:ascii="Times New Roman" w:hAnsi="Times New Roman" w:eastAsia="宋体" w:cs="Times New Roman"/>
                      <w:color w:val="auto"/>
                      <w:kern w:val="2"/>
                      <w:sz w:val="21"/>
                      <w:szCs w:val="21"/>
                      <w:u w:val="single" w:color="auto"/>
                      <w:lang w:val="en-US" w:eastAsia="zh-CN" w:bidi="ar"/>
                    </w:rPr>
                    <w:t>F，</w:t>
                  </w:r>
                  <w:r>
                    <w:rPr>
                      <w:rFonts w:hint="eastAsia" w:cs="Times New Roman"/>
                      <w:color w:val="auto"/>
                      <w:kern w:val="2"/>
                      <w:sz w:val="21"/>
                      <w:szCs w:val="21"/>
                      <w:u w:val="single" w:color="auto"/>
                      <w:lang w:val="en-US" w:eastAsia="zh-CN" w:bidi="ar"/>
                    </w:rPr>
                    <w:t>砖混</w:t>
                  </w:r>
                  <w:r>
                    <w:rPr>
                      <w:rFonts w:hint="default" w:ascii="Times New Roman" w:hAnsi="Times New Roman" w:eastAsia="宋体" w:cs="Times New Roman"/>
                      <w:color w:val="auto"/>
                      <w:kern w:val="2"/>
                      <w:sz w:val="21"/>
                      <w:szCs w:val="21"/>
                      <w:u w:val="single" w:color="auto"/>
                      <w:lang w:val="en-US" w:eastAsia="zh-CN" w:bidi="ar"/>
                    </w:rPr>
                    <w:t>结构，占地面积</w:t>
                  </w:r>
                  <w:r>
                    <w:rPr>
                      <w:rFonts w:hint="eastAsia" w:cs="Times New Roman"/>
                      <w:color w:val="auto"/>
                      <w:kern w:val="2"/>
                      <w:sz w:val="21"/>
                      <w:szCs w:val="21"/>
                      <w:u w:val="single" w:color="auto"/>
                      <w:lang w:val="en-US" w:eastAsia="zh-CN" w:bidi="ar"/>
                    </w:rPr>
                    <w:t>1350</w:t>
                  </w:r>
                  <w:r>
                    <w:rPr>
                      <w:rFonts w:hint="eastAsia" w:ascii="Times New Roman" w:hAnsi="Times New Roman" w:eastAsia="宋体" w:cs="Times New Roman"/>
                      <w:color w:val="auto"/>
                      <w:kern w:val="2"/>
                      <w:sz w:val="21"/>
                      <w:szCs w:val="21"/>
                      <w:u w:val="single" w:color="auto"/>
                      <w:lang w:val="en-US" w:eastAsia="zh-CN" w:bidi="ar"/>
                    </w:rPr>
                    <w:t xml:space="preserve"> </w:t>
                  </w:r>
                  <w:r>
                    <w:rPr>
                      <w:rFonts w:hint="default" w:ascii="Times New Roman" w:hAnsi="Times New Roman" w:eastAsia="宋体" w:cs="Times New Roman"/>
                      <w:color w:val="auto"/>
                      <w:kern w:val="2"/>
                      <w:sz w:val="21"/>
                      <w:szCs w:val="21"/>
                      <w:u w:val="single" w:color="auto"/>
                      <w:lang w:val="en-US" w:eastAsia="zh-CN" w:bidi="ar"/>
                    </w:rPr>
                    <w:t>m</w:t>
                  </w:r>
                  <w:r>
                    <w:rPr>
                      <w:rFonts w:hint="default" w:ascii="Times New Roman" w:hAnsi="Times New Roman" w:eastAsia="宋体" w:cs="Times New Roman"/>
                      <w:color w:val="auto"/>
                      <w:kern w:val="2"/>
                      <w:sz w:val="21"/>
                      <w:szCs w:val="21"/>
                      <w:u w:val="single" w:color="auto"/>
                      <w:vertAlign w:val="superscript"/>
                      <w:lang w:val="en-US" w:eastAsia="zh-CN" w:bidi="ar"/>
                    </w:rPr>
                    <w:t>2</w:t>
                  </w:r>
                  <w:r>
                    <w:rPr>
                      <w:rFonts w:hint="default" w:ascii="Times New Roman" w:hAnsi="Times New Roman" w:eastAsia="宋体" w:cs="Times New Roman"/>
                      <w:color w:val="auto"/>
                      <w:kern w:val="2"/>
                      <w:sz w:val="21"/>
                      <w:szCs w:val="21"/>
                      <w:u w:val="single" w:color="auto"/>
                      <w:lang w:val="en-US" w:eastAsia="zh-CN" w:bidi="ar"/>
                    </w:rPr>
                    <w:t>，主要</w:t>
                  </w:r>
                  <w:r>
                    <w:rPr>
                      <w:rFonts w:hint="eastAsia" w:cs="Times New Roman"/>
                      <w:color w:val="auto"/>
                      <w:kern w:val="2"/>
                      <w:sz w:val="21"/>
                      <w:szCs w:val="21"/>
                      <w:u w:val="single" w:color="auto"/>
                      <w:lang w:val="en-US" w:eastAsia="zh-CN" w:bidi="ar"/>
                    </w:rPr>
                    <w:t>布置</w:t>
                  </w:r>
                  <w:r>
                    <w:rPr>
                      <w:rFonts w:hint="default" w:ascii="Times New Roman" w:hAnsi="Times New Roman" w:cs="Times New Roman" w:eastAsiaTheme="minorEastAsia"/>
                      <w:color w:val="auto"/>
                      <w:spacing w:val="8"/>
                      <w:sz w:val="21"/>
                      <w:szCs w:val="21"/>
                      <w:u w:val="single" w:color="auto"/>
                    </w:rPr>
                    <w:t>屠宰间、急宰间、检验室</w:t>
                  </w:r>
                  <w:r>
                    <w:rPr>
                      <w:rFonts w:hint="eastAsia" w:ascii="Times New Roman" w:hAnsi="Times New Roman" w:cs="Times New Roman" w:eastAsiaTheme="minorEastAsia"/>
                      <w:color w:val="auto"/>
                      <w:spacing w:val="8"/>
                      <w:sz w:val="21"/>
                      <w:szCs w:val="21"/>
                      <w:u w:val="single" w:color="auto"/>
                      <w:lang w:val="en-US" w:eastAsia="zh-CN"/>
                    </w:rPr>
                    <w:t>以及屠宰线</w:t>
                  </w:r>
                  <w:r>
                    <w:rPr>
                      <w:rFonts w:hint="eastAsia" w:cs="Times New Roman"/>
                      <w:color w:val="auto"/>
                      <w:kern w:val="2"/>
                      <w:sz w:val="21"/>
                      <w:szCs w:val="21"/>
                      <w:u w:val="single" w:color="auto"/>
                      <w:lang w:val="en-US" w:eastAsia="zh-CN" w:bidi="ar"/>
                    </w:rPr>
                    <w:t>等</w:t>
                  </w:r>
                </w:p>
              </w:tc>
              <w:tc>
                <w:tcPr>
                  <w:tcW w:w="2200" w:type="dxa"/>
                  <w:vAlign w:val="center"/>
                </w:tcPr>
                <w:p w14:paraId="6AD97A3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lang w:val="en-US" w:eastAsia="zh-CN" w:bidi="ar"/>
                    </w:rPr>
                    <w:t>1</w:t>
                  </w:r>
                  <w:r>
                    <w:rPr>
                      <w:rFonts w:hint="eastAsia" w:ascii="Times New Roman" w:hAnsi="Times New Roman" w:eastAsia="宋体" w:cs="Times New Roman"/>
                      <w:color w:val="auto"/>
                      <w:kern w:val="2"/>
                      <w:sz w:val="21"/>
                      <w:szCs w:val="21"/>
                      <w:u w:val="single" w:color="auto"/>
                      <w:lang w:val="en-US" w:eastAsia="zh-CN" w:bidi="ar"/>
                    </w:rPr>
                    <w:t xml:space="preserve"> </w:t>
                  </w:r>
                  <w:r>
                    <w:rPr>
                      <w:rFonts w:hint="default" w:ascii="Times New Roman" w:hAnsi="Times New Roman" w:eastAsia="宋体" w:cs="Times New Roman"/>
                      <w:color w:val="auto"/>
                      <w:kern w:val="2"/>
                      <w:sz w:val="21"/>
                      <w:szCs w:val="21"/>
                      <w:u w:val="single" w:color="auto"/>
                      <w:lang w:val="en-US" w:eastAsia="zh-CN" w:bidi="ar"/>
                    </w:rPr>
                    <w:t>F，</w:t>
                  </w:r>
                  <w:r>
                    <w:rPr>
                      <w:rFonts w:hint="eastAsia" w:cs="Times New Roman"/>
                      <w:color w:val="auto"/>
                      <w:kern w:val="2"/>
                      <w:sz w:val="21"/>
                      <w:szCs w:val="21"/>
                      <w:u w:val="single" w:color="auto"/>
                      <w:lang w:val="en-US" w:eastAsia="zh-CN" w:bidi="ar"/>
                    </w:rPr>
                    <w:t>砖混</w:t>
                  </w:r>
                  <w:r>
                    <w:rPr>
                      <w:rFonts w:hint="default" w:ascii="Times New Roman" w:hAnsi="Times New Roman" w:eastAsia="宋体" w:cs="Times New Roman"/>
                      <w:color w:val="auto"/>
                      <w:kern w:val="2"/>
                      <w:sz w:val="21"/>
                      <w:szCs w:val="21"/>
                      <w:u w:val="single" w:color="auto"/>
                      <w:lang w:val="en-US" w:eastAsia="zh-CN" w:bidi="ar"/>
                    </w:rPr>
                    <w:t>结构，占地面积</w:t>
                  </w:r>
                  <w:r>
                    <w:rPr>
                      <w:rFonts w:hint="eastAsia" w:cs="Times New Roman"/>
                      <w:color w:val="auto"/>
                      <w:kern w:val="2"/>
                      <w:sz w:val="21"/>
                      <w:szCs w:val="21"/>
                      <w:u w:val="single" w:color="auto"/>
                      <w:lang w:val="en-US" w:eastAsia="zh-CN" w:bidi="ar"/>
                    </w:rPr>
                    <w:t>135</w:t>
                  </w:r>
                  <w:r>
                    <w:rPr>
                      <w:rFonts w:hint="eastAsia" w:ascii="Times New Roman" w:hAnsi="Times New Roman" w:eastAsia="宋体" w:cs="Times New Roman"/>
                      <w:color w:val="auto"/>
                      <w:kern w:val="2"/>
                      <w:sz w:val="21"/>
                      <w:szCs w:val="21"/>
                      <w:u w:val="single" w:color="auto"/>
                      <w:lang w:val="en-US" w:eastAsia="zh-CN" w:bidi="ar"/>
                    </w:rPr>
                    <w:t xml:space="preserve">0 </w:t>
                  </w:r>
                  <w:r>
                    <w:rPr>
                      <w:rFonts w:hint="default" w:ascii="Times New Roman" w:hAnsi="Times New Roman" w:eastAsia="宋体" w:cs="Times New Roman"/>
                      <w:color w:val="auto"/>
                      <w:kern w:val="2"/>
                      <w:sz w:val="21"/>
                      <w:szCs w:val="21"/>
                      <w:u w:val="single" w:color="auto"/>
                      <w:lang w:val="en-US" w:eastAsia="zh-CN" w:bidi="ar"/>
                    </w:rPr>
                    <w:t>m</w:t>
                  </w:r>
                  <w:r>
                    <w:rPr>
                      <w:rFonts w:hint="default" w:ascii="Times New Roman" w:hAnsi="Times New Roman" w:eastAsia="宋体" w:cs="Times New Roman"/>
                      <w:color w:val="auto"/>
                      <w:kern w:val="2"/>
                      <w:sz w:val="21"/>
                      <w:szCs w:val="21"/>
                      <w:u w:val="single" w:color="auto"/>
                      <w:vertAlign w:val="superscript"/>
                      <w:lang w:val="en-US" w:eastAsia="zh-CN" w:bidi="ar"/>
                    </w:rPr>
                    <w:t>2</w:t>
                  </w:r>
                  <w:r>
                    <w:rPr>
                      <w:rFonts w:hint="default" w:ascii="Times New Roman" w:hAnsi="Times New Roman" w:eastAsia="宋体" w:cs="Times New Roman"/>
                      <w:color w:val="auto"/>
                      <w:kern w:val="2"/>
                      <w:sz w:val="21"/>
                      <w:szCs w:val="21"/>
                      <w:u w:val="single" w:color="auto"/>
                      <w:lang w:val="en-US" w:eastAsia="zh-CN" w:bidi="ar"/>
                    </w:rPr>
                    <w:t>，主要</w:t>
                  </w:r>
                  <w:r>
                    <w:rPr>
                      <w:rFonts w:hint="eastAsia" w:cs="Times New Roman"/>
                      <w:color w:val="auto"/>
                      <w:kern w:val="2"/>
                      <w:sz w:val="21"/>
                      <w:szCs w:val="21"/>
                      <w:u w:val="single" w:color="auto"/>
                      <w:lang w:val="en-US" w:eastAsia="zh-CN" w:bidi="ar"/>
                    </w:rPr>
                    <w:t>布置</w:t>
                  </w:r>
                  <w:r>
                    <w:rPr>
                      <w:rFonts w:hint="default" w:ascii="Times New Roman" w:hAnsi="Times New Roman" w:cs="Times New Roman" w:eastAsiaTheme="minorEastAsia"/>
                      <w:color w:val="auto"/>
                      <w:spacing w:val="8"/>
                      <w:sz w:val="21"/>
                      <w:szCs w:val="21"/>
                      <w:u w:val="single" w:color="auto"/>
                    </w:rPr>
                    <w:t>屠宰间、急宰间、检验室</w:t>
                  </w:r>
                  <w:r>
                    <w:rPr>
                      <w:rFonts w:hint="eastAsia" w:ascii="Times New Roman" w:hAnsi="Times New Roman" w:cs="Times New Roman" w:eastAsiaTheme="minorEastAsia"/>
                      <w:color w:val="auto"/>
                      <w:spacing w:val="8"/>
                      <w:sz w:val="21"/>
                      <w:szCs w:val="21"/>
                      <w:u w:val="single" w:color="auto"/>
                      <w:lang w:val="en-US" w:eastAsia="zh-CN"/>
                    </w:rPr>
                    <w:t>以及屠宰线</w:t>
                  </w:r>
                  <w:r>
                    <w:rPr>
                      <w:rFonts w:hint="eastAsia" w:cs="Times New Roman"/>
                      <w:color w:val="auto"/>
                      <w:kern w:val="2"/>
                      <w:sz w:val="21"/>
                      <w:szCs w:val="21"/>
                      <w:u w:val="single" w:color="auto"/>
                      <w:lang w:val="en-US" w:eastAsia="zh-CN" w:bidi="ar"/>
                    </w:rPr>
                    <w:t>等</w:t>
                  </w:r>
                </w:p>
              </w:tc>
              <w:tc>
                <w:tcPr>
                  <w:tcW w:w="1475" w:type="dxa"/>
                  <w:vAlign w:val="center"/>
                </w:tcPr>
                <w:p w14:paraId="599BD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lang w:val="en-US" w:eastAsia="zh-CN"/>
                    </w:rPr>
                    <w:t>现有车间拆除后重建、重新布局</w:t>
                  </w:r>
                  <w:r>
                    <w:rPr>
                      <w:rFonts w:hint="eastAsia" w:cs="Times New Roman"/>
                      <w:color w:val="auto"/>
                      <w:sz w:val="21"/>
                      <w:szCs w:val="21"/>
                      <w:u w:val="single" w:color="auto"/>
                      <w:lang w:eastAsia="zh-CN"/>
                    </w:rPr>
                    <w:t>，</w:t>
                  </w:r>
                  <w:r>
                    <w:rPr>
                      <w:rFonts w:hint="eastAsia" w:cs="Times New Roman"/>
                      <w:color w:val="auto"/>
                      <w:sz w:val="21"/>
                      <w:szCs w:val="21"/>
                      <w:u w:val="single" w:color="auto"/>
                      <w:lang w:val="en-US" w:eastAsia="zh-CN"/>
                    </w:rPr>
                    <w:t>同时增加屠宰线上的脱毛机，以提高屠宰量</w:t>
                  </w:r>
                </w:p>
              </w:tc>
            </w:tr>
            <w:tr w14:paraId="3DCC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1FF569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588" w:type="dxa"/>
                  <w:vMerge w:val="restart"/>
                  <w:vAlign w:val="center"/>
                </w:tcPr>
                <w:p w14:paraId="32DC48D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生产车间</w:t>
                  </w:r>
                </w:p>
              </w:tc>
              <w:tc>
                <w:tcPr>
                  <w:tcW w:w="1141" w:type="dxa"/>
                  <w:shd w:val="clear" w:color="auto" w:fill="auto"/>
                  <w:vAlign w:val="center"/>
                </w:tcPr>
                <w:p w14:paraId="41A4FB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屠宰间</w:t>
                  </w:r>
                </w:p>
              </w:tc>
              <w:tc>
                <w:tcPr>
                  <w:tcW w:w="2365" w:type="dxa"/>
                  <w:shd w:val="clear" w:color="auto" w:fill="auto"/>
                  <w:vAlign w:val="center"/>
                </w:tcPr>
                <w:p w14:paraId="16C49CE9">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
                    </w:rPr>
                    <w:t>约500 m</w:t>
                  </w:r>
                  <w:r>
                    <w:rPr>
                      <w:rFonts w:hint="eastAsia" w:cs="Times New Roman"/>
                      <w:color w:val="auto"/>
                      <w:kern w:val="2"/>
                      <w:sz w:val="21"/>
                      <w:szCs w:val="21"/>
                      <w:u w:val="single" w:color="auto"/>
                      <w:vertAlign w:val="superscript"/>
                      <w:lang w:val="en-US" w:eastAsia="zh-CN" w:bidi="ar"/>
                    </w:rPr>
                    <w:t>2</w:t>
                  </w:r>
                  <w:r>
                    <w:rPr>
                      <w:rFonts w:hint="eastAsia" w:cs="Times New Roman"/>
                      <w:color w:val="auto"/>
                      <w:kern w:val="2"/>
                      <w:sz w:val="21"/>
                      <w:szCs w:val="21"/>
                      <w:u w:val="single" w:color="auto"/>
                      <w:lang w:val="en-US" w:eastAsia="zh-CN" w:bidi="ar"/>
                    </w:rPr>
                    <w:t>，用于布设屠宰线</w:t>
                  </w:r>
                </w:p>
              </w:tc>
              <w:tc>
                <w:tcPr>
                  <w:tcW w:w="2200" w:type="dxa"/>
                  <w:shd w:val="clear" w:color="auto" w:fill="auto"/>
                  <w:vAlign w:val="center"/>
                </w:tcPr>
                <w:p w14:paraId="413E597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
                    </w:rPr>
                    <w:t>约500 m</w:t>
                  </w:r>
                  <w:r>
                    <w:rPr>
                      <w:rFonts w:hint="eastAsia" w:cs="Times New Roman"/>
                      <w:color w:val="auto"/>
                      <w:kern w:val="2"/>
                      <w:sz w:val="21"/>
                      <w:szCs w:val="21"/>
                      <w:u w:val="single" w:color="auto"/>
                      <w:vertAlign w:val="superscript"/>
                      <w:lang w:val="en-US" w:eastAsia="zh-CN" w:bidi="ar"/>
                    </w:rPr>
                    <w:t>2</w:t>
                  </w:r>
                  <w:r>
                    <w:rPr>
                      <w:rFonts w:hint="eastAsia" w:cs="Times New Roman"/>
                      <w:color w:val="auto"/>
                      <w:kern w:val="2"/>
                      <w:sz w:val="21"/>
                      <w:szCs w:val="21"/>
                      <w:u w:val="single" w:color="auto"/>
                      <w:lang w:val="en-US" w:eastAsia="zh-CN" w:bidi="ar"/>
                    </w:rPr>
                    <w:t>，用于布设屠宰线</w:t>
                  </w:r>
                </w:p>
              </w:tc>
              <w:tc>
                <w:tcPr>
                  <w:tcW w:w="1475" w:type="dxa"/>
                  <w:vMerge w:val="restart"/>
                  <w:vAlign w:val="center"/>
                </w:tcPr>
                <w:p w14:paraId="2FA30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现有生产车间拆除后重建、重新布局</w:t>
                  </w:r>
                </w:p>
              </w:tc>
            </w:tr>
            <w:tr w14:paraId="63E9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4CD2C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3A2EC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5F4544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急宰间</w:t>
                  </w:r>
                </w:p>
              </w:tc>
              <w:tc>
                <w:tcPr>
                  <w:tcW w:w="2365" w:type="dxa"/>
                  <w:vAlign w:val="center"/>
                </w:tcPr>
                <w:p w14:paraId="24AF07D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kern w:val="2"/>
                      <w:sz w:val="21"/>
                      <w:szCs w:val="21"/>
                      <w:u w:val="single" w:color="auto"/>
                      <w:lang w:val="en-US" w:eastAsia="zh-CN" w:bidi="ar"/>
                    </w:rPr>
                    <w:t>约50 m</w:t>
                  </w:r>
                  <w:r>
                    <w:rPr>
                      <w:rFonts w:hint="eastAsia" w:cs="Times New Roman"/>
                      <w:color w:val="auto"/>
                      <w:kern w:val="2"/>
                      <w:sz w:val="21"/>
                      <w:szCs w:val="21"/>
                      <w:u w:val="single" w:color="auto"/>
                      <w:vertAlign w:val="superscript"/>
                      <w:lang w:val="en-US" w:eastAsia="zh-CN" w:bidi="ar"/>
                    </w:rPr>
                    <w:t>2</w:t>
                  </w:r>
                  <w:r>
                    <w:rPr>
                      <w:rFonts w:hint="eastAsia" w:cs="Times New Roman"/>
                      <w:color w:val="auto"/>
                      <w:kern w:val="2"/>
                      <w:sz w:val="21"/>
                      <w:szCs w:val="21"/>
                      <w:u w:val="single" w:color="auto"/>
                      <w:lang w:val="en-US" w:eastAsia="zh-CN" w:bidi="ar"/>
                    </w:rPr>
                    <w:t>，用于急宰</w:t>
                  </w:r>
                </w:p>
              </w:tc>
              <w:tc>
                <w:tcPr>
                  <w:tcW w:w="2200" w:type="dxa"/>
                  <w:shd w:val="clear" w:color="auto" w:fill="auto"/>
                  <w:vAlign w:val="center"/>
                </w:tcPr>
                <w:p w14:paraId="059E2E4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
                    </w:rPr>
                    <w:t>约50 m</w:t>
                  </w:r>
                  <w:r>
                    <w:rPr>
                      <w:rFonts w:hint="eastAsia" w:cs="Times New Roman"/>
                      <w:color w:val="auto"/>
                      <w:kern w:val="2"/>
                      <w:sz w:val="21"/>
                      <w:szCs w:val="21"/>
                      <w:u w:val="single" w:color="auto"/>
                      <w:vertAlign w:val="superscript"/>
                      <w:lang w:val="en-US" w:eastAsia="zh-CN" w:bidi="ar"/>
                    </w:rPr>
                    <w:t>2</w:t>
                  </w:r>
                  <w:r>
                    <w:rPr>
                      <w:rFonts w:hint="eastAsia" w:cs="Times New Roman"/>
                      <w:color w:val="auto"/>
                      <w:kern w:val="2"/>
                      <w:sz w:val="21"/>
                      <w:szCs w:val="21"/>
                      <w:u w:val="single" w:color="auto"/>
                      <w:lang w:val="en-US" w:eastAsia="zh-CN" w:bidi="ar"/>
                    </w:rPr>
                    <w:t>，用于急宰</w:t>
                  </w:r>
                </w:p>
              </w:tc>
              <w:tc>
                <w:tcPr>
                  <w:tcW w:w="1475" w:type="dxa"/>
                  <w:vMerge w:val="continue"/>
                  <w:vAlign w:val="center"/>
                </w:tcPr>
                <w:p w14:paraId="77821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5511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6708E6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2F577C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4E4CB3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检疫室</w:t>
                  </w:r>
                </w:p>
              </w:tc>
              <w:tc>
                <w:tcPr>
                  <w:tcW w:w="2365" w:type="dxa"/>
                  <w:vAlign w:val="center"/>
                </w:tcPr>
                <w:p w14:paraId="497DD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，用于生猪、肉牛检疫</w:t>
                  </w:r>
                </w:p>
              </w:tc>
              <w:tc>
                <w:tcPr>
                  <w:tcW w:w="2200" w:type="dxa"/>
                  <w:shd w:val="clear" w:color="auto" w:fill="auto"/>
                  <w:vAlign w:val="center"/>
                </w:tcPr>
                <w:p w14:paraId="46225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，用于生猪、肉牛检疫</w:t>
                  </w:r>
                </w:p>
              </w:tc>
              <w:tc>
                <w:tcPr>
                  <w:tcW w:w="1475" w:type="dxa"/>
                  <w:vMerge w:val="continue"/>
                  <w:vAlign w:val="center"/>
                </w:tcPr>
                <w:p w14:paraId="4F432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25D5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522ADB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402C1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3FBE8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肉品检验室</w:t>
                  </w:r>
                </w:p>
              </w:tc>
              <w:tc>
                <w:tcPr>
                  <w:tcW w:w="2365" w:type="dxa"/>
                  <w:vAlign w:val="center"/>
                </w:tcPr>
                <w:p w14:paraId="75440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，用于目测肉品质</w:t>
                  </w:r>
                </w:p>
              </w:tc>
              <w:tc>
                <w:tcPr>
                  <w:tcW w:w="2200" w:type="dxa"/>
                  <w:shd w:val="clear" w:color="auto" w:fill="auto"/>
                  <w:vAlign w:val="center"/>
                </w:tcPr>
                <w:p w14:paraId="2412D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，用于目测肉品质</w:t>
                  </w:r>
                </w:p>
              </w:tc>
              <w:tc>
                <w:tcPr>
                  <w:tcW w:w="1475" w:type="dxa"/>
                  <w:vMerge w:val="continue"/>
                  <w:vAlign w:val="center"/>
                </w:tcPr>
                <w:p w14:paraId="766A9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23E2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5B6FC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06173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05CBE8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实验室</w:t>
                  </w:r>
                </w:p>
              </w:tc>
              <w:tc>
                <w:tcPr>
                  <w:tcW w:w="2365" w:type="dxa"/>
                  <w:vAlign w:val="center"/>
                </w:tcPr>
                <w:p w14:paraId="0FD20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，用于生猪、肉牛的头、体表检验</w:t>
                  </w:r>
                </w:p>
              </w:tc>
              <w:tc>
                <w:tcPr>
                  <w:tcW w:w="2200" w:type="dxa"/>
                  <w:shd w:val="clear" w:color="auto" w:fill="auto"/>
                  <w:vAlign w:val="center"/>
                </w:tcPr>
                <w:p w14:paraId="2551C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，用于生猪、肉牛的头、体表检验</w:t>
                  </w:r>
                </w:p>
              </w:tc>
              <w:tc>
                <w:tcPr>
                  <w:tcW w:w="1475" w:type="dxa"/>
                  <w:vMerge w:val="continue"/>
                  <w:vAlign w:val="center"/>
                </w:tcPr>
                <w:p w14:paraId="62582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4EB5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37A9D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00F11E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18DB3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消毒区</w:t>
                  </w:r>
                </w:p>
              </w:tc>
              <w:tc>
                <w:tcPr>
                  <w:tcW w:w="2365" w:type="dxa"/>
                  <w:vAlign w:val="center"/>
                </w:tcPr>
                <w:p w14:paraId="4A92C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男女更衣室外各一个，用于员工消毒</w:t>
                  </w:r>
                </w:p>
              </w:tc>
              <w:tc>
                <w:tcPr>
                  <w:tcW w:w="2200" w:type="dxa"/>
                  <w:shd w:val="clear" w:color="auto" w:fill="auto"/>
                  <w:vAlign w:val="center"/>
                </w:tcPr>
                <w:p w14:paraId="344BD5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男女更衣室外各一个，用于员工消毒</w:t>
                  </w:r>
                </w:p>
              </w:tc>
              <w:tc>
                <w:tcPr>
                  <w:tcW w:w="1475" w:type="dxa"/>
                  <w:vMerge w:val="continue"/>
                  <w:vAlign w:val="center"/>
                </w:tcPr>
                <w:p w14:paraId="492A32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7807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4FB19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6F8A7D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44099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红脏处理间</w:t>
                  </w:r>
                </w:p>
              </w:tc>
              <w:tc>
                <w:tcPr>
                  <w:tcW w:w="2365" w:type="dxa"/>
                  <w:vAlign w:val="center"/>
                </w:tcPr>
                <w:p w14:paraId="3B51F6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，用于生猪、肉牛的红脏处理</w:t>
                  </w:r>
                </w:p>
              </w:tc>
              <w:tc>
                <w:tcPr>
                  <w:tcW w:w="2200" w:type="dxa"/>
                  <w:shd w:val="clear" w:color="auto" w:fill="auto"/>
                  <w:vAlign w:val="center"/>
                </w:tcPr>
                <w:p w14:paraId="22D97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，用于生猪、肉牛的红脏处理</w:t>
                  </w:r>
                </w:p>
              </w:tc>
              <w:tc>
                <w:tcPr>
                  <w:tcW w:w="1475" w:type="dxa"/>
                  <w:vMerge w:val="continue"/>
                  <w:vAlign w:val="center"/>
                </w:tcPr>
                <w:p w14:paraId="6843EE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235D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7ED7FB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70E8C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055A8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白脏处理间</w:t>
                  </w:r>
                </w:p>
              </w:tc>
              <w:tc>
                <w:tcPr>
                  <w:tcW w:w="2365" w:type="dxa"/>
                  <w:vAlign w:val="center"/>
                </w:tcPr>
                <w:p w14:paraId="7F57D2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，用于生猪、肉牛的白脏处理</w:t>
                  </w:r>
                </w:p>
              </w:tc>
              <w:tc>
                <w:tcPr>
                  <w:tcW w:w="2200" w:type="dxa"/>
                  <w:shd w:val="clear" w:color="auto" w:fill="auto"/>
                  <w:vAlign w:val="center"/>
                </w:tcPr>
                <w:p w14:paraId="5B789B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约20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，用于生猪、肉牛的白脏处理</w:t>
                  </w:r>
                </w:p>
              </w:tc>
              <w:tc>
                <w:tcPr>
                  <w:tcW w:w="1475" w:type="dxa"/>
                  <w:vMerge w:val="continue"/>
                  <w:vAlign w:val="center"/>
                </w:tcPr>
                <w:p w14:paraId="68199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6799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65BA6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20CAD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4F61DA9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锅炉房</w:t>
                  </w:r>
                </w:p>
              </w:tc>
              <w:tc>
                <w:tcPr>
                  <w:tcW w:w="2365" w:type="dxa"/>
                  <w:vAlign w:val="center"/>
                </w:tcPr>
                <w:p w14:paraId="57FBFF3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bidi="ar"/>
                    </w:rPr>
                    <w:t>1</w:t>
                  </w:r>
                  <w:r>
                    <w:rPr>
                      <w:rFonts w:hint="eastAsia" w:ascii="Times New Roman" w:hAnsi="Times New Roman" w:eastAsia="宋体" w:cs="Times New Roman"/>
                      <w:color w:val="auto"/>
                      <w:kern w:val="2"/>
                      <w:sz w:val="21"/>
                      <w:szCs w:val="21"/>
                      <w:u w:val="single" w:color="auto"/>
                      <w:lang w:val="en-US" w:eastAsia="zh-CN" w:bidi="ar"/>
                    </w:rPr>
                    <w:t xml:space="preserve"> </w:t>
                  </w:r>
                  <w:r>
                    <w:rPr>
                      <w:rFonts w:hint="default" w:ascii="Times New Roman" w:hAnsi="Times New Roman" w:eastAsia="宋体" w:cs="Times New Roman"/>
                      <w:color w:val="auto"/>
                      <w:kern w:val="2"/>
                      <w:sz w:val="21"/>
                      <w:szCs w:val="21"/>
                      <w:u w:val="single" w:color="auto"/>
                      <w:lang w:val="en-US" w:eastAsia="zh-CN" w:bidi="ar"/>
                    </w:rPr>
                    <w:t>F，</w:t>
                  </w:r>
                  <w:r>
                    <w:rPr>
                      <w:rFonts w:hint="eastAsia" w:cs="Times New Roman"/>
                      <w:color w:val="auto"/>
                      <w:kern w:val="2"/>
                      <w:sz w:val="21"/>
                      <w:szCs w:val="21"/>
                      <w:u w:val="single" w:color="auto"/>
                      <w:lang w:val="en-US" w:eastAsia="zh-CN" w:bidi="ar"/>
                    </w:rPr>
                    <w:t>砖混</w:t>
                  </w:r>
                  <w:r>
                    <w:rPr>
                      <w:rFonts w:hint="default" w:ascii="Times New Roman" w:hAnsi="Times New Roman" w:eastAsia="宋体" w:cs="Times New Roman"/>
                      <w:color w:val="auto"/>
                      <w:kern w:val="2"/>
                      <w:sz w:val="21"/>
                      <w:szCs w:val="21"/>
                      <w:u w:val="single" w:color="auto"/>
                      <w:lang w:val="en-US" w:eastAsia="zh-CN" w:bidi="ar"/>
                    </w:rPr>
                    <w:t>结构，占地面积</w:t>
                  </w:r>
                  <w:r>
                    <w:rPr>
                      <w:rFonts w:hint="eastAsia" w:cs="Times New Roman"/>
                      <w:color w:val="auto"/>
                      <w:kern w:val="2"/>
                      <w:sz w:val="21"/>
                      <w:szCs w:val="21"/>
                      <w:u w:val="single" w:color="auto"/>
                      <w:lang w:val="en-US" w:eastAsia="zh-CN" w:bidi="ar"/>
                    </w:rPr>
                    <w:t>5</w:t>
                  </w:r>
                  <w:r>
                    <w:rPr>
                      <w:rFonts w:hint="eastAsia" w:ascii="Times New Roman" w:hAnsi="Times New Roman" w:eastAsia="宋体" w:cs="Times New Roman"/>
                      <w:color w:val="auto"/>
                      <w:kern w:val="2"/>
                      <w:sz w:val="21"/>
                      <w:szCs w:val="21"/>
                      <w:u w:val="single" w:color="auto"/>
                      <w:lang w:val="en-US" w:eastAsia="zh-CN" w:bidi="ar"/>
                    </w:rPr>
                    <w:t xml:space="preserve">0 </w:t>
                  </w:r>
                  <w:r>
                    <w:rPr>
                      <w:rFonts w:hint="default" w:ascii="Times New Roman" w:hAnsi="Times New Roman" w:eastAsia="宋体" w:cs="Times New Roman"/>
                      <w:color w:val="auto"/>
                      <w:kern w:val="2"/>
                      <w:sz w:val="21"/>
                      <w:szCs w:val="21"/>
                      <w:u w:val="single" w:color="auto"/>
                      <w:lang w:val="en-US" w:eastAsia="zh-CN" w:bidi="ar"/>
                    </w:rPr>
                    <w:t>m</w:t>
                  </w:r>
                  <w:r>
                    <w:rPr>
                      <w:rFonts w:hint="default" w:ascii="Times New Roman" w:hAnsi="Times New Roman" w:eastAsia="宋体" w:cs="Times New Roman"/>
                      <w:color w:val="auto"/>
                      <w:kern w:val="2"/>
                      <w:sz w:val="21"/>
                      <w:szCs w:val="21"/>
                      <w:u w:val="single" w:color="auto"/>
                      <w:vertAlign w:val="superscript"/>
                      <w:lang w:val="en-US" w:eastAsia="zh-CN" w:bidi="ar"/>
                    </w:rPr>
                    <w:t>2</w:t>
                  </w:r>
                  <w:r>
                    <w:rPr>
                      <w:rFonts w:hint="default" w:ascii="Times New Roman" w:hAnsi="Times New Roman" w:eastAsia="宋体" w:cs="Times New Roman"/>
                      <w:color w:val="auto"/>
                      <w:kern w:val="2"/>
                      <w:sz w:val="21"/>
                      <w:szCs w:val="21"/>
                      <w:u w:val="single" w:color="auto"/>
                      <w:lang w:val="en-US" w:eastAsia="zh-CN" w:bidi="ar"/>
                    </w:rPr>
                    <w:t>，</w:t>
                  </w:r>
                  <w:r>
                    <w:rPr>
                      <w:rFonts w:hint="eastAsia" w:ascii="Times New Roman" w:hAnsi="Times New Roman" w:eastAsia="宋体" w:cs="Times New Roman"/>
                      <w:color w:val="auto"/>
                      <w:kern w:val="2"/>
                      <w:sz w:val="21"/>
                      <w:szCs w:val="21"/>
                      <w:u w:val="single" w:color="auto"/>
                      <w:lang w:val="en-US" w:eastAsia="zh-CN" w:bidi="ar"/>
                    </w:rPr>
                    <w:t>布置0.25 t/h燃煤锅炉一台及其配套废气处理设施</w:t>
                  </w:r>
                </w:p>
              </w:tc>
              <w:tc>
                <w:tcPr>
                  <w:tcW w:w="2200" w:type="dxa"/>
                  <w:shd w:val="clear" w:color="auto" w:fill="auto"/>
                  <w:vAlign w:val="center"/>
                </w:tcPr>
                <w:p w14:paraId="7899DA10">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kern w:val="2"/>
                      <w:sz w:val="21"/>
                      <w:szCs w:val="21"/>
                      <w:u w:val="single" w:color="auto"/>
                      <w:lang w:val="en-US" w:eastAsia="zh-CN" w:bidi="ar"/>
                    </w:rPr>
                    <w:t>1</w:t>
                  </w:r>
                  <w:r>
                    <w:rPr>
                      <w:rFonts w:hint="eastAsia" w:ascii="Times New Roman" w:hAnsi="Times New Roman" w:eastAsia="宋体" w:cs="Times New Roman"/>
                      <w:color w:val="auto"/>
                      <w:kern w:val="2"/>
                      <w:sz w:val="21"/>
                      <w:szCs w:val="21"/>
                      <w:u w:val="single" w:color="auto"/>
                      <w:lang w:val="en-US" w:eastAsia="zh-CN" w:bidi="ar"/>
                    </w:rPr>
                    <w:t xml:space="preserve"> </w:t>
                  </w:r>
                  <w:r>
                    <w:rPr>
                      <w:rFonts w:hint="default" w:ascii="Times New Roman" w:hAnsi="Times New Roman" w:eastAsia="宋体" w:cs="Times New Roman"/>
                      <w:color w:val="auto"/>
                      <w:kern w:val="2"/>
                      <w:sz w:val="21"/>
                      <w:szCs w:val="21"/>
                      <w:u w:val="single" w:color="auto"/>
                      <w:lang w:val="en-US" w:eastAsia="zh-CN" w:bidi="ar"/>
                    </w:rPr>
                    <w:t>F，</w:t>
                  </w:r>
                  <w:r>
                    <w:rPr>
                      <w:rFonts w:hint="eastAsia" w:cs="Times New Roman"/>
                      <w:color w:val="auto"/>
                      <w:kern w:val="2"/>
                      <w:sz w:val="21"/>
                      <w:szCs w:val="21"/>
                      <w:u w:val="single" w:color="auto"/>
                      <w:lang w:val="en-US" w:eastAsia="zh-CN" w:bidi="ar"/>
                    </w:rPr>
                    <w:t>砖混</w:t>
                  </w:r>
                  <w:r>
                    <w:rPr>
                      <w:rFonts w:hint="default" w:ascii="Times New Roman" w:hAnsi="Times New Roman" w:eastAsia="宋体" w:cs="Times New Roman"/>
                      <w:color w:val="auto"/>
                      <w:kern w:val="2"/>
                      <w:sz w:val="21"/>
                      <w:szCs w:val="21"/>
                      <w:u w:val="single" w:color="auto"/>
                      <w:lang w:val="en-US" w:eastAsia="zh-CN" w:bidi="ar"/>
                    </w:rPr>
                    <w:t>结构，占地面积</w:t>
                  </w:r>
                  <w:r>
                    <w:rPr>
                      <w:rFonts w:hint="eastAsia" w:ascii="Times New Roman" w:hAnsi="Times New Roman" w:eastAsia="宋体" w:cs="Times New Roman"/>
                      <w:color w:val="auto"/>
                      <w:kern w:val="2"/>
                      <w:sz w:val="21"/>
                      <w:szCs w:val="21"/>
                      <w:u w:val="single" w:color="auto"/>
                      <w:lang w:val="en-US" w:eastAsia="zh-CN" w:bidi="ar"/>
                    </w:rPr>
                    <w:t xml:space="preserve">50 </w:t>
                  </w:r>
                  <w:r>
                    <w:rPr>
                      <w:rFonts w:hint="default" w:ascii="Times New Roman" w:hAnsi="Times New Roman" w:eastAsia="宋体" w:cs="Times New Roman"/>
                      <w:color w:val="auto"/>
                      <w:kern w:val="2"/>
                      <w:sz w:val="21"/>
                      <w:szCs w:val="21"/>
                      <w:u w:val="single" w:color="auto"/>
                      <w:lang w:val="en-US" w:eastAsia="zh-CN" w:bidi="ar"/>
                    </w:rPr>
                    <w:t>m</w:t>
                  </w:r>
                  <w:r>
                    <w:rPr>
                      <w:rFonts w:hint="default" w:ascii="Times New Roman" w:hAnsi="Times New Roman" w:eastAsia="宋体" w:cs="Times New Roman"/>
                      <w:color w:val="auto"/>
                      <w:kern w:val="2"/>
                      <w:sz w:val="21"/>
                      <w:szCs w:val="21"/>
                      <w:u w:val="single" w:color="auto"/>
                      <w:vertAlign w:val="superscript"/>
                      <w:lang w:val="en-US" w:eastAsia="zh-CN" w:bidi="ar"/>
                    </w:rPr>
                    <w:t>2</w:t>
                  </w:r>
                  <w:r>
                    <w:rPr>
                      <w:rFonts w:hint="default" w:ascii="Times New Roman" w:hAnsi="Times New Roman" w:eastAsia="宋体" w:cs="Times New Roman"/>
                      <w:color w:val="auto"/>
                      <w:kern w:val="2"/>
                      <w:sz w:val="21"/>
                      <w:szCs w:val="21"/>
                      <w:u w:val="single" w:color="auto"/>
                      <w:lang w:val="en-US" w:eastAsia="zh-CN" w:bidi="ar"/>
                    </w:rPr>
                    <w:t>，</w:t>
                  </w:r>
                  <w:r>
                    <w:rPr>
                      <w:rFonts w:hint="eastAsia" w:ascii="Times New Roman" w:hAnsi="Times New Roman" w:eastAsia="宋体" w:cs="Times New Roman"/>
                      <w:color w:val="auto"/>
                      <w:kern w:val="2"/>
                      <w:sz w:val="21"/>
                      <w:szCs w:val="21"/>
                      <w:u w:val="single" w:color="auto"/>
                      <w:lang w:val="en-US" w:eastAsia="zh-CN" w:bidi="ar"/>
                    </w:rPr>
                    <w:t>布置</w:t>
                  </w:r>
                  <w:r>
                    <w:rPr>
                      <w:rFonts w:hint="eastAsia" w:cs="Times New Roman"/>
                      <w:color w:val="auto"/>
                      <w:kern w:val="2"/>
                      <w:sz w:val="21"/>
                      <w:szCs w:val="21"/>
                      <w:u w:val="single" w:color="auto"/>
                      <w:lang w:val="en-US" w:eastAsia="zh-CN" w:bidi="ar"/>
                    </w:rPr>
                    <w:t>0.</w:t>
                  </w:r>
                  <w:r>
                    <w:rPr>
                      <w:rFonts w:hint="eastAsia" w:ascii="Times New Roman" w:hAnsi="Times New Roman" w:eastAsia="宋体" w:cs="Times New Roman"/>
                      <w:color w:val="auto"/>
                      <w:kern w:val="2"/>
                      <w:sz w:val="21"/>
                      <w:szCs w:val="21"/>
                      <w:u w:val="single" w:color="auto"/>
                      <w:lang w:val="en-US" w:eastAsia="zh-CN" w:bidi="ar"/>
                    </w:rPr>
                    <w:t>2 t/h电锅炉一台</w:t>
                  </w:r>
                </w:p>
              </w:tc>
              <w:tc>
                <w:tcPr>
                  <w:tcW w:w="1475" w:type="dxa"/>
                  <w:vMerge w:val="continue"/>
                  <w:vAlign w:val="center"/>
                </w:tcPr>
                <w:p w14:paraId="30E38B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08F4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43633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588" w:type="dxa"/>
                  <w:vMerge w:val="continue"/>
                  <w:vAlign w:val="center"/>
                </w:tcPr>
                <w:p w14:paraId="716C9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0A42A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更衣区</w:t>
                  </w:r>
                </w:p>
              </w:tc>
              <w:tc>
                <w:tcPr>
                  <w:tcW w:w="2365" w:type="dxa"/>
                  <w:vAlign w:val="center"/>
                </w:tcPr>
                <w:p w14:paraId="0F91EA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分男女更衣室</w:t>
                  </w:r>
                </w:p>
              </w:tc>
              <w:tc>
                <w:tcPr>
                  <w:tcW w:w="2200" w:type="dxa"/>
                  <w:shd w:val="clear" w:color="auto" w:fill="auto"/>
                  <w:vAlign w:val="center"/>
                </w:tcPr>
                <w:p w14:paraId="550E7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分男女更衣室</w:t>
                  </w:r>
                </w:p>
              </w:tc>
              <w:tc>
                <w:tcPr>
                  <w:tcW w:w="1475" w:type="dxa"/>
                  <w:vMerge w:val="continue"/>
                  <w:vAlign w:val="center"/>
                </w:tcPr>
                <w:p w14:paraId="72CF8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r>
            <w:tr w14:paraId="4BAF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690" w:type="dxa"/>
                  <w:vMerge w:val="continue"/>
                  <w:vAlign w:val="center"/>
                </w:tcPr>
                <w:p w14:paraId="3DD58C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729" w:type="dxa"/>
                  <w:gridSpan w:val="2"/>
                  <w:vAlign w:val="center"/>
                </w:tcPr>
                <w:p w14:paraId="3F030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洗消房</w:t>
                  </w:r>
                </w:p>
              </w:tc>
              <w:tc>
                <w:tcPr>
                  <w:tcW w:w="2365" w:type="dxa"/>
                  <w:vAlign w:val="center"/>
                </w:tcPr>
                <w:p w14:paraId="53B90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2200" w:type="dxa"/>
                  <w:shd w:val="clear" w:color="auto" w:fill="auto"/>
                  <w:vAlign w:val="center"/>
                </w:tcPr>
                <w:p w14:paraId="1452F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设置10 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洗消房，用于运输车辆进出厂的洗消</w:t>
                  </w:r>
                </w:p>
              </w:tc>
              <w:tc>
                <w:tcPr>
                  <w:tcW w:w="1475" w:type="dxa"/>
                  <w:vAlign w:val="center"/>
                </w:tcPr>
                <w:p w14:paraId="4F67D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新建</w:t>
                  </w:r>
                </w:p>
              </w:tc>
            </w:tr>
            <w:tr w14:paraId="2D5C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Merge w:val="continue"/>
                  <w:vAlign w:val="center"/>
                </w:tcPr>
                <w:p w14:paraId="676CB6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1729" w:type="dxa"/>
                  <w:gridSpan w:val="2"/>
                  <w:vAlign w:val="center"/>
                </w:tcPr>
                <w:p w14:paraId="4FA1FE1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待宰间</w:t>
                  </w:r>
                </w:p>
              </w:tc>
              <w:tc>
                <w:tcPr>
                  <w:tcW w:w="2365" w:type="dxa"/>
                  <w:vAlign w:val="center"/>
                </w:tcPr>
                <w:p w14:paraId="002E3F7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kern w:val="2"/>
                      <w:sz w:val="21"/>
                      <w:szCs w:val="21"/>
                      <w:u w:val="single" w:color="auto"/>
                      <w:lang w:val="en-US" w:eastAsia="zh-CN" w:bidi="ar"/>
                    </w:rPr>
                    <w:t>办公楼1 F及生产车间西侧各一个，共两个，总面积约1050 m</w:t>
                  </w:r>
                  <w:r>
                    <w:rPr>
                      <w:rFonts w:hint="eastAsia" w:cs="Times New Roman"/>
                      <w:color w:val="auto"/>
                      <w:kern w:val="2"/>
                      <w:sz w:val="21"/>
                      <w:szCs w:val="21"/>
                      <w:u w:val="single" w:color="auto"/>
                      <w:vertAlign w:val="superscript"/>
                      <w:lang w:val="en-US" w:eastAsia="zh-CN" w:bidi="ar"/>
                    </w:rPr>
                    <w:t>2</w:t>
                  </w:r>
                  <w:r>
                    <w:rPr>
                      <w:rFonts w:hint="eastAsia" w:cs="Times New Roman"/>
                      <w:color w:val="auto"/>
                      <w:kern w:val="2"/>
                      <w:sz w:val="21"/>
                      <w:szCs w:val="21"/>
                      <w:u w:val="single" w:color="auto"/>
                      <w:lang w:val="en-US" w:eastAsia="zh-CN" w:bidi="ar"/>
                    </w:rPr>
                    <w:t>，用于暂存肉牛、生猪、肉鸡、肉鸭、肉鹅</w:t>
                  </w:r>
                </w:p>
              </w:tc>
              <w:tc>
                <w:tcPr>
                  <w:tcW w:w="2200" w:type="dxa"/>
                  <w:shd w:val="clear" w:color="auto" w:fill="auto"/>
                  <w:vAlign w:val="center"/>
                </w:tcPr>
                <w:p w14:paraId="1A58AAA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kern w:val="2"/>
                      <w:sz w:val="21"/>
                      <w:szCs w:val="21"/>
                      <w:u w:val="single" w:color="auto"/>
                      <w:lang w:val="en-US" w:eastAsia="zh-CN" w:bidi="ar"/>
                    </w:rPr>
                    <w:t>约1050 m</w:t>
                  </w:r>
                  <w:r>
                    <w:rPr>
                      <w:rFonts w:hint="eastAsia" w:cs="Times New Roman"/>
                      <w:color w:val="auto"/>
                      <w:kern w:val="2"/>
                      <w:sz w:val="21"/>
                      <w:szCs w:val="21"/>
                      <w:u w:val="single" w:color="auto"/>
                      <w:vertAlign w:val="superscript"/>
                      <w:lang w:val="en-US" w:eastAsia="zh-CN" w:bidi="ar"/>
                    </w:rPr>
                    <w:t>2</w:t>
                  </w:r>
                  <w:r>
                    <w:rPr>
                      <w:rFonts w:hint="eastAsia" w:cs="Times New Roman"/>
                      <w:color w:val="auto"/>
                      <w:kern w:val="2"/>
                      <w:sz w:val="21"/>
                      <w:szCs w:val="21"/>
                      <w:u w:val="single" w:color="auto"/>
                      <w:lang w:val="en-US" w:eastAsia="zh-CN" w:bidi="ar"/>
                    </w:rPr>
                    <w:t>，用于暂存肉牛、生猪</w:t>
                  </w:r>
                </w:p>
              </w:tc>
              <w:tc>
                <w:tcPr>
                  <w:tcW w:w="1475" w:type="dxa"/>
                  <w:vAlign w:val="center"/>
                </w:tcPr>
                <w:p w14:paraId="0A2EC9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现有待宰间拆除后重建、重新布局</w:t>
                  </w:r>
                </w:p>
              </w:tc>
            </w:tr>
            <w:tr w14:paraId="5D7E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690" w:type="dxa"/>
                  <w:vMerge w:val="continue"/>
                  <w:vAlign w:val="center"/>
                </w:tcPr>
                <w:p w14:paraId="4C0C1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u w:val="single" w:color="auto"/>
                    </w:rPr>
                  </w:pPr>
                </w:p>
              </w:tc>
              <w:tc>
                <w:tcPr>
                  <w:tcW w:w="1729" w:type="dxa"/>
                  <w:gridSpan w:val="2"/>
                  <w:vAlign w:val="center"/>
                </w:tcPr>
                <w:p w14:paraId="08BCF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污水处理站</w:t>
                  </w:r>
                </w:p>
              </w:tc>
              <w:tc>
                <w:tcPr>
                  <w:tcW w:w="2365" w:type="dxa"/>
                  <w:vAlign w:val="center"/>
                </w:tcPr>
                <w:p w14:paraId="653C7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位于厂区东南侧，处理工艺为格栅+混凝絮凝+厌氧+三级好氧+沉淀+消毒池，日处理能力300 t/d</w:t>
                  </w:r>
                </w:p>
              </w:tc>
              <w:tc>
                <w:tcPr>
                  <w:tcW w:w="2200" w:type="dxa"/>
                  <w:shd w:val="clear" w:color="auto" w:fill="auto"/>
                  <w:vAlign w:val="center"/>
                </w:tcPr>
                <w:p w14:paraId="20791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位于厂区西南侧，处理工艺为格栅+隔油+曝气+气浮+厌氧+好氧+沉淀+消毒池，日处理能力500 t/d</w:t>
                  </w:r>
                </w:p>
              </w:tc>
              <w:tc>
                <w:tcPr>
                  <w:tcW w:w="1475" w:type="dxa"/>
                  <w:vAlign w:val="center"/>
                </w:tcPr>
                <w:p w14:paraId="70DD4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改变污水处理站位置，改变废水处理工艺，并提升处理能力</w:t>
                  </w:r>
                </w:p>
              </w:tc>
            </w:tr>
            <w:tr w14:paraId="7AA8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90" w:type="dxa"/>
                  <w:vMerge w:val="restart"/>
                  <w:vAlign w:val="center"/>
                </w:tcPr>
                <w:p w14:paraId="0FC5A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辅助工程</w:t>
                  </w:r>
                </w:p>
              </w:tc>
              <w:tc>
                <w:tcPr>
                  <w:tcW w:w="1729" w:type="dxa"/>
                  <w:gridSpan w:val="2"/>
                  <w:vAlign w:val="center"/>
                </w:tcPr>
                <w:p w14:paraId="0E53201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办公楼</w:t>
                  </w:r>
                </w:p>
              </w:tc>
              <w:tc>
                <w:tcPr>
                  <w:tcW w:w="2365" w:type="dxa"/>
                  <w:vAlign w:val="center"/>
                </w:tcPr>
                <w:p w14:paraId="415C551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cs="Times New Roman"/>
                      <w:color w:val="auto"/>
                      <w:kern w:val="0"/>
                      <w:sz w:val="21"/>
                      <w:szCs w:val="21"/>
                      <w:u w:val="single" w:color="auto"/>
                      <w:lang w:val="en-US" w:eastAsia="zh-CN" w:bidi="ar"/>
                    </w:rPr>
                    <w:t>4</w:t>
                  </w:r>
                  <w:r>
                    <w:rPr>
                      <w:rFonts w:hint="eastAsia" w:ascii="Times New Roman" w:hAnsi="Times New Roman" w:eastAsia="宋体" w:cs="Times New Roman"/>
                      <w:color w:val="auto"/>
                      <w:kern w:val="0"/>
                      <w:sz w:val="21"/>
                      <w:szCs w:val="21"/>
                      <w:u w:val="single" w:color="auto"/>
                      <w:lang w:val="en-US" w:eastAsia="zh-CN" w:bidi="ar"/>
                    </w:rPr>
                    <w:t xml:space="preserve"> </w:t>
                  </w:r>
                  <w:r>
                    <w:rPr>
                      <w:rFonts w:hint="default" w:ascii="Times New Roman" w:hAnsi="Times New Roman" w:eastAsia="宋体" w:cs="Times New Roman"/>
                      <w:color w:val="auto"/>
                      <w:kern w:val="0"/>
                      <w:sz w:val="21"/>
                      <w:szCs w:val="21"/>
                      <w:u w:val="single" w:color="auto"/>
                      <w:lang w:val="en-US" w:eastAsia="zh-CN" w:bidi="ar"/>
                    </w:rPr>
                    <w:t>F</w:t>
                  </w:r>
                  <w:r>
                    <w:rPr>
                      <w:rFonts w:hint="eastAsia" w:ascii="宋体" w:hAnsi="宋体" w:eastAsia="宋体" w:cs="宋体"/>
                      <w:color w:val="auto"/>
                      <w:kern w:val="0"/>
                      <w:sz w:val="21"/>
                      <w:szCs w:val="21"/>
                      <w:u w:val="single" w:color="auto"/>
                      <w:lang w:val="en-US" w:eastAsia="zh-CN" w:bidi="ar"/>
                    </w:rPr>
                    <w:t>，砖混结构，占地面积</w:t>
                  </w:r>
                  <w:r>
                    <w:rPr>
                      <w:rFonts w:hint="eastAsia" w:cs="Times New Roman"/>
                      <w:color w:val="auto"/>
                      <w:kern w:val="0"/>
                      <w:sz w:val="21"/>
                      <w:szCs w:val="21"/>
                      <w:u w:val="single" w:color="auto"/>
                      <w:lang w:val="en-US" w:eastAsia="zh-CN" w:bidi="ar"/>
                    </w:rPr>
                    <w:t>600</w:t>
                  </w:r>
                  <w:r>
                    <w:rPr>
                      <w:rFonts w:hint="eastAsia" w:ascii="Times New Roman" w:hAnsi="Times New Roman" w:eastAsia="宋体" w:cs="Times New Roman"/>
                      <w:color w:val="auto"/>
                      <w:kern w:val="0"/>
                      <w:sz w:val="21"/>
                      <w:szCs w:val="21"/>
                      <w:u w:val="single" w:color="auto"/>
                      <w:lang w:val="en-US" w:eastAsia="zh-CN" w:bidi="ar"/>
                    </w:rPr>
                    <w:t xml:space="preserve"> m</w:t>
                  </w:r>
                  <w:r>
                    <w:rPr>
                      <w:rFonts w:hint="eastAsia" w:ascii="Times New Roman" w:hAnsi="Times New Roman" w:eastAsia="宋体" w:cs="Times New Roman"/>
                      <w:color w:val="auto"/>
                      <w:kern w:val="0"/>
                      <w:sz w:val="21"/>
                      <w:szCs w:val="21"/>
                      <w:u w:val="single" w:color="auto"/>
                      <w:vertAlign w:val="superscript"/>
                      <w:lang w:val="en-US" w:eastAsia="zh-CN" w:bidi="ar"/>
                    </w:rPr>
                    <w:t>2</w:t>
                  </w:r>
                  <w:r>
                    <w:rPr>
                      <w:rFonts w:hint="eastAsia" w:ascii="宋体" w:hAnsi="宋体" w:eastAsia="宋体" w:cs="宋体"/>
                      <w:color w:val="auto"/>
                      <w:kern w:val="0"/>
                      <w:sz w:val="21"/>
                      <w:szCs w:val="21"/>
                      <w:u w:val="single" w:color="auto"/>
                      <w:lang w:val="en-US" w:eastAsia="zh-CN" w:bidi="ar"/>
                    </w:rPr>
                    <w:t>，包括员工</w:t>
                  </w:r>
                  <w:r>
                    <w:rPr>
                      <w:rFonts w:hint="eastAsia" w:ascii="宋体" w:hAnsi="宋体" w:cs="宋体"/>
                      <w:color w:val="auto"/>
                      <w:kern w:val="0"/>
                      <w:sz w:val="21"/>
                      <w:szCs w:val="21"/>
                      <w:u w:val="single" w:color="auto"/>
                      <w:lang w:val="en-US" w:eastAsia="zh-CN" w:bidi="ar"/>
                    </w:rPr>
                    <w:t>宿舍</w:t>
                  </w:r>
                  <w:r>
                    <w:rPr>
                      <w:rFonts w:hint="eastAsia" w:ascii="宋体" w:hAnsi="宋体" w:eastAsia="宋体" w:cs="宋体"/>
                      <w:color w:val="auto"/>
                      <w:kern w:val="0"/>
                      <w:sz w:val="21"/>
                      <w:szCs w:val="21"/>
                      <w:u w:val="single" w:color="auto"/>
                      <w:lang w:val="en-US" w:eastAsia="zh-CN" w:bidi="ar"/>
                    </w:rPr>
                    <w:t>、办公</w:t>
                  </w:r>
                  <w:r>
                    <w:rPr>
                      <w:rFonts w:hint="eastAsia" w:ascii="宋体" w:hAnsi="宋体" w:cs="宋体"/>
                      <w:color w:val="auto"/>
                      <w:kern w:val="0"/>
                      <w:sz w:val="21"/>
                      <w:szCs w:val="21"/>
                      <w:u w:val="single" w:color="auto"/>
                      <w:lang w:val="en-US" w:eastAsia="zh-CN" w:bidi="ar"/>
                    </w:rPr>
                    <w:t>、冷冻库等</w:t>
                  </w:r>
                </w:p>
              </w:tc>
              <w:tc>
                <w:tcPr>
                  <w:tcW w:w="2200" w:type="dxa"/>
                  <w:vAlign w:val="center"/>
                </w:tcPr>
                <w:p w14:paraId="296157E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cs="Times New Roman"/>
                      <w:color w:val="auto"/>
                      <w:sz w:val="21"/>
                      <w:szCs w:val="21"/>
                      <w:u w:val="single" w:color="auto"/>
                      <w:lang w:val="en-US" w:eastAsia="zh-CN"/>
                    </w:rPr>
                    <w:t>不新增劳动定员，人员办公依托现有办公楼，建设内容不变</w:t>
                  </w:r>
                </w:p>
              </w:tc>
              <w:tc>
                <w:tcPr>
                  <w:tcW w:w="1475" w:type="dxa"/>
                  <w:vAlign w:val="center"/>
                </w:tcPr>
                <w:p w14:paraId="748B0F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本项目不新增劳动定员</w:t>
                  </w:r>
                </w:p>
              </w:tc>
            </w:tr>
            <w:tr w14:paraId="0F21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90" w:type="dxa"/>
                  <w:vMerge w:val="continue"/>
                  <w:vAlign w:val="center"/>
                </w:tcPr>
                <w:p w14:paraId="41C80F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u w:val="single" w:color="auto"/>
                    </w:rPr>
                  </w:pPr>
                </w:p>
              </w:tc>
              <w:tc>
                <w:tcPr>
                  <w:tcW w:w="1729" w:type="dxa"/>
                  <w:gridSpan w:val="2"/>
                  <w:vAlign w:val="center"/>
                </w:tcPr>
                <w:p w14:paraId="107B5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洗消房</w:t>
                  </w:r>
                </w:p>
              </w:tc>
              <w:tc>
                <w:tcPr>
                  <w:tcW w:w="2365" w:type="dxa"/>
                  <w:vAlign w:val="center"/>
                </w:tcPr>
                <w:p w14:paraId="12A3FA0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0"/>
                      <w:sz w:val="21"/>
                      <w:szCs w:val="21"/>
                      <w:u w:val="single" w:color="auto"/>
                      <w:lang w:bidi="ar"/>
                    </w:rPr>
                  </w:pPr>
                  <w:r>
                    <w:rPr>
                      <w:rFonts w:hint="eastAsia" w:ascii="Times New Roman" w:hAnsi="Times New Roman" w:eastAsia="宋体" w:cs="Times New Roman"/>
                      <w:color w:val="auto"/>
                      <w:spacing w:val="0"/>
                      <w:kern w:val="0"/>
                      <w:sz w:val="21"/>
                      <w:szCs w:val="21"/>
                      <w:u w:val="single" w:color="auto"/>
                      <w:lang w:bidi="ar"/>
                    </w:rPr>
                    <w:t>建筑面积50</w:t>
                  </w:r>
                  <w:r>
                    <w:rPr>
                      <w:rFonts w:hint="eastAsia" w:ascii="Times New Roman" w:hAnsi="Times New Roman" w:eastAsia="宋体" w:cs="Times New Roman"/>
                      <w:color w:val="auto"/>
                      <w:spacing w:val="0"/>
                      <w:kern w:val="0"/>
                      <w:sz w:val="21"/>
                      <w:szCs w:val="21"/>
                      <w:u w:val="single" w:color="auto"/>
                      <w:lang w:val="en-US" w:eastAsia="zh-CN" w:bidi="ar"/>
                    </w:rPr>
                    <w:t xml:space="preserve"> </w:t>
                  </w:r>
                  <w:r>
                    <w:rPr>
                      <w:rFonts w:hint="eastAsia" w:ascii="Times New Roman" w:hAnsi="Times New Roman" w:eastAsia="宋体" w:cs="Times New Roman"/>
                      <w:color w:val="auto"/>
                      <w:spacing w:val="0"/>
                      <w:kern w:val="0"/>
                      <w:sz w:val="21"/>
                      <w:szCs w:val="21"/>
                      <w:u w:val="single" w:color="auto"/>
                      <w:lang w:bidi="ar"/>
                    </w:rPr>
                    <w:t>m</w:t>
                  </w:r>
                  <w:r>
                    <w:rPr>
                      <w:rFonts w:hint="eastAsia" w:ascii="Times New Roman" w:hAnsi="Times New Roman" w:eastAsia="宋体" w:cs="Times New Roman"/>
                      <w:color w:val="auto"/>
                      <w:spacing w:val="0"/>
                      <w:kern w:val="0"/>
                      <w:sz w:val="21"/>
                      <w:szCs w:val="21"/>
                      <w:u w:val="single" w:color="auto"/>
                      <w:vertAlign w:val="superscript"/>
                      <w:lang w:bidi="ar"/>
                    </w:rPr>
                    <w:t>2</w:t>
                  </w:r>
                  <w:r>
                    <w:rPr>
                      <w:rFonts w:hint="eastAsia" w:ascii="Times New Roman" w:hAnsi="Times New Roman" w:eastAsia="宋体" w:cs="Times New Roman"/>
                      <w:color w:val="auto"/>
                      <w:spacing w:val="0"/>
                      <w:kern w:val="0"/>
                      <w:sz w:val="21"/>
                      <w:szCs w:val="21"/>
                      <w:u w:val="single" w:color="auto"/>
                      <w:lang w:bidi="ar"/>
                    </w:rPr>
                    <w:t>，主要用于运输车辆的清洗</w:t>
                  </w:r>
                </w:p>
              </w:tc>
              <w:tc>
                <w:tcPr>
                  <w:tcW w:w="2200" w:type="dxa"/>
                  <w:shd w:val="clear" w:color="auto" w:fill="auto"/>
                  <w:vAlign w:val="center"/>
                </w:tcPr>
                <w:p w14:paraId="171F8DD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bidi="ar"/>
                    </w:rPr>
                  </w:pPr>
                  <w:r>
                    <w:rPr>
                      <w:rFonts w:hint="eastAsia" w:ascii="Times New Roman" w:hAnsi="Times New Roman" w:eastAsia="宋体" w:cs="Times New Roman"/>
                      <w:color w:val="auto"/>
                      <w:spacing w:val="0"/>
                      <w:kern w:val="0"/>
                      <w:sz w:val="21"/>
                      <w:szCs w:val="21"/>
                      <w:u w:val="single" w:color="auto"/>
                      <w:lang w:bidi="ar"/>
                    </w:rPr>
                    <w:t>建筑面积50</w:t>
                  </w:r>
                  <w:r>
                    <w:rPr>
                      <w:rFonts w:hint="eastAsia" w:ascii="Times New Roman" w:hAnsi="Times New Roman" w:eastAsia="宋体" w:cs="Times New Roman"/>
                      <w:color w:val="auto"/>
                      <w:spacing w:val="0"/>
                      <w:kern w:val="0"/>
                      <w:sz w:val="21"/>
                      <w:szCs w:val="21"/>
                      <w:u w:val="single" w:color="auto"/>
                      <w:lang w:val="en-US" w:eastAsia="zh-CN" w:bidi="ar"/>
                    </w:rPr>
                    <w:t xml:space="preserve"> </w:t>
                  </w:r>
                  <w:r>
                    <w:rPr>
                      <w:rFonts w:hint="eastAsia" w:ascii="Times New Roman" w:hAnsi="Times New Roman" w:eastAsia="宋体" w:cs="Times New Roman"/>
                      <w:color w:val="auto"/>
                      <w:spacing w:val="0"/>
                      <w:kern w:val="0"/>
                      <w:sz w:val="21"/>
                      <w:szCs w:val="21"/>
                      <w:u w:val="single" w:color="auto"/>
                      <w:lang w:bidi="ar"/>
                    </w:rPr>
                    <w:t>m</w:t>
                  </w:r>
                  <w:r>
                    <w:rPr>
                      <w:rFonts w:hint="eastAsia" w:ascii="Times New Roman" w:hAnsi="Times New Roman" w:eastAsia="宋体" w:cs="Times New Roman"/>
                      <w:color w:val="auto"/>
                      <w:spacing w:val="0"/>
                      <w:kern w:val="0"/>
                      <w:sz w:val="21"/>
                      <w:szCs w:val="21"/>
                      <w:u w:val="single" w:color="auto"/>
                      <w:vertAlign w:val="superscript"/>
                      <w:lang w:bidi="ar"/>
                    </w:rPr>
                    <w:t>2</w:t>
                  </w:r>
                  <w:r>
                    <w:rPr>
                      <w:rFonts w:hint="eastAsia" w:ascii="Times New Roman" w:hAnsi="Times New Roman" w:eastAsia="宋体" w:cs="Times New Roman"/>
                      <w:color w:val="auto"/>
                      <w:spacing w:val="0"/>
                      <w:kern w:val="0"/>
                      <w:sz w:val="21"/>
                      <w:szCs w:val="21"/>
                      <w:u w:val="single" w:color="auto"/>
                      <w:lang w:bidi="ar"/>
                    </w:rPr>
                    <w:t>，主要用于运输车辆的清洗</w:t>
                  </w:r>
                </w:p>
              </w:tc>
              <w:tc>
                <w:tcPr>
                  <w:tcW w:w="1475" w:type="dxa"/>
                  <w:vAlign w:val="center"/>
                </w:tcPr>
                <w:p w14:paraId="4A699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不变</w:t>
                  </w:r>
                </w:p>
              </w:tc>
            </w:tr>
            <w:tr w14:paraId="165F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90" w:type="dxa"/>
                  <w:vMerge w:val="restart"/>
                  <w:vAlign w:val="center"/>
                </w:tcPr>
                <w:p w14:paraId="5F940E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储运工程</w:t>
                  </w:r>
                </w:p>
              </w:tc>
              <w:tc>
                <w:tcPr>
                  <w:tcW w:w="1729" w:type="dxa"/>
                  <w:gridSpan w:val="2"/>
                  <w:vAlign w:val="center"/>
                </w:tcPr>
                <w:p w14:paraId="30374E37">
                  <w:pPr>
                    <w:spacing w:line="240" w:lineRule="auto"/>
                    <w:ind w:firstLine="0" w:firstLineChars="0"/>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pacing w:val="0"/>
                      <w:sz w:val="21"/>
                      <w:szCs w:val="21"/>
                      <w:u w:val="single" w:color="auto"/>
                    </w:rPr>
                    <w:t>冷</w:t>
                  </w:r>
                  <w:r>
                    <w:rPr>
                      <w:rFonts w:hint="eastAsia" w:ascii="Times New Roman" w:hAnsi="Times New Roman" w:eastAsia="宋体" w:cs="Times New Roman"/>
                      <w:color w:val="auto"/>
                      <w:spacing w:val="0"/>
                      <w:sz w:val="21"/>
                      <w:szCs w:val="21"/>
                      <w:u w:val="single" w:color="auto"/>
                      <w:lang w:eastAsia="zh-CN"/>
                    </w:rPr>
                    <w:t>鲜</w:t>
                  </w:r>
                  <w:r>
                    <w:rPr>
                      <w:rFonts w:hint="eastAsia" w:ascii="Times New Roman" w:hAnsi="Times New Roman" w:eastAsia="宋体" w:cs="Times New Roman"/>
                      <w:color w:val="auto"/>
                      <w:spacing w:val="0"/>
                      <w:sz w:val="21"/>
                      <w:szCs w:val="21"/>
                      <w:u w:val="single" w:color="auto"/>
                    </w:rPr>
                    <w:t>库</w:t>
                  </w:r>
                </w:p>
              </w:tc>
              <w:tc>
                <w:tcPr>
                  <w:tcW w:w="2365" w:type="dxa"/>
                  <w:vAlign w:val="center"/>
                </w:tcPr>
                <w:p w14:paraId="6BED8E9E">
                  <w:pPr>
                    <w:adjustRightInd w:val="0"/>
                    <w:snapToGrid w:val="0"/>
                    <w:spacing w:line="360" w:lineRule="exact"/>
                    <w:ind w:firstLine="0" w:firstLineChars="0"/>
                    <w:jc w:val="center"/>
                    <w:rPr>
                      <w:rFonts w:hint="eastAsia" w:ascii="Times New Roman" w:hAnsi="Times New Roman" w:eastAsia="宋体" w:cs="Times New Roman"/>
                      <w:color w:val="auto"/>
                      <w:kern w:val="2"/>
                      <w:sz w:val="21"/>
                      <w:szCs w:val="21"/>
                      <w:u w:val="single" w:color="auto"/>
                      <w:lang w:val="en-US" w:eastAsia="zh-CN" w:bidi="ar"/>
                    </w:rPr>
                  </w:pPr>
                  <w:r>
                    <w:rPr>
                      <w:rFonts w:hint="eastAsia" w:cs="Times New Roman"/>
                      <w:color w:val="auto"/>
                      <w:spacing w:val="0"/>
                      <w:sz w:val="21"/>
                      <w:szCs w:val="21"/>
                      <w:u w:val="single" w:color="auto"/>
                      <w:lang w:val="en-US" w:eastAsia="zh-CN"/>
                    </w:rPr>
                    <w:t>位于生产车间，</w:t>
                  </w:r>
                  <w:r>
                    <w:rPr>
                      <w:rFonts w:hint="eastAsia" w:ascii="Times New Roman" w:hAnsi="Times New Roman" w:eastAsia="宋体" w:cs="Times New Roman"/>
                      <w:color w:val="auto"/>
                      <w:spacing w:val="0"/>
                      <w:sz w:val="21"/>
                      <w:szCs w:val="21"/>
                      <w:u w:val="single" w:color="auto"/>
                      <w:lang w:eastAsia="zh-CN"/>
                    </w:rPr>
                    <w:t>建设2</w:t>
                  </w:r>
                  <w:r>
                    <w:rPr>
                      <w:rFonts w:hint="eastAsia" w:ascii="Times New Roman" w:hAnsi="Times New Roman" w:eastAsia="宋体" w:cs="Times New Roman"/>
                      <w:color w:val="auto"/>
                      <w:spacing w:val="0"/>
                      <w:sz w:val="21"/>
                      <w:szCs w:val="21"/>
                      <w:u w:val="single" w:color="auto"/>
                      <w:lang w:val="en-US" w:eastAsia="zh-CN"/>
                    </w:rPr>
                    <w:t>间，</w:t>
                  </w:r>
                  <w:r>
                    <w:rPr>
                      <w:rFonts w:hint="eastAsia" w:ascii="Times New Roman" w:hAnsi="Times New Roman" w:eastAsia="宋体" w:cs="Times New Roman"/>
                      <w:color w:val="auto"/>
                      <w:spacing w:val="0"/>
                      <w:sz w:val="21"/>
                      <w:szCs w:val="21"/>
                      <w:u w:val="single" w:color="auto"/>
                    </w:rPr>
                    <w:t>建筑面积</w:t>
                  </w:r>
                  <w:r>
                    <w:rPr>
                      <w:rFonts w:hint="eastAsia" w:ascii="Times New Roman" w:hAnsi="Times New Roman" w:eastAsia="宋体" w:cs="Times New Roman"/>
                      <w:color w:val="auto"/>
                      <w:spacing w:val="0"/>
                      <w:sz w:val="21"/>
                      <w:szCs w:val="21"/>
                      <w:u w:val="single" w:color="auto"/>
                      <w:lang w:val="en-US" w:eastAsia="zh-CN"/>
                    </w:rPr>
                    <w:t>180</w:t>
                  </w:r>
                  <w:r>
                    <w:rPr>
                      <w:rFonts w:hint="eastAsia" w:ascii="Times New Roman" w:hAnsi="Times New Roman" w:eastAsia="宋体" w:cs="Times New Roman"/>
                      <w:color w:val="auto"/>
                      <w:spacing w:val="0"/>
                      <w:sz w:val="21"/>
                      <w:szCs w:val="21"/>
                      <w:u w:val="single" w:color="auto"/>
                      <w:lang w:eastAsia="zh-CN"/>
                    </w:rPr>
                    <w:t xml:space="preserve"> </w:t>
                  </w:r>
                  <w:r>
                    <w:rPr>
                      <w:rFonts w:hint="eastAsia" w:ascii="Times New Roman" w:hAnsi="Times New Roman" w:eastAsia="宋体" w:cs="Times New Roman"/>
                      <w:color w:val="auto"/>
                      <w:spacing w:val="0"/>
                      <w:sz w:val="21"/>
                      <w:szCs w:val="21"/>
                      <w:u w:val="single" w:color="auto"/>
                    </w:rPr>
                    <w:t>m</w:t>
                  </w:r>
                  <w:r>
                    <w:rPr>
                      <w:rFonts w:hint="eastAsia" w:ascii="Times New Roman" w:hAnsi="Times New Roman" w:eastAsia="宋体" w:cs="Times New Roman"/>
                      <w:color w:val="auto"/>
                      <w:spacing w:val="0"/>
                      <w:sz w:val="21"/>
                      <w:szCs w:val="21"/>
                      <w:u w:val="single" w:color="auto"/>
                      <w:vertAlign w:val="superscript"/>
                    </w:rPr>
                    <w:t>2</w:t>
                  </w:r>
                  <w:r>
                    <w:rPr>
                      <w:rFonts w:hint="eastAsia" w:ascii="Times New Roman" w:hAnsi="Times New Roman" w:eastAsia="宋体" w:cs="Times New Roman"/>
                      <w:color w:val="auto"/>
                      <w:spacing w:val="0"/>
                      <w:sz w:val="21"/>
                      <w:szCs w:val="21"/>
                      <w:u w:val="single" w:color="auto"/>
                    </w:rPr>
                    <w:t>，</w:t>
                  </w:r>
                  <w:r>
                    <w:rPr>
                      <w:rFonts w:hint="eastAsia" w:ascii="Times New Roman" w:hAnsi="Times New Roman" w:eastAsia="宋体" w:cs="Times New Roman"/>
                      <w:color w:val="auto"/>
                      <w:spacing w:val="0"/>
                      <w:sz w:val="21"/>
                      <w:szCs w:val="21"/>
                      <w:u w:val="single" w:color="auto"/>
                      <w:lang w:val="en-US" w:eastAsia="zh-CN"/>
                    </w:rPr>
                    <w:t>1间</w:t>
                  </w:r>
                  <w:r>
                    <w:rPr>
                      <w:rFonts w:hint="eastAsia" w:ascii="Times New Roman" w:hAnsi="Times New Roman" w:eastAsia="宋体" w:cs="Times New Roman"/>
                      <w:color w:val="auto"/>
                      <w:spacing w:val="0"/>
                      <w:sz w:val="21"/>
                      <w:szCs w:val="21"/>
                      <w:u w:val="single" w:color="auto"/>
                    </w:rPr>
                    <w:t>用于</w:t>
                  </w:r>
                  <w:r>
                    <w:rPr>
                      <w:rFonts w:hint="eastAsia" w:ascii="Times New Roman" w:hAnsi="Times New Roman" w:eastAsia="宋体" w:cs="Times New Roman"/>
                      <w:color w:val="auto"/>
                      <w:spacing w:val="0"/>
                      <w:sz w:val="21"/>
                      <w:szCs w:val="21"/>
                      <w:u w:val="single" w:color="auto"/>
                      <w:lang w:val="en-US" w:eastAsia="zh-CN"/>
                    </w:rPr>
                    <w:t>猪</w:t>
                  </w:r>
                  <w:r>
                    <w:rPr>
                      <w:rFonts w:hint="eastAsia" w:ascii="Times New Roman" w:hAnsi="Times New Roman" w:eastAsia="宋体" w:cs="Times New Roman"/>
                      <w:color w:val="auto"/>
                      <w:spacing w:val="0"/>
                      <w:sz w:val="21"/>
                      <w:szCs w:val="21"/>
                      <w:u w:val="single" w:color="auto"/>
                      <w:lang w:eastAsia="zh-CN"/>
                    </w:rPr>
                    <w:t>肉</w:t>
                  </w:r>
                  <w:r>
                    <w:rPr>
                      <w:rFonts w:hint="eastAsia" w:ascii="Times New Roman" w:hAnsi="Times New Roman" w:eastAsia="宋体" w:cs="Times New Roman"/>
                      <w:color w:val="auto"/>
                      <w:spacing w:val="0"/>
                      <w:sz w:val="21"/>
                      <w:szCs w:val="21"/>
                      <w:u w:val="single" w:color="auto"/>
                    </w:rPr>
                    <w:t>暂存</w:t>
                  </w:r>
                  <w:r>
                    <w:rPr>
                      <w:rFonts w:hint="eastAsia" w:ascii="Times New Roman" w:hAnsi="Times New Roman" w:eastAsia="宋体" w:cs="Times New Roman"/>
                      <w:color w:val="auto"/>
                      <w:spacing w:val="0"/>
                      <w:sz w:val="21"/>
                      <w:szCs w:val="21"/>
                      <w:u w:val="single" w:color="auto"/>
                      <w:lang w:eastAsia="zh-CN"/>
                    </w:rPr>
                    <w:t>、</w:t>
                  </w:r>
                  <w:r>
                    <w:rPr>
                      <w:rFonts w:hint="eastAsia" w:ascii="Times New Roman" w:hAnsi="Times New Roman" w:eastAsia="宋体" w:cs="Times New Roman"/>
                      <w:color w:val="auto"/>
                      <w:spacing w:val="0"/>
                      <w:sz w:val="21"/>
                      <w:szCs w:val="21"/>
                      <w:u w:val="single" w:color="auto"/>
                      <w:lang w:val="en-US" w:eastAsia="zh-CN"/>
                    </w:rPr>
                    <w:t>1间</w:t>
                  </w:r>
                  <w:r>
                    <w:rPr>
                      <w:rFonts w:hint="eastAsia" w:ascii="Times New Roman" w:hAnsi="Times New Roman" w:eastAsia="宋体" w:cs="Times New Roman"/>
                      <w:color w:val="auto"/>
                      <w:spacing w:val="0"/>
                      <w:sz w:val="21"/>
                      <w:szCs w:val="21"/>
                      <w:u w:val="single" w:color="auto"/>
                    </w:rPr>
                    <w:t>用于</w:t>
                  </w:r>
                  <w:r>
                    <w:rPr>
                      <w:rFonts w:hint="eastAsia" w:ascii="Times New Roman" w:hAnsi="Times New Roman" w:eastAsia="宋体" w:cs="Times New Roman"/>
                      <w:color w:val="auto"/>
                      <w:spacing w:val="0"/>
                      <w:sz w:val="21"/>
                      <w:szCs w:val="21"/>
                      <w:u w:val="single" w:color="auto"/>
                      <w:lang w:val="en-US" w:eastAsia="zh-CN"/>
                    </w:rPr>
                    <w:t>牛</w:t>
                  </w:r>
                  <w:r>
                    <w:rPr>
                      <w:rFonts w:hint="eastAsia" w:ascii="Times New Roman" w:hAnsi="Times New Roman" w:eastAsia="宋体" w:cs="Times New Roman"/>
                      <w:color w:val="auto"/>
                      <w:spacing w:val="0"/>
                      <w:sz w:val="21"/>
                      <w:szCs w:val="21"/>
                      <w:u w:val="single" w:color="auto"/>
                      <w:lang w:eastAsia="zh-CN"/>
                    </w:rPr>
                    <w:t>肉</w:t>
                  </w:r>
                  <w:r>
                    <w:rPr>
                      <w:rFonts w:hint="eastAsia" w:ascii="Times New Roman" w:hAnsi="Times New Roman" w:eastAsia="宋体" w:cs="Times New Roman"/>
                      <w:color w:val="auto"/>
                      <w:spacing w:val="0"/>
                      <w:sz w:val="21"/>
                      <w:szCs w:val="21"/>
                      <w:u w:val="single" w:color="auto"/>
                    </w:rPr>
                    <w:t>暂存。</w:t>
                  </w:r>
                </w:p>
              </w:tc>
              <w:tc>
                <w:tcPr>
                  <w:tcW w:w="2200" w:type="dxa"/>
                  <w:vAlign w:val="center"/>
                </w:tcPr>
                <w:p w14:paraId="1B340ACE">
                  <w:pPr>
                    <w:adjustRightInd w:val="0"/>
                    <w:snapToGrid w:val="0"/>
                    <w:spacing w:line="360" w:lineRule="exact"/>
                    <w:ind w:firstLine="0" w:firstLineChars="0"/>
                    <w:jc w:val="center"/>
                    <w:rPr>
                      <w:rFonts w:hint="eastAsia" w:ascii="Times New Roman" w:hAnsi="Times New Roman" w:eastAsia="宋体" w:cs="Times New Roman"/>
                      <w:color w:val="auto"/>
                      <w:kern w:val="2"/>
                      <w:sz w:val="21"/>
                      <w:szCs w:val="21"/>
                      <w:u w:val="single" w:color="auto"/>
                      <w:lang w:val="en-US" w:eastAsia="zh-CN" w:bidi="ar"/>
                    </w:rPr>
                  </w:pPr>
                  <w:r>
                    <w:rPr>
                      <w:rFonts w:hint="eastAsia" w:cs="Times New Roman"/>
                      <w:color w:val="auto"/>
                      <w:spacing w:val="0"/>
                      <w:sz w:val="21"/>
                      <w:szCs w:val="21"/>
                      <w:u w:val="single" w:color="auto"/>
                      <w:lang w:val="en-US" w:eastAsia="zh-CN"/>
                    </w:rPr>
                    <w:t>位于生产车间</w:t>
                  </w:r>
                  <w:r>
                    <w:rPr>
                      <w:rFonts w:hint="eastAsia" w:ascii="Times New Roman" w:hAnsi="Times New Roman" w:eastAsia="宋体" w:cs="Times New Roman"/>
                      <w:color w:val="auto"/>
                      <w:spacing w:val="0"/>
                      <w:sz w:val="21"/>
                      <w:szCs w:val="21"/>
                      <w:u w:val="single" w:color="auto"/>
                      <w:lang w:eastAsia="zh-CN"/>
                    </w:rPr>
                    <w:t>建设2</w:t>
                  </w:r>
                  <w:r>
                    <w:rPr>
                      <w:rFonts w:hint="eastAsia" w:ascii="Times New Roman" w:hAnsi="Times New Roman" w:eastAsia="宋体" w:cs="Times New Roman"/>
                      <w:color w:val="auto"/>
                      <w:spacing w:val="0"/>
                      <w:sz w:val="21"/>
                      <w:szCs w:val="21"/>
                      <w:u w:val="single" w:color="auto"/>
                      <w:lang w:val="en-US" w:eastAsia="zh-CN"/>
                    </w:rPr>
                    <w:t>间，</w:t>
                  </w:r>
                  <w:r>
                    <w:rPr>
                      <w:rFonts w:hint="eastAsia" w:ascii="Times New Roman" w:hAnsi="Times New Roman" w:eastAsia="宋体" w:cs="Times New Roman"/>
                      <w:color w:val="auto"/>
                      <w:spacing w:val="0"/>
                      <w:sz w:val="21"/>
                      <w:szCs w:val="21"/>
                      <w:u w:val="single" w:color="auto"/>
                    </w:rPr>
                    <w:t>建筑面积</w:t>
                  </w:r>
                  <w:r>
                    <w:rPr>
                      <w:rFonts w:hint="eastAsia" w:ascii="Times New Roman" w:hAnsi="Times New Roman" w:eastAsia="宋体" w:cs="Times New Roman"/>
                      <w:color w:val="auto"/>
                      <w:spacing w:val="0"/>
                      <w:sz w:val="21"/>
                      <w:szCs w:val="21"/>
                      <w:u w:val="single" w:color="auto"/>
                      <w:lang w:val="en-US" w:eastAsia="zh-CN"/>
                    </w:rPr>
                    <w:t>180</w:t>
                  </w:r>
                  <w:r>
                    <w:rPr>
                      <w:rFonts w:hint="eastAsia" w:ascii="Times New Roman" w:hAnsi="Times New Roman" w:eastAsia="宋体" w:cs="Times New Roman"/>
                      <w:color w:val="auto"/>
                      <w:spacing w:val="0"/>
                      <w:sz w:val="21"/>
                      <w:szCs w:val="21"/>
                      <w:u w:val="single" w:color="auto"/>
                      <w:lang w:eastAsia="zh-CN"/>
                    </w:rPr>
                    <w:t xml:space="preserve"> </w:t>
                  </w:r>
                  <w:r>
                    <w:rPr>
                      <w:rFonts w:hint="eastAsia" w:ascii="Times New Roman" w:hAnsi="Times New Roman" w:eastAsia="宋体" w:cs="Times New Roman"/>
                      <w:color w:val="auto"/>
                      <w:spacing w:val="0"/>
                      <w:sz w:val="21"/>
                      <w:szCs w:val="21"/>
                      <w:u w:val="single" w:color="auto"/>
                    </w:rPr>
                    <w:t>m</w:t>
                  </w:r>
                  <w:r>
                    <w:rPr>
                      <w:rFonts w:hint="eastAsia" w:ascii="Times New Roman" w:hAnsi="Times New Roman" w:eastAsia="宋体" w:cs="Times New Roman"/>
                      <w:color w:val="auto"/>
                      <w:spacing w:val="0"/>
                      <w:sz w:val="21"/>
                      <w:szCs w:val="21"/>
                      <w:u w:val="single" w:color="auto"/>
                      <w:vertAlign w:val="superscript"/>
                    </w:rPr>
                    <w:t>2</w:t>
                  </w:r>
                  <w:r>
                    <w:rPr>
                      <w:rFonts w:hint="eastAsia" w:ascii="Times New Roman" w:hAnsi="Times New Roman" w:eastAsia="宋体" w:cs="Times New Roman"/>
                      <w:color w:val="auto"/>
                      <w:spacing w:val="0"/>
                      <w:sz w:val="21"/>
                      <w:szCs w:val="21"/>
                      <w:u w:val="single" w:color="auto"/>
                    </w:rPr>
                    <w:t>，</w:t>
                  </w:r>
                  <w:r>
                    <w:rPr>
                      <w:rFonts w:hint="eastAsia" w:ascii="Times New Roman" w:hAnsi="Times New Roman" w:eastAsia="宋体" w:cs="Times New Roman"/>
                      <w:color w:val="auto"/>
                      <w:spacing w:val="0"/>
                      <w:sz w:val="21"/>
                      <w:szCs w:val="21"/>
                      <w:u w:val="single" w:color="auto"/>
                      <w:lang w:val="en-US" w:eastAsia="zh-CN"/>
                    </w:rPr>
                    <w:t>1间</w:t>
                  </w:r>
                  <w:r>
                    <w:rPr>
                      <w:rFonts w:hint="eastAsia" w:ascii="Times New Roman" w:hAnsi="Times New Roman" w:eastAsia="宋体" w:cs="Times New Roman"/>
                      <w:color w:val="auto"/>
                      <w:spacing w:val="0"/>
                      <w:sz w:val="21"/>
                      <w:szCs w:val="21"/>
                      <w:u w:val="single" w:color="auto"/>
                    </w:rPr>
                    <w:t>用于</w:t>
                  </w:r>
                  <w:r>
                    <w:rPr>
                      <w:rFonts w:hint="eastAsia" w:ascii="Times New Roman" w:hAnsi="Times New Roman" w:eastAsia="宋体" w:cs="Times New Roman"/>
                      <w:color w:val="auto"/>
                      <w:spacing w:val="0"/>
                      <w:sz w:val="21"/>
                      <w:szCs w:val="21"/>
                      <w:u w:val="single" w:color="auto"/>
                      <w:lang w:val="en-US" w:eastAsia="zh-CN"/>
                    </w:rPr>
                    <w:t>猪</w:t>
                  </w:r>
                  <w:r>
                    <w:rPr>
                      <w:rFonts w:hint="eastAsia" w:ascii="Times New Roman" w:hAnsi="Times New Roman" w:eastAsia="宋体" w:cs="Times New Roman"/>
                      <w:color w:val="auto"/>
                      <w:spacing w:val="0"/>
                      <w:sz w:val="21"/>
                      <w:szCs w:val="21"/>
                      <w:u w:val="single" w:color="auto"/>
                      <w:lang w:eastAsia="zh-CN"/>
                    </w:rPr>
                    <w:t>肉</w:t>
                  </w:r>
                  <w:r>
                    <w:rPr>
                      <w:rFonts w:hint="eastAsia" w:ascii="Times New Roman" w:hAnsi="Times New Roman" w:eastAsia="宋体" w:cs="Times New Roman"/>
                      <w:color w:val="auto"/>
                      <w:spacing w:val="0"/>
                      <w:sz w:val="21"/>
                      <w:szCs w:val="21"/>
                      <w:u w:val="single" w:color="auto"/>
                    </w:rPr>
                    <w:t>暂存</w:t>
                  </w:r>
                  <w:r>
                    <w:rPr>
                      <w:rFonts w:hint="eastAsia" w:ascii="Times New Roman" w:hAnsi="Times New Roman" w:eastAsia="宋体" w:cs="Times New Roman"/>
                      <w:color w:val="auto"/>
                      <w:spacing w:val="0"/>
                      <w:sz w:val="21"/>
                      <w:szCs w:val="21"/>
                      <w:u w:val="single" w:color="auto"/>
                      <w:lang w:eastAsia="zh-CN"/>
                    </w:rPr>
                    <w:t>、</w:t>
                  </w:r>
                  <w:r>
                    <w:rPr>
                      <w:rFonts w:hint="eastAsia" w:ascii="Times New Roman" w:hAnsi="Times New Roman" w:eastAsia="宋体" w:cs="Times New Roman"/>
                      <w:color w:val="auto"/>
                      <w:spacing w:val="0"/>
                      <w:sz w:val="21"/>
                      <w:szCs w:val="21"/>
                      <w:u w:val="single" w:color="auto"/>
                      <w:lang w:val="en-US" w:eastAsia="zh-CN"/>
                    </w:rPr>
                    <w:t>1间</w:t>
                  </w:r>
                  <w:r>
                    <w:rPr>
                      <w:rFonts w:hint="eastAsia" w:ascii="Times New Roman" w:hAnsi="Times New Roman" w:eastAsia="宋体" w:cs="Times New Roman"/>
                      <w:color w:val="auto"/>
                      <w:spacing w:val="0"/>
                      <w:sz w:val="21"/>
                      <w:szCs w:val="21"/>
                      <w:u w:val="single" w:color="auto"/>
                    </w:rPr>
                    <w:t>用于</w:t>
                  </w:r>
                  <w:r>
                    <w:rPr>
                      <w:rFonts w:hint="eastAsia" w:ascii="Times New Roman" w:hAnsi="Times New Roman" w:eastAsia="宋体" w:cs="Times New Roman"/>
                      <w:color w:val="auto"/>
                      <w:spacing w:val="0"/>
                      <w:sz w:val="21"/>
                      <w:szCs w:val="21"/>
                      <w:u w:val="single" w:color="auto"/>
                      <w:lang w:val="en-US" w:eastAsia="zh-CN"/>
                    </w:rPr>
                    <w:t>牛</w:t>
                  </w:r>
                  <w:r>
                    <w:rPr>
                      <w:rFonts w:hint="eastAsia" w:ascii="Times New Roman" w:hAnsi="Times New Roman" w:eastAsia="宋体" w:cs="Times New Roman"/>
                      <w:color w:val="auto"/>
                      <w:spacing w:val="0"/>
                      <w:sz w:val="21"/>
                      <w:szCs w:val="21"/>
                      <w:u w:val="single" w:color="auto"/>
                      <w:lang w:eastAsia="zh-CN"/>
                    </w:rPr>
                    <w:t>肉</w:t>
                  </w:r>
                  <w:r>
                    <w:rPr>
                      <w:rFonts w:hint="eastAsia" w:ascii="Times New Roman" w:hAnsi="Times New Roman" w:eastAsia="宋体" w:cs="Times New Roman"/>
                      <w:color w:val="auto"/>
                      <w:spacing w:val="0"/>
                      <w:sz w:val="21"/>
                      <w:szCs w:val="21"/>
                      <w:u w:val="single" w:color="auto"/>
                    </w:rPr>
                    <w:t>暂存。</w:t>
                  </w:r>
                </w:p>
              </w:tc>
              <w:tc>
                <w:tcPr>
                  <w:tcW w:w="1475" w:type="dxa"/>
                  <w:vAlign w:val="center"/>
                </w:tcPr>
                <w:p w14:paraId="781A6E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不变</w:t>
                  </w:r>
                </w:p>
              </w:tc>
            </w:tr>
            <w:tr w14:paraId="2D42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90" w:type="dxa"/>
                  <w:vMerge w:val="continue"/>
                  <w:vAlign w:val="center"/>
                </w:tcPr>
                <w:p w14:paraId="74326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single" w:color="auto"/>
                    </w:rPr>
                  </w:pPr>
                </w:p>
              </w:tc>
              <w:tc>
                <w:tcPr>
                  <w:tcW w:w="1729" w:type="dxa"/>
                  <w:gridSpan w:val="2"/>
                  <w:vAlign w:val="center"/>
                </w:tcPr>
                <w:p w14:paraId="78C86FD5">
                  <w:pPr>
                    <w:spacing w:line="240" w:lineRule="auto"/>
                    <w:ind w:firstLine="0" w:firstLineChars="0"/>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eastAsia="zh-CN"/>
                    </w:rPr>
                    <w:t>冷冻库</w:t>
                  </w:r>
                </w:p>
              </w:tc>
              <w:tc>
                <w:tcPr>
                  <w:tcW w:w="2365" w:type="dxa"/>
                  <w:vAlign w:val="center"/>
                </w:tcPr>
                <w:p w14:paraId="1EA530BF">
                  <w:pPr>
                    <w:adjustRightInd w:val="0"/>
                    <w:snapToGrid w:val="0"/>
                    <w:spacing w:line="360" w:lineRule="exact"/>
                    <w:ind w:firstLine="0" w:firstLineChars="0"/>
                    <w:jc w:val="center"/>
                    <w:rPr>
                      <w:rFonts w:hint="eastAsia" w:ascii="Times New Roman" w:hAnsi="Times New Roman" w:eastAsia="宋体" w:cs="Times New Roman"/>
                      <w:color w:val="auto"/>
                      <w:sz w:val="21"/>
                      <w:szCs w:val="21"/>
                      <w:u w:val="single" w:color="auto"/>
                      <w:lang w:val="en-US" w:eastAsia="zh-CN"/>
                    </w:rPr>
                  </w:pPr>
                  <w:r>
                    <w:rPr>
                      <w:rFonts w:hint="eastAsia" w:cs="Times New Roman"/>
                      <w:color w:val="auto"/>
                      <w:spacing w:val="0"/>
                      <w:sz w:val="21"/>
                      <w:szCs w:val="21"/>
                      <w:u w:val="single" w:color="auto"/>
                      <w:lang w:val="en-US" w:eastAsia="zh-CN"/>
                    </w:rPr>
                    <w:t>位于办公楼2 F，</w:t>
                  </w:r>
                  <w:r>
                    <w:rPr>
                      <w:rFonts w:hint="eastAsia" w:ascii="Times New Roman" w:hAnsi="Times New Roman" w:eastAsia="宋体" w:cs="Times New Roman"/>
                      <w:color w:val="auto"/>
                      <w:spacing w:val="0"/>
                      <w:sz w:val="21"/>
                      <w:szCs w:val="21"/>
                      <w:u w:val="single" w:color="auto"/>
                      <w:lang w:eastAsia="zh-CN"/>
                    </w:rPr>
                    <w:t>建设1</w:t>
                  </w:r>
                  <w:r>
                    <w:rPr>
                      <w:rFonts w:hint="eastAsia" w:ascii="Times New Roman" w:hAnsi="Times New Roman" w:eastAsia="宋体" w:cs="Times New Roman"/>
                      <w:color w:val="auto"/>
                      <w:spacing w:val="0"/>
                      <w:sz w:val="21"/>
                      <w:szCs w:val="21"/>
                      <w:u w:val="single" w:color="auto"/>
                      <w:lang w:val="en-US" w:eastAsia="zh-CN"/>
                    </w:rPr>
                    <w:t>间，</w:t>
                  </w:r>
                  <w:r>
                    <w:rPr>
                      <w:rFonts w:hint="eastAsia" w:ascii="Times New Roman" w:hAnsi="Times New Roman" w:eastAsia="宋体" w:cs="Times New Roman"/>
                      <w:color w:val="auto"/>
                      <w:spacing w:val="0"/>
                      <w:sz w:val="21"/>
                      <w:szCs w:val="21"/>
                      <w:u w:val="single" w:color="auto"/>
                    </w:rPr>
                    <w:t>建筑面积</w:t>
                  </w:r>
                  <w:r>
                    <w:rPr>
                      <w:rFonts w:hint="eastAsia" w:ascii="Times New Roman" w:hAnsi="Times New Roman" w:eastAsia="宋体" w:cs="Times New Roman"/>
                      <w:color w:val="auto"/>
                      <w:spacing w:val="0"/>
                      <w:sz w:val="21"/>
                      <w:szCs w:val="21"/>
                      <w:u w:val="single" w:color="auto"/>
                      <w:lang w:val="en-US" w:eastAsia="zh-CN"/>
                    </w:rPr>
                    <w:t>260</w:t>
                  </w:r>
                  <w:r>
                    <w:rPr>
                      <w:rFonts w:hint="eastAsia" w:ascii="Times New Roman" w:hAnsi="Times New Roman" w:eastAsia="宋体" w:cs="Times New Roman"/>
                      <w:color w:val="auto"/>
                      <w:spacing w:val="0"/>
                      <w:sz w:val="21"/>
                      <w:szCs w:val="21"/>
                      <w:u w:val="single" w:color="auto"/>
                      <w:lang w:eastAsia="zh-CN"/>
                    </w:rPr>
                    <w:t xml:space="preserve"> </w:t>
                  </w:r>
                  <w:r>
                    <w:rPr>
                      <w:rFonts w:hint="eastAsia" w:ascii="Times New Roman" w:hAnsi="Times New Roman" w:eastAsia="宋体" w:cs="Times New Roman"/>
                      <w:color w:val="auto"/>
                      <w:spacing w:val="0"/>
                      <w:sz w:val="21"/>
                      <w:szCs w:val="21"/>
                      <w:u w:val="single" w:color="auto"/>
                    </w:rPr>
                    <w:t>m</w:t>
                  </w:r>
                  <w:r>
                    <w:rPr>
                      <w:rFonts w:hint="eastAsia" w:ascii="Times New Roman" w:hAnsi="Times New Roman" w:eastAsia="宋体" w:cs="Times New Roman"/>
                      <w:color w:val="auto"/>
                      <w:spacing w:val="0"/>
                      <w:sz w:val="21"/>
                      <w:szCs w:val="21"/>
                      <w:u w:val="single" w:color="auto"/>
                      <w:vertAlign w:val="superscript"/>
                    </w:rPr>
                    <w:t>2</w:t>
                  </w:r>
                  <w:r>
                    <w:rPr>
                      <w:rFonts w:hint="eastAsia" w:ascii="Times New Roman" w:hAnsi="Times New Roman" w:eastAsia="宋体" w:cs="Times New Roman"/>
                      <w:color w:val="auto"/>
                      <w:spacing w:val="0"/>
                      <w:sz w:val="21"/>
                      <w:szCs w:val="21"/>
                      <w:u w:val="single" w:color="auto"/>
                    </w:rPr>
                    <w:t>，用于</w:t>
                  </w:r>
                  <w:r>
                    <w:rPr>
                      <w:rFonts w:hint="eastAsia" w:ascii="Times New Roman" w:hAnsi="Times New Roman" w:eastAsia="宋体" w:cs="Times New Roman"/>
                      <w:color w:val="auto"/>
                      <w:spacing w:val="0"/>
                      <w:sz w:val="21"/>
                      <w:szCs w:val="21"/>
                      <w:u w:val="single" w:color="auto"/>
                      <w:lang w:val="en-US" w:eastAsia="zh-CN"/>
                    </w:rPr>
                    <w:t>冻</w:t>
                  </w:r>
                  <w:r>
                    <w:rPr>
                      <w:rFonts w:hint="eastAsia" w:ascii="Times New Roman" w:hAnsi="Times New Roman" w:eastAsia="宋体" w:cs="Times New Roman"/>
                      <w:color w:val="auto"/>
                      <w:spacing w:val="0"/>
                      <w:sz w:val="21"/>
                      <w:szCs w:val="21"/>
                      <w:u w:val="single" w:color="auto"/>
                      <w:lang w:eastAsia="zh-CN"/>
                    </w:rPr>
                    <w:t>肉</w:t>
                  </w:r>
                  <w:r>
                    <w:rPr>
                      <w:rFonts w:hint="eastAsia" w:ascii="Times New Roman" w:hAnsi="Times New Roman" w:eastAsia="宋体" w:cs="Times New Roman"/>
                      <w:color w:val="auto"/>
                      <w:spacing w:val="0"/>
                      <w:sz w:val="21"/>
                      <w:szCs w:val="21"/>
                      <w:u w:val="single" w:color="auto"/>
                    </w:rPr>
                    <w:t>暂存。</w:t>
                  </w:r>
                  <w:r>
                    <w:rPr>
                      <w:rFonts w:hint="eastAsia" w:ascii="Times New Roman" w:hAnsi="Times New Roman" w:eastAsia="宋体" w:cs="Times New Roman"/>
                      <w:color w:val="auto"/>
                      <w:spacing w:val="0"/>
                      <w:sz w:val="21"/>
                      <w:szCs w:val="21"/>
                      <w:u w:val="single" w:color="auto"/>
                      <w:lang w:eastAsia="zh-CN"/>
                    </w:rPr>
                    <w:t>（</w:t>
                  </w:r>
                  <w:r>
                    <w:rPr>
                      <w:rFonts w:hint="eastAsia" w:ascii="Times New Roman" w:hAnsi="Times New Roman" w:eastAsia="宋体" w:cs="Times New Roman"/>
                      <w:color w:val="auto"/>
                      <w:spacing w:val="0"/>
                      <w:sz w:val="21"/>
                      <w:szCs w:val="21"/>
                      <w:u w:val="single" w:color="auto"/>
                      <w:lang w:val="en-US" w:eastAsia="zh-CN"/>
                    </w:rPr>
                    <w:t>冷冻库为冰箱制冻原理，不使用液氨等制冷剂</w:t>
                  </w:r>
                  <w:r>
                    <w:rPr>
                      <w:rFonts w:hint="eastAsia" w:ascii="Times New Roman" w:hAnsi="Times New Roman" w:eastAsia="宋体" w:cs="Times New Roman"/>
                      <w:color w:val="auto"/>
                      <w:spacing w:val="0"/>
                      <w:sz w:val="21"/>
                      <w:szCs w:val="21"/>
                      <w:u w:val="single" w:color="auto"/>
                      <w:lang w:eastAsia="zh-CN"/>
                    </w:rPr>
                    <w:t>）</w:t>
                  </w:r>
                </w:p>
              </w:tc>
              <w:tc>
                <w:tcPr>
                  <w:tcW w:w="2200" w:type="dxa"/>
                  <w:shd w:val="clear" w:color="auto" w:fill="auto"/>
                  <w:vAlign w:val="center"/>
                </w:tcPr>
                <w:p w14:paraId="2C6F7079">
                  <w:pPr>
                    <w:adjustRightInd w:val="0"/>
                    <w:snapToGrid w:val="0"/>
                    <w:spacing w:line="360" w:lineRule="exact"/>
                    <w:ind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eastAsia="zh-CN"/>
                    </w:rPr>
                    <w:t>建设1</w:t>
                  </w:r>
                  <w:r>
                    <w:rPr>
                      <w:rFonts w:hint="eastAsia" w:ascii="Times New Roman" w:hAnsi="Times New Roman" w:eastAsia="宋体" w:cs="Times New Roman"/>
                      <w:color w:val="auto"/>
                      <w:spacing w:val="0"/>
                      <w:sz w:val="21"/>
                      <w:szCs w:val="21"/>
                      <w:u w:val="single" w:color="auto"/>
                      <w:lang w:val="en-US" w:eastAsia="zh-CN"/>
                    </w:rPr>
                    <w:t>间，</w:t>
                  </w:r>
                  <w:r>
                    <w:rPr>
                      <w:rFonts w:hint="eastAsia" w:ascii="Times New Roman" w:hAnsi="Times New Roman" w:eastAsia="宋体" w:cs="Times New Roman"/>
                      <w:color w:val="auto"/>
                      <w:spacing w:val="0"/>
                      <w:sz w:val="21"/>
                      <w:szCs w:val="21"/>
                      <w:u w:val="single" w:color="auto"/>
                    </w:rPr>
                    <w:t>建筑面积</w:t>
                  </w:r>
                  <w:r>
                    <w:rPr>
                      <w:rFonts w:hint="eastAsia" w:ascii="Times New Roman" w:hAnsi="Times New Roman" w:eastAsia="宋体" w:cs="Times New Roman"/>
                      <w:color w:val="auto"/>
                      <w:spacing w:val="0"/>
                      <w:sz w:val="21"/>
                      <w:szCs w:val="21"/>
                      <w:u w:val="single" w:color="auto"/>
                      <w:lang w:val="en-US" w:eastAsia="zh-CN"/>
                    </w:rPr>
                    <w:t>260</w:t>
                  </w:r>
                  <w:r>
                    <w:rPr>
                      <w:rFonts w:hint="eastAsia" w:ascii="Times New Roman" w:hAnsi="Times New Roman" w:eastAsia="宋体" w:cs="Times New Roman"/>
                      <w:color w:val="auto"/>
                      <w:spacing w:val="0"/>
                      <w:sz w:val="21"/>
                      <w:szCs w:val="21"/>
                      <w:u w:val="single" w:color="auto"/>
                      <w:lang w:eastAsia="zh-CN"/>
                    </w:rPr>
                    <w:t xml:space="preserve"> </w:t>
                  </w:r>
                  <w:r>
                    <w:rPr>
                      <w:rFonts w:hint="eastAsia" w:ascii="Times New Roman" w:hAnsi="Times New Roman" w:eastAsia="宋体" w:cs="Times New Roman"/>
                      <w:color w:val="auto"/>
                      <w:spacing w:val="0"/>
                      <w:sz w:val="21"/>
                      <w:szCs w:val="21"/>
                      <w:u w:val="single" w:color="auto"/>
                    </w:rPr>
                    <w:t>m</w:t>
                  </w:r>
                  <w:r>
                    <w:rPr>
                      <w:rFonts w:hint="eastAsia" w:ascii="Times New Roman" w:hAnsi="Times New Roman" w:eastAsia="宋体" w:cs="Times New Roman"/>
                      <w:color w:val="auto"/>
                      <w:spacing w:val="0"/>
                      <w:sz w:val="21"/>
                      <w:szCs w:val="21"/>
                      <w:u w:val="single" w:color="auto"/>
                      <w:vertAlign w:val="superscript"/>
                    </w:rPr>
                    <w:t>2</w:t>
                  </w:r>
                  <w:r>
                    <w:rPr>
                      <w:rFonts w:hint="eastAsia" w:ascii="Times New Roman" w:hAnsi="Times New Roman" w:eastAsia="宋体" w:cs="Times New Roman"/>
                      <w:color w:val="auto"/>
                      <w:spacing w:val="0"/>
                      <w:sz w:val="21"/>
                      <w:szCs w:val="21"/>
                      <w:u w:val="single" w:color="auto"/>
                    </w:rPr>
                    <w:t>，用于</w:t>
                  </w:r>
                  <w:r>
                    <w:rPr>
                      <w:rFonts w:hint="eastAsia" w:ascii="Times New Roman" w:hAnsi="Times New Roman" w:eastAsia="宋体" w:cs="Times New Roman"/>
                      <w:color w:val="auto"/>
                      <w:spacing w:val="0"/>
                      <w:sz w:val="21"/>
                      <w:szCs w:val="21"/>
                      <w:u w:val="single" w:color="auto"/>
                      <w:lang w:val="en-US" w:eastAsia="zh-CN"/>
                    </w:rPr>
                    <w:t>冻</w:t>
                  </w:r>
                  <w:r>
                    <w:rPr>
                      <w:rFonts w:hint="eastAsia" w:ascii="Times New Roman" w:hAnsi="Times New Roman" w:eastAsia="宋体" w:cs="Times New Roman"/>
                      <w:color w:val="auto"/>
                      <w:spacing w:val="0"/>
                      <w:sz w:val="21"/>
                      <w:szCs w:val="21"/>
                      <w:u w:val="single" w:color="auto"/>
                      <w:lang w:eastAsia="zh-CN"/>
                    </w:rPr>
                    <w:t>肉</w:t>
                  </w:r>
                  <w:r>
                    <w:rPr>
                      <w:rFonts w:hint="eastAsia" w:ascii="Times New Roman" w:hAnsi="Times New Roman" w:eastAsia="宋体" w:cs="Times New Roman"/>
                      <w:color w:val="auto"/>
                      <w:spacing w:val="0"/>
                      <w:sz w:val="21"/>
                      <w:szCs w:val="21"/>
                      <w:u w:val="single" w:color="auto"/>
                    </w:rPr>
                    <w:t>暂存。</w:t>
                  </w:r>
                  <w:r>
                    <w:rPr>
                      <w:rFonts w:hint="eastAsia" w:ascii="Times New Roman" w:hAnsi="Times New Roman" w:eastAsia="宋体" w:cs="Times New Roman"/>
                      <w:color w:val="auto"/>
                      <w:spacing w:val="0"/>
                      <w:sz w:val="21"/>
                      <w:szCs w:val="21"/>
                      <w:u w:val="single" w:color="auto"/>
                      <w:lang w:eastAsia="zh-CN"/>
                    </w:rPr>
                    <w:t>（</w:t>
                  </w:r>
                  <w:r>
                    <w:rPr>
                      <w:rFonts w:hint="eastAsia" w:ascii="Times New Roman" w:hAnsi="Times New Roman" w:eastAsia="宋体" w:cs="Times New Roman"/>
                      <w:color w:val="auto"/>
                      <w:spacing w:val="0"/>
                      <w:sz w:val="21"/>
                      <w:szCs w:val="21"/>
                      <w:u w:val="single" w:color="auto"/>
                      <w:lang w:val="en-US" w:eastAsia="zh-CN"/>
                    </w:rPr>
                    <w:t>冷冻库为冰箱制冻原理，不使用液氨等制冷剂</w:t>
                  </w:r>
                  <w:r>
                    <w:rPr>
                      <w:rFonts w:hint="eastAsia" w:ascii="Times New Roman" w:hAnsi="Times New Roman" w:eastAsia="宋体" w:cs="Times New Roman"/>
                      <w:color w:val="auto"/>
                      <w:spacing w:val="0"/>
                      <w:sz w:val="21"/>
                      <w:szCs w:val="21"/>
                      <w:u w:val="single" w:color="auto"/>
                      <w:lang w:eastAsia="zh-CN"/>
                    </w:rPr>
                    <w:t>）</w:t>
                  </w:r>
                </w:p>
              </w:tc>
              <w:tc>
                <w:tcPr>
                  <w:tcW w:w="1475" w:type="dxa"/>
                  <w:vAlign w:val="center"/>
                </w:tcPr>
                <w:p w14:paraId="12024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不变</w:t>
                  </w:r>
                </w:p>
              </w:tc>
            </w:tr>
            <w:tr w14:paraId="5E8A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90" w:type="dxa"/>
                  <w:vMerge w:val="restart"/>
                  <w:vAlign w:val="center"/>
                </w:tcPr>
                <w:p w14:paraId="5EF96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公用工程</w:t>
                  </w:r>
                </w:p>
              </w:tc>
              <w:tc>
                <w:tcPr>
                  <w:tcW w:w="1729" w:type="dxa"/>
                  <w:gridSpan w:val="2"/>
                  <w:shd w:val="clear" w:color="auto" w:fill="auto"/>
                  <w:vAlign w:val="center"/>
                </w:tcPr>
                <w:p w14:paraId="0D076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供电</w:t>
                  </w:r>
                </w:p>
              </w:tc>
              <w:tc>
                <w:tcPr>
                  <w:tcW w:w="2365" w:type="dxa"/>
                  <w:shd w:val="clear" w:color="auto" w:fill="auto"/>
                  <w:vAlign w:val="center"/>
                </w:tcPr>
                <w:p w14:paraId="1D2E2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市政供电</w:t>
                  </w:r>
                </w:p>
              </w:tc>
              <w:tc>
                <w:tcPr>
                  <w:tcW w:w="2200" w:type="dxa"/>
                  <w:shd w:val="clear" w:color="auto" w:fill="auto"/>
                  <w:vAlign w:val="center"/>
                </w:tcPr>
                <w:p w14:paraId="0058E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不变</w:t>
                  </w:r>
                </w:p>
              </w:tc>
              <w:tc>
                <w:tcPr>
                  <w:tcW w:w="1475" w:type="dxa"/>
                  <w:shd w:val="clear" w:color="auto" w:fill="auto"/>
                  <w:vAlign w:val="center"/>
                </w:tcPr>
                <w:p w14:paraId="53AFE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依托现有电网</w:t>
                  </w:r>
                </w:p>
              </w:tc>
            </w:tr>
            <w:tr w14:paraId="247F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continue"/>
                  <w:vAlign w:val="center"/>
                </w:tcPr>
                <w:p w14:paraId="12F9D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1729" w:type="dxa"/>
                  <w:gridSpan w:val="2"/>
                  <w:shd w:val="clear" w:color="auto" w:fill="auto"/>
                  <w:vAlign w:val="center"/>
                </w:tcPr>
                <w:p w14:paraId="12E6E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给水</w:t>
                  </w:r>
                </w:p>
              </w:tc>
              <w:tc>
                <w:tcPr>
                  <w:tcW w:w="2365" w:type="dxa"/>
                  <w:shd w:val="clear" w:color="auto" w:fill="auto"/>
                  <w:vAlign w:val="center"/>
                </w:tcPr>
                <w:p w14:paraId="501F58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市政</w:t>
                  </w:r>
                  <w:r>
                    <w:rPr>
                      <w:rFonts w:hint="default" w:ascii="Times New Roman" w:hAnsi="Times New Roman" w:eastAsia="宋体" w:cs="Times New Roman"/>
                      <w:color w:val="auto"/>
                      <w:sz w:val="21"/>
                      <w:szCs w:val="21"/>
                      <w:u w:val="single" w:color="auto"/>
                      <w:vertAlign w:val="baseline"/>
                      <w:lang w:val="en-US" w:eastAsia="zh-CN"/>
                    </w:rPr>
                    <w:t>供水</w:t>
                  </w:r>
                </w:p>
              </w:tc>
              <w:tc>
                <w:tcPr>
                  <w:tcW w:w="2200" w:type="dxa"/>
                  <w:shd w:val="clear" w:color="auto" w:fill="auto"/>
                  <w:vAlign w:val="center"/>
                </w:tcPr>
                <w:p w14:paraId="1E89E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园区自来水管网供水</w:t>
                  </w:r>
                </w:p>
              </w:tc>
              <w:tc>
                <w:tcPr>
                  <w:tcW w:w="1475" w:type="dxa"/>
                  <w:shd w:val="clear" w:color="auto" w:fill="auto"/>
                  <w:vAlign w:val="center"/>
                </w:tcPr>
                <w:p w14:paraId="04F790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依托现有水网</w:t>
                  </w:r>
                </w:p>
              </w:tc>
            </w:tr>
            <w:tr w14:paraId="10FE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continue"/>
                  <w:vAlign w:val="center"/>
                </w:tcPr>
                <w:p w14:paraId="5091F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1729" w:type="dxa"/>
                  <w:gridSpan w:val="2"/>
                  <w:shd w:val="clear" w:color="auto" w:fill="auto"/>
                  <w:vAlign w:val="center"/>
                </w:tcPr>
                <w:p w14:paraId="02971F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初期雨水</w:t>
                  </w:r>
                </w:p>
              </w:tc>
              <w:tc>
                <w:tcPr>
                  <w:tcW w:w="2365" w:type="dxa"/>
                  <w:shd w:val="clear" w:color="auto" w:fill="auto"/>
                  <w:vAlign w:val="center"/>
                </w:tcPr>
                <w:p w14:paraId="0A8BA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雨水管网收集后外排</w:t>
                  </w:r>
                </w:p>
              </w:tc>
              <w:tc>
                <w:tcPr>
                  <w:tcW w:w="2200" w:type="dxa"/>
                  <w:shd w:val="clear" w:color="auto" w:fill="auto"/>
                  <w:vAlign w:val="center"/>
                </w:tcPr>
                <w:p w14:paraId="20D0F7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rPr>
                    <w:t>本项目</w:t>
                  </w:r>
                  <w:r>
                    <w:rPr>
                      <w:rFonts w:hint="default" w:ascii="Times New Roman" w:hAnsi="Times New Roman" w:eastAsia="宋体" w:cs="Times New Roman"/>
                      <w:color w:val="auto"/>
                      <w:sz w:val="21"/>
                      <w:szCs w:val="21"/>
                      <w:u w:val="single" w:color="auto"/>
                      <w:lang w:val="en-US" w:eastAsia="zh-CN"/>
                    </w:rPr>
                    <w:t>雨水管网与污水管网设置三通阀，将初期雨水引入厂区污水处理站处理后通过市政污水管网排入卢峰镇污水处理厂</w:t>
                  </w:r>
                </w:p>
              </w:tc>
              <w:tc>
                <w:tcPr>
                  <w:tcW w:w="1475" w:type="dxa"/>
                  <w:shd w:val="clear" w:color="auto" w:fill="auto"/>
                  <w:vAlign w:val="center"/>
                </w:tcPr>
                <w:p w14:paraId="539EB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新建</w:t>
                  </w:r>
                </w:p>
              </w:tc>
            </w:tr>
            <w:tr w14:paraId="414F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Merge w:val="continue"/>
                  <w:vAlign w:val="center"/>
                </w:tcPr>
                <w:p w14:paraId="5E4D7A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1729" w:type="dxa"/>
                  <w:gridSpan w:val="2"/>
                  <w:shd w:val="clear" w:color="auto" w:fill="auto"/>
                  <w:vAlign w:val="center"/>
                </w:tcPr>
                <w:p w14:paraId="169874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供热</w:t>
                  </w:r>
                </w:p>
              </w:tc>
              <w:tc>
                <w:tcPr>
                  <w:tcW w:w="2365" w:type="dxa"/>
                  <w:shd w:val="clear" w:color="auto" w:fill="auto"/>
                  <w:vAlign w:val="center"/>
                </w:tcPr>
                <w:p w14:paraId="4D6E69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由0.25 t/h燃煤锅炉每日运行6 h供应</w:t>
                  </w:r>
                </w:p>
              </w:tc>
              <w:tc>
                <w:tcPr>
                  <w:tcW w:w="2200" w:type="dxa"/>
                  <w:shd w:val="clear" w:color="auto" w:fill="auto"/>
                  <w:vAlign w:val="center"/>
                </w:tcPr>
                <w:p w14:paraId="3BEA5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由0.2 t/h电煤锅炉每日运行7.5 h供应</w:t>
                  </w:r>
                </w:p>
              </w:tc>
              <w:tc>
                <w:tcPr>
                  <w:tcW w:w="1475" w:type="dxa"/>
                  <w:shd w:val="clear" w:color="auto" w:fill="auto"/>
                  <w:vAlign w:val="center"/>
                </w:tcPr>
                <w:p w14:paraId="68402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锅炉改建</w:t>
                  </w:r>
                </w:p>
              </w:tc>
            </w:tr>
            <w:tr w14:paraId="2634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90" w:type="dxa"/>
                  <w:vMerge w:val="continue"/>
                  <w:vAlign w:val="center"/>
                </w:tcPr>
                <w:p w14:paraId="1AB54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FF0000"/>
                      <w:sz w:val="21"/>
                      <w:szCs w:val="21"/>
                      <w:u w:val="single" w:color="auto"/>
                      <w:vertAlign w:val="baseline"/>
                      <w:lang w:val="en-US" w:eastAsia="zh-CN"/>
                    </w:rPr>
                  </w:pPr>
                </w:p>
              </w:tc>
              <w:tc>
                <w:tcPr>
                  <w:tcW w:w="1729" w:type="dxa"/>
                  <w:gridSpan w:val="2"/>
                  <w:vAlign w:val="center"/>
                </w:tcPr>
                <w:p w14:paraId="2AF3F33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排水</w:t>
                  </w:r>
                </w:p>
              </w:tc>
              <w:tc>
                <w:tcPr>
                  <w:tcW w:w="2365" w:type="dxa"/>
                  <w:vAlign w:val="center"/>
                </w:tcPr>
                <w:p w14:paraId="3D8E06F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bidi="ar"/>
                    </w:rPr>
                  </w:pPr>
                  <w:r>
                    <w:rPr>
                      <w:rFonts w:hint="eastAsia" w:cs="Times New Roman"/>
                      <w:color w:val="auto"/>
                      <w:kern w:val="2"/>
                      <w:sz w:val="21"/>
                      <w:szCs w:val="21"/>
                      <w:u w:val="single" w:color="auto"/>
                      <w:lang w:val="en-US" w:eastAsia="zh-CN" w:bidi="ar"/>
                    </w:rPr>
                    <w:t>企业实施雨污分流，雨水经雨水管网收集后排入市政雨水管网。</w:t>
                  </w:r>
                  <w:r>
                    <w:rPr>
                      <w:rFonts w:hint="default" w:ascii="Times New Roman" w:hAnsi="Times New Roman" w:eastAsia="宋体" w:cs="Times New Roman"/>
                      <w:color w:val="auto"/>
                      <w:kern w:val="2"/>
                      <w:sz w:val="21"/>
                      <w:szCs w:val="21"/>
                      <w:u w:val="single" w:color="auto"/>
                      <w:lang w:val="en-US" w:eastAsia="zh-CN" w:bidi="ar"/>
                    </w:rPr>
                    <w:t>项目生活污水经隔油池和化粪池处理后</w:t>
                  </w:r>
                  <w:r>
                    <w:rPr>
                      <w:rFonts w:hint="eastAsia" w:cs="Times New Roman"/>
                      <w:color w:val="auto"/>
                      <w:kern w:val="2"/>
                      <w:sz w:val="21"/>
                      <w:szCs w:val="21"/>
                      <w:u w:val="single" w:color="auto"/>
                      <w:lang w:val="en-US" w:eastAsia="zh-CN" w:bidi="ar"/>
                    </w:rPr>
                    <w:t>用于周边农肥</w:t>
                  </w:r>
                  <w:r>
                    <w:rPr>
                      <w:rFonts w:hint="default" w:ascii="Times New Roman" w:hAnsi="Times New Roman" w:eastAsia="宋体" w:cs="Times New Roman"/>
                      <w:color w:val="auto"/>
                      <w:kern w:val="2"/>
                      <w:sz w:val="21"/>
                      <w:szCs w:val="21"/>
                      <w:u w:val="single" w:color="auto"/>
                      <w:lang w:val="en-US" w:eastAsia="zh-CN" w:bidi="ar"/>
                    </w:rPr>
                    <w:t>，</w:t>
                  </w:r>
                  <w:r>
                    <w:rPr>
                      <w:rFonts w:hint="eastAsia" w:ascii="Times New Roman" w:hAnsi="Times New Roman" w:eastAsia="宋体" w:cs="Times New Roman"/>
                      <w:color w:val="auto"/>
                      <w:kern w:val="2"/>
                      <w:sz w:val="21"/>
                      <w:szCs w:val="21"/>
                      <w:u w:val="single" w:color="auto"/>
                      <w:lang w:val="en-US" w:eastAsia="zh-CN" w:bidi="ar"/>
                    </w:rPr>
                    <w:t>屠宰</w:t>
                  </w:r>
                  <w:r>
                    <w:rPr>
                      <w:rFonts w:hint="default" w:ascii="Times New Roman" w:hAnsi="Times New Roman" w:eastAsia="宋体" w:cs="Times New Roman"/>
                      <w:color w:val="auto"/>
                      <w:kern w:val="2"/>
                      <w:sz w:val="21"/>
                      <w:szCs w:val="21"/>
                      <w:u w:val="single" w:color="auto"/>
                      <w:lang w:val="en-US" w:eastAsia="zh-CN" w:bidi="ar"/>
                    </w:rPr>
                    <w:t>生产废水经污水处理站预处理后</w:t>
                  </w:r>
                  <w:r>
                    <w:rPr>
                      <w:rFonts w:hint="eastAsia" w:cs="Times New Roman"/>
                      <w:color w:val="auto"/>
                      <w:kern w:val="2"/>
                      <w:sz w:val="21"/>
                      <w:szCs w:val="21"/>
                      <w:u w:val="single" w:color="auto"/>
                      <w:lang w:val="en-US" w:eastAsia="zh-CN" w:bidi="ar"/>
                    </w:rPr>
                    <w:t>与</w:t>
                  </w:r>
                  <w:r>
                    <w:rPr>
                      <w:rFonts w:hint="eastAsia" w:ascii="Times New Roman" w:hAnsi="Times New Roman" w:eastAsia="宋体" w:cs="Times New Roman"/>
                      <w:color w:val="auto"/>
                      <w:kern w:val="2"/>
                      <w:sz w:val="21"/>
                      <w:szCs w:val="21"/>
                      <w:u w:val="single" w:color="auto"/>
                      <w:lang w:val="en-US" w:eastAsia="zh-CN" w:bidi="ar"/>
                    </w:rPr>
                    <w:t>车辆清洗废水一起进入市政污水管网，排入卢峰镇污水处理厂处理</w:t>
                  </w:r>
                </w:p>
              </w:tc>
              <w:tc>
                <w:tcPr>
                  <w:tcW w:w="2200" w:type="dxa"/>
                  <w:vAlign w:val="center"/>
                </w:tcPr>
                <w:p w14:paraId="58EFD9A2">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cs="Times New Roman"/>
                      <w:color w:val="auto"/>
                      <w:kern w:val="0"/>
                      <w:sz w:val="21"/>
                      <w:szCs w:val="21"/>
                      <w:u w:val="single" w:color="auto"/>
                      <w:lang w:val="en-US" w:eastAsia="zh-CN" w:bidi="ar"/>
                    </w:rPr>
                  </w:pPr>
                  <w:r>
                    <w:rPr>
                      <w:rFonts w:hint="eastAsia" w:cs="Times New Roman"/>
                      <w:color w:val="auto"/>
                      <w:kern w:val="2"/>
                      <w:sz w:val="21"/>
                      <w:szCs w:val="21"/>
                      <w:u w:val="single" w:color="auto"/>
                      <w:lang w:val="en-US" w:eastAsia="zh-CN" w:bidi="ar"/>
                    </w:rPr>
                    <w:t>企业实施雨污分流，雨水经雨水管网收集后排入市政雨水管网。</w:t>
                  </w:r>
                  <w:r>
                    <w:rPr>
                      <w:rFonts w:hint="default" w:ascii="Times New Roman" w:hAnsi="Times New Roman" w:eastAsia="宋体" w:cs="Times New Roman"/>
                      <w:color w:val="auto"/>
                      <w:kern w:val="2"/>
                      <w:sz w:val="21"/>
                      <w:szCs w:val="21"/>
                      <w:u w:val="single" w:color="auto"/>
                      <w:lang w:val="en-US" w:eastAsia="zh-CN" w:bidi="ar"/>
                    </w:rPr>
                    <w:t>项目生活污水经隔油池和化粪池处理后</w:t>
                  </w:r>
                  <w:r>
                    <w:rPr>
                      <w:rFonts w:hint="eastAsia" w:cs="Times New Roman"/>
                      <w:color w:val="auto"/>
                      <w:kern w:val="2"/>
                      <w:sz w:val="21"/>
                      <w:szCs w:val="21"/>
                      <w:u w:val="single" w:color="auto"/>
                      <w:lang w:val="en-US" w:eastAsia="zh-CN" w:bidi="ar"/>
                    </w:rPr>
                    <w:t>与经</w:t>
                  </w:r>
                  <w:r>
                    <w:rPr>
                      <w:rFonts w:hint="default" w:ascii="Times New Roman" w:hAnsi="Times New Roman" w:eastAsia="宋体" w:cs="Times New Roman"/>
                      <w:color w:val="auto"/>
                      <w:kern w:val="2"/>
                      <w:sz w:val="21"/>
                      <w:szCs w:val="21"/>
                      <w:u w:val="single" w:color="auto"/>
                      <w:lang w:val="en-US" w:eastAsia="zh-CN" w:bidi="ar"/>
                    </w:rPr>
                    <w:t>污水处理站预处理后</w:t>
                  </w:r>
                  <w:r>
                    <w:rPr>
                      <w:rFonts w:hint="eastAsia" w:ascii="Times New Roman" w:hAnsi="Times New Roman" w:eastAsia="宋体" w:cs="Times New Roman"/>
                      <w:color w:val="auto"/>
                      <w:kern w:val="2"/>
                      <w:sz w:val="21"/>
                      <w:szCs w:val="21"/>
                      <w:u w:val="single" w:color="auto"/>
                      <w:lang w:val="en-US" w:eastAsia="zh-CN" w:bidi="ar"/>
                    </w:rPr>
                    <w:t>的屠宰</w:t>
                  </w:r>
                  <w:r>
                    <w:rPr>
                      <w:rFonts w:hint="default" w:ascii="Times New Roman" w:hAnsi="Times New Roman" w:eastAsia="宋体" w:cs="Times New Roman"/>
                      <w:color w:val="auto"/>
                      <w:kern w:val="2"/>
                      <w:sz w:val="21"/>
                      <w:szCs w:val="21"/>
                      <w:u w:val="single" w:color="auto"/>
                      <w:lang w:val="en-US" w:eastAsia="zh-CN" w:bidi="ar"/>
                    </w:rPr>
                    <w:t>生产废水</w:t>
                  </w:r>
                  <w:r>
                    <w:rPr>
                      <w:rFonts w:hint="eastAsia" w:ascii="Times New Roman" w:hAnsi="Times New Roman" w:eastAsia="宋体" w:cs="Times New Roman"/>
                      <w:color w:val="auto"/>
                      <w:kern w:val="2"/>
                      <w:sz w:val="21"/>
                      <w:szCs w:val="21"/>
                      <w:u w:val="single" w:color="auto"/>
                      <w:lang w:val="en-US" w:eastAsia="zh-CN" w:bidi="ar"/>
                    </w:rPr>
                    <w:t>及车辆清洗废水一起进入市政污水管网，排入卢峰镇污水处理厂处理</w:t>
                  </w:r>
                </w:p>
              </w:tc>
              <w:tc>
                <w:tcPr>
                  <w:tcW w:w="1475" w:type="dxa"/>
                  <w:vAlign w:val="center"/>
                </w:tcPr>
                <w:p w14:paraId="43045D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vertAlign w:val="baseline"/>
                      <w:lang w:val="en-US" w:eastAsia="zh-CN"/>
                    </w:rPr>
                    <w:t>新建厂内排污管网，接入市政污水管网</w:t>
                  </w:r>
                </w:p>
              </w:tc>
            </w:tr>
            <w:tr w14:paraId="2F31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90" w:type="dxa"/>
                  <w:vMerge w:val="restart"/>
                  <w:vAlign w:val="center"/>
                </w:tcPr>
                <w:p w14:paraId="4A5A3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环保工程</w:t>
                  </w:r>
                </w:p>
              </w:tc>
              <w:tc>
                <w:tcPr>
                  <w:tcW w:w="588" w:type="dxa"/>
                  <w:vMerge w:val="restart"/>
                  <w:vAlign w:val="center"/>
                </w:tcPr>
                <w:p w14:paraId="321ECF9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废气</w:t>
                  </w:r>
                </w:p>
              </w:tc>
              <w:tc>
                <w:tcPr>
                  <w:tcW w:w="1141" w:type="dxa"/>
                  <w:shd w:val="clear" w:color="auto" w:fill="auto"/>
                  <w:vAlign w:val="center"/>
                </w:tcPr>
                <w:p w14:paraId="62722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待宰间恶臭</w:t>
                  </w:r>
                </w:p>
              </w:tc>
              <w:tc>
                <w:tcPr>
                  <w:tcW w:w="2365" w:type="dxa"/>
                  <w:vAlign w:val="center"/>
                </w:tcPr>
                <w:p w14:paraId="54688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cs="Times New Roman"/>
                      <w:color w:val="auto"/>
                      <w:sz w:val="21"/>
                      <w:szCs w:val="21"/>
                      <w:u w:val="single" w:color="auto"/>
                      <w:lang w:val="en-US" w:eastAsia="zh-CN"/>
                    </w:rPr>
                    <w:t>喷洒除臭剂后无组织排放</w:t>
                  </w:r>
                </w:p>
              </w:tc>
              <w:tc>
                <w:tcPr>
                  <w:tcW w:w="2200" w:type="dxa"/>
                  <w:vAlign w:val="center"/>
                </w:tcPr>
                <w:p w14:paraId="6AB56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0"/>
                      <w:sz w:val="20"/>
                      <w:szCs w:val="20"/>
                      <w:u w:val="single" w:color="auto"/>
                      <w:lang w:val="en-US" w:eastAsia="zh-CN" w:bidi="ar"/>
                    </w:rPr>
                  </w:pPr>
                  <w:r>
                    <w:rPr>
                      <w:rFonts w:hint="eastAsia" w:cs="Times New Roman"/>
                      <w:color w:val="auto"/>
                      <w:sz w:val="21"/>
                      <w:szCs w:val="21"/>
                      <w:u w:val="single" w:color="auto"/>
                      <w:lang w:val="en-US" w:eastAsia="zh-CN"/>
                    </w:rPr>
                    <w:t>喷洒除臭剂后无组织排放</w:t>
                  </w:r>
                </w:p>
              </w:tc>
              <w:tc>
                <w:tcPr>
                  <w:tcW w:w="1475" w:type="dxa"/>
                  <w:vMerge w:val="restart"/>
                  <w:vAlign w:val="center"/>
                </w:tcPr>
                <w:p w14:paraId="45559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废气处理方式不变</w:t>
                  </w:r>
                </w:p>
              </w:tc>
            </w:tr>
            <w:tr w14:paraId="2C49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90" w:type="dxa"/>
                  <w:vMerge w:val="continue"/>
                  <w:vAlign w:val="center"/>
                </w:tcPr>
                <w:p w14:paraId="4204C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588" w:type="dxa"/>
                  <w:vMerge w:val="continue"/>
                  <w:vAlign w:val="center"/>
                </w:tcPr>
                <w:p w14:paraId="6950F542">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p>
              </w:tc>
              <w:tc>
                <w:tcPr>
                  <w:tcW w:w="1141" w:type="dxa"/>
                  <w:shd w:val="clear" w:color="auto" w:fill="auto"/>
                  <w:vAlign w:val="center"/>
                </w:tcPr>
                <w:p w14:paraId="4917D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屠宰间、急宰间恶臭</w:t>
                  </w:r>
                </w:p>
              </w:tc>
              <w:tc>
                <w:tcPr>
                  <w:tcW w:w="2365" w:type="dxa"/>
                  <w:vAlign w:val="center"/>
                </w:tcPr>
                <w:p w14:paraId="0DC01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喷洒除臭剂后无组织排放</w:t>
                  </w:r>
                </w:p>
              </w:tc>
              <w:tc>
                <w:tcPr>
                  <w:tcW w:w="2200" w:type="dxa"/>
                  <w:vAlign w:val="center"/>
                </w:tcPr>
                <w:p w14:paraId="3A517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喷洒除臭剂后无组织排放</w:t>
                  </w:r>
                </w:p>
              </w:tc>
              <w:tc>
                <w:tcPr>
                  <w:tcW w:w="1475" w:type="dxa"/>
                  <w:vMerge w:val="continue"/>
                  <w:vAlign w:val="center"/>
                </w:tcPr>
                <w:p w14:paraId="62692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r>
            <w:tr w14:paraId="5AEF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90" w:type="dxa"/>
                  <w:vMerge w:val="continue"/>
                  <w:vAlign w:val="center"/>
                </w:tcPr>
                <w:p w14:paraId="0339D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p>
              </w:tc>
              <w:tc>
                <w:tcPr>
                  <w:tcW w:w="588" w:type="dxa"/>
                  <w:vMerge w:val="continue"/>
                  <w:vAlign w:val="center"/>
                </w:tcPr>
                <w:p w14:paraId="25E41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p>
              </w:tc>
              <w:tc>
                <w:tcPr>
                  <w:tcW w:w="1141" w:type="dxa"/>
                  <w:shd w:val="clear" w:color="auto" w:fill="auto"/>
                  <w:vAlign w:val="center"/>
                </w:tcPr>
                <w:p w14:paraId="05F70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污水处理站恶臭</w:t>
                  </w:r>
                </w:p>
              </w:tc>
              <w:tc>
                <w:tcPr>
                  <w:tcW w:w="2365" w:type="dxa"/>
                  <w:vAlign w:val="center"/>
                </w:tcPr>
                <w:p w14:paraId="009510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r>
                    <w:rPr>
                      <w:rFonts w:hint="eastAsia" w:cs="Times New Roman"/>
                      <w:color w:val="auto"/>
                      <w:sz w:val="21"/>
                      <w:szCs w:val="21"/>
                      <w:u w:val="single" w:color="auto"/>
                      <w:lang w:val="en-US" w:eastAsia="zh-CN"/>
                    </w:rPr>
                    <w:t>无组织排放</w:t>
                  </w:r>
                </w:p>
              </w:tc>
              <w:tc>
                <w:tcPr>
                  <w:tcW w:w="2200" w:type="dxa"/>
                  <w:vAlign w:val="center"/>
                </w:tcPr>
                <w:p w14:paraId="7528FE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r>
                    <w:rPr>
                      <w:rFonts w:hint="eastAsia" w:cs="Times New Roman"/>
                      <w:color w:val="auto"/>
                      <w:sz w:val="21"/>
                      <w:szCs w:val="21"/>
                      <w:u w:val="single" w:color="auto"/>
                      <w:lang w:val="en-US" w:eastAsia="zh-CN"/>
                    </w:rPr>
                    <w:t>无组织排放</w:t>
                  </w:r>
                </w:p>
              </w:tc>
              <w:tc>
                <w:tcPr>
                  <w:tcW w:w="1475" w:type="dxa"/>
                  <w:vMerge w:val="continue"/>
                  <w:vAlign w:val="center"/>
                </w:tcPr>
                <w:p w14:paraId="60516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p>
              </w:tc>
            </w:tr>
            <w:tr w14:paraId="2FF1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90" w:type="dxa"/>
                  <w:vMerge w:val="continue"/>
                  <w:vAlign w:val="center"/>
                </w:tcPr>
                <w:p w14:paraId="0E2727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p>
              </w:tc>
              <w:tc>
                <w:tcPr>
                  <w:tcW w:w="588" w:type="dxa"/>
                  <w:vMerge w:val="continue"/>
                  <w:vAlign w:val="center"/>
                </w:tcPr>
                <w:p w14:paraId="1E96EB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p>
              </w:tc>
              <w:tc>
                <w:tcPr>
                  <w:tcW w:w="1141" w:type="dxa"/>
                  <w:shd w:val="clear" w:color="auto" w:fill="auto"/>
                  <w:vAlign w:val="center"/>
                </w:tcPr>
                <w:p w14:paraId="36924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危废暂存间废气</w:t>
                  </w:r>
                </w:p>
              </w:tc>
              <w:tc>
                <w:tcPr>
                  <w:tcW w:w="2365" w:type="dxa"/>
                  <w:vAlign w:val="center"/>
                </w:tcPr>
                <w:p w14:paraId="7FD7C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2200" w:type="dxa"/>
                  <w:vAlign w:val="center"/>
                </w:tcPr>
                <w:p w14:paraId="398EA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无组织排放</w:t>
                  </w:r>
                </w:p>
              </w:tc>
              <w:tc>
                <w:tcPr>
                  <w:tcW w:w="1475" w:type="dxa"/>
                  <w:vAlign w:val="center"/>
                </w:tcPr>
                <w:p w14:paraId="623A4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lang w:val="en-US" w:eastAsia="zh-CN" w:bidi="ar"/>
                    </w:rPr>
                  </w:pPr>
                  <w:r>
                    <w:rPr>
                      <w:rFonts w:hint="eastAsia" w:cs="Times New Roman"/>
                      <w:color w:val="auto"/>
                      <w:kern w:val="2"/>
                      <w:sz w:val="21"/>
                      <w:szCs w:val="21"/>
                      <w:u w:val="single" w:color="auto"/>
                      <w:lang w:val="en-US" w:eastAsia="zh-CN" w:bidi="ar"/>
                    </w:rPr>
                    <w:t>企业现未建设危废暂存间</w:t>
                  </w:r>
                </w:p>
              </w:tc>
            </w:tr>
            <w:tr w14:paraId="427F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90" w:type="dxa"/>
                  <w:vMerge w:val="continue"/>
                  <w:vAlign w:val="center"/>
                </w:tcPr>
                <w:p w14:paraId="37680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p>
              </w:tc>
              <w:tc>
                <w:tcPr>
                  <w:tcW w:w="588" w:type="dxa"/>
                  <w:vMerge w:val="continue"/>
                  <w:vAlign w:val="center"/>
                </w:tcPr>
                <w:p w14:paraId="0437D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lang w:val="en-US" w:eastAsia="zh-CN" w:bidi="ar"/>
                    </w:rPr>
                  </w:pPr>
                </w:p>
              </w:tc>
              <w:tc>
                <w:tcPr>
                  <w:tcW w:w="1141" w:type="dxa"/>
                  <w:shd w:val="clear" w:color="auto" w:fill="auto"/>
                  <w:vAlign w:val="center"/>
                </w:tcPr>
                <w:p w14:paraId="3DA25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锅炉废气</w:t>
                  </w:r>
                </w:p>
              </w:tc>
              <w:tc>
                <w:tcPr>
                  <w:tcW w:w="2365" w:type="dxa"/>
                  <w:vAlign w:val="center"/>
                </w:tcPr>
                <w:p w14:paraId="27E92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通过20 m排气筒排放</w:t>
                  </w:r>
                </w:p>
              </w:tc>
              <w:tc>
                <w:tcPr>
                  <w:tcW w:w="2200" w:type="dxa"/>
                  <w:vAlign w:val="center"/>
                </w:tcPr>
                <w:p w14:paraId="2040AE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475" w:type="dxa"/>
                  <w:vAlign w:val="center"/>
                </w:tcPr>
                <w:p w14:paraId="60ABD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lang w:val="en-US" w:eastAsia="zh-CN" w:bidi="ar"/>
                    </w:rPr>
                  </w:pPr>
                  <w:r>
                    <w:rPr>
                      <w:rFonts w:hint="eastAsia" w:cs="Times New Roman"/>
                      <w:color w:val="auto"/>
                      <w:kern w:val="2"/>
                      <w:sz w:val="21"/>
                      <w:szCs w:val="21"/>
                      <w:u w:val="single" w:color="auto"/>
                      <w:lang w:val="en-US" w:eastAsia="zh-CN" w:bidi="ar"/>
                    </w:rPr>
                    <w:t>拆除现有燃煤锅炉及其废气治理实施，使用电锅炉</w:t>
                  </w:r>
                </w:p>
              </w:tc>
            </w:tr>
            <w:tr w14:paraId="1D32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90" w:type="dxa"/>
                  <w:vMerge w:val="continue"/>
                  <w:vAlign w:val="center"/>
                </w:tcPr>
                <w:p w14:paraId="6EE4F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1729" w:type="dxa"/>
                  <w:gridSpan w:val="2"/>
                  <w:vAlign w:val="center"/>
                </w:tcPr>
                <w:p w14:paraId="65A0FCBF">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废水</w:t>
                  </w:r>
                </w:p>
              </w:tc>
              <w:tc>
                <w:tcPr>
                  <w:tcW w:w="2365" w:type="dxa"/>
                  <w:vAlign w:val="center"/>
                </w:tcPr>
                <w:p w14:paraId="0BAAD49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FF0000"/>
                      <w:kern w:val="2"/>
                      <w:sz w:val="21"/>
                      <w:szCs w:val="21"/>
                      <w:u w:val="single" w:color="auto"/>
                      <w:lang w:val="en-US" w:eastAsia="zh-CN" w:bidi="ar"/>
                    </w:rPr>
                  </w:pPr>
                  <w:r>
                    <w:rPr>
                      <w:rFonts w:hint="default" w:ascii="Times New Roman" w:hAnsi="Times New Roman" w:eastAsia="宋体" w:cs="Times New Roman"/>
                      <w:color w:val="auto"/>
                      <w:kern w:val="2"/>
                      <w:sz w:val="21"/>
                      <w:szCs w:val="21"/>
                      <w:u w:val="single" w:color="auto"/>
                      <w:lang w:val="en-US" w:eastAsia="zh-CN" w:bidi="ar"/>
                    </w:rPr>
                    <w:t>项目生活污水经隔油池和化粪池处理后</w:t>
                  </w:r>
                  <w:r>
                    <w:rPr>
                      <w:rFonts w:hint="eastAsia" w:cs="Times New Roman"/>
                      <w:color w:val="auto"/>
                      <w:kern w:val="2"/>
                      <w:sz w:val="21"/>
                      <w:szCs w:val="21"/>
                      <w:u w:val="single" w:color="auto"/>
                      <w:lang w:val="en-US" w:eastAsia="zh-CN" w:bidi="ar"/>
                    </w:rPr>
                    <w:t>用于周边农肥</w:t>
                  </w:r>
                  <w:r>
                    <w:rPr>
                      <w:rFonts w:hint="default" w:ascii="Times New Roman" w:hAnsi="Times New Roman" w:eastAsia="宋体" w:cs="Times New Roman"/>
                      <w:color w:val="auto"/>
                      <w:kern w:val="2"/>
                      <w:sz w:val="21"/>
                      <w:szCs w:val="21"/>
                      <w:u w:val="single" w:color="auto"/>
                      <w:lang w:val="en-US" w:eastAsia="zh-CN" w:bidi="ar"/>
                    </w:rPr>
                    <w:t>，</w:t>
                  </w:r>
                  <w:r>
                    <w:rPr>
                      <w:rFonts w:hint="eastAsia" w:ascii="Times New Roman" w:hAnsi="Times New Roman" w:eastAsia="宋体" w:cs="Times New Roman"/>
                      <w:color w:val="auto"/>
                      <w:kern w:val="2"/>
                      <w:sz w:val="21"/>
                      <w:szCs w:val="21"/>
                      <w:u w:val="single" w:color="auto"/>
                      <w:lang w:val="en-US" w:eastAsia="zh-CN" w:bidi="ar"/>
                    </w:rPr>
                    <w:t>屠宰</w:t>
                  </w:r>
                  <w:r>
                    <w:rPr>
                      <w:rFonts w:hint="default" w:ascii="Times New Roman" w:hAnsi="Times New Roman" w:eastAsia="宋体" w:cs="Times New Roman"/>
                      <w:color w:val="auto"/>
                      <w:kern w:val="2"/>
                      <w:sz w:val="21"/>
                      <w:szCs w:val="21"/>
                      <w:u w:val="single" w:color="auto"/>
                      <w:lang w:val="en-US" w:eastAsia="zh-CN" w:bidi="ar"/>
                    </w:rPr>
                    <w:t>生产废水经污水处理站预处理后</w:t>
                  </w:r>
                  <w:r>
                    <w:rPr>
                      <w:rFonts w:hint="eastAsia" w:cs="Times New Roman"/>
                      <w:color w:val="auto"/>
                      <w:kern w:val="2"/>
                      <w:sz w:val="21"/>
                      <w:szCs w:val="21"/>
                      <w:u w:val="single" w:color="auto"/>
                      <w:lang w:val="en-US" w:eastAsia="zh-CN" w:bidi="ar"/>
                    </w:rPr>
                    <w:t>与</w:t>
                  </w:r>
                  <w:r>
                    <w:rPr>
                      <w:rFonts w:hint="eastAsia" w:ascii="Times New Roman" w:hAnsi="Times New Roman" w:eastAsia="宋体" w:cs="Times New Roman"/>
                      <w:color w:val="auto"/>
                      <w:kern w:val="2"/>
                      <w:sz w:val="21"/>
                      <w:szCs w:val="21"/>
                      <w:u w:val="single" w:color="auto"/>
                      <w:lang w:val="en-US" w:eastAsia="zh-CN" w:bidi="ar"/>
                    </w:rPr>
                    <w:t>车辆清洗废水一起进入市政污水管网，排入卢峰镇污水处理厂处理</w:t>
                  </w:r>
                </w:p>
              </w:tc>
              <w:tc>
                <w:tcPr>
                  <w:tcW w:w="2200" w:type="dxa"/>
                  <w:vAlign w:val="center"/>
                </w:tcPr>
                <w:p w14:paraId="22CF4E4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FF0000"/>
                      <w:kern w:val="0"/>
                      <w:sz w:val="21"/>
                      <w:szCs w:val="21"/>
                      <w:u w:val="single" w:color="auto"/>
                      <w:lang w:val="en-US" w:eastAsia="zh-CN" w:bidi="ar"/>
                    </w:rPr>
                  </w:pPr>
                  <w:r>
                    <w:rPr>
                      <w:rFonts w:hint="default" w:ascii="Times New Roman" w:hAnsi="Times New Roman" w:eastAsia="宋体" w:cs="Times New Roman"/>
                      <w:color w:val="auto"/>
                      <w:kern w:val="2"/>
                      <w:sz w:val="21"/>
                      <w:szCs w:val="21"/>
                      <w:u w:val="single" w:color="auto"/>
                      <w:lang w:val="en-US" w:eastAsia="zh-CN" w:bidi="ar"/>
                    </w:rPr>
                    <w:t>项目生活污水经隔油池和化粪池处理后</w:t>
                  </w:r>
                  <w:r>
                    <w:rPr>
                      <w:rFonts w:hint="eastAsia" w:cs="Times New Roman"/>
                      <w:color w:val="auto"/>
                      <w:kern w:val="2"/>
                      <w:sz w:val="21"/>
                      <w:szCs w:val="21"/>
                      <w:u w:val="single" w:color="auto"/>
                      <w:lang w:val="en-US" w:eastAsia="zh-CN" w:bidi="ar"/>
                    </w:rPr>
                    <w:t>与经</w:t>
                  </w:r>
                  <w:r>
                    <w:rPr>
                      <w:rFonts w:hint="default" w:ascii="Times New Roman" w:hAnsi="Times New Roman" w:eastAsia="宋体" w:cs="Times New Roman"/>
                      <w:color w:val="auto"/>
                      <w:kern w:val="2"/>
                      <w:sz w:val="21"/>
                      <w:szCs w:val="21"/>
                      <w:u w:val="single" w:color="auto"/>
                      <w:lang w:val="en-US" w:eastAsia="zh-CN" w:bidi="ar"/>
                    </w:rPr>
                    <w:t>污水处理站预处理后</w:t>
                  </w:r>
                  <w:r>
                    <w:rPr>
                      <w:rFonts w:hint="eastAsia" w:ascii="Times New Roman" w:hAnsi="Times New Roman" w:eastAsia="宋体" w:cs="Times New Roman"/>
                      <w:color w:val="auto"/>
                      <w:kern w:val="2"/>
                      <w:sz w:val="21"/>
                      <w:szCs w:val="21"/>
                      <w:u w:val="single" w:color="auto"/>
                      <w:lang w:val="en-US" w:eastAsia="zh-CN" w:bidi="ar"/>
                    </w:rPr>
                    <w:t>的屠宰</w:t>
                  </w:r>
                  <w:r>
                    <w:rPr>
                      <w:rFonts w:hint="default" w:ascii="Times New Roman" w:hAnsi="Times New Roman" w:eastAsia="宋体" w:cs="Times New Roman"/>
                      <w:color w:val="auto"/>
                      <w:kern w:val="2"/>
                      <w:sz w:val="21"/>
                      <w:szCs w:val="21"/>
                      <w:u w:val="single" w:color="auto"/>
                      <w:lang w:val="en-US" w:eastAsia="zh-CN" w:bidi="ar"/>
                    </w:rPr>
                    <w:t>生产废水</w:t>
                  </w:r>
                  <w:r>
                    <w:rPr>
                      <w:rFonts w:hint="eastAsia" w:ascii="Times New Roman" w:hAnsi="Times New Roman" w:eastAsia="宋体" w:cs="Times New Roman"/>
                      <w:color w:val="auto"/>
                      <w:kern w:val="2"/>
                      <w:sz w:val="21"/>
                      <w:szCs w:val="21"/>
                      <w:u w:val="single" w:color="auto"/>
                      <w:lang w:val="en-US" w:eastAsia="zh-CN" w:bidi="ar"/>
                    </w:rPr>
                    <w:t>及车辆清洗废水一起进入市政污水管网，排入卢峰镇污水处理厂处理</w:t>
                  </w:r>
                </w:p>
              </w:tc>
              <w:tc>
                <w:tcPr>
                  <w:tcW w:w="1475" w:type="dxa"/>
                  <w:vAlign w:val="center"/>
                </w:tcPr>
                <w:p w14:paraId="1EF34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FF0000"/>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新建厂内排污管网，接入市政污水管网</w:t>
                  </w:r>
                </w:p>
              </w:tc>
            </w:tr>
            <w:tr w14:paraId="5D3E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690" w:type="dxa"/>
                  <w:vMerge w:val="continue"/>
                  <w:vAlign w:val="center"/>
                </w:tcPr>
                <w:p w14:paraId="43172C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FF0000"/>
                      <w:sz w:val="21"/>
                      <w:szCs w:val="21"/>
                      <w:u w:val="single" w:color="auto"/>
                      <w:vertAlign w:val="baseline"/>
                      <w:lang w:val="en-US" w:eastAsia="zh-CN"/>
                    </w:rPr>
                  </w:pPr>
                </w:p>
              </w:tc>
              <w:tc>
                <w:tcPr>
                  <w:tcW w:w="1729" w:type="dxa"/>
                  <w:gridSpan w:val="2"/>
                  <w:vAlign w:val="center"/>
                </w:tcPr>
                <w:p w14:paraId="3654481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噪声</w:t>
                  </w:r>
                </w:p>
              </w:tc>
              <w:tc>
                <w:tcPr>
                  <w:tcW w:w="2365" w:type="dxa"/>
                  <w:vAlign w:val="center"/>
                </w:tcPr>
                <w:p w14:paraId="55A5D48A">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default" w:ascii="Times New Roman" w:hAnsi="Times New Roman" w:eastAsia="宋体" w:cs="Times New Roman"/>
                      <w:color w:val="auto"/>
                      <w:kern w:val="2"/>
                      <w:sz w:val="21"/>
                      <w:szCs w:val="21"/>
                      <w:u w:val="single" w:color="auto"/>
                      <w:lang w:val="en-US" w:eastAsia="zh-CN" w:bidi="ar"/>
                    </w:rPr>
                    <w:t>主要为</w:t>
                  </w:r>
                  <w:r>
                    <w:rPr>
                      <w:rFonts w:hint="eastAsia" w:cs="Times New Roman"/>
                      <w:color w:val="auto"/>
                      <w:sz w:val="21"/>
                      <w:szCs w:val="21"/>
                      <w:u w:val="single" w:color="auto"/>
                      <w:vertAlign w:val="baseline"/>
                      <w:lang w:val="en-US" w:eastAsia="zh-CN"/>
                    </w:rPr>
                    <w:t>牛叫、猪叫以及设备噪声等</w:t>
                  </w:r>
                  <w:r>
                    <w:rPr>
                      <w:rFonts w:hint="default" w:ascii="Times New Roman" w:hAnsi="Times New Roman" w:eastAsia="宋体" w:cs="Times New Roman"/>
                      <w:color w:val="auto"/>
                      <w:kern w:val="2"/>
                      <w:sz w:val="21"/>
                      <w:szCs w:val="21"/>
                      <w:u w:val="single" w:color="auto"/>
                      <w:lang w:val="en-US" w:eastAsia="zh-CN" w:bidi="ar"/>
                    </w:rPr>
                    <w:t>，可采取基础减振、隔声、距离衰减等措施</w:t>
                  </w:r>
                </w:p>
              </w:tc>
              <w:tc>
                <w:tcPr>
                  <w:tcW w:w="2200" w:type="dxa"/>
                  <w:vAlign w:val="center"/>
                </w:tcPr>
                <w:p w14:paraId="312E6C44">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kern w:val="0"/>
                      <w:sz w:val="21"/>
                      <w:szCs w:val="21"/>
                      <w:u w:val="single" w:color="auto"/>
                      <w:lang w:val="en-US" w:eastAsia="zh-CN" w:bidi="ar"/>
                    </w:rPr>
                  </w:pPr>
                  <w:r>
                    <w:rPr>
                      <w:rFonts w:hint="default" w:ascii="Times New Roman" w:hAnsi="Times New Roman" w:eastAsia="宋体" w:cs="Times New Roman"/>
                      <w:color w:val="auto"/>
                      <w:kern w:val="2"/>
                      <w:sz w:val="21"/>
                      <w:szCs w:val="21"/>
                      <w:u w:val="single" w:color="auto"/>
                      <w:lang w:val="en-US" w:eastAsia="zh-CN" w:bidi="ar"/>
                    </w:rPr>
                    <w:t>主要为</w:t>
                  </w:r>
                  <w:r>
                    <w:rPr>
                      <w:rFonts w:hint="eastAsia" w:cs="Times New Roman"/>
                      <w:color w:val="auto"/>
                      <w:sz w:val="21"/>
                      <w:szCs w:val="21"/>
                      <w:u w:val="single" w:color="auto"/>
                      <w:vertAlign w:val="baseline"/>
                      <w:lang w:val="en-US" w:eastAsia="zh-CN"/>
                    </w:rPr>
                    <w:t>牛叫、猪叫以及设备噪声等</w:t>
                  </w:r>
                  <w:r>
                    <w:rPr>
                      <w:rFonts w:hint="default" w:ascii="Times New Roman" w:hAnsi="Times New Roman" w:eastAsia="宋体" w:cs="Times New Roman"/>
                      <w:color w:val="auto"/>
                      <w:kern w:val="2"/>
                      <w:sz w:val="21"/>
                      <w:szCs w:val="21"/>
                      <w:u w:val="single" w:color="auto"/>
                      <w:lang w:val="en-US" w:eastAsia="zh-CN" w:bidi="ar"/>
                    </w:rPr>
                    <w:t>，可采取基础减振、隔声、距离衰减等措施</w:t>
                  </w:r>
                </w:p>
              </w:tc>
              <w:tc>
                <w:tcPr>
                  <w:tcW w:w="1475" w:type="dxa"/>
                  <w:vAlign w:val="center"/>
                </w:tcPr>
                <w:p w14:paraId="33488B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r>
            <w:tr w14:paraId="3A3F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690" w:type="dxa"/>
                  <w:vMerge w:val="continue"/>
                  <w:vAlign w:val="center"/>
                </w:tcPr>
                <w:p w14:paraId="5164D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FF0000"/>
                      <w:sz w:val="21"/>
                      <w:szCs w:val="21"/>
                      <w:u w:val="single" w:color="auto"/>
                      <w:vertAlign w:val="baseline"/>
                      <w:lang w:val="en-US" w:eastAsia="zh-CN"/>
                    </w:rPr>
                  </w:pPr>
                </w:p>
              </w:tc>
              <w:tc>
                <w:tcPr>
                  <w:tcW w:w="1729" w:type="dxa"/>
                  <w:gridSpan w:val="2"/>
                  <w:vAlign w:val="center"/>
                </w:tcPr>
                <w:p w14:paraId="5847C28C">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生活垃圾</w:t>
                  </w:r>
                </w:p>
              </w:tc>
              <w:tc>
                <w:tcPr>
                  <w:tcW w:w="2365" w:type="dxa"/>
                  <w:vAlign w:val="center"/>
                </w:tcPr>
                <w:p w14:paraId="568D8FA8">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宋体" w:hAnsi="宋体" w:eastAsia="宋体" w:cs="宋体"/>
                      <w:color w:val="auto"/>
                      <w:kern w:val="0"/>
                      <w:sz w:val="21"/>
                      <w:szCs w:val="21"/>
                      <w:u w:val="single" w:color="auto"/>
                      <w:lang w:val="en-US" w:eastAsia="zh-CN" w:bidi="ar"/>
                    </w:rPr>
                    <w:t>设若干垃圾桶，收集后由环卫部门统一处理</w:t>
                  </w:r>
                </w:p>
              </w:tc>
              <w:tc>
                <w:tcPr>
                  <w:tcW w:w="2200" w:type="dxa"/>
                  <w:vAlign w:val="center"/>
                </w:tcPr>
                <w:p w14:paraId="31A59162">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kern w:val="0"/>
                      <w:sz w:val="21"/>
                      <w:szCs w:val="21"/>
                      <w:u w:val="single" w:color="auto"/>
                      <w:lang w:val="en-US" w:eastAsia="zh-CN" w:bidi="ar"/>
                    </w:rPr>
                  </w:pPr>
                  <w:r>
                    <w:rPr>
                      <w:rFonts w:hint="eastAsia" w:cs="Times New Roman"/>
                      <w:color w:val="auto"/>
                      <w:kern w:val="0"/>
                      <w:sz w:val="21"/>
                      <w:szCs w:val="21"/>
                      <w:u w:val="single" w:color="auto"/>
                      <w:lang w:val="en-US" w:eastAsia="zh-CN" w:bidi="ar"/>
                    </w:rPr>
                    <w:t>不变</w:t>
                  </w:r>
                </w:p>
              </w:tc>
              <w:tc>
                <w:tcPr>
                  <w:tcW w:w="1475" w:type="dxa"/>
                  <w:vAlign w:val="center"/>
                </w:tcPr>
                <w:p w14:paraId="1E3E9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本项目不新增生活垃圾</w:t>
                  </w:r>
                </w:p>
              </w:tc>
            </w:tr>
            <w:tr w14:paraId="38A9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0" w:type="dxa"/>
                  <w:vMerge w:val="continue"/>
                  <w:vAlign w:val="center"/>
                </w:tcPr>
                <w:p w14:paraId="2BB62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FF0000"/>
                      <w:sz w:val="21"/>
                      <w:szCs w:val="21"/>
                      <w:u w:val="single" w:color="auto"/>
                      <w:vertAlign w:val="baseline"/>
                      <w:lang w:val="en-US" w:eastAsia="zh-CN"/>
                    </w:rPr>
                  </w:pPr>
                </w:p>
              </w:tc>
              <w:tc>
                <w:tcPr>
                  <w:tcW w:w="588" w:type="dxa"/>
                  <w:vMerge w:val="restart"/>
                  <w:vAlign w:val="center"/>
                </w:tcPr>
                <w:p w14:paraId="1F825C00">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工业固废</w:t>
                  </w:r>
                </w:p>
              </w:tc>
              <w:tc>
                <w:tcPr>
                  <w:tcW w:w="1141" w:type="dxa"/>
                  <w:vAlign w:val="center"/>
                </w:tcPr>
                <w:p w14:paraId="685983D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危险废物暂存间</w:t>
                  </w:r>
                </w:p>
              </w:tc>
              <w:tc>
                <w:tcPr>
                  <w:tcW w:w="2365" w:type="dxa"/>
                  <w:vAlign w:val="center"/>
                </w:tcPr>
                <w:p w14:paraId="22EB41A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cs="Times New Roman"/>
                      <w:color w:val="auto"/>
                      <w:kern w:val="2"/>
                      <w:sz w:val="21"/>
                      <w:szCs w:val="21"/>
                      <w:u w:val="single" w:color="auto"/>
                      <w:lang w:val="en-US" w:eastAsia="zh-CN" w:bidi="ar"/>
                    </w:rPr>
                    <w:t>/</w:t>
                  </w:r>
                </w:p>
              </w:tc>
              <w:tc>
                <w:tcPr>
                  <w:tcW w:w="2200" w:type="dxa"/>
                  <w:vAlign w:val="center"/>
                </w:tcPr>
                <w:p w14:paraId="0082425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cs="Times New Roman"/>
                      <w:color w:val="auto"/>
                      <w:kern w:val="0"/>
                      <w:sz w:val="21"/>
                      <w:szCs w:val="21"/>
                      <w:u w:val="single" w:color="auto"/>
                      <w:lang w:val="en-US" w:eastAsia="zh-CN" w:bidi="ar"/>
                    </w:rPr>
                  </w:pPr>
                  <w:r>
                    <w:rPr>
                      <w:rFonts w:hint="eastAsia" w:cs="Times New Roman"/>
                      <w:color w:val="auto"/>
                      <w:kern w:val="0"/>
                      <w:sz w:val="21"/>
                      <w:szCs w:val="21"/>
                      <w:u w:val="single" w:color="auto"/>
                      <w:lang w:val="en-US" w:eastAsia="zh-CN" w:bidi="ar"/>
                    </w:rPr>
                    <w:t>在厂区南侧设危废暂存间，面积20 m</w:t>
                  </w:r>
                  <w:r>
                    <w:rPr>
                      <w:rFonts w:hint="eastAsia" w:cs="Times New Roman"/>
                      <w:color w:val="auto"/>
                      <w:kern w:val="0"/>
                      <w:sz w:val="21"/>
                      <w:szCs w:val="21"/>
                      <w:u w:val="single" w:color="auto"/>
                      <w:vertAlign w:val="superscript"/>
                      <w:lang w:val="en-US" w:eastAsia="zh-CN" w:bidi="ar"/>
                    </w:rPr>
                    <w:t>2</w:t>
                  </w:r>
                </w:p>
              </w:tc>
              <w:tc>
                <w:tcPr>
                  <w:tcW w:w="1475" w:type="dxa"/>
                  <w:vMerge w:val="restart"/>
                  <w:vAlign w:val="center"/>
                </w:tcPr>
                <w:p w14:paraId="18251A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企业现有环保管理较为松散，未建设一般固废及危险废物暂存间</w:t>
                  </w:r>
                </w:p>
              </w:tc>
            </w:tr>
            <w:tr w14:paraId="43B4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90" w:type="dxa"/>
                  <w:vMerge w:val="continue"/>
                  <w:vAlign w:val="center"/>
                </w:tcPr>
                <w:p w14:paraId="58BDD7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FF0000"/>
                      <w:sz w:val="21"/>
                      <w:szCs w:val="21"/>
                      <w:u w:val="single" w:color="auto"/>
                      <w:vertAlign w:val="baseline"/>
                      <w:lang w:val="en-US" w:eastAsia="zh-CN"/>
                    </w:rPr>
                  </w:pPr>
                </w:p>
              </w:tc>
              <w:tc>
                <w:tcPr>
                  <w:tcW w:w="588" w:type="dxa"/>
                  <w:vMerge w:val="continue"/>
                  <w:vAlign w:val="center"/>
                </w:tcPr>
                <w:p w14:paraId="1A0DEB4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p>
              </w:tc>
              <w:tc>
                <w:tcPr>
                  <w:tcW w:w="1141" w:type="dxa"/>
                  <w:vAlign w:val="center"/>
                </w:tcPr>
                <w:p w14:paraId="06F6CC80">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一般固废暂存间</w:t>
                  </w:r>
                </w:p>
              </w:tc>
              <w:tc>
                <w:tcPr>
                  <w:tcW w:w="2365" w:type="dxa"/>
                  <w:vAlign w:val="center"/>
                </w:tcPr>
                <w:p w14:paraId="7BB8412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cs="Times New Roman"/>
                      <w:color w:val="auto"/>
                      <w:kern w:val="2"/>
                      <w:sz w:val="21"/>
                      <w:szCs w:val="21"/>
                      <w:u w:val="single" w:color="auto"/>
                      <w:lang w:val="en-US" w:eastAsia="zh-CN" w:bidi="ar"/>
                    </w:rPr>
                    <w:t>/</w:t>
                  </w:r>
                </w:p>
              </w:tc>
              <w:tc>
                <w:tcPr>
                  <w:tcW w:w="2200" w:type="dxa"/>
                  <w:vAlign w:val="center"/>
                </w:tcPr>
                <w:p w14:paraId="79B1933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cs="Times New Roman"/>
                      <w:color w:val="auto"/>
                      <w:kern w:val="0"/>
                      <w:sz w:val="21"/>
                      <w:szCs w:val="21"/>
                      <w:u w:val="single" w:color="auto"/>
                      <w:lang w:val="en-US" w:eastAsia="zh-CN" w:bidi="ar"/>
                    </w:rPr>
                  </w:pPr>
                  <w:r>
                    <w:rPr>
                      <w:rFonts w:hint="eastAsia" w:cs="Times New Roman"/>
                      <w:color w:val="auto"/>
                      <w:kern w:val="0"/>
                      <w:sz w:val="21"/>
                      <w:szCs w:val="21"/>
                      <w:u w:val="single" w:color="auto"/>
                      <w:lang w:val="en-US" w:eastAsia="zh-CN" w:bidi="ar"/>
                    </w:rPr>
                    <w:t>在厂区南侧设一般固废暂存间，面积20 m</w:t>
                  </w:r>
                  <w:r>
                    <w:rPr>
                      <w:rFonts w:hint="eastAsia" w:cs="Times New Roman"/>
                      <w:color w:val="auto"/>
                      <w:kern w:val="0"/>
                      <w:sz w:val="21"/>
                      <w:szCs w:val="21"/>
                      <w:u w:val="single" w:color="auto"/>
                      <w:vertAlign w:val="superscript"/>
                      <w:lang w:val="en-US" w:eastAsia="zh-CN" w:bidi="ar"/>
                    </w:rPr>
                    <w:t>2</w:t>
                  </w:r>
                </w:p>
              </w:tc>
              <w:tc>
                <w:tcPr>
                  <w:tcW w:w="1475" w:type="dxa"/>
                  <w:vMerge w:val="continue"/>
                  <w:vAlign w:val="center"/>
                </w:tcPr>
                <w:p w14:paraId="618BE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FF0000"/>
                      <w:sz w:val="21"/>
                      <w:szCs w:val="21"/>
                      <w:u w:val="single" w:color="auto"/>
                      <w:vertAlign w:val="baseline"/>
                      <w:lang w:val="en-US" w:eastAsia="zh-CN"/>
                    </w:rPr>
                  </w:pPr>
                </w:p>
              </w:tc>
            </w:tr>
          </w:tbl>
          <w:p w14:paraId="7D23FD55">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2.2.2 </w:t>
            </w:r>
            <w:r>
              <w:rPr>
                <w:rFonts w:hint="default" w:ascii="Times New Roman" w:hAnsi="Times New Roman" w:eastAsia="黑体" w:cs="Times New Roman"/>
                <w:b/>
                <w:bCs/>
                <w:color w:val="auto"/>
                <w:u w:val="none" w:color="auto"/>
                <w:lang w:val="en-US" w:eastAsia="zh-CN"/>
              </w:rPr>
              <w:t>产品方案</w:t>
            </w:r>
          </w:p>
          <w:p w14:paraId="5B531DF0">
            <w:pPr>
              <w:pStyle w:val="7"/>
              <w:rPr>
                <w:rFonts w:hint="eastAsia" w:eastAsia="宋体"/>
                <w:color w:val="auto"/>
                <w:u w:val="none" w:color="auto"/>
                <w:lang w:eastAsia="zh-CN"/>
              </w:rPr>
            </w:pPr>
            <w:r>
              <w:rPr>
                <w:rFonts w:hint="eastAsia"/>
                <w:color w:val="auto"/>
                <w:u w:val="none" w:color="auto"/>
                <w:lang w:val="en-US" w:eastAsia="zh-CN"/>
              </w:rPr>
              <w:t>本项目屠宰方案</w:t>
            </w:r>
            <w:r>
              <w:rPr>
                <w:rFonts w:hint="eastAsia"/>
                <w:color w:val="auto"/>
                <w:u w:val="none" w:color="auto"/>
                <w:lang w:eastAsia="zh-CN"/>
              </w:rPr>
              <w:t>如下</w:t>
            </w:r>
            <w:r>
              <w:rPr>
                <w:rFonts w:hint="eastAsia"/>
                <w:color w:val="auto"/>
                <w:u w:val="none" w:color="auto"/>
                <w:lang w:val="en-US" w:eastAsia="zh-CN"/>
              </w:rPr>
              <w:t>所示</w:t>
            </w:r>
            <w:r>
              <w:rPr>
                <w:rFonts w:hint="eastAsia"/>
                <w:color w:val="auto"/>
                <w:u w:val="none" w:color="auto"/>
                <w:lang w:eastAsia="zh-CN"/>
              </w:rPr>
              <w:t>。</w:t>
            </w:r>
          </w:p>
          <w:p w14:paraId="22946F8C">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表2.2-2 </w:t>
            </w:r>
            <w:r>
              <w:rPr>
                <w:rFonts w:hint="eastAsia" w:cs="Times New Roman"/>
                <w:color w:val="auto"/>
                <w:u w:val="none" w:color="auto"/>
                <w:lang w:val="en-US" w:eastAsia="zh-CN"/>
              </w:rPr>
              <w:t>屠宰</w:t>
            </w:r>
            <w:r>
              <w:rPr>
                <w:rFonts w:hint="default" w:ascii="Times New Roman" w:hAnsi="Times New Roman" w:cs="Times New Roman"/>
                <w:color w:val="auto"/>
                <w:u w:val="none" w:color="auto"/>
                <w:lang w:val="en-US" w:eastAsia="zh-CN"/>
              </w:rPr>
              <w:t>方案一览表</w:t>
            </w:r>
          </w:p>
          <w:tbl>
            <w:tblPr>
              <w:tblStyle w:val="22"/>
              <w:tblW w:w="851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754"/>
              <w:gridCol w:w="772"/>
              <w:gridCol w:w="728"/>
              <w:gridCol w:w="940"/>
              <w:gridCol w:w="4880"/>
            </w:tblGrid>
            <w:tr w14:paraId="31A0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45" w:type="dxa"/>
                  <w:vMerge w:val="restart"/>
                  <w:vAlign w:val="center"/>
                </w:tcPr>
                <w:p w14:paraId="24604B05">
                  <w:pPr>
                    <w:adjustRightInd/>
                    <w:snapToGrid/>
                    <w:spacing w:line="240" w:lineRule="auto"/>
                    <w:ind w:firstLine="0" w:firstLineChars="0"/>
                    <w:jc w:val="center"/>
                    <w:rPr>
                      <w:rFonts w:ascii="Times New Roman" w:hAnsi="Times New Roman" w:eastAsia="宋体" w:cs="Times New Roman"/>
                      <w:b w:val="0"/>
                      <w:color w:val="auto"/>
                      <w:sz w:val="21"/>
                      <w:szCs w:val="21"/>
                      <w:u w:val="none" w:color="auto"/>
                    </w:rPr>
                  </w:pPr>
                  <w:r>
                    <w:rPr>
                      <w:rFonts w:hint="default" w:ascii="Times New Roman" w:hAnsi="Times New Roman" w:eastAsia="宋体" w:cs="Times New Roman"/>
                      <w:b w:val="0"/>
                      <w:color w:val="auto"/>
                      <w:sz w:val="21"/>
                      <w:szCs w:val="21"/>
                      <w:u w:val="none" w:color="auto"/>
                    </w:rPr>
                    <w:t>序号</w:t>
                  </w:r>
                </w:p>
              </w:tc>
              <w:tc>
                <w:tcPr>
                  <w:tcW w:w="1526" w:type="dxa"/>
                  <w:gridSpan w:val="2"/>
                  <w:shd w:val="clear" w:color="auto" w:fill="auto"/>
                  <w:vAlign w:val="center"/>
                </w:tcPr>
                <w:p w14:paraId="13FE23A6">
                  <w:pPr>
                    <w:adjustRightInd/>
                    <w:snapToGrid/>
                    <w:spacing w:line="240" w:lineRule="auto"/>
                    <w:ind w:firstLine="0" w:firstLineChars="0"/>
                    <w:jc w:val="center"/>
                    <w:rPr>
                      <w:rFonts w:ascii="Times New Roman" w:hAnsi="Times New Roman" w:eastAsia="宋体" w:cs="Times New Roman"/>
                      <w:b w:val="0"/>
                      <w:color w:val="auto"/>
                      <w:sz w:val="21"/>
                      <w:szCs w:val="21"/>
                      <w:u w:val="none" w:color="auto"/>
                    </w:rPr>
                  </w:pPr>
                  <w:r>
                    <w:rPr>
                      <w:rFonts w:hint="eastAsia" w:cs="Times New Roman"/>
                      <w:b w:val="0"/>
                      <w:color w:val="auto"/>
                      <w:sz w:val="21"/>
                      <w:szCs w:val="21"/>
                      <w:u w:val="none" w:color="auto"/>
                      <w:lang w:val="en-US" w:eastAsia="zh-CN"/>
                    </w:rPr>
                    <w:t>技改</w:t>
                  </w:r>
                  <w:r>
                    <w:rPr>
                      <w:rFonts w:hint="default" w:ascii="Times New Roman" w:hAnsi="Times New Roman" w:eastAsia="宋体" w:cs="Times New Roman"/>
                      <w:b w:val="0"/>
                      <w:color w:val="auto"/>
                      <w:sz w:val="21"/>
                      <w:szCs w:val="21"/>
                      <w:u w:val="none" w:color="auto"/>
                    </w:rPr>
                    <w:t>建前</w:t>
                  </w:r>
                </w:p>
              </w:tc>
              <w:tc>
                <w:tcPr>
                  <w:tcW w:w="1668" w:type="dxa"/>
                  <w:gridSpan w:val="2"/>
                  <w:vAlign w:val="center"/>
                </w:tcPr>
                <w:p w14:paraId="3F579B53">
                  <w:pPr>
                    <w:adjustRightInd/>
                    <w:snapToGrid/>
                    <w:spacing w:line="240" w:lineRule="auto"/>
                    <w:ind w:firstLine="0" w:firstLineChars="0"/>
                    <w:jc w:val="center"/>
                    <w:rPr>
                      <w:rFonts w:hint="default" w:ascii="Times New Roman" w:hAnsi="Times New Roman" w:eastAsia="宋体" w:cs="Times New Roman"/>
                      <w:b w:val="0"/>
                      <w:color w:val="auto"/>
                      <w:sz w:val="21"/>
                      <w:szCs w:val="21"/>
                      <w:u w:val="none" w:color="auto"/>
                    </w:rPr>
                  </w:pPr>
                  <w:r>
                    <w:rPr>
                      <w:rFonts w:hint="eastAsia" w:cs="Times New Roman"/>
                      <w:b w:val="0"/>
                      <w:color w:val="auto"/>
                      <w:sz w:val="21"/>
                      <w:szCs w:val="21"/>
                      <w:u w:val="none" w:color="auto"/>
                      <w:lang w:val="en-US" w:eastAsia="zh-CN"/>
                    </w:rPr>
                    <w:t>技改</w:t>
                  </w:r>
                  <w:r>
                    <w:rPr>
                      <w:rFonts w:hint="default" w:ascii="Times New Roman" w:hAnsi="Times New Roman" w:eastAsia="宋体" w:cs="Times New Roman"/>
                      <w:b w:val="0"/>
                      <w:color w:val="auto"/>
                      <w:sz w:val="21"/>
                      <w:szCs w:val="21"/>
                      <w:u w:val="none" w:color="auto"/>
                    </w:rPr>
                    <w:t>建后</w:t>
                  </w:r>
                </w:p>
              </w:tc>
              <w:tc>
                <w:tcPr>
                  <w:tcW w:w="4880" w:type="dxa"/>
                  <w:vMerge w:val="restart"/>
                  <w:vAlign w:val="center"/>
                </w:tcPr>
                <w:p w14:paraId="0F809E53">
                  <w:pPr>
                    <w:adjustRightInd/>
                    <w:snapToGrid/>
                    <w:spacing w:line="240" w:lineRule="auto"/>
                    <w:ind w:firstLine="0" w:firstLineChars="0"/>
                    <w:jc w:val="center"/>
                    <w:rPr>
                      <w:rFonts w:hint="default" w:ascii="Times New Roman" w:hAnsi="Times New Roman" w:eastAsia="宋体" w:cs="Times New Roman"/>
                      <w:b w:val="0"/>
                      <w:color w:val="auto"/>
                      <w:sz w:val="21"/>
                      <w:szCs w:val="21"/>
                      <w:u w:val="none" w:color="auto"/>
                      <w:lang w:val="en-US" w:eastAsia="zh-CN"/>
                    </w:rPr>
                  </w:pPr>
                  <w:r>
                    <w:rPr>
                      <w:rFonts w:hint="eastAsia" w:cs="Times New Roman"/>
                      <w:b w:val="0"/>
                      <w:color w:val="auto"/>
                      <w:sz w:val="21"/>
                      <w:szCs w:val="21"/>
                      <w:u w:val="none" w:color="auto"/>
                      <w:lang w:val="en-US" w:eastAsia="zh-CN"/>
                    </w:rPr>
                    <w:t>备注</w:t>
                  </w:r>
                </w:p>
              </w:tc>
            </w:tr>
            <w:tr w14:paraId="1E62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dxa"/>
                  <w:vMerge w:val="continue"/>
                  <w:vAlign w:val="center"/>
                </w:tcPr>
                <w:p w14:paraId="4E78C4D9">
                  <w:pPr>
                    <w:adjustRightInd/>
                    <w:snapToGrid/>
                    <w:spacing w:line="240" w:lineRule="auto"/>
                    <w:ind w:firstLine="0" w:firstLineChars="0"/>
                    <w:jc w:val="center"/>
                    <w:rPr>
                      <w:rFonts w:ascii="Times New Roman" w:hAnsi="Times New Roman" w:eastAsia="宋体" w:cs="Times New Roman"/>
                      <w:bCs w:val="0"/>
                      <w:color w:val="auto"/>
                      <w:sz w:val="21"/>
                      <w:szCs w:val="21"/>
                      <w:u w:val="none" w:color="auto"/>
                    </w:rPr>
                  </w:pPr>
                </w:p>
              </w:tc>
              <w:tc>
                <w:tcPr>
                  <w:tcW w:w="754" w:type="dxa"/>
                  <w:shd w:val="clear" w:color="auto" w:fill="auto"/>
                  <w:vAlign w:val="center"/>
                </w:tcPr>
                <w:p w14:paraId="458295A7">
                  <w:pPr>
                    <w:adjustRightInd/>
                    <w:snapToGrid/>
                    <w:spacing w:line="240" w:lineRule="auto"/>
                    <w:ind w:firstLine="0" w:firstLineChars="0"/>
                    <w:jc w:val="center"/>
                    <w:rPr>
                      <w:rFonts w:hint="default" w:ascii="Times New Roman" w:hAnsi="Times New Roman" w:eastAsia="宋体" w:cs="Times New Roman"/>
                      <w:bCs w:val="0"/>
                      <w:color w:val="auto"/>
                      <w:sz w:val="21"/>
                      <w:szCs w:val="21"/>
                      <w:u w:val="none" w:color="auto"/>
                      <w:lang w:val="en-US" w:eastAsia="zh-CN"/>
                    </w:rPr>
                  </w:pPr>
                  <w:r>
                    <w:rPr>
                      <w:rFonts w:hint="eastAsia" w:ascii="Times New Roman" w:hAnsi="Times New Roman" w:eastAsia="宋体" w:cs="Times New Roman"/>
                      <w:b w:val="0"/>
                      <w:color w:val="auto"/>
                      <w:sz w:val="21"/>
                      <w:szCs w:val="21"/>
                      <w:u w:val="none" w:color="auto"/>
                      <w:lang w:val="en-US" w:eastAsia="zh-CN"/>
                    </w:rPr>
                    <w:t>屠宰物种</w:t>
                  </w:r>
                </w:p>
              </w:tc>
              <w:tc>
                <w:tcPr>
                  <w:tcW w:w="772" w:type="dxa"/>
                  <w:shd w:val="clear" w:color="auto" w:fill="auto"/>
                  <w:vAlign w:val="center"/>
                </w:tcPr>
                <w:p w14:paraId="29113A9F">
                  <w:pPr>
                    <w:adjustRightInd/>
                    <w:snapToGrid/>
                    <w:spacing w:line="240" w:lineRule="auto"/>
                    <w:ind w:firstLine="0" w:firstLineChars="0"/>
                    <w:jc w:val="center"/>
                    <w:rPr>
                      <w:rFonts w:ascii="Times New Roman" w:hAnsi="Times New Roman" w:eastAsia="宋体" w:cs="Times New Roman"/>
                      <w:bCs w:val="0"/>
                      <w:color w:val="auto"/>
                      <w:sz w:val="21"/>
                      <w:szCs w:val="21"/>
                      <w:u w:val="none" w:color="auto"/>
                    </w:rPr>
                  </w:pPr>
                  <w:r>
                    <w:rPr>
                      <w:rFonts w:hint="eastAsia" w:ascii="Times New Roman" w:hAnsi="Times New Roman" w:eastAsia="宋体" w:cs="Times New Roman"/>
                      <w:b w:val="0"/>
                      <w:color w:val="auto"/>
                      <w:sz w:val="21"/>
                      <w:szCs w:val="21"/>
                      <w:u w:val="none" w:color="auto"/>
                      <w:lang w:val="en-US" w:eastAsia="zh-CN"/>
                    </w:rPr>
                    <w:t>屠宰</w:t>
                  </w:r>
                  <w:r>
                    <w:rPr>
                      <w:rFonts w:hint="default" w:ascii="Times New Roman" w:hAnsi="Times New Roman" w:eastAsia="宋体" w:cs="Times New Roman"/>
                      <w:b w:val="0"/>
                      <w:color w:val="auto"/>
                      <w:sz w:val="21"/>
                      <w:szCs w:val="21"/>
                      <w:u w:val="none" w:color="auto"/>
                    </w:rPr>
                    <w:t>量</w:t>
                  </w:r>
                </w:p>
              </w:tc>
              <w:tc>
                <w:tcPr>
                  <w:tcW w:w="728" w:type="dxa"/>
                  <w:vAlign w:val="center"/>
                </w:tcPr>
                <w:p w14:paraId="0C87215A">
                  <w:pPr>
                    <w:adjustRightInd/>
                    <w:snapToGrid/>
                    <w:spacing w:line="240" w:lineRule="auto"/>
                    <w:ind w:firstLine="0" w:firstLineChars="0"/>
                    <w:jc w:val="center"/>
                    <w:rPr>
                      <w:rFonts w:hint="default" w:ascii="Times New Roman" w:hAnsi="Times New Roman" w:eastAsia="宋体" w:cs="Times New Roman"/>
                      <w:b w:val="0"/>
                      <w:color w:val="auto"/>
                      <w:sz w:val="21"/>
                      <w:szCs w:val="21"/>
                      <w:u w:val="none" w:color="auto"/>
                    </w:rPr>
                  </w:pPr>
                  <w:r>
                    <w:rPr>
                      <w:rFonts w:hint="eastAsia" w:ascii="Times New Roman" w:hAnsi="Times New Roman" w:eastAsia="宋体" w:cs="Times New Roman"/>
                      <w:b w:val="0"/>
                      <w:color w:val="auto"/>
                      <w:sz w:val="21"/>
                      <w:szCs w:val="21"/>
                      <w:u w:val="none" w:color="auto"/>
                      <w:lang w:val="en-US" w:eastAsia="zh-CN"/>
                    </w:rPr>
                    <w:t>屠宰物种</w:t>
                  </w:r>
                </w:p>
              </w:tc>
              <w:tc>
                <w:tcPr>
                  <w:tcW w:w="940" w:type="dxa"/>
                  <w:vAlign w:val="center"/>
                </w:tcPr>
                <w:p w14:paraId="08F56F45">
                  <w:pPr>
                    <w:adjustRightInd/>
                    <w:snapToGrid/>
                    <w:spacing w:line="240" w:lineRule="auto"/>
                    <w:ind w:firstLine="0" w:firstLineChars="0"/>
                    <w:jc w:val="center"/>
                    <w:rPr>
                      <w:rFonts w:ascii="Times New Roman" w:hAnsi="Times New Roman" w:eastAsia="宋体" w:cs="Times New Roman"/>
                      <w:bCs w:val="0"/>
                      <w:color w:val="auto"/>
                      <w:sz w:val="21"/>
                      <w:szCs w:val="21"/>
                      <w:u w:val="none" w:color="auto"/>
                    </w:rPr>
                  </w:pPr>
                  <w:r>
                    <w:rPr>
                      <w:rFonts w:hint="eastAsia" w:ascii="Times New Roman" w:hAnsi="Times New Roman" w:eastAsia="宋体" w:cs="Times New Roman"/>
                      <w:b w:val="0"/>
                      <w:color w:val="auto"/>
                      <w:sz w:val="21"/>
                      <w:szCs w:val="21"/>
                      <w:u w:val="none" w:color="auto"/>
                      <w:lang w:val="en-US" w:eastAsia="zh-CN"/>
                    </w:rPr>
                    <w:t>屠宰</w:t>
                  </w:r>
                  <w:r>
                    <w:rPr>
                      <w:rFonts w:hint="default" w:ascii="Times New Roman" w:hAnsi="Times New Roman" w:eastAsia="宋体" w:cs="Times New Roman"/>
                      <w:b w:val="0"/>
                      <w:color w:val="auto"/>
                      <w:sz w:val="21"/>
                      <w:szCs w:val="21"/>
                      <w:u w:val="none" w:color="auto"/>
                    </w:rPr>
                    <w:t>量</w:t>
                  </w:r>
                </w:p>
              </w:tc>
              <w:tc>
                <w:tcPr>
                  <w:tcW w:w="4880" w:type="dxa"/>
                  <w:vMerge w:val="continue"/>
                  <w:vAlign w:val="center"/>
                </w:tcPr>
                <w:p w14:paraId="2544ACBF">
                  <w:pPr>
                    <w:adjustRightInd/>
                    <w:snapToGrid/>
                    <w:spacing w:line="240" w:lineRule="auto"/>
                    <w:ind w:firstLine="0" w:firstLineChars="0"/>
                    <w:jc w:val="center"/>
                    <w:rPr>
                      <w:rFonts w:ascii="Times New Roman" w:hAnsi="Times New Roman" w:eastAsia="宋体" w:cs="Times New Roman"/>
                      <w:bCs w:val="0"/>
                      <w:color w:val="auto"/>
                      <w:sz w:val="21"/>
                      <w:szCs w:val="21"/>
                      <w:u w:val="none" w:color="auto"/>
                    </w:rPr>
                  </w:pPr>
                </w:p>
              </w:tc>
            </w:tr>
            <w:tr w14:paraId="3B0A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445" w:type="dxa"/>
                  <w:vAlign w:val="center"/>
                </w:tcPr>
                <w:p w14:paraId="0D431C98">
                  <w:pPr>
                    <w:adjustRightInd/>
                    <w:snapToGrid/>
                    <w:spacing w:line="240" w:lineRule="auto"/>
                    <w:ind w:firstLine="0" w:firstLineChars="0"/>
                    <w:jc w:val="center"/>
                    <w:rPr>
                      <w:rFonts w:hint="eastAsia" w:ascii="Times New Roman" w:hAnsi="Times New Roman" w:eastAsia="宋体" w:cs="Times New Roman"/>
                      <w:bCs w:val="0"/>
                      <w:color w:val="auto"/>
                      <w:sz w:val="21"/>
                      <w:szCs w:val="21"/>
                      <w:u w:val="none" w:color="auto"/>
                      <w:lang w:val="en-US" w:eastAsia="zh-CN"/>
                    </w:rPr>
                  </w:pPr>
                  <w:r>
                    <w:rPr>
                      <w:rFonts w:hint="eastAsia" w:cs="Times New Roman"/>
                      <w:bCs w:val="0"/>
                      <w:color w:val="auto"/>
                      <w:sz w:val="21"/>
                      <w:szCs w:val="21"/>
                      <w:u w:val="none" w:color="auto"/>
                      <w:lang w:val="en-US" w:eastAsia="zh-CN"/>
                    </w:rPr>
                    <w:t>1</w:t>
                  </w:r>
                </w:p>
              </w:tc>
              <w:tc>
                <w:tcPr>
                  <w:tcW w:w="754" w:type="dxa"/>
                  <w:shd w:val="clear" w:color="auto" w:fill="auto"/>
                  <w:vAlign w:val="center"/>
                </w:tcPr>
                <w:p w14:paraId="6CC9837C">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猪</w:t>
                  </w:r>
                </w:p>
              </w:tc>
              <w:tc>
                <w:tcPr>
                  <w:tcW w:w="772" w:type="dxa"/>
                  <w:shd w:val="clear" w:color="auto" w:fill="auto"/>
                  <w:vAlign w:val="center"/>
                </w:tcPr>
                <w:p w14:paraId="4EE254FB">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73000头</w:t>
                  </w:r>
                </w:p>
              </w:tc>
              <w:tc>
                <w:tcPr>
                  <w:tcW w:w="728" w:type="dxa"/>
                  <w:shd w:val="clear" w:color="auto" w:fill="auto"/>
                  <w:vAlign w:val="center"/>
                </w:tcPr>
                <w:p w14:paraId="4FB21E03">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猪</w:t>
                  </w:r>
                </w:p>
              </w:tc>
              <w:tc>
                <w:tcPr>
                  <w:tcW w:w="940" w:type="dxa"/>
                  <w:shd w:val="clear" w:color="auto" w:fill="auto"/>
                  <w:vAlign w:val="center"/>
                </w:tcPr>
                <w:p w14:paraId="30BB8BE8">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89733头</w:t>
                  </w:r>
                </w:p>
              </w:tc>
              <w:tc>
                <w:tcPr>
                  <w:tcW w:w="4880" w:type="dxa"/>
                  <w:vMerge w:val="restart"/>
                  <w:vAlign w:val="center"/>
                </w:tcPr>
                <w:p w14:paraId="12266F40">
                  <w:pPr>
                    <w:adjustRightInd/>
                    <w:snapToGrid/>
                    <w:spacing w:line="240" w:lineRule="auto"/>
                    <w:ind w:firstLine="0" w:firstLineChars="0"/>
                    <w:jc w:val="center"/>
                    <w:rPr>
                      <w:rFonts w:hint="eastAsia" w:ascii="Times New Roman" w:hAnsi="Times New Roman" w:eastAsia="宋体" w:cs="Times New Roman"/>
                      <w:bCs w:val="0"/>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参考</w:t>
                  </w:r>
                  <w:r>
                    <w:rPr>
                      <w:rFonts w:hint="eastAsia" w:ascii="Times New Roman" w:hAnsi="Times New Roman" w:eastAsia="宋体" w:cs="Times New Roman"/>
                      <w:color w:val="auto"/>
                      <w:sz w:val="21"/>
                      <w:szCs w:val="21"/>
                      <w:u w:val="none" w:color="auto"/>
                    </w:rPr>
                    <w:t>《畜禽养殖业污染物排放标准》（GB</w:t>
                  </w:r>
                  <w:r>
                    <w:rPr>
                      <w:rFonts w:hint="eastAsia" w:ascii="Times New Roman" w:hAnsi="Times New Roman" w:eastAsia="宋体" w:cs="Times New Roman"/>
                      <w:color w:val="auto"/>
                      <w:sz w:val="21"/>
                      <w:szCs w:val="21"/>
                      <w:u w:val="none" w:color="auto"/>
                      <w:lang w:val="en-US" w:eastAsia="zh-CN"/>
                    </w:rPr>
                    <w:t xml:space="preserve"> </w:t>
                  </w:r>
                  <w:r>
                    <w:rPr>
                      <w:rFonts w:hint="eastAsia" w:ascii="Times New Roman" w:hAnsi="Times New Roman" w:eastAsia="宋体" w:cs="Times New Roman"/>
                      <w:color w:val="auto"/>
                      <w:sz w:val="21"/>
                      <w:szCs w:val="21"/>
                      <w:u w:val="none" w:color="auto"/>
                    </w:rPr>
                    <w:t>18596-2001）的相关规定，可将</w:t>
                  </w:r>
                  <w:r>
                    <w:rPr>
                      <w:rFonts w:hint="eastAsia" w:ascii="Times New Roman" w:hAnsi="Times New Roman" w:eastAsia="宋体" w:cs="Times New Roman"/>
                      <w:color w:val="auto"/>
                      <w:sz w:val="21"/>
                      <w:szCs w:val="21"/>
                      <w:u w:val="none" w:color="auto"/>
                      <w:lang w:val="en-US" w:eastAsia="zh-CN"/>
                    </w:rPr>
                    <w:t>鸡、</w:t>
                  </w:r>
                  <w:r>
                    <w:rPr>
                      <w:rFonts w:hint="eastAsia" w:ascii="Times New Roman" w:hAnsi="Times New Roman" w:eastAsia="宋体" w:cs="Times New Roman"/>
                      <w:color w:val="auto"/>
                      <w:sz w:val="21"/>
                      <w:szCs w:val="21"/>
                      <w:u w:val="none" w:color="auto"/>
                    </w:rPr>
                    <w:t>牛的养殖量换算成猪的养殖量，换算比例为：1头肉牛折算成5头</w:t>
                  </w:r>
                  <w:r>
                    <w:rPr>
                      <w:rFonts w:hint="eastAsia" w:ascii="Times New Roman" w:hAnsi="Times New Roman" w:eastAsia="宋体" w:cs="Times New Roman"/>
                      <w:color w:val="auto"/>
                      <w:sz w:val="21"/>
                      <w:szCs w:val="21"/>
                      <w:u w:val="none" w:color="auto"/>
                      <w:lang w:val="en-US" w:eastAsia="zh-CN"/>
                    </w:rPr>
                    <w:t>生</w:t>
                  </w:r>
                  <w:r>
                    <w:rPr>
                      <w:rFonts w:hint="eastAsia" w:ascii="Times New Roman" w:hAnsi="Times New Roman" w:eastAsia="宋体" w:cs="Times New Roman"/>
                      <w:color w:val="auto"/>
                      <w:sz w:val="21"/>
                      <w:szCs w:val="21"/>
                      <w:u w:val="none" w:color="auto"/>
                    </w:rPr>
                    <w:t>猪</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60只肉鸡</w:t>
                  </w:r>
                  <w:r>
                    <w:rPr>
                      <w:rFonts w:hint="eastAsia" w:ascii="Times New Roman" w:hAnsi="Times New Roman" w:eastAsia="宋体" w:cs="Times New Roman"/>
                      <w:color w:val="auto"/>
                      <w:sz w:val="21"/>
                      <w:szCs w:val="21"/>
                      <w:u w:val="none" w:color="auto"/>
                    </w:rPr>
                    <w:t>折算成</w:t>
                  </w:r>
                  <w:r>
                    <w:rPr>
                      <w:rFonts w:hint="eastAsia"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rPr>
                    <w:t>头</w:t>
                  </w:r>
                  <w:r>
                    <w:rPr>
                      <w:rFonts w:hint="eastAsia" w:ascii="Times New Roman" w:hAnsi="Times New Roman" w:eastAsia="宋体" w:cs="Times New Roman"/>
                      <w:color w:val="auto"/>
                      <w:sz w:val="21"/>
                      <w:szCs w:val="21"/>
                      <w:u w:val="none" w:color="auto"/>
                      <w:lang w:val="en-US" w:eastAsia="zh-CN"/>
                    </w:rPr>
                    <w:t>生</w:t>
                  </w:r>
                  <w:r>
                    <w:rPr>
                      <w:rFonts w:hint="eastAsia" w:ascii="Times New Roman" w:hAnsi="Times New Roman" w:eastAsia="宋体" w:cs="Times New Roman"/>
                      <w:color w:val="auto"/>
                      <w:sz w:val="21"/>
                      <w:szCs w:val="21"/>
                      <w:u w:val="none" w:color="auto"/>
                    </w:rPr>
                    <w:t>猪</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参照《排污许可证申请与核发技术规范 畜禽养殖行业》（HJ 1029-2019）</w:t>
                  </w:r>
                  <w:r>
                    <w:rPr>
                      <w:rFonts w:hint="eastAsia" w:ascii="Times New Roman" w:hAnsi="Times New Roman" w:eastAsia="宋体" w:cs="Times New Roman"/>
                      <w:color w:val="auto"/>
                      <w:sz w:val="21"/>
                      <w:szCs w:val="21"/>
                      <w:u w:val="none" w:color="auto"/>
                    </w:rPr>
                    <w:t>的相关规定，可将</w:t>
                  </w:r>
                  <w:r>
                    <w:rPr>
                      <w:rFonts w:hint="eastAsia" w:ascii="Times New Roman" w:hAnsi="Times New Roman" w:eastAsia="宋体" w:cs="Times New Roman"/>
                      <w:color w:val="auto"/>
                      <w:sz w:val="21"/>
                      <w:szCs w:val="21"/>
                      <w:u w:val="none" w:color="auto"/>
                      <w:lang w:val="en-US" w:eastAsia="zh-CN"/>
                    </w:rPr>
                    <w:t>鸭、鹅</w:t>
                  </w:r>
                  <w:r>
                    <w:rPr>
                      <w:rFonts w:hint="eastAsia" w:ascii="Times New Roman" w:hAnsi="Times New Roman" w:eastAsia="宋体" w:cs="Times New Roman"/>
                      <w:color w:val="auto"/>
                      <w:sz w:val="21"/>
                      <w:szCs w:val="21"/>
                      <w:u w:val="none" w:color="auto"/>
                    </w:rPr>
                    <w:t>的养殖量换算成</w:t>
                  </w:r>
                  <w:r>
                    <w:rPr>
                      <w:rFonts w:hint="eastAsia" w:ascii="Times New Roman" w:hAnsi="Times New Roman" w:eastAsia="宋体" w:cs="Times New Roman"/>
                      <w:color w:val="auto"/>
                      <w:sz w:val="21"/>
                      <w:szCs w:val="21"/>
                      <w:u w:val="none" w:color="auto"/>
                      <w:lang w:val="en-US" w:eastAsia="zh-CN"/>
                    </w:rPr>
                    <w:t>鸡</w:t>
                  </w:r>
                  <w:r>
                    <w:rPr>
                      <w:rFonts w:hint="eastAsia" w:ascii="Times New Roman" w:hAnsi="Times New Roman" w:eastAsia="宋体" w:cs="Times New Roman"/>
                      <w:color w:val="auto"/>
                      <w:sz w:val="21"/>
                      <w:szCs w:val="21"/>
                      <w:u w:val="none" w:color="auto"/>
                    </w:rPr>
                    <w:t>的养殖量，换算比例为</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1只</w:t>
                  </w:r>
                  <w:r>
                    <w:rPr>
                      <w:rFonts w:hint="eastAsia" w:ascii="Times New Roman" w:hAnsi="Times New Roman" w:eastAsia="宋体" w:cs="Times New Roman"/>
                      <w:color w:val="auto"/>
                      <w:sz w:val="21"/>
                      <w:szCs w:val="21"/>
                      <w:u w:val="none" w:color="auto"/>
                      <w:lang w:val="en-US" w:eastAsia="zh-CN"/>
                    </w:rPr>
                    <w:t>肉</w:t>
                  </w:r>
                  <w:r>
                    <w:rPr>
                      <w:rFonts w:hint="eastAsia" w:ascii="Times New Roman" w:hAnsi="Times New Roman" w:eastAsia="宋体" w:cs="Times New Roman"/>
                      <w:color w:val="auto"/>
                      <w:sz w:val="21"/>
                      <w:szCs w:val="21"/>
                      <w:u w:val="none" w:color="auto"/>
                    </w:rPr>
                    <w:t>鸭折算成1只</w:t>
                  </w:r>
                  <w:r>
                    <w:rPr>
                      <w:rFonts w:hint="eastAsia" w:ascii="Times New Roman" w:hAnsi="Times New Roman" w:eastAsia="宋体" w:cs="Times New Roman"/>
                      <w:color w:val="auto"/>
                      <w:sz w:val="21"/>
                      <w:szCs w:val="21"/>
                      <w:u w:val="none" w:color="auto"/>
                      <w:lang w:val="en-US" w:eastAsia="zh-CN"/>
                    </w:rPr>
                    <w:t>肉</w:t>
                  </w:r>
                  <w:r>
                    <w:rPr>
                      <w:rFonts w:hint="eastAsia" w:ascii="Times New Roman" w:hAnsi="Times New Roman" w:eastAsia="宋体" w:cs="Times New Roman"/>
                      <w:color w:val="auto"/>
                      <w:sz w:val="21"/>
                      <w:szCs w:val="21"/>
                      <w:u w:val="none" w:color="auto"/>
                    </w:rPr>
                    <w:t>鸡</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rPr>
                    <w:t>1只</w:t>
                  </w:r>
                  <w:r>
                    <w:rPr>
                      <w:rFonts w:hint="eastAsia" w:ascii="Times New Roman" w:hAnsi="Times New Roman" w:eastAsia="宋体" w:cs="Times New Roman"/>
                      <w:color w:val="auto"/>
                      <w:sz w:val="21"/>
                      <w:szCs w:val="21"/>
                      <w:u w:val="none" w:color="auto"/>
                      <w:lang w:val="en-US" w:eastAsia="zh-CN"/>
                    </w:rPr>
                    <w:t>肉</w:t>
                  </w:r>
                  <w:r>
                    <w:rPr>
                      <w:rFonts w:hint="eastAsia" w:ascii="Times New Roman" w:hAnsi="Times New Roman" w:eastAsia="宋体" w:cs="Times New Roman"/>
                      <w:color w:val="auto"/>
                      <w:sz w:val="21"/>
                      <w:szCs w:val="21"/>
                      <w:u w:val="none" w:color="auto"/>
                    </w:rPr>
                    <w:t>鹅折算成2只</w:t>
                  </w:r>
                  <w:r>
                    <w:rPr>
                      <w:rFonts w:hint="eastAsia" w:ascii="Times New Roman" w:hAnsi="Times New Roman" w:eastAsia="宋体" w:cs="Times New Roman"/>
                      <w:color w:val="auto"/>
                      <w:sz w:val="21"/>
                      <w:szCs w:val="21"/>
                      <w:u w:val="none" w:color="auto"/>
                      <w:lang w:val="en-US" w:eastAsia="zh-CN"/>
                    </w:rPr>
                    <w:t>肉</w:t>
                  </w:r>
                  <w:r>
                    <w:rPr>
                      <w:rFonts w:hint="eastAsia" w:ascii="Times New Roman" w:hAnsi="Times New Roman" w:eastAsia="宋体" w:cs="Times New Roman"/>
                      <w:color w:val="auto"/>
                      <w:sz w:val="21"/>
                      <w:szCs w:val="21"/>
                      <w:u w:val="none" w:color="auto"/>
                    </w:rPr>
                    <w:t>鸡。</w:t>
                  </w:r>
                  <w:r>
                    <w:rPr>
                      <w:rFonts w:hint="eastAsia" w:ascii="Times New Roman" w:hAnsi="Times New Roman" w:eastAsia="宋体" w:cs="Times New Roman"/>
                      <w:color w:val="auto"/>
                      <w:sz w:val="21"/>
                      <w:szCs w:val="21"/>
                      <w:u w:val="none" w:color="auto"/>
                      <w:lang w:val="en-US" w:eastAsia="zh-CN"/>
                    </w:rPr>
                    <w:t>本项目技改后屠宰量折合生猪94800头，未超过现有工程73000头的30%</w:t>
                  </w:r>
                </w:p>
              </w:tc>
            </w:tr>
            <w:tr w14:paraId="48DB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445" w:type="dxa"/>
                  <w:vAlign w:val="center"/>
                </w:tcPr>
                <w:p w14:paraId="3D286E28">
                  <w:pPr>
                    <w:adjustRightInd/>
                    <w:snapToGrid/>
                    <w:spacing w:line="240" w:lineRule="auto"/>
                    <w:ind w:firstLine="0" w:firstLineChars="0"/>
                    <w:jc w:val="center"/>
                    <w:rPr>
                      <w:rFonts w:hint="eastAsia" w:ascii="Times New Roman" w:hAnsi="Times New Roman" w:eastAsia="宋体" w:cs="Times New Roman"/>
                      <w:bCs w:val="0"/>
                      <w:color w:val="auto"/>
                      <w:sz w:val="21"/>
                      <w:szCs w:val="21"/>
                      <w:u w:val="none" w:color="auto"/>
                      <w:lang w:val="en-US" w:eastAsia="zh-CN"/>
                    </w:rPr>
                  </w:pPr>
                  <w:r>
                    <w:rPr>
                      <w:rFonts w:hint="eastAsia" w:cs="Times New Roman"/>
                      <w:bCs w:val="0"/>
                      <w:color w:val="auto"/>
                      <w:sz w:val="21"/>
                      <w:szCs w:val="21"/>
                      <w:u w:val="none" w:color="auto"/>
                      <w:lang w:val="en-US" w:eastAsia="zh-CN"/>
                    </w:rPr>
                    <w:t>2</w:t>
                  </w:r>
                </w:p>
              </w:tc>
              <w:tc>
                <w:tcPr>
                  <w:tcW w:w="754" w:type="dxa"/>
                  <w:shd w:val="clear" w:color="auto" w:fill="auto"/>
                  <w:vAlign w:val="center"/>
                </w:tcPr>
                <w:p w14:paraId="71E29988">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牛</w:t>
                  </w:r>
                </w:p>
              </w:tc>
              <w:tc>
                <w:tcPr>
                  <w:tcW w:w="772" w:type="dxa"/>
                  <w:shd w:val="clear" w:color="auto" w:fill="auto"/>
                  <w:vAlign w:val="center"/>
                </w:tcPr>
                <w:p w14:paraId="1AC0298D">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w:t>
                  </w:r>
                </w:p>
              </w:tc>
              <w:tc>
                <w:tcPr>
                  <w:tcW w:w="728" w:type="dxa"/>
                  <w:shd w:val="clear" w:color="auto" w:fill="auto"/>
                  <w:vAlign w:val="center"/>
                </w:tcPr>
                <w:p w14:paraId="327F40E2">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牛</w:t>
                  </w:r>
                </w:p>
              </w:tc>
              <w:tc>
                <w:tcPr>
                  <w:tcW w:w="940" w:type="dxa"/>
                  <w:shd w:val="clear" w:color="auto" w:fill="auto"/>
                  <w:vAlign w:val="center"/>
                </w:tcPr>
                <w:p w14:paraId="0F926BD9">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1000头</w:t>
                  </w:r>
                </w:p>
              </w:tc>
              <w:tc>
                <w:tcPr>
                  <w:tcW w:w="4880" w:type="dxa"/>
                  <w:vMerge w:val="continue"/>
                  <w:vAlign w:val="center"/>
                </w:tcPr>
                <w:p w14:paraId="6780570A">
                  <w:pPr>
                    <w:adjustRightInd/>
                    <w:snapToGrid/>
                    <w:spacing w:line="240" w:lineRule="auto"/>
                    <w:ind w:firstLine="0" w:firstLineChars="0"/>
                    <w:jc w:val="center"/>
                    <w:rPr>
                      <w:rFonts w:hint="default" w:ascii="Times New Roman" w:hAnsi="Times New Roman" w:eastAsia="宋体" w:cs="Times New Roman"/>
                      <w:bCs w:val="0"/>
                      <w:color w:val="auto"/>
                      <w:sz w:val="21"/>
                      <w:szCs w:val="21"/>
                      <w:u w:val="none" w:color="auto"/>
                      <w:lang w:val="en-US" w:eastAsia="zh-CN"/>
                    </w:rPr>
                  </w:pPr>
                </w:p>
              </w:tc>
            </w:tr>
            <w:tr w14:paraId="29DE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445" w:type="dxa"/>
                  <w:vAlign w:val="center"/>
                </w:tcPr>
                <w:p w14:paraId="5B97FFE0">
                  <w:pPr>
                    <w:adjustRightInd/>
                    <w:snapToGrid/>
                    <w:spacing w:line="240" w:lineRule="auto"/>
                    <w:ind w:firstLine="0" w:firstLineChars="0"/>
                    <w:jc w:val="center"/>
                    <w:rPr>
                      <w:rFonts w:hint="default" w:ascii="Times New Roman" w:hAnsi="Times New Roman" w:eastAsia="宋体" w:cs="Times New Roman"/>
                      <w:bCs w:val="0"/>
                      <w:color w:val="auto"/>
                      <w:sz w:val="21"/>
                      <w:szCs w:val="21"/>
                      <w:u w:val="none" w:color="auto"/>
                      <w:lang w:val="en-US" w:eastAsia="zh-CN"/>
                    </w:rPr>
                  </w:pPr>
                  <w:r>
                    <w:rPr>
                      <w:rFonts w:hint="eastAsia" w:cs="Times New Roman"/>
                      <w:bCs w:val="0"/>
                      <w:color w:val="auto"/>
                      <w:sz w:val="21"/>
                      <w:szCs w:val="21"/>
                      <w:u w:val="none" w:color="auto"/>
                      <w:lang w:val="en-US" w:eastAsia="zh-CN"/>
                    </w:rPr>
                    <w:t>3</w:t>
                  </w:r>
                </w:p>
              </w:tc>
              <w:tc>
                <w:tcPr>
                  <w:tcW w:w="754" w:type="dxa"/>
                  <w:shd w:val="clear" w:color="auto" w:fill="auto"/>
                  <w:vAlign w:val="center"/>
                </w:tcPr>
                <w:p w14:paraId="7A0BC589">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鸡</w:t>
                  </w:r>
                </w:p>
              </w:tc>
              <w:tc>
                <w:tcPr>
                  <w:tcW w:w="772" w:type="dxa"/>
                  <w:shd w:val="clear" w:color="auto" w:fill="auto"/>
                  <w:vAlign w:val="center"/>
                </w:tcPr>
                <w:p w14:paraId="4F6D7057">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w:t>
                  </w:r>
                </w:p>
              </w:tc>
              <w:tc>
                <w:tcPr>
                  <w:tcW w:w="728" w:type="dxa"/>
                  <w:shd w:val="clear" w:color="auto" w:fill="auto"/>
                  <w:vAlign w:val="center"/>
                </w:tcPr>
                <w:p w14:paraId="41A3BF37">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鸡</w:t>
                  </w:r>
                </w:p>
              </w:tc>
              <w:tc>
                <w:tcPr>
                  <w:tcW w:w="940" w:type="dxa"/>
                  <w:shd w:val="clear" w:color="auto" w:fill="auto"/>
                  <w:vAlign w:val="center"/>
                </w:tcPr>
                <w:p w14:paraId="02CB0524">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1000只</w:t>
                  </w:r>
                </w:p>
              </w:tc>
              <w:tc>
                <w:tcPr>
                  <w:tcW w:w="4880" w:type="dxa"/>
                  <w:vMerge w:val="continue"/>
                  <w:vAlign w:val="center"/>
                </w:tcPr>
                <w:p w14:paraId="65DDB894">
                  <w:pPr>
                    <w:adjustRightInd/>
                    <w:snapToGrid/>
                    <w:spacing w:line="240" w:lineRule="auto"/>
                    <w:ind w:firstLine="0" w:firstLineChars="0"/>
                    <w:jc w:val="center"/>
                    <w:rPr>
                      <w:rFonts w:hint="default" w:ascii="Times New Roman" w:hAnsi="Times New Roman" w:eastAsia="宋体" w:cs="Times New Roman"/>
                      <w:bCs w:val="0"/>
                      <w:color w:val="auto"/>
                      <w:sz w:val="21"/>
                      <w:szCs w:val="21"/>
                      <w:u w:val="none" w:color="auto"/>
                      <w:lang w:val="en-US" w:eastAsia="zh-CN"/>
                    </w:rPr>
                  </w:pPr>
                </w:p>
              </w:tc>
            </w:tr>
            <w:tr w14:paraId="300B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45" w:type="dxa"/>
                  <w:vAlign w:val="center"/>
                </w:tcPr>
                <w:p w14:paraId="3C77DEC2">
                  <w:pPr>
                    <w:adjustRightInd/>
                    <w:snapToGrid/>
                    <w:spacing w:line="240" w:lineRule="auto"/>
                    <w:ind w:firstLine="0" w:firstLineChars="0"/>
                    <w:jc w:val="center"/>
                    <w:rPr>
                      <w:rFonts w:hint="eastAsia" w:ascii="Times New Roman" w:hAnsi="Times New Roman" w:eastAsia="宋体" w:cs="Times New Roman"/>
                      <w:bCs w:val="0"/>
                      <w:color w:val="auto"/>
                      <w:sz w:val="21"/>
                      <w:szCs w:val="21"/>
                      <w:u w:val="none" w:color="auto"/>
                      <w:lang w:val="en-US" w:eastAsia="zh-CN"/>
                    </w:rPr>
                  </w:pPr>
                  <w:r>
                    <w:rPr>
                      <w:rFonts w:hint="eastAsia" w:cs="Times New Roman"/>
                      <w:bCs w:val="0"/>
                      <w:color w:val="auto"/>
                      <w:sz w:val="21"/>
                      <w:szCs w:val="21"/>
                      <w:u w:val="none" w:color="auto"/>
                      <w:lang w:val="en-US" w:eastAsia="zh-CN"/>
                    </w:rPr>
                    <w:t>4</w:t>
                  </w:r>
                </w:p>
              </w:tc>
              <w:tc>
                <w:tcPr>
                  <w:tcW w:w="754" w:type="dxa"/>
                  <w:shd w:val="clear" w:color="auto" w:fill="auto"/>
                  <w:vAlign w:val="center"/>
                </w:tcPr>
                <w:p w14:paraId="74E03E9E">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鸭</w:t>
                  </w:r>
                </w:p>
              </w:tc>
              <w:tc>
                <w:tcPr>
                  <w:tcW w:w="772" w:type="dxa"/>
                  <w:shd w:val="clear" w:color="auto" w:fill="auto"/>
                  <w:vAlign w:val="center"/>
                </w:tcPr>
                <w:p w14:paraId="64487EF1">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w:t>
                  </w:r>
                </w:p>
              </w:tc>
              <w:tc>
                <w:tcPr>
                  <w:tcW w:w="728" w:type="dxa"/>
                  <w:shd w:val="clear" w:color="auto" w:fill="auto"/>
                  <w:vAlign w:val="center"/>
                </w:tcPr>
                <w:p w14:paraId="05E9A578">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鸭</w:t>
                  </w:r>
                </w:p>
              </w:tc>
              <w:tc>
                <w:tcPr>
                  <w:tcW w:w="940" w:type="dxa"/>
                  <w:shd w:val="clear" w:color="auto" w:fill="auto"/>
                  <w:vAlign w:val="center"/>
                </w:tcPr>
                <w:p w14:paraId="01D075D1">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1000只</w:t>
                  </w:r>
                </w:p>
              </w:tc>
              <w:tc>
                <w:tcPr>
                  <w:tcW w:w="4880" w:type="dxa"/>
                  <w:vMerge w:val="continue"/>
                  <w:vAlign w:val="center"/>
                </w:tcPr>
                <w:p w14:paraId="6DA1C709">
                  <w:pPr>
                    <w:adjustRightInd/>
                    <w:snapToGrid/>
                    <w:spacing w:line="240" w:lineRule="auto"/>
                    <w:ind w:firstLine="0" w:firstLineChars="0"/>
                    <w:jc w:val="center"/>
                    <w:rPr>
                      <w:rFonts w:hint="default" w:ascii="Times New Roman" w:hAnsi="Times New Roman" w:eastAsia="宋体" w:cs="Times New Roman"/>
                      <w:bCs w:val="0"/>
                      <w:color w:val="auto"/>
                      <w:sz w:val="21"/>
                      <w:szCs w:val="21"/>
                      <w:u w:val="none" w:color="auto"/>
                      <w:lang w:val="en-US" w:eastAsia="zh-CN"/>
                    </w:rPr>
                  </w:pPr>
                </w:p>
              </w:tc>
            </w:tr>
            <w:tr w14:paraId="072A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445" w:type="dxa"/>
                  <w:vAlign w:val="center"/>
                </w:tcPr>
                <w:p w14:paraId="27F09900">
                  <w:pPr>
                    <w:adjustRightInd/>
                    <w:snapToGrid/>
                    <w:spacing w:line="240" w:lineRule="auto"/>
                    <w:ind w:firstLine="0" w:firstLineChars="0"/>
                    <w:jc w:val="center"/>
                    <w:rPr>
                      <w:rFonts w:hint="default" w:cs="Times New Roman"/>
                      <w:bCs w:val="0"/>
                      <w:color w:val="auto"/>
                      <w:sz w:val="21"/>
                      <w:szCs w:val="21"/>
                      <w:u w:val="none" w:color="auto"/>
                      <w:lang w:val="en-US" w:eastAsia="zh-CN"/>
                    </w:rPr>
                  </w:pPr>
                  <w:r>
                    <w:rPr>
                      <w:rFonts w:hint="eastAsia" w:cs="Times New Roman"/>
                      <w:bCs w:val="0"/>
                      <w:color w:val="auto"/>
                      <w:sz w:val="21"/>
                      <w:szCs w:val="21"/>
                      <w:u w:val="none" w:color="auto"/>
                      <w:lang w:val="en-US" w:eastAsia="zh-CN"/>
                    </w:rPr>
                    <w:t>5</w:t>
                  </w:r>
                </w:p>
              </w:tc>
              <w:tc>
                <w:tcPr>
                  <w:tcW w:w="754" w:type="dxa"/>
                  <w:shd w:val="clear" w:color="auto" w:fill="auto"/>
                  <w:vAlign w:val="center"/>
                </w:tcPr>
                <w:p w14:paraId="376CA71A">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ascii="Times New Roman" w:hAnsi="Times New Roman" w:eastAsia="宋体" w:cs="Times New Roman"/>
                      <w:color w:val="auto"/>
                      <w:spacing w:val="0"/>
                      <w:kern w:val="2"/>
                      <w:sz w:val="21"/>
                      <w:szCs w:val="21"/>
                      <w:u w:val="none" w:color="auto"/>
                      <w:lang w:val="en-US" w:eastAsia="zh-CN" w:bidi="ar-SA"/>
                    </w:rPr>
                    <w:t>鹅</w:t>
                  </w:r>
                </w:p>
              </w:tc>
              <w:tc>
                <w:tcPr>
                  <w:tcW w:w="772" w:type="dxa"/>
                  <w:shd w:val="clear" w:color="auto" w:fill="auto"/>
                  <w:vAlign w:val="center"/>
                </w:tcPr>
                <w:p w14:paraId="2D2DD912">
                  <w:pPr>
                    <w:adjustRightInd/>
                    <w:snapToGri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w:t>
                  </w:r>
                </w:p>
              </w:tc>
              <w:tc>
                <w:tcPr>
                  <w:tcW w:w="728" w:type="dxa"/>
                  <w:shd w:val="clear" w:color="auto" w:fill="auto"/>
                  <w:vAlign w:val="center"/>
                </w:tcPr>
                <w:p w14:paraId="1631644A">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ascii="Times New Roman" w:hAnsi="Times New Roman" w:eastAsia="宋体" w:cs="Times New Roman"/>
                      <w:color w:val="auto"/>
                      <w:spacing w:val="0"/>
                      <w:kern w:val="2"/>
                      <w:sz w:val="21"/>
                      <w:szCs w:val="21"/>
                      <w:u w:val="none" w:color="auto"/>
                      <w:lang w:val="en-US" w:eastAsia="zh-CN" w:bidi="ar-SA"/>
                    </w:rPr>
                    <w:t>鹅</w:t>
                  </w:r>
                </w:p>
              </w:tc>
              <w:tc>
                <w:tcPr>
                  <w:tcW w:w="940" w:type="dxa"/>
                  <w:shd w:val="clear" w:color="auto" w:fill="auto"/>
                  <w:vAlign w:val="center"/>
                </w:tcPr>
                <w:p w14:paraId="57546F90">
                  <w:pPr>
                    <w:adjustRightInd/>
                    <w:snapToGri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1000只</w:t>
                  </w:r>
                </w:p>
              </w:tc>
              <w:tc>
                <w:tcPr>
                  <w:tcW w:w="4880" w:type="dxa"/>
                  <w:vMerge w:val="continue"/>
                  <w:vAlign w:val="center"/>
                </w:tcPr>
                <w:p w14:paraId="47C6340A">
                  <w:pPr>
                    <w:widowControl/>
                    <w:adjustRightInd/>
                    <w:spacing w:line="240" w:lineRule="auto"/>
                    <w:ind w:firstLine="0" w:firstLineChars="0"/>
                    <w:jc w:val="center"/>
                    <w:textAlignment w:val="auto"/>
                    <w:rPr>
                      <w:rFonts w:hint="eastAsia" w:cs="Times New Roman"/>
                      <w:bCs w:val="0"/>
                      <w:color w:val="auto"/>
                      <w:sz w:val="21"/>
                      <w:szCs w:val="21"/>
                      <w:u w:val="none" w:color="auto"/>
                      <w:lang w:val="en-US" w:eastAsia="zh-CN"/>
                    </w:rPr>
                  </w:pPr>
                </w:p>
              </w:tc>
            </w:tr>
          </w:tbl>
          <w:p w14:paraId="316C9CB3">
            <w:pPr>
              <w:pStyle w:val="7"/>
              <w:rPr>
                <w:rFonts w:hint="eastAsia" w:eastAsia="宋体"/>
                <w:color w:val="auto"/>
                <w:u w:val="none" w:color="auto"/>
                <w:lang w:eastAsia="zh-CN"/>
              </w:rPr>
            </w:pPr>
            <w:r>
              <w:rPr>
                <w:rFonts w:hint="eastAsia"/>
                <w:color w:val="auto"/>
                <w:u w:val="none" w:color="auto"/>
                <w:lang w:eastAsia="zh-CN"/>
              </w:rPr>
              <w:t>本项目产品方案如下</w:t>
            </w:r>
            <w:r>
              <w:rPr>
                <w:rFonts w:hint="eastAsia"/>
                <w:color w:val="auto"/>
                <w:u w:val="none" w:color="auto"/>
                <w:lang w:val="en-US" w:eastAsia="zh-CN"/>
              </w:rPr>
              <w:t>所示</w:t>
            </w:r>
            <w:r>
              <w:rPr>
                <w:rFonts w:hint="eastAsia"/>
                <w:color w:val="auto"/>
                <w:u w:val="none" w:color="auto"/>
                <w:lang w:eastAsia="zh-CN"/>
              </w:rPr>
              <w:t>。</w:t>
            </w:r>
          </w:p>
          <w:p w14:paraId="2250E7A7">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表2.2-</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 xml:space="preserve"> </w:t>
            </w:r>
            <w:r>
              <w:rPr>
                <w:rFonts w:hint="eastAsia" w:cs="Times New Roman"/>
                <w:color w:val="auto"/>
                <w:u w:val="none" w:color="auto"/>
                <w:lang w:val="en-US" w:eastAsia="zh-CN"/>
              </w:rPr>
              <w:t>产品</w:t>
            </w:r>
            <w:r>
              <w:rPr>
                <w:rFonts w:hint="default" w:ascii="Times New Roman" w:hAnsi="Times New Roman" w:cs="Times New Roman"/>
                <w:color w:val="auto"/>
                <w:u w:val="none" w:color="auto"/>
                <w:lang w:val="en-US" w:eastAsia="zh-CN"/>
              </w:rPr>
              <w:t>方案一览表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2635"/>
              <w:gridCol w:w="1377"/>
              <w:gridCol w:w="2719"/>
              <w:gridCol w:w="1174"/>
            </w:tblGrid>
            <w:tr w14:paraId="1681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6" w:type="pct"/>
                  <w:vMerge w:val="restart"/>
                  <w:vAlign w:val="center"/>
                </w:tcPr>
                <w:p w14:paraId="187354DA">
                  <w:pPr>
                    <w:adjustRightInd/>
                    <w:snapToGrid/>
                    <w:spacing w:line="240" w:lineRule="auto"/>
                    <w:ind w:firstLine="0" w:firstLineChars="0"/>
                    <w:jc w:val="center"/>
                    <w:rPr>
                      <w:rFonts w:ascii="Times New Roman" w:hAnsi="Times New Roman" w:eastAsia="宋体" w:cs="Times New Roman"/>
                      <w:b w:val="0"/>
                      <w:color w:val="auto"/>
                      <w:sz w:val="21"/>
                      <w:szCs w:val="21"/>
                      <w:u w:val="single" w:color="auto"/>
                    </w:rPr>
                  </w:pPr>
                  <w:r>
                    <w:rPr>
                      <w:rFonts w:hint="default" w:ascii="Times New Roman" w:hAnsi="Times New Roman" w:eastAsia="宋体" w:cs="Times New Roman"/>
                      <w:b w:val="0"/>
                      <w:color w:val="auto"/>
                      <w:sz w:val="21"/>
                      <w:szCs w:val="21"/>
                      <w:u w:val="single" w:color="auto"/>
                    </w:rPr>
                    <w:t>序号</w:t>
                  </w:r>
                </w:p>
              </w:tc>
              <w:tc>
                <w:tcPr>
                  <w:tcW w:w="2372" w:type="pct"/>
                  <w:gridSpan w:val="2"/>
                  <w:shd w:val="clear" w:color="auto" w:fill="auto"/>
                  <w:vAlign w:val="center"/>
                </w:tcPr>
                <w:p w14:paraId="3C14EA2D">
                  <w:pPr>
                    <w:adjustRightInd/>
                    <w:snapToGrid/>
                    <w:spacing w:line="240" w:lineRule="auto"/>
                    <w:ind w:firstLine="0" w:firstLineChars="0"/>
                    <w:jc w:val="center"/>
                    <w:rPr>
                      <w:rFonts w:ascii="Times New Roman" w:hAnsi="Times New Roman" w:eastAsia="宋体" w:cs="Times New Roman"/>
                      <w:b w:val="0"/>
                      <w:color w:val="auto"/>
                      <w:sz w:val="21"/>
                      <w:szCs w:val="21"/>
                      <w:u w:val="single" w:color="auto"/>
                    </w:rPr>
                  </w:pPr>
                  <w:r>
                    <w:rPr>
                      <w:rFonts w:hint="eastAsia" w:cs="Times New Roman"/>
                      <w:b w:val="0"/>
                      <w:color w:val="auto"/>
                      <w:sz w:val="21"/>
                      <w:szCs w:val="21"/>
                      <w:u w:val="single" w:color="auto"/>
                      <w:lang w:val="en-US" w:eastAsia="zh-CN"/>
                    </w:rPr>
                    <w:t>技改</w:t>
                  </w:r>
                  <w:r>
                    <w:rPr>
                      <w:rFonts w:hint="default" w:ascii="Times New Roman" w:hAnsi="Times New Roman" w:eastAsia="宋体" w:cs="Times New Roman"/>
                      <w:b w:val="0"/>
                      <w:color w:val="auto"/>
                      <w:sz w:val="21"/>
                      <w:szCs w:val="21"/>
                      <w:u w:val="single" w:color="auto"/>
                    </w:rPr>
                    <w:t>建前</w:t>
                  </w:r>
                </w:p>
              </w:tc>
              <w:tc>
                <w:tcPr>
                  <w:tcW w:w="2300" w:type="pct"/>
                  <w:gridSpan w:val="2"/>
                  <w:vAlign w:val="center"/>
                </w:tcPr>
                <w:p w14:paraId="31488B51">
                  <w:pPr>
                    <w:adjustRightInd/>
                    <w:snapToGrid/>
                    <w:spacing w:line="240" w:lineRule="auto"/>
                    <w:ind w:firstLine="0" w:firstLineChars="0"/>
                    <w:jc w:val="center"/>
                    <w:rPr>
                      <w:rFonts w:hint="default" w:ascii="Times New Roman" w:hAnsi="Times New Roman" w:eastAsia="宋体" w:cs="Times New Roman"/>
                      <w:b w:val="0"/>
                      <w:color w:val="auto"/>
                      <w:sz w:val="21"/>
                      <w:szCs w:val="21"/>
                      <w:u w:val="single" w:color="auto"/>
                    </w:rPr>
                  </w:pPr>
                  <w:r>
                    <w:rPr>
                      <w:rFonts w:hint="eastAsia" w:cs="Times New Roman"/>
                      <w:b w:val="0"/>
                      <w:color w:val="auto"/>
                      <w:sz w:val="21"/>
                      <w:szCs w:val="21"/>
                      <w:u w:val="single" w:color="auto"/>
                      <w:lang w:val="en-US" w:eastAsia="zh-CN"/>
                    </w:rPr>
                    <w:t>技改</w:t>
                  </w:r>
                  <w:r>
                    <w:rPr>
                      <w:rFonts w:hint="default" w:ascii="Times New Roman" w:hAnsi="Times New Roman" w:eastAsia="宋体" w:cs="Times New Roman"/>
                      <w:b w:val="0"/>
                      <w:color w:val="auto"/>
                      <w:sz w:val="21"/>
                      <w:szCs w:val="21"/>
                      <w:u w:val="single" w:color="auto"/>
                    </w:rPr>
                    <w:t>建后</w:t>
                  </w:r>
                </w:p>
              </w:tc>
            </w:tr>
            <w:tr w14:paraId="05C7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6" w:type="pct"/>
                  <w:vMerge w:val="continue"/>
                  <w:vAlign w:val="center"/>
                </w:tcPr>
                <w:p w14:paraId="4509B42D">
                  <w:pPr>
                    <w:adjustRightInd/>
                    <w:snapToGrid/>
                    <w:spacing w:line="240" w:lineRule="auto"/>
                    <w:ind w:firstLine="0" w:firstLineChars="0"/>
                    <w:jc w:val="center"/>
                    <w:rPr>
                      <w:rFonts w:ascii="Times New Roman" w:hAnsi="Times New Roman" w:eastAsia="宋体" w:cs="Times New Roman"/>
                      <w:bCs w:val="0"/>
                      <w:color w:val="auto"/>
                      <w:sz w:val="21"/>
                      <w:szCs w:val="21"/>
                      <w:u w:val="single" w:color="auto"/>
                    </w:rPr>
                  </w:pPr>
                </w:p>
              </w:tc>
              <w:tc>
                <w:tcPr>
                  <w:tcW w:w="1558" w:type="pct"/>
                  <w:shd w:val="clear" w:color="auto" w:fill="auto"/>
                  <w:vAlign w:val="center"/>
                </w:tcPr>
                <w:p w14:paraId="43CA247E">
                  <w:pPr>
                    <w:adjustRightInd/>
                    <w:snapToGrid/>
                    <w:spacing w:line="240" w:lineRule="auto"/>
                    <w:ind w:firstLine="0" w:firstLineChars="0"/>
                    <w:jc w:val="center"/>
                    <w:rPr>
                      <w:rFonts w:ascii="Times New Roman" w:hAnsi="Times New Roman" w:eastAsia="宋体" w:cs="Times New Roman"/>
                      <w:bCs w:val="0"/>
                      <w:color w:val="auto"/>
                      <w:sz w:val="21"/>
                      <w:szCs w:val="21"/>
                      <w:u w:val="single" w:color="auto"/>
                    </w:rPr>
                  </w:pPr>
                  <w:r>
                    <w:rPr>
                      <w:rFonts w:hint="default" w:ascii="Times New Roman" w:hAnsi="Times New Roman" w:eastAsia="宋体" w:cs="Times New Roman"/>
                      <w:b w:val="0"/>
                      <w:color w:val="auto"/>
                      <w:sz w:val="21"/>
                      <w:szCs w:val="21"/>
                      <w:u w:val="single" w:color="auto"/>
                    </w:rPr>
                    <w:t>产品名称</w:t>
                  </w:r>
                </w:p>
              </w:tc>
              <w:tc>
                <w:tcPr>
                  <w:tcW w:w="814" w:type="pct"/>
                  <w:shd w:val="clear" w:color="auto" w:fill="auto"/>
                  <w:vAlign w:val="center"/>
                </w:tcPr>
                <w:p w14:paraId="4C405B7C">
                  <w:pPr>
                    <w:adjustRightInd/>
                    <w:snapToGrid/>
                    <w:spacing w:line="240" w:lineRule="auto"/>
                    <w:ind w:firstLine="0" w:firstLineChars="0"/>
                    <w:jc w:val="center"/>
                    <w:rPr>
                      <w:rFonts w:ascii="Times New Roman" w:hAnsi="Times New Roman" w:eastAsia="宋体" w:cs="Times New Roman"/>
                      <w:bCs w:val="0"/>
                      <w:color w:val="auto"/>
                      <w:sz w:val="21"/>
                      <w:szCs w:val="21"/>
                      <w:u w:val="single" w:color="auto"/>
                    </w:rPr>
                  </w:pPr>
                  <w:r>
                    <w:rPr>
                      <w:rFonts w:hint="default" w:ascii="Times New Roman" w:hAnsi="Times New Roman" w:eastAsia="宋体" w:cs="Times New Roman"/>
                      <w:b w:val="0"/>
                      <w:color w:val="auto"/>
                      <w:sz w:val="21"/>
                      <w:szCs w:val="21"/>
                      <w:u w:val="single" w:color="auto"/>
                    </w:rPr>
                    <w:t>产量</w:t>
                  </w:r>
                </w:p>
              </w:tc>
              <w:tc>
                <w:tcPr>
                  <w:tcW w:w="1608" w:type="pct"/>
                  <w:vAlign w:val="center"/>
                </w:tcPr>
                <w:p w14:paraId="5B342C28">
                  <w:pPr>
                    <w:adjustRightInd/>
                    <w:snapToGrid/>
                    <w:spacing w:line="240" w:lineRule="auto"/>
                    <w:ind w:firstLine="0" w:firstLineChars="0"/>
                    <w:jc w:val="center"/>
                    <w:rPr>
                      <w:rFonts w:hint="default" w:ascii="Times New Roman" w:hAnsi="Times New Roman" w:eastAsia="宋体" w:cs="Times New Roman"/>
                      <w:b w:val="0"/>
                      <w:color w:val="auto"/>
                      <w:sz w:val="21"/>
                      <w:szCs w:val="21"/>
                      <w:u w:val="single" w:color="auto"/>
                    </w:rPr>
                  </w:pPr>
                  <w:r>
                    <w:rPr>
                      <w:rFonts w:hint="default" w:ascii="Times New Roman" w:hAnsi="Times New Roman" w:eastAsia="宋体" w:cs="Times New Roman"/>
                      <w:b w:val="0"/>
                      <w:color w:val="auto"/>
                      <w:sz w:val="21"/>
                      <w:szCs w:val="21"/>
                      <w:u w:val="single" w:color="auto"/>
                    </w:rPr>
                    <w:t>产品名称</w:t>
                  </w:r>
                </w:p>
              </w:tc>
              <w:tc>
                <w:tcPr>
                  <w:tcW w:w="691" w:type="pct"/>
                  <w:vAlign w:val="center"/>
                </w:tcPr>
                <w:p w14:paraId="50F10048">
                  <w:pPr>
                    <w:adjustRightInd/>
                    <w:snapToGrid/>
                    <w:spacing w:line="240" w:lineRule="auto"/>
                    <w:ind w:firstLine="0" w:firstLineChars="0"/>
                    <w:jc w:val="center"/>
                    <w:rPr>
                      <w:rFonts w:ascii="Times New Roman" w:hAnsi="Times New Roman" w:eastAsia="宋体" w:cs="Times New Roman"/>
                      <w:bCs w:val="0"/>
                      <w:color w:val="auto"/>
                      <w:sz w:val="21"/>
                      <w:szCs w:val="21"/>
                      <w:u w:val="single" w:color="auto"/>
                    </w:rPr>
                  </w:pPr>
                  <w:r>
                    <w:rPr>
                      <w:rFonts w:hint="default" w:ascii="Times New Roman" w:hAnsi="Times New Roman" w:eastAsia="宋体" w:cs="Times New Roman"/>
                      <w:b w:val="0"/>
                      <w:color w:val="auto"/>
                      <w:sz w:val="21"/>
                      <w:szCs w:val="21"/>
                      <w:u w:val="single" w:color="auto"/>
                    </w:rPr>
                    <w:t>产量</w:t>
                  </w:r>
                </w:p>
              </w:tc>
            </w:tr>
            <w:tr w14:paraId="0906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49541AD3">
                  <w:pPr>
                    <w:adjustRightInd/>
                    <w:snapToGrid/>
                    <w:spacing w:line="240" w:lineRule="auto"/>
                    <w:ind w:firstLine="0" w:firstLineChars="0"/>
                    <w:jc w:val="center"/>
                    <w:rPr>
                      <w:rFonts w:hint="eastAsia" w:ascii="Times New Roman" w:hAnsi="Times New Roman" w:eastAsia="宋体" w:cs="Times New Roman"/>
                      <w:bCs w:val="0"/>
                      <w:color w:val="auto"/>
                      <w:sz w:val="21"/>
                      <w:szCs w:val="21"/>
                      <w:u w:val="single" w:color="auto"/>
                      <w:lang w:val="en-US" w:eastAsia="zh-CN"/>
                    </w:rPr>
                  </w:pPr>
                  <w:bookmarkStart w:id="57" w:name="OLE_LINK63" w:colFirst="3" w:colLast="4"/>
                  <w:r>
                    <w:rPr>
                      <w:rFonts w:hint="eastAsia" w:cs="Times New Roman"/>
                      <w:bCs w:val="0"/>
                      <w:color w:val="auto"/>
                      <w:sz w:val="21"/>
                      <w:szCs w:val="21"/>
                      <w:u w:val="single" w:color="auto"/>
                      <w:lang w:val="en-US" w:eastAsia="zh-CN"/>
                    </w:rPr>
                    <w:t>1</w:t>
                  </w:r>
                </w:p>
              </w:tc>
              <w:tc>
                <w:tcPr>
                  <w:tcW w:w="1558" w:type="pct"/>
                  <w:shd w:val="clear" w:color="auto" w:fill="auto"/>
                  <w:vAlign w:val="center"/>
                </w:tcPr>
                <w:p w14:paraId="033F1EE2">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eastAsia="zh-CN"/>
                    </w:rPr>
                    <w:t>猪</w:t>
                  </w:r>
                  <w:r>
                    <w:rPr>
                      <w:rFonts w:hint="default" w:ascii="Times New Roman" w:hAnsi="Times New Roman" w:eastAsia="宋体" w:cs="Times New Roman"/>
                      <w:color w:val="auto"/>
                      <w:sz w:val="21"/>
                      <w:szCs w:val="21"/>
                      <w:u w:val="single" w:color="auto"/>
                    </w:rPr>
                    <w:t>白条肉</w:t>
                  </w:r>
                </w:p>
              </w:tc>
              <w:tc>
                <w:tcPr>
                  <w:tcW w:w="814" w:type="pct"/>
                  <w:shd w:val="clear" w:color="auto" w:fill="auto"/>
                  <w:vAlign w:val="center"/>
                </w:tcPr>
                <w:p w14:paraId="6BC59BB7">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6618</w:t>
                  </w:r>
                  <w:r>
                    <w:rPr>
                      <w:rFonts w:hint="eastAsia" w:cs="Times New Roman"/>
                      <w:bCs w:val="0"/>
                      <w:color w:val="auto"/>
                      <w:sz w:val="21"/>
                      <w:szCs w:val="21"/>
                      <w:u w:val="single" w:color="auto"/>
                      <w:lang w:val="en-US" w:eastAsia="zh-CN"/>
                    </w:rPr>
                    <w:t xml:space="preserve"> t/a</w:t>
                  </w:r>
                </w:p>
              </w:tc>
              <w:tc>
                <w:tcPr>
                  <w:tcW w:w="1608" w:type="pct"/>
                  <w:shd w:val="clear" w:color="auto" w:fill="auto"/>
                  <w:vAlign w:val="center"/>
                </w:tcPr>
                <w:p w14:paraId="41A8FB50">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eastAsia="zh-CN"/>
                    </w:rPr>
                    <w:t>猪</w:t>
                  </w:r>
                  <w:r>
                    <w:rPr>
                      <w:rFonts w:hint="default" w:ascii="Times New Roman" w:hAnsi="Times New Roman" w:eastAsia="宋体" w:cs="Times New Roman"/>
                      <w:color w:val="auto"/>
                      <w:sz w:val="21"/>
                      <w:szCs w:val="21"/>
                      <w:u w:val="single" w:color="auto"/>
                    </w:rPr>
                    <w:t>白条肉</w:t>
                  </w:r>
                </w:p>
              </w:tc>
              <w:tc>
                <w:tcPr>
                  <w:tcW w:w="691" w:type="pct"/>
                  <w:shd w:val="clear" w:color="auto" w:fill="auto"/>
                  <w:vAlign w:val="center"/>
                </w:tcPr>
                <w:p w14:paraId="07CF7A6A">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8178</w:t>
                  </w:r>
                  <w:r>
                    <w:rPr>
                      <w:rFonts w:hint="eastAsia" w:cs="Times New Roman"/>
                      <w:bCs w:val="0"/>
                      <w:color w:val="auto"/>
                      <w:sz w:val="21"/>
                      <w:szCs w:val="21"/>
                      <w:u w:val="single" w:color="auto"/>
                      <w:lang w:val="en-US" w:eastAsia="zh-CN"/>
                    </w:rPr>
                    <w:t xml:space="preserve"> t/a</w:t>
                  </w:r>
                </w:p>
              </w:tc>
            </w:tr>
            <w:tr w14:paraId="2285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59665D7B">
                  <w:pPr>
                    <w:adjustRightInd/>
                    <w:snapToGrid/>
                    <w:spacing w:line="240" w:lineRule="auto"/>
                    <w:ind w:firstLine="0" w:firstLineChars="0"/>
                    <w:jc w:val="center"/>
                    <w:rPr>
                      <w:rFonts w:hint="eastAsia" w:ascii="Times New Roman" w:hAnsi="Times New Roman" w:eastAsia="宋体"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2</w:t>
                  </w:r>
                </w:p>
              </w:tc>
              <w:tc>
                <w:tcPr>
                  <w:tcW w:w="1558" w:type="pct"/>
                  <w:shd w:val="clear" w:color="auto" w:fill="auto"/>
                  <w:vAlign w:val="center"/>
                </w:tcPr>
                <w:p w14:paraId="6A2EDE5C">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pacing w:val="0"/>
                      <w:sz w:val="21"/>
                      <w:szCs w:val="21"/>
                      <w:u w:val="single" w:color="auto"/>
                      <w:lang w:eastAsia="zh-CN"/>
                    </w:rPr>
                    <w:t>猪</w:t>
                  </w:r>
                  <w:r>
                    <w:rPr>
                      <w:rFonts w:hint="default" w:ascii="Times New Roman" w:hAnsi="Times New Roman" w:eastAsia="宋体" w:cs="Times New Roman"/>
                      <w:color w:val="auto"/>
                      <w:spacing w:val="0"/>
                      <w:sz w:val="21"/>
                      <w:szCs w:val="21"/>
                      <w:u w:val="single" w:color="auto"/>
                    </w:rPr>
                    <w:t>副产品</w:t>
                  </w:r>
                  <w:r>
                    <w:rPr>
                      <w:rFonts w:hint="eastAsia" w:ascii="Times New Roman" w:hAnsi="Times New Roman" w:eastAsia="宋体" w:cs="Times New Roman"/>
                      <w:color w:val="auto"/>
                      <w:spacing w:val="0"/>
                      <w:sz w:val="21"/>
                      <w:szCs w:val="21"/>
                      <w:u w:val="single" w:color="auto"/>
                      <w:lang w:eastAsia="zh-CN"/>
                    </w:rPr>
                    <w:t>（</w:t>
                  </w:r>
                  <w:r>
                    <w:rPr>
                      <w:rFonts w:hint="default" w:ascii="Times New Roman" w:hAnsi="Times New Roman" w:eastAsia="宋体" w:cs="Times New Roman"/>
                      <w:color w:val="auto"/>
                      <w:spacing w:val="0"/>
                      <w:sz w:val="21"/>
                      <w:szCs w:val="21"/>
                      <w:u w:val="single" w:color="auto"/>
                    </w:rPr>
                    <w:t>可食用内脏、猪头、猪蹄、猪尾、猪血</w:t>
                  </w:r>
                  <w:r>
                    <w:rPr>
                      <w:rFonts w:hint="eastAsia" w:ascii="Times New Roman" w:hAnsi="Times New Roman" w:eastAsia="宋体" w:cs="Times New Roman"/>
                      <w:color w:val="auto"/>
                      <w:spacing w:val="0"/>
                      <w:sz w:val="21"/>
                      <w:szCs w:val="21"/>
                      <w:u w:val="single" w:color="auto"/>
                      <w:lang w:val="en-US" w:eastAsia="zh-CN"/>
                    </w:rPr>
                    <w:t>等</w:t>
                  </w:r>
                  <w:r>
                    <w:rPr>
                      <w:rFonts w:hint="eastAsia" w:ascii="Times New Roman" w:hAnsi="Times New Roman" w:eastAsia="宋体" w:cs="Times New Roman"/>
                      <w:color w:val="auto"/>
                      <w:spacing w:val="0"/>
                      <w:sz w:val="21"/>
                      <w:szCs w:val="21"/>
                      <w:u w:val="single" w:color="auto"/>
                      <w:lang w:eastAsia="zh-CN"/>
                    </w:rPr>
                    <w:t>）</w:t>
                  </w:r>
                </w:p>
              </w:tc>
              <w:tc>
                <w:tcPr>
                  <w:tcW w:w="814" w:type="pct"/>
                  <w:shd w:val="clear" w:color="auto" w:fill="auto"/>
                  <w:vAlign w:val="center"/>
                </w:tcPr>
                <w:p w14:paraId="52F81504">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1</w:t>
                  </w:r>
                  <w:r>
                    <w:rPr>
                      <w:rFonts w:hint="eastAsia" w:cs="Times New Roman"/>
                      <w:color w:val="auto"/>
                      <w:sz w:val="21"/>
                      <w:szCs w:val="21"/>
                      <w:u w:val="single" w:color="auto"/>
                      <w:lang w:val="en-US" w:eastAsia="zh-CN"/>
                    </w:rPr>
                    <w:t>176</w:t>
                  </w:r>
                  <w:r>
                    <w:rPr>
                      <w:rFonts w:hint="eastAsia" w:cs="Times New Roman"/>
                      <w:bCs w:val="0"/>
                      <w:color w:val="auto"/>
                      <w:sz w:val="21"/>
                      <w:szCs w:val="21"/>
                      <w:u w:val="single" w:color="auto"/>
                      <w:lang w:val="en-US" w:eastAsia="zh-CN"/>
                    </w:rPr>
                    <w:t xml:space="preserve"> t/a</w:t>
                  </w:r>
                </w:p>
              </w:tc>
              <w:tc>
                <w:tcPr>
                  <w:tcW w:w="1608" w:type="pct"/>
                  <w:shd w:val="clear" w:color="auto" w:fill="auto"/>
                  <w:vAlign w:val="center"/>
                </w:tcPr>
                <w:p w14:paraId="53C7ED7D">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pacing w:val="0"/>
                      <w:sz w:val="21"/>
                      <w:szCs w:val="21"/>
                      <w:u w:val="single" w:color="auto"/>
                      <w:lang w:eastAsia="zh-CN"/>
                    </w:rPr>
                    <w:t>猪</w:t>
                  </w:r>
                  <w:r>
                    <w:rPr>
                      <w:rFonts w:hint="default" w:ascii="Times New Roman" w:hAnsi="Times New Roman" w:eastAsia="宋体" w:cs="Times New Roman"/>
                      <w:color w:val="auto"/>
                      <w:spacing w:val="0"/>
                      <w:sz w:val="21"/>
                      <w:szCs w:val="21"/>
                      <w:u w:val="single" w:color="auto"/>
                    </w:rPr>
                    <w:t>副产品</w:t>
                  </w:r>
                  <w:r>
                    <w:rPr>
                      <w:rFonts w:hint="eastAsia" w:ascii="Times New Roman" w:hAnsi="Times New Roman" w:eastAsia="宋体" w:cs="Times New Roman"/>
                      <w:color w:val="auto"/>
                      <w:spacing w:val="0"/>
                      <w:sz w:val="21"/>
                      <w:szCs w:val="21"/>
                      <w:u w:val="single" w:color="auto"/>
                      <w:lang w:eastAsia="zh-CN"/>
                    </w:rPr>
                    <w:t>（</w:t>
                  </w:r>
                  <w:r>
                    <w:rPr>
                      <w:rFonts w:hint="default" w:ascii="Times New Roman" w:hAnsi="Times New Roman" w:eastAsia="宋体" w:cs="Times New Roman"/>
                      <w:color w:val="auto"/>
                      <w:spacing w:val="0"/>
                      <w:sz w:val="21"/>
                      <w:szCs w:val="21"/>
                      <w:u w:val="single" w:color="auto"/>
                    </w:rPr>
                    <w:t>可食用内脏、猪头、猪蹄、猪尾、猪血</w:t>
                  </w:r>
                  <w:r>
                    <w:rPr>
                      <w:rFonts w:hint="eastAsia" w:ascii="Times New Roman" w:hAnsi="Times New Roman" w:eastAsia="宋体" w:cs="Times New Roman"/>
                      <w:color w:val="auto"/>
                      <w:spacing w:val="0"/>
                      <w:sz w:val="21"/>
                      <w:szCs w:val="21"/>
                      <w:u w:val="single" w:color="auto"/>
                      <w:lang w:val="en-US" w:eastAsia="zh-CN"/>
                    </w:rPr>
                    <w:t>等</w:t>
                  </w:r>
                  <w:r>
                    <w:rPr>
                      <w:rFonts w:hint="eastAsia" w:ascii="Times New Roman" w:hAnsi="Times New Roman" w:eastAsia="宋体" w:cs="Times New Roman"/>
                      <w:color w:val="auto"/>
                      <w:spacing w:val="0"/>
                      <w:sz w:val="21"/>
                      <w:szCs w:val="21"/>
                      <w:u w:val="single" w:color="auto"/>
                      <w:lang w:eastAsia="zh-CN"/>
                    </w:rPr>
                    <w:t>）</w:t>
                  </w:r>
                </w:p>
              </w:tc>
              <w:tc>
                <w:tcPr>
                  <w:tcW w:w="691" w:type="pct"/>
                  <w:shd w:val="clear" w:color="auto" w:fill="auto"/>
                  <w:vAlign w:val="center"/>
                </w:tcPr>
                <w:p w14:paraId="23B13A97">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 xml:space="preserve">1410 </w:t>
                  </w:r>
                  <w:r>
                    <w:rPr>
                      <w:rFonts w:hint="eastAsia" w:cs="Times New Roman"/>
                      <w:bCs w:val="0"/>
                      <w:color w:val="auto"/>
                      <w:sz w:val="21"/>
                      <w:szCs w:val="21"/>
                      <w:u w:val="single" w:color="auto"/>
                      <w:lang w:val="en-US" w:eastAsia="zh-CN"/>
                    </w:rPr>
                    <w:t>t/a</w:t>
                  </w:r>
                </w:p>
              </w:tc>
            </w:tr>
            <w:tr w14:paraId="01CC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4B7E3D92">
                  <w:pPr>
                    <w:adjustRightInd/>
                    <w:snapToGrid/>
                    <w:spacing w:line="240" w:lineRule="auto"/>
                    <w:ind w:firstLine="0" w:firstLineChars="0"/>
                    <w:jc w:val="center"/>
                    <w:rPr>
                      <w:rFonts w:hint="default" w:ascii="Times New Roman" w:hAnsi="Times New Roman" w:eastAsia="宋体"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3</w:t>
                  </w:r>
                </w:p>
              </w:tc>
              <w:tc>
                <w:tcPr>
                  <w:tcW w:w="1558" w:type="pct"/>
                  <w:shd w:val="clear" w:color="auto" w:fill="auto"/>
                  <w:vAlign w:val="center"/>
                </w:tcPr>
                <w:p w14:paraId="045999DF">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eastAsia="zh-CN"/>
                    </w:rPr>
                    <w:t>牛</w:t>
                  </w:r>
                  <w:r>
                    <w:rPr>
                      <w:rFonts w:hint="default" w:ascii="Times New Roman" w:hAnsi="Times New Roman" w:eastAsia="宋体" w:cs="Times New Roman"/>
                      <w:color w:val="auto"/>
                      <w:sz w:val="21"/>
                      <w:szCs w:val="21"/>
                      <w:u w:val="single" w:color="auto"/>
                    </w:rPr>
                    <w:t>白条肉</w:t>
                  </w:r>
                </w:p>
              </w:tc>
              <w:tc>
                <w:tcPr>
                  <w:tcW w:w="814" w:type="pct"/>
                  <w:shd w:val="clear" w:color="auto" w:fill="auto"/>
                  <w:vAlign w:val="center"/>
                </w:tcPr>
                <w:p w14:paraId="7AED659A">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w:t>
                  </w:r>
                </w:p>
              </w:tc>
              <w:tc>
                <w:tcPr>
                  <w:tcW w:w="1608" w:type="pct"/>
                  <w:shd w:val="clear" w:color="auto" w:fill="auto"/>
                  <w:vAlign w:val="center"/>
                </w:tcPr>
                <w:p w14:paraId="380BA717">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eastAsia="zh-CN"/>
                    </w:rPr>
                    <w:t>牛</w:t>
                  </w:r>
                  <w:r>
                    <w:rPr>
                      <w:rFonts w:hint="default" w:ascii="Times New Roman" w:hAnsi="Times New Roman" w:eastAsia="宋体" w:cs="Times New Roman"/>
                      <w:color w:val="auto"/>
                      <w:sz w:val="21"/>
                      <w:szCs w:val="21"/>
                      <w:u w:val="single" w:color="auto"/>
                    </w:rPr>
                    <w:t>白条肉</w:t>
                  </w:r>
                </w:p>
              </w:tc>
              <w:tc>
                <w:tcPr>
                  <w:tcW w:w="691" w:type="pct"/>
                  <w:shd w:val="clear" w:color="auto" w:fill="auto"/>
                  <w:vAlign w:val="center"/>
                </w:tcPr>
                <w:p w14:paraId="660242E3">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380</w:t>
                  </w:r>
                  <w:r>
                    <w:rPr>
                      <w:rFonts w:hint="eastAsia" w:cs="Times New Roman"/>
                      <w:bCs w:val="0"/>
                      <w:color w:val="auto"/>
                      <w:sz w:val="21"/>
                      <w:szCs w:val="21"/>
                      <w:u w:val="single" w:color="auto"/>
                      <w:lang w:val="en-US" w:eastAsia="zh-CN"/>
                    </w:rPr>
                    <w:t xml:space="preserve"> t/a</w:t>
                  </w:r>
                </w:p>
              </w:tc>
            </w:tr>
            <w:tr w14:paraId="183C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01880425">
                  <w:pPr>
                    <w:adjustRightInd/>
                    <w:snapToGrid/>
                    <w:spacing w:line="240" w:lineRule="auto"/>
                    <w:ind w:firstLine="0" w:firstLineChars="0"/>
                    <w:jc w:val="center"/>
                    <w:rPr>
                      <w:rFonts w:hint="eastAsia" w:ascii="Times New Roman" w:hAnsi="Times New Roman" w:eastAsia="宋体"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4</w:t>
                  </w:r>
                </w:p>
              </w:tc>
              <w:tc>
                <w:tcPr>
                  <w:tcW w:w="1558" w:type="pct"/>
                  <w:shd w:val="clear" w:color="auto" w:fill="auto"/>
                  <w:vAlign w:val="center"/>
                </w:tcPr>
                <w:p w14:paraId="36BE3A30">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副产品</w:t>
                  </w:r>
                  <w:r>
                    <w:rPr>
                      <w:rFonts w:hint="eastAsia" w:ascii="Times New Roman" w:hAnsi="Times New Roman" w:eastAsia="宋体" w:cs="Times New Roman"/>
                      <w:color w:val="auto"/>
                      <w:spacing w:val="0"/>
                      <w:sz w:val="21"/>
                      <w:szCs w:val="21"/>
                      <w:u w:val="single" w:color="auto"/>
                      <w:lang w:eastAsia="zh-CN"/>
                    </w:rPr>
                    <w:t>（</w:t>
                  </w:r>
                  <w:r>
                    <w:rPr>
                      <w:rFonts w:hint="default" w:ascii="Times New Roman" w:hAnsi="Times New Roman" w:eastAsia="宋体" w:cs="Times New Roman"/>
                      <w:color w:val="auto"/>
                      <w:spacing w:val="0"/>
                      <w:sz w:val="21"/>
                      <w:szCs w:val="21"/>
                      <w:u w:val="single" w:color="auto"/>
                    </w:rPr>
                    <w:t>可食用内脏、</w:t>
                  </w: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头、</w:t>
                  </w: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蹄</w:t>
                  </w:r>
                  <w:r>
                    <w:rPr>
                      <w:rFonts w:hint="eastAsia" w:ascii="Times New Roman" w:hAnsi="Times New Roman" w:eastAsia="宋体" w:cs="Times New Roman"/>
                      <w:color w:val="auto"/>
                      <w:spacing w:val="0"/>
                      <w:sz w:val="21"/>
                      <w:szCs w:val="21"/>
                      <w:u w:val="single" w:color="auto"/>
                      <w:lang w:val="en-US" w:eastAsia="zh-CN"/>
                    </w:rPr>
                    <w:t>等</w:t>
                  </w:r>
                  <w:r>
                    <w:rPr>
                      <w:rFonts w:hint="eastAsia" w:ascii="Times New Roman" w:hAnsi="Times New Roman" w:eastAsia="宋体" w:cs="Times New Roman"/>
                      <w:color w:val="auto"/>
                      <w:spacing w:val="0"/>
                      <w:sz w:val="21"/>
                      <w:szCs w:val="21"/>
                      <w:u w:val="single" w:color="auto"/>
                      <w:lang w:eastAsia="zh-CN"/>
                    </w:rPr>
                    <w:t>）</w:t>
                  </w:r>
                </w:p>
              </w:tc>
              <w:tc>
                <w:tcPr>
                  <w:tcW w:w="814" w:type="pct"/>
                  <w:shd w:val="clear" w:color="auto" w:fill="auto"/>
                  <w:vAlign w:val="center"/>
                </w:tcPr>
                <w:p w14:paraId="0488462F">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w:t>
                  </w:r>
                </w:p>
              </w:tc>
              <w:tc>
                <w:tcPr>
                  <w:tcW w:w="1608" w:type="pct"/>
                  <w:shd w:val="clear" w:color="auto" w:fill="auto"/>
                  <w:vAlign w:val="center"/>
                </w:tcPr>
                <w:p w14:paraId="1A8955EC">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副产品</w:t>
                  </w:r>
                  <w:r>
                    <w:rPr>
                      <w:rFonts w:hint="eastAsia" w:ascii="Times New Roman" w:hAnsi="Times New Roman" w:eastAsia="宋体" w:cs="Times New Roman"/>
                      <w:color w:val="auto"/>
                      <w:spacing w:val="0"/>
                      <w:sz w:val="21"/>
                      <w:szCs w:val="21"/>
                      <w:u w:val="single" w:color="auto"/>
                      <w:lang w:eastAsia="zh-CN"/>
                    </w:rPr>
                    <w:t>（</w:t>
                  </w:r>
                  <w:r>
                    <w:rPr>
                      <w:rFonts w:hint="default" w:ascii="Times New Roman" w:hAnsi="Times New Roman" w:eastAsia="宋体" w:cs="Times New Roman"/>
                      <w:color w:val="auto"/>
                      <w:spacing w:val="0"/>
                      <w:sz w:val="21"/>
                      <w:szCs w:val="21"/>
                      <w:u w:val="single" w:color="auto"/>
                    </w:rPr>
                    <w:t>可食用内脏、</w:t>
                  </w: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头、</w:t>
                  </w: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蹄</w:t>
                  </w:r>
                  <w:r>
                    <w:rPr>
                      <w:rFonts w:hint="eastAsia" w:ascii="Times New Roman" w:hAnsi="Times New Roman" w:eastAsia="宋体" w:cs="Times New Roman"/>
                      <w:color w:val="auto"/>
                      <w:spacing w:val="0"/>
                      <w:sz w:val="21"/>
                      <w:szCs w:val="21"/>
                      <w:u w:val="single" w:color="auto"/>
                      <w:lang w:val="en-US" w:eastAsia="zh-CN"/>
                    </w:rPr>
                    <w:t>等</w:t>
                  </w:r>
                  <w:r>
                    <w:rPr>
                      <w:rFonts w:hint="eastAsia" w:ascii="Times New Roman" w:hAnsi="Times New Roman" w:eastAsia="宋体" w:cs="Times New Roman"/>
                      <w:color w:val="auto"/>
                      <w:spacing w:val="0"/>
                      <w:sz w:val="21"/>
                      <w:szCs w:val="21"/>
                      <w:u w:val="single" w:color="auto"/>
                      <w:lang w:eastAsia="zh-CN"/>
                    </w:rPr>
                    <w:t>）</w:t>
                  </w:r>
                </w:p>
              </w:tc>
              <w:tc>
                <w:tcPr>
                  <w:tcW w:w="691" w:type="pct"/>
                  <w:shd w:val="clear" w:color="auto" w:fill="auto"/>
                  <w:vAlign w:val="center"/>
                </w:tcPr>
                <w:p w14:paraId="34D56C84">
                  <w:pPr>
                    <w:adjustRightInd/>
                    <w:snapToGrid/>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100</w:t>
                  </w:r>
                  <w:r>
                    <w:rPr>
                      <w:rFonts w:hint="eastAsia" w:cs="Times New Roman"/>
                      <w:bCs w:val="0"/>
                      <w:color w:val="auto"/>
                      <w:sz w:val="21"/>
                      <w:szCs w:val="21"/>
                      <w:u w:val="single" w:color="auto"/>
                      <w:lang w:val="en-US" w:eastAsia="zh-CN"/>
                    </w:rPr>
                    <w:t xml:space="preserve"> t/a</w:t>
                  </w:r>
                </w:p>
              </w:tc>
            </w:tr>
            <w:tr w14:paraId="3657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474C2570">
                  <w:pPr>
                    <w:adjustRightInd/>
                    <w:snapToGrid/>
                    <w:spacing w:line="240" w:lineRule="auto"/>
                    <w:ind w:firstLine="0" w:firstLineChars="0"/>
                    <w:jc w:val="center"/>
                    <w:rPr>
                      <w:rFonts w:hint="default"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5</w:t>
                  </w:r>
                </w:p>
              </w:tc>
              <w:tc>
                <w:tcPr>
                  <w:tcW w:w="1558" w:type="pct"/>
                  <w:shd w:val="clear" w:color="auto" w:fill="auto"/>
                  <w:vAlign w:val="center"/>
                </w:tcPr>
                <w:p w14:paraId="3C8860B6">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肉鸡肉</w:t>
                  </w:r>
                </w:p>
              </w:tc>
              <w:tc>
                <w:tcPr>
                  <w:tcW w:w="814" w:type="pct"/>
                  <w:shd w:val="clear" w:color="auto" w:fill="auto"/>
                  <w:vAlign w:val="center"/>
                </w:tcPr>
                <w:p w14:paraId="4583F000">
                  <w:pPr>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1608" w:type="pct"/>
                  <w:shd w:val="clear" w:color="auto" w:fill="auto"/>
                  <w:vAlign w:val="center"/>
                </w:tcPr>
                <w:p w14:paraId="370BA165">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肉鸡肉</w:t>
                  </w:r>
                </w:p>
              </w:tc>
              <w:tc>
                <w:tcPr>
                  <w:tcW w:w="691" w:type="pct"/>
                  <w:shd w:val="clear" w:color="auto" w:fill="auto"/>
                  <w:vAlign w:val="center"/>
                </w:tcPr>
                <w:p w14:paraId="31EDDB09">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vertAlign w:val="baseline"/>
                      <w:lang w:val="en-US" w:eastAsia="zh-CN"/>
                    </w:rPr>
                    <w:t>1.39</w:t>
                  </w:r>
                </w:p>
              </w:tc>
            </w:tr>
            <w:tr w14:paraId="53FA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7C053D6A">
                  <w:pPr>
                    <w:adjustRightInd/>
                    <w:snapToGrid/>
                    <w:spacing w:line="240" w:lineRule="auto"/>
                    <w:ind w:firstLine="0" w:firstLineChars="0"/>
                    <w:jc w:val="center"/>
                    <w:rPr>
                      <w:rFonts w:hint="default"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6</w:t>
                  </w:r>
                </w:p>
              </w:tc>
              <w:tc>
                <w:tcPr>
                  <w:tcW w:w="1558" w:type="pct"/>
                  <w:shd w:val="clear" w:color="auto" w:fill="auto"/>
                  <w:vAlign w:val="center"/>
                </w:tcPr>
                <w:p w14:paraId="4DC158FA">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肉鸡副产品（可食用肉鸡胗、肉鸡血等）</w:t>
                  </w:r>
                </w:p>
              </w:tc>
              <w:tc>
                <w:tcPr>
                  <w:tcW w:w="814" w:type="pct"/>
                  <w:shd w:val="clear" w:color="auto" w:fill="auto"/>
                  <w:vAlign w:val="center"/>
                </w:tcPr>
                <w:p w14:paraId="2BCCF07A">
                  <w:pPr>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1608" w:type="pct"/>
                  <w:shd w:val="clear" w:color="auto" w:fill="auto"/>
                  <w:vAlign w:val="center"/>
                </w:tcPr>
                <w:p w14:paraId="6A6C33C6">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肉鸡副产品（可食用肉鸡胗、肉鸡血等）</w:t>
                  </w:r>
                </w:p>
              </w:tc>
              <w:tc>
                <w:tcPr>
                  <w:tcW w:w="691" w:type="pct"/>
                  <w:shd w:val="clear" w:color="auto" w:fill="auto"/>
                  <w:vAlign w:val="center"/>
                </w:tcPr>
                <w:p w14:paraId="22A31F21">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kern w:val="2"/>
                      <w:sz w:val="21"/>
                      <w:szCs w:val="21"/>
                      <w:u w:val="single" w:color="auto"/>
                      <w:lang w:val="en-US" w:eastAsia="zh-CN"/>
                    </w:rPr>
                    <w:t>0.3</w:t>
                  </w:r>
                  <w:r>
                    <w:rPr>
                      <w:rFonts w:hint="eastAsia" w:cs="Times New Roman"/>
                      <w:bCs w:val="0"/>
                      <w:color w:val="auto"/>
                      <w:sz w:val="21"/>
                      <w:szCs w:val="21"/>
                      <w:u w:val="single" w:color="auto"/>
                      <w:lang w:val="en-US" w:eastAsia="zh-CN"/>
                    </w:rPr>
                    <w:t xml:space="preserve"> t/a</w:t>
                  </w:r>
                </w:p>
              </w:tc>
            </w:tr>
            <w:tr w14:paraId="7A67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41F5E493">
                  <w:pPr>
                    <w:adjustRightInd/>
                    <w:snapToGrid/>
                    <w:spacing w:line="240" w:lineRule="auto"/>
                    <w:ind w:firstLine="0" w:firstLineChars="0"/>
                    <w:jc w:val="center"/>
                    <w:rPr>
                      <w:rFonts w:hint="default"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7</w:t>
                  </w:r>
                </w:p>
              </w:tc>
              <w:tc>
                <w:tcPr>
                  <w:tcW w:w="1558" w:type="pct"/>
                  <w:shd w:val="clear" w:color="auto" w:fill="auto"/>
                  <w:vAlign w:val="center"/>
                </w:tcPr>
                <w:p w14:paraId="2C696CD1">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肉鸭肉</w:t>
                  </w:r>
                </w:p>
              </w:tc>
              <w:tc>
                <w:tcPr>
                  <w:tcW w:w="814" w:type="pct"/>
                  <w:shd w:val="clear" w:color="auto" w:fill="auto"/>
                  <w:vAlign w:val="center"/>
                </w:tcPr>
                <w:p w14:paraId="1B18E50F">
                  <w:pPr>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1608" w:type="pct"/>
                  <w:shd w:val="clear" w:color="auto" w:fill="auto"/>
                  <w:vAlign w:val="center"/>
                </w:tcPr>
                <w:p w14:paraId="518A4951">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肉鸭肉</w:t>
                  </w:r>
                </w:p>
              </w:tc>
              <w:tc>
                <w:tcPr>
                  <w:tcW w:w="691" w:type="pct"/>
                  <w:shd w:val="clear" w:color="auto" w:fill="auto"/>
                  <w:vAlign w:val="center"/>
                </w:tcPr>
                <w:p w14:paraId="2B5BB319">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vertAlign w:val="baseline"/>
                      <w:lang w:val="en-US" w:eastAsia="zh-CN"/>
                    </w:rPr>
                    <w:t>2</w:t>
                  </w:r>
                  <w:r>
                    <w:rPr>
                      <w:rFonts w:hint="eastAsia" w:cs="Times New Roman"/>
                      <w:bCs w:val="0"/>
                      <w:color w:val="auto"/>
                      <w:sz w:val="21"/>
                      <w:szCs w:val="21"/>
                      <w:u w:val="single" w:color="auto"/>
                      <w:lang w:val="en-US" w:eastAsia="zh-CN"/>
                    </w:rPr>
                    <w:t xml:space="preserve"> t/a</w:t>
                  </w:r>
                </w:p>
              </w:tc>
            </w:tr>
            <w:tr w14:paraId="135F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1B59A856">
                  <w:pPr>
                    <w:adjustRightInd/>
                    <w:snapToGrid/>
                    <w:spacing w:line="240" w:lineRule="auto"/>
                    <w:ind w:firstLine="0" w:firstLineChars="0"/>
                    <w:jc w:val="center"/>
                    <w:rPr>
                      <w:rFonts w:hint="default"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8</w:t>
                  </w:r>
                </w:p>
              </w:tc>
              <w:tc>
                <w:tcPr>
                  <w:tcW w:w="1558" w:type="pct"/>
                  <w:shd w:val="clear" w:color="auto" w:fill="auto"/>
                  <w:vAlign w:val="center"/>
                </w:tcPr>
                <w:p w14:paraId="579B3428">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肉鸭副产品（可食用肉鸭胗、肉鸭血等）</w:t>
                  </w:r>
                </w:p>
              </w:tc>
              <w:tc>
                <w:tcPr>
                  <w:tcW w:w="814" w:type="pct"/>
                  <w:shd w:val="clear" w:color="auto" w:fill="auto"/>
                  <w:vAlign w:val="center"/>
                </w:tcPr>
                <w:p w14:paraId="282D29BF">
                  <w:pPr>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1608" w:type="pct"/>
                  <w:shd w:val="clear" w:color="auto" w:fill="auto"/>
                  <w:vAlign w:val="center"/>
                </w:tcPr>
                <w:p w14:paraId="1A34FE52">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肉鸭副产品（可食用肉鸭胗、肉鸭血等）</w:t>
                  </w:r>
                </w:p>
              </w:tc>
              <w:tc>
                <w:tcPr>
                  <w:tcW w:w="691" w:type="pct"/>
                  <w:shd w:val="clear" w:color="auto" w:fill="auto"/>
                  <w:vAlign w:val="center"/>
                </w:tcPr>
                <w:p w14:paraId="00FADD5C">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kern w:val="2"/>
                      <w:sz w:val="21"/>
                      <w:szCs w:val="21"/>
                      <w:u w:val="single" w:color="auto"/>
                      <w:vertAlign w:val="baseline"/>
                      <w:lang w:val="en-US" w:eastAsia="zh-CN" w:bidi="ar-SA"/>
                    </w:rPr>
                    <w:t>0.42</w:t>
                  </w:r>
                  <w:r>
                    <w:rPr>
                      <w:rFonts w:hint="eastAsia" w:cs="Times New Roman"/>
                      <w:bCs w:val="0"/>
                      <w:color w:val="auto"/>
                      <w:sz w:val="21"/>
                      <w:szCs w:val="21"/>
                      <w:u w:val="single" w:color="auto"/>
                      <w:lang w:val="en-US" w:eastAsia="zh-CN"/>
                    </w:rPr>
                    <w:t xml:space="preserve"> t/a</w:t>
                  </w:r>
                </w:p>
              </w:tc>
            </w:tr>
            <w:tr w14:paraId="43DB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1EE5E790">
                  <w:pPr>
                    <w:adjustRightInd/>
                    <w:snapToGrid/>
                    <w:spacing w:line="240" w:lineRule="auto"/>
                    <w:ind w:firstLine="0" w:firstLineChars="0"/>
                    <w:jc w:val="center"/>
                    <w:rPr>
                      <w:rFonts w:hint="default"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9</w:t>
                  </w:r>
                </w:p>
              </w:tc>
              <w:tc>
                <w:tcPr>
                  <w:tcW w:w="1558" w:type="pct"/>
                  <w:shd w:val="clear" w:color="auto" w:fill="auto"/>
                  <w:vAlign w:val="center"/>
                </w:tcPr>
                <w:p w14:paraId="421330B3">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肉鹅肉</w:t>
                  </w:r>
                </w:p>
              </w:tc>
              <w:tc>
                <w:tcPr>
                  <w:tcW w:w="814" w:type="pct"/>
                  <w:shd w:val="clear" w:color="auto" w:fill="auto"/>
                  <w:vAlign w:val="center"/>
                </w:tcPr>
                <w:p w14:paraId="627972BC">
                  <w:pPr>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1608" w:type="pct"/>
                  <w:shd w:val="clear" w:color="auto" w:fill="auto"/>
                  <w:vAlign w:val="center"/>
                </w:tcPr>
                <w:p w14:paraId="6680C376">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肉鹅肉</w:t>
                  </w:r>
                </w:p>
              </w:tc>
              <w:tc>
                <w:tcPr>
                  <w:tcW w:w="691" w:type="pct"/>
                  <w:shd w:val="clear" w:color="auto" w:fill="auto"/>
                  <w:vAlign w:val="center"/>
                </w:tcPr>
                <w:p w14:paraId="67CC2D67">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vertAlign w:val="baseline"/>
                      <w:lang w:val="en-US" w:eastAsia="zh-CN"/>
                    </w:rPr>
                    <w:t>2.2</w:t>
                  </w:r>
                  <w:r>
                    <w:rPr>
                      <w:rFonts w:hint="eastAsia" w:cs="Times New Roman"/>
                      <w:bCs w:val="0"/>
                      <w:color w:val="auto"/>
                      <w:sz w:val="21"/>
                      <w:szCs w:val="21"/>
                      <w:u w:val="single" w:color="auto"/>
                      <w:lang w:val="en-US" w:eastAsia="zh-CN"/>
                    </w:rPr>
                    <w:t xml:space="preserve"> t/a</w:t>
                  </w:r>
                </w:p>
              </w:tc>
            </w:tr>
            <w:tr w14:paraId="3346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 w:type="pct"/>
                  <w:vAlign w:val="center"/>
                </w:tcPr>
                <w:p w14:paraId="6C3BDDD6">
                  <w:pPr>
                    <w:adjustRightInd/>
                    <w:snapToGrid/>
                    <w:spacing w:line="240" w:lineRule="auto"/>
                    <w:ind w:firstLine="0" w:firstLineChars="0"/>
                    <w:jc w:val="center"/>
                    <w:rPr>
                      <w:rFonts w:hint="default"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10</w:t>
                  </w:r>
                </w:p>
              </w:tc>
              <w:tc>
                <w:tcPr>
                  <w:tcW w:w="1558" w:type="pct"/>
                  <w:shd w:val="clear" w:color="auto" w:fill="auto"/>
                  <w:vAlign w:val="center"/>
                </w:tcPr>
                <w:p w14:paraId="1BEC7654">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肉鹅副产品（可食用肉鹅胗、肉鹅血等）</w:t>
                  </w:r>
                </w:p>
              </w:tc>
              <w:tc>
                <w:tcPr>
                  <w:tcW w:w="814" w:type="pct"/>
                  <w:shd w:val="clear" w:color="auto" w:fill="auto"/>
                  <w:vAlign w:val="center"/>
                </w:tcPr>
                <w:p w14:paraId="389C8432">
                  <w:pPr>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1608" w:type="pct"/>
                  <w:shd w:val="clear" w:color="auto" w:fill="auto"/>
                  <w:vAlign w:val="center"/>
                </w:tcPr>
                <w:p w14:paraId="70823132">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肉鹅副产品（可食用肉鹅胗、肉鹅血等）</w:t>
                  </w:r>
                </w:p>
              </w:tc>
              <w:tc>
                <w:tcPr>
                  <w:tcW w:w="691" w:type="pct"/>
                  <w:shd w:val="clear" w:color="auto" w:fill="auto"/>
                  <w:vAlign w:val="center"/>
                </w:tcPr>
                <w:p w14:paraId="496318BA">
                  <w:pPr>
                    <w:widowControl/>
                    <w:adjustRightIn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kern w:val="2"/>
                      <w:sz w:val="21"/>
                      <w:szCs w:val="21"/>
                      <w:u w:val="single" w:color="auto"/>
                      <w:vertAlign w:val="baseline"/>
                      <w:lang w:val="en-US" w:eastAsia="zh-CN" w:bidi="ar-SA"/>
                    </w:rPr>
                    <w:t>0.68</w:t>
                  </w:r>
                  <w:r>
                    <w:rPr>
                      <w:rFonts w:hint="eastAsia" w:cs="Times New Roman"/>
                      <w:bCs w:val="0"/>
                      <w:color w:val="auto"/>
                      <w:sz w:val="21"/>
                      <w:szCs w:val="21"/>
                      <w:u w:val="single" w:color="auto"/>
                      <w:lang w:val="en-US" w:eastAsia="zh-CN"/>
                    </w:rPr>
                    <w:t xml:space="preserve"> t/a</w:t>
                  </w:r>
                </w:p>
              </w:tc>
            </w:tr>
            <w:tr w14:paraId="2555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000" w:type="pct"/>
                  <w:gridSpan w:val="5"/>
                  <w:vAlign w:val="center"/>
                </w:tcPr>
                <w:p w14:paraId="1433C50F">
                  <w:pPr>
                    <w:widowControl w:val="0"/>
                    <w:adjustRightInd/>
                    <w:spacing w:line="360" w:lineRule="exact"/>
                    <w:ind w:firstLine="0" w:firstLineChars="0"/>
                    <w:jc w:val="left"/>
                    <w:textAlignment w:val="auto"/>
                    <w:rPr>
                      <w:rFonts w:hint="eastAsia"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spacing w:val="4"/>
                      <w:sz w:val="21"/>
                      <w:szCs w:val="21"/>
                      <w:u w:val="single" w:color="auto"/>
                      <w:lang w:val="en-US" w:eastAsia="zh-CN"/>
                    </w:rPr>
                    <w:t>注：产品采用的主要标准为《鲜（冻）畜肉卫生标准》（GB 2707-2005），《分割鲜、冻猪瘦肉》（GB 9559.2-2001），《分部位分制冻猪肉》（GB 9559.3-88），《生猪屠宰产品品质检验规程》(GB/T 17996-1999)，农业农村部《无公害猪肉标准和进口国进口食品标准》。</w:t>
                  </w:r>
                </w:p>
              </w:tc>
            </w:tr>
            <w:bookmarkEnd w:id="57"/>
          </w:tbl>
          <w:p w14:paraId="36B933A1">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2.2.3 </w:t>
            </w:r>
            <w:r>
              <w:rPr>
                <w:rFonts w:hint="default" w:ascii="Times New Roman" w:hAnsi="Times New Roman" w:eastAsia="黑体" w:cs="Times New Roman"/>
                <w:b/>
                <w:bCs/>
                <w:color w:val="auto"/>
                <w:u w:val="none" w:color="auto"/>
                <w:lang w:val="en-US" w:eastAsia="zh-CN"/>
              </w:rPr>
              <w:t>主要生产设备及设施</w:t>
            </w:r>
          </w:p>
          <w:p w14:paraId="768E983F">
            <w:pPr>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项目设备情况见下表。</w:t>
            </w:r>
          </w:p>
          <w:p w14:paraId="09D0E070">
            <w:pPr>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表2.2-</w:t>
            </w:r>
            <w:r>
              <w:rPr>
                <w:rFonts w:hint="eastAsia" w:cs="Times New Roman"/>
                <w:color w:val="auto"/>
                <w:highlight w:val="none"/>
                <w:u w:val="none" w:color="auto"/>
                <w:lang w:val="en-US" w:eastAsia="zh-CN"/>
              </w:rPr>
              <w:t>4</w:t>
            </w:r>
            <w:r>
              <w:rPr>
                <w:rFonts w:hint="default" w:ascii="Times New Roman" w:hAnsi="Times New Roman" w:cs="Times New Roman"/>
                <w:color w:val="auto"/>
                <w:highlight w:val="none"/>
                <w:u w:val="none" w:color="auto"/>
                <w:lang w:val="en-US" w:eastAsia="zh-CN"/>
              </w:rPr>
              <w:t xml:space="preserve"> 项目主要设备一览表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515"/>
              <w:gridCol w:w="1316"/>
              <w:gridCol w:w="753"/>
              <w:gridCol w:w="1427"/>
              <w:gridCol w:w="638"/>
              <w:gridCol w:w="2001"/>
            </w:tblGrid>
            <w:tr w14:paraId="6521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7" w:type="pct"/>
                  <w:vMerge w:val="restart"/>
                  <w:vAlign w:val="center"/>
                </w:tcPr>
                <w:p w14:paraId="51AFCA1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bookmarkStart w:id="58" w:name="OLE_LINK5"/>
                  <w:r>
                    <w:rPr>
                      <w:rFonts w:hint="default" w:ascii="Times New Roman" w:hAnsi="Times New Roman" w:cs="Times New Roman"/>
                      <w:color w:val="auto"/>
                      <w:sz w:val="21"/>
                      <w:szCs w:val="21"/>
                      <w:u w:val="single" w:color="auto"/>
                      <w:vertAlign w:val="baseline"/>
                      <w:lang w:val="en-US" w:eastAsia="zh-CN"/>
                    </w:rPr>
                    <w:t>序号</w:t>
                  </w:r>
                </w:p>
              </w:tc>
              <w:tc>
                <w:tcPr>
                  <w:tcW w:w="896" w:type="pct"/>
                  <w:vMerge w:val="restart"/>
                  <w:vAlign w:val="center"/>
                </w:tcPr>
                <w:p w14:paraId="44B2B53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设备名称</w:t>
                  </w:r>
                </w:p>
              </w:tc>
              <w:tc>
                <w:tcPr>
                  <w:tcW w:w="1223" w:type="pct"/>
                  <w:gridSpan w:val="2"/>
                  <w:vAlign w:val="center"/>
                </w:tcPr>
                <w:p w14:paraId="745325C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技改建前</w:t>
                  </w:r>
                </w:p>
              </w:tc>
              <w:tc>
                <w:tcPr>
                  <w:tcW w:w="1221" w:type="pct"/>
                  <w:gridSpan w:val="2"/>
                  <w:vAlign w:val="center"/>
                </w:tcPr>
                <w:p w14:paraId="4D60F472">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技改建后</w:t>
                  </w:r>
                </w:p>
              </w:tc>
              <w:tc>
                <w:tcPr>
                  <w:tcW w:w="1182" w:type="pct"/>
                  <w:vMerge w:val="restart"/>
                  <w:vAlign w:val="center"/>
                </w:tcPr>
                <w:p w14:paraId="3AB0550F">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备注</w:t>
                  </w:r>
                </w:p>
              </w:tc>
            </w:tr>
            <w:tr w14:paraId="2042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7" w:type="pct"/>
                  <w:vMerge w:val="continue"/>
                  <w:vAlign w:val="center"/>
                </w:tcPr>
                <w:p w14:paraId="1F046F2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u w:val="single" w:color="auto"/>
                    </w:rPr>
                  </w:pPr>
                </w:p>
              </w:tc>
              <w:tc>
                <w:tcPr>
                  <w:tcW w:w="896" w:type="pct"/>
                  <w:vMerge w:val="continue"/>
                  <w:vAlign w:val="center"/>
                </w:tcPr>
                <w:p w14:paraId="0B89B9E0">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u w:val="single" w:color="auto"/>
                    </w:rPr>
                  </w:pPr>
                </w:p>
              </w:tc>
              <w:tc>
                <w:tcPr>
                  <w:tcW w:w="778" w:type="pct"/>
                  <w:vAlign w:val="center"/>
                </w:tcPr>
                <w:p w14:paraId="79440F5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型号</w:t>
                  </w:r>
                </w:p>
              </w:tc>
              <w:tc>
                <w:tcPr>
                  <w:tcW w:w="445" w:type="pct"/>
                  <w:vAlign w:val="center"/>
                </w:tcPr>
                <w:p w14:paraId="45F1752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台数</w:t>
                  </w:r>
                </w:p>
              </w:tc>
              <w:tc>
                <w:tcPr>
                  <w:tcW w:w="844" w:type="pct"/>
                  <w:shd w:val="clear" w:color="auto" w:fill="auto"/>
                  <w:vAlign w:val="center"/>
                </w:tcPr>
                <w:p w14:paraId="141C86BE">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型号</w:t>
                  </w:r>
                </w:p>
              </w:tc>
              <w:tc>
                <w:tcPr>
                  <w:tcW w:w="376" w:type="pct"/>
                  <w:shd w:val="clear" w:color="auto" w:fill="auto"/>
                  <w:vAlign w:val="center"/>
                </w:tcPr>
                <w:p w14:paraId="493253A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台数</w:t>
                  </w:r>
                </w:p>
              </w:tc>
              <w:tc>
                <w:tcPr>
                  <w:tcW w:w="1182" w:type="pct"/>
                  <w:vMerge w:val="continue"/>
                  <w:vAlign w:val="center"/>
                </w:tcPr>
                <w:p w14:paraId="0A79BBF1">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u w:val="single" w:color="auto"/>
                      <w:vertAlign w:val="baseline"/>
                      <w:lang w:val="en-US" w:eastAsia="zh-CN"/>
                    </w:rPr>
                  </w:pPr>
                </w:p>
              </w:tc>
            </w:tr>
            <w:tr w14:paraId="3CD6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7" w:type="pct"/>
                  <w:vMerge w:val="restart"/>
                  <w:shd w:val="clear" w:color="auto" w:fill="auto"/>
                  <w:vAlign w:val="center"/>
                </w:tcPr>
                <w:p w14:paraId="3057115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w:t>
                  </w:r>
                </w:p>
              </w:tc>
              <w:tc>
                <w:tcPr>
                  <w:tcW w:w="896" w:type="pct"/>
                  <w:vMerge w:val="restart"/>
                  <w:shd w:val="clear" w:color="auto" w:fill="auto"/>
                  <w:vAlign w:val="center"/>
                </w:tcPr>
                <w:p w14:paraId="5276AAA6">
                  <w:pPr>
                    <w:pStyle w:val="11"/>
                    <w:adjustRightInd/>
                    <w:snapToGrid/>
                    <w:spacing w:line="240" w:lineRule="auto"/>
                    <w:ind w:firstLine="0" w:firstLineChars="0"/>
                    <w:jc w:val="center"/>
                    <w:rPr>
                      <w:rFonts w:hint="default" w:ascii="Times New Roman" w:hAnsi="Times New Roman" w:eastAsia="宋体" w:cs="Times New Roman"/>
                      <w:bCs w:val="0"/>
                      <w:color w:val="auto"/>
                      <w:spacing w:val="0"/>
                      <w:kern w:val="0"/>
                      <w:sz w:val="21"/>
                      <w:szCs w:val="21"/>
                      <w:u w:val="single" w:color="auto"/>
                      <w:lang w:val="en-US" w:eastAsia="zh-CN" w:bidi="ar-SA"/>
                    </w:rPr>
                  </w:pPr>
                  <w:r>
                    <w:rPr>
                      <w:rFonts w:hint="eastAsia"/>
                      <w:color w:val="000000"/>
                      <w:szCs w:val="24"/>
                      <w:u w:val="single" w:color="auto"/>
                    </w:rPr>
                    <w:t>畜类</w:t>
                  </w:r>
                  <w:r>
                    <w:rPr>
                      <w:rFonts w:hint="default" w:ascii="Times New Roman" w:hAnsi="Times New Roman" w:eastAsia="宋体" w:cs="Times New Roman"/>
                      <w:bCs w:val="0"/>
                      <w:color w:val="auto"/>
                      <w:spacing w:val="0"/>
                      <w:kern w:val="0"/>
                      <w:sz w:val="21"/>
                      <w:szCs w:val="21"/>
                      <w:u w:val="single" w:color="auto"/>
                      <w:lang w:val="en-US" w:eastAsia="zh-CN" w:bidi="ar-SA"/>
                    </w:rPr>
                    <w:t>脱毛机</w:t>
                  </w:r>
                </w:p>
              </w:tc>
              <w:tc>
                <w:tcPr>
                  <w:tcW w:w="778" w:type="pct"/>
                  <w:vMerge w:val="restart"/>
                  <w:vAlign w:val="center"/>
                </w:tcPr>
                <w:p w14:paraId="1D23BA3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b w:val="0"/>
                      <w:bCs w:val="0"/>
                      <w:color w:val="auto"/>
                      <w:sz w:val="21"/>
                      <w:szCs w:val="21"/>
                      <w:u w:val="single" w:color="auto"/>
                      <w:vertAlign w:val="baseline"/>
                      <w:lang w:val="en-US" w:eastAsia="zh-CN"/>
                    </w:rPr>
                  </w:pPr>
                  <w:r>
                    <w:rPr>
                      <w:rFonts w:hint="default" w:ascii="Times New Roman" w:hAnsi="Times New Roman" w:cs="Times New Roman" w:eastAsiaTheme="minorEastAsia"/>
                      <w:b w:val="0"/>
                      <w:bCs w:val="0"/>
                      <w:color w:val="auto"/>
                      <w:sz w:val="21"/>
                      <w:szCs w:val="21"/>
                      <w:u w:val="single" w:color="auto"/>
                      <w:vertAlign w:val="baseline"/>
                      <w:lang w:val="en-US" w:eastAsia="zh-CN"/>
                    </w:rPr>
                    <w:t>40</w:t>
                  </w:r>
                  <w:r>
                    <w:rPr>
                      <w:rFonts w:hint="default" w:ascii="Times New Roman" w:hAnsi="Times New Roman" w:cs="Times New Roman" w:eastAsiaTheme="minorEastAsia"/>
                      <w:b w:val="0"/>
                      <w:bCs w:val="0"/>
                      <w:color w:val="auto"/>
                      <w:sz w:val="21"/>
                      <w:szCs w:val="21"/>
                      <w:u w:val="single" w:color="auto"/>
                    </w:rPr>
                    <w:t>型刨毛机</w:t>
                  </w:r>
                </w:p>
              </w:tc>
              <w:tc>
                <w:tcPr>
                  <w:tcW w:w="445" w:type="pct"/>
                  <w:vMerge w:val="restart"/>
                  <w:vAlign w:val="center"/>
                </w:tcPr>
                <w:p w14:paraId="5664C6B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1</w:t>
                  </w:r>
                </w:p>
              </w:tc>
              <w:tc>
                <w:tcPr>
                  <w:tcW w:w="844" w:type="pct"/>
                  <w:vAlign w:val="center"/>
                </w:tcPr>
                <w:p w14:paraId="3196A0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eastAsiaTheme="minorEastAsia"/>
                      <w:b w:val="0"/>
                      <w:bCs w:val="0"/>
                      <w:color w:val="auto"/>
                      <w:sz w:val="21"/>
                      <w:szCs w:val="21"/>
                      <w:u w:val="single" w:color="auto"/>
                      <w:vertAlign w:val="baseline"/>
                      <w:lang w:val="en-US" w:eastAsia="zh-CN"/>
                    </w:rPr>
                    <w:t>100</w:t>
                  </w:r>
                  <w:r>
                    <w:rPr>
                      <w:rFonts w:hint="default" w:ascii="Times New Roman" w:hAnsi="Times New Roman" w:cs="Times New Roman" w:eastAsiaTheme="minorEastAsia"/>
                      <w:b w:val="0"/>
                      <w:bCs w:val="0"/>
                      <w:color w:val="auto"/>
                      <w:sz w:val="21"/>
                      <w:szCs w:val="21"/>
                      <w:u w:val="single" w:color="auto"/>
                    </w:rPr>
                    <w:t>型刨毛机</w:t>
                  </w:r>
                </w:p>
              </w:tc>
              <w:tc>
                <w:tcPr>
                  <w:tcW w:w="376" w:type="pct"/>
                  <w:vAlign w:val="center"/>
                </w:tcPr>
                <w:p w14:paraId="0E54670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w:t>
                  </w:r>
                </w:p>
              </w:tc>
              <w:tc>
                <w:tcPr>
                  <w:tcW w:w="1182" w:type="pct"/>
                  <w:vMerge w:val="restart"/>
                  <w:vAlign w:val="center"/>
                </w:tcPr>
                <w:p w14:paraId="3344495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设备改建</w:t>
                  </w:r>
                </w:p>
              </w:tc>
            </w:tr>
            <w:tr w14:paraId="50EB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7" w:type="pct"/>
                  <w:vMerge w:val="continue"/>
                  <w:shd w:val="clear" w:color="auto" w:fill="auto"/>
                  <w:vAlign w:val="center"/>
                </w:tcPr>
                <w:p w14:paraId="6F2F6BD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color w:val="auto"/>
                      <w:u w:val="single" w:color="auto"/>
                    </w:rPr>
                  </w:pPr>
                </w:p>
              </w:tc>
              <w:tc>
                <w:tcPr>
                  <w:tcW w:w="896" w:type="pct"/>
                  <w:vMerge w:val="continue"/>
                  <w:shd w:val="clear" w:color="auto" w:fill="auto"/>
                  <w:vAlign w:val="center"/>
                </w:tcPr>
                <w:p w14:paraId="0F9B363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color w:val="auto"/>
                      <w:u w:val="single" w:color="auto"/>
                    </w:rPr>
                  </w:pPr>
                </w:p>
              </w:tc>
              <w:tc>
                <w:tcPr>
                  <w:tcW w:w="778" w:type="pct"/>
                  <w:vMerge w:val="continue"/>
                  <w:vAlign w:val="center"/>
                </w:tcPr>
                <w:p w14:paraId="4DBB0CE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cs="Times New Roman"/>
                      <w:color w:val="auto"/>
                      <w:u w:val="single" w:color="auto"/>
                    </w:rPr>
                  </w:pPr>
                </w:p>
              </w:tc>
              <w:tc>
                <w:tcPr>
                  <w:tcW w:w="445" w:type="pct"/>
                  <w:vMerge w:val="continue"/>
                  <w:vAlign w:val="center"/>
                </w:tcPr>
                <w:p w14:paraId="6D46B7A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cs="Times New Roman"/>
                      <w:color w:val="auto"/>
                      <w:u w:val="single" w:color="auto"/>
                    </w:rPr>
                  </w:pPr>
                </w:p>
              </w:tc>
              <w:tc>
                <w:tcPr>
                  <w:tcW w:w="844" w:type="pct"/>
                  <w:vAlign w:val="center"/>
                </w:tcPr>
                <w:p w14:paraId="59714B9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eastAsiaTheme="minorEastAsia"/>
                      <w:b w:val="0"/>
                      <w:bCs w:val="0"/>
                      <w:color w:val="auto"/>
                      <w:sz w:val="21"/>
                      <w:szCs w:val="21"/>
                      <w:u w:val="single" w:color="auto"/>
                      <w:vertAlign w:val="baseline"/>
                      <w:lang w:val="en-US" w:eastAsia="zh-CN"/>
                    </w:rPr>
                    <w:t>300</w:t>
                  </w:r>
                  <w:r>
                    <w:rPr>
                      <w:rFonts w:hint="default" w:ascii="Times New Roman" w:hAnsi="Times New Roman" w:cs="Times New Roman" w:eastAsiaTheme="minorEastAsia"/>
                      <w:b w:val="0"/>
                      <w:bCs w:val="0"/>
                      <w:color w:val="auto"/>
                      <w:sz w:val="21"/>
                      <w:szCs w:val="21"/>
                      <w:u w:val="single" w:color="auto"/>
                    </w:rPr>
                    <w:t>型刨毛机</w:t>
                  </w:r>
                </w:p>
              </w:tc>
              <w:tc>
                <w:tcPr>
                  <w:tcW w:w="376" w:type="pct"/>
                  <w:vAlign w:val="center"/>
                </w:tcPr>
                <w:p w14:paraId="023088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w:t>
                  </w:r>
                </w:p>
              </w:tc>
              <w:tc>
                <w:tcPr>
                  <w:tcW w:w="1182" w:type="pct"/>
                  <w:vMerge w:val="continue"/>
                  <w:vAlign w:val="center"/>
                </w:tcPr>
                <w:p w14:paraId="76BF1A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p>
              </w:tc>
            </w:tr>
            <w:bookmarkEnd w:id="58"/>
            <w:tr w14:paraId="226F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14:paraId="65D7467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2</w:t>
                  </w:r>
                </w:p>
              </w:tc>
              <w:tc>
                <w:tcPr>
                  <w:tcW w:w="896" w:type="pct"/>
                  <w:shd w:val="clear" w:color="auto" w:fill="auto"/>
                  <w:vAlign w:val="center"/>
                </w:tcPr>
                <w:p w14:paraId="2B01A84D">
                  <w:pPr>
                    <w:pStyle w:val="11"/>
                    <w:adjustRightInd/>
                    <w:snapToGrid/>
                    <w:spacing w:line="240" w:lineRule="auto"/>
                    <w:ind w:firstLine="0" w:firstLineChars="0"/>
                    <w:jc w:val="center"/>
                    <w:rPr>
                      <w:rFonts w:hint="default" w:ascii="Times New Roman" w:hAnsi="Times New Roman" w:eastAsia="宋体" w:cs="Times New Roman"/>
                      <w:bCs w:val="0"/>
                      <w:color w:val="auto"/>
                      <w:spacing w:val="0"/>
                      <w:kern w:val="0"/>
                      <w:sz w:val="21"/>
                      <w:szCs w:val="21"/>
                      <w:u w:val="single" w:color="auto"/>
                      <w:lang w:val="en-US" w:eastAsia="zh-CN" w:bidi="ar-SA"/>
                    </w:rPr>
                  </w:pPr>
                  <w:r>
                    <w:rPr>
                      <w:rFonts w:hint="default" w:ascii="Times New Roman" w:hAnsi="Times New Roman" w:eastAsia="宋体" w:cs="Times New Roman"/>
                      <w:bCs w:val="0"/>
                      <w:color w:val="auto"/>
                      <w:spacing w:val="0"/>
                      <w:kern w:val="0"/>
                      <w:sz w:val="21"/>
                      <w:szCs w:val="21"/>
                      <w:u w:val="single" w:color="auto"/>
                      <w:lang w:val="en-US" w:eastAsia="zh-CN" w:bidi="ar-SA"/>
                    </w:rPr>
                    <w:t>高压清洗器</w:t>
                  </w:r>
                </w:p>
              </w:tc>
              <w:tc>
                <w:tcPr>
                  <w:tcW w:w="778" w:type="pct"/>
                  <w:shd w:val="clear" w:color="auto" w:fill="auto"/>
                  <w:vAlign w:val="center"/>
                </w:tcPr>
                <w:p w14:paraId="076B2D2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20 L/min</w:t>
                  </w:r>
                </w:p>
              </w:tc>
              <w:tc>
                <w:tcPr>
                  <w:tcW w:w="445" w:type="pct"/>
                  <w:shd w:val="clear" w:color="auto" w:fill="auto"/>
                  <w:vAlign w:val="center"/>
                </w:tcPr>
                <w:p w14:paraId="5E3FC6F3">
                  <w:pPr>
                    <w:spacing w:line="360" w:lineRule="exact"/>
                    <w:ind w:firstLine="0" w:firstLineChars="0"/>
                    <w:jc w:val="center"/>
                    <w:rPr>
                      <w:rFonts w:hint="default" w:ascii="Times New Roman" w:hAnsi="Times New Roman" w:eastAsia="宋体" w:cs="Times New Roman"/>
                      <w:bCs w:val="0"/>
                      <w:color w:val="auto"/>
                      <w:spacing w:val="0"/>
                      <w:kern w:val="2"/>
                      <w:sz w:val="21"/>
                      <w:szCs w:val="21"/>
                      <w:u w:val="single" w:color="auto"/>
                      <w:lang w:val="en-US" w:eastAsia="zh-CN" w:bidi="ar-SA"/>
                    </w:rPr>
                  </w:pPr>
                  <w:r>
                    <w:rPr>
                      <w:rFonts w:hint="default" w:ascii="Times New Roman" w:hAnsi="Times New Roman" w:eastAsia="宋体" w:cs="Times New Roman"/>
                      <w:bCs w:val="0"/>
                      <w:color w:val="auto"/>
                      <w:spacing w:val="0"/>
                      <w:kern w:val="2"/>
                      <w:sz w:val="21"/>
                      <w:szCs w:val="21"/>
                      <w:u w:val="single" w:color="auto"/>
                      <w:lang w:val="en-US" w:eastAsia="zh-CN" w:bidi="ar-SA"/>
                    </w:rPr>
                    <w:t>2</w:t>
                  </w:r>
                </w:p>
              </w:tc>
              <w:tc>
                <w:tcPr>
                  <w:tcW w:w="844" w:type="pct"/>
                  <w:shd w:val="clear" w:color="auto" w:fill="auto"/>
                  <w:vAlign w:val="center"/>
                </w:tcPr>
                <w:p w14:paraId="5964BF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20 L/min</w:t>
                  </w:r>
                </w:p>
              </w:tc>
              <w:tc>
                <w:tcPr>
                  <w:tcW w:w="376" w:type="pct"/>
                  <w:vAlign w:val="center"/>
                </w:tcPr>
                <w:p w14:paraId="7F82D66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2</w:t>
                  </w:r>
                </w:p>
              </w:tc>
              <w:tc>
                <w:tcPr>
                  <w:tcW w:w="1182" w:type="pct"/>
                  <w:vAlign w:val="center"/>
                </w:tcPr>
                <w:p w14:paraId="702B5FD9">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46AD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14:paraId="32D750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3</w:t>
                  </w:r>
                </w:p>
              </w:tc>
              <w:tc>
                <w:tcPr>
                  <w:tcW w:w="896" w:type="pct"/>
                  <w:shd w:val="clear" w:color="auto" w:fill="auto"/>
                  <w:vAlign w:val="center"/>
                </w:tcPr>
                <w:p w14:paraId="5B7D1113">
                  <w:pPr>
                    <w:pStyle w:val="11"/>
                    <w:adjustRightInd/>
                    <w:snapToGrid/>
                    <w:spacing w:line="240" w:lineRule="auto"/>
                    <w:ind w:firstLine="0" w:firstLineChars="0"/>
                    <w:jc w:val="center"/>
                    <w:rPr>
                      <w:rFonts w:hint="default" w:ascii="Times New Roman" w:hAnsi="Times New Roman" w:eastAsia="宋体" w:cs="Times New Roman"/>
                      <w:bCs w:val="0"/>
                      <w:color w:val="auto"/>
                      <w:spacing w:val="0"/>
                      <w:kern w:val="0"/>
                      <w:sz w:val="21"/>
                      <w:szCs w:val="21"/>
                      <w:u w:val="single" w:color="auto"/>
                      <w:lang w:val="en-US" w:eastAsia="zh-CN" w:bidi="ar-SA"/>
                    </w:rPr>
                  </w:pPr>
                  <w:r>
                    <w:rPr>
                      <w:rFonts w:hint="default" w:ascii="Times New Roman" w:hAnsi="Times New Roman" w:eastAsia="宋体" w:cs="Times New Roman"/>
                      <w:bCs w:val="0"/>
                      <w:color w:val="auto"/>
                      <w:spacing w:val="0"/>
                      <w:kern w:val="0"/>
                      <w:sz w:val="21"/>
                      <w:szCs w:val="21"/>
                      <w:u w:val="single" w:color="auto"/>
                      <w:lang w:val="en-US" w:eastAsia="zh-CN" w:bidi="ar-SA"/>
                    </w:rPr>
                    <w:t>喷雾器</w:t>
                  </w:r>
                </w:p>
              </w:tc>
              <w:tc>
                <w:tcPr>
                  <w:tcW w:w="778" w:type="pct"/>
                  <w:vAlign w:val="center"/>
                </w:tcPr>
                <w:p w14:paraId="4AE20C8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 L/min</w:t>
                  </w:r>
                </w:p>
              </w:tc>
              <w:tc>
                <w:tcPr>
                  <w:tcW w:w="445" w:type="pct"/>
                  <w:shd w:val="clear" w:color="auto" w:fill="auto"/>
                  <w:vAlign w:val="center"/>
                </w:tcPr>
                <w:p w14:paraId="4D802055">
                  <w:pPr>
                    <w:spacing w:line="360" w:lineRule="exact"/>
                    <w:ind w:firstLine="0" w:firstLineChars="0"/>
                    <w:jc w:val="center"/>
                    <w:rPr>
                      <w:rFonts w:hint="default" w:ascii="Times New Roman" w:hAnsi="Times New Roman" w:eastAsia="宋体" w:cs="Times New Roman"/>
                      <w:bCs w:val="0"/>
                      <w:color w:val="auto"/>
                      <w:spacing w:val="0"/>
                      <w:kern w:val="2"/>
                      <w:sz w:val="21"/>
                      <w:szCs w:val="21"/>
                      <w:u w:val="single" w:color="auto"/>
                      <w:lang w:val="en-US" w:eastAsia="zh-CN" w:bidi="ar-SA"/>
                    </w:rPr>
                  </w:pPr>
                  <w:r>
                    <w:rPr>
                      <w:rFonts w:hint="eastAsia" w:ascii="Times New Roman" w:hAnsi="Times New Roman" w:eastAsia="宋体" w:cs="Times New Roman"/>
                      <w:bCs w:val="0"/>
                      <w:color w:val="auto"/>
                      <w:spacing w:val="0"/>
                      <w:kern w:val="2"/>
                      <w:sz w:val="21"/>
                      <w:szCs w:val="21"/>
                      <w:u w:val="single" w:color="auto"/>
                      <w:lang w:val="en-US" w:eastAsia="zh-CN" w:bidi="ar-SA"/>
                    </w:rPr>
                    <w:t>4</w:t>
                  </w:r>
                </w:p>
              </w:tc>
              <w:tc>
                <w:tcPr>
                  <w:tcW w:w="844" w:type="pct"/>
                  <w:shd w:val="clear" w:color="auto" w:fill="auto"/>
                  <w:vAlign w:val="center"/>
                </w:tcPr>
                <w:p w14:paraId="1A8EAD5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 L/min</w:t>
                  </w:r>
                </w:p>
              </w:tc>
              <w:tc>
                <w:tcPr>
                  <w:tcW w:w="376" w:type="pct"/>
                  <w:vAlign w:val="center"/>
                </w:tcPr>
                <w:p w14:paraId="4AC46D9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4</w:t>
                  </w:r>
                </w:p>
              </w:tc>
              <w:tc>
                <w:tcPr>
                  <w:tcW w:w="1182" w:type="pct"/>
                  <w:vAlign w:val="center"/>
                </w:tcPr>
                <w:p w14:paraId="1F77EE70">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548F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14:paraId="73A7F39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4</w:t>
                  </w:r>
                </w:p>
              </w:tc>
              <w:tc>
                <w:tcPr>
                  <w:tcW w:w="896" w:type="pct"/>
                  <w:shd w:val="clear" w:color="auto" w:fill="auto"/>
                  <w:vAlign w:val="center"/>
                </w:tcPr>
                <w:p w14:paraId="6EA22B3A">
                  <w:pPr>
                    <w:pStyle w:val="11"/>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燃煤</w:t>
                  </w:r>
                  <w:r>
                    <w:rPr>
                      <w:rFonts w:hint="default" w:ascii="Times New Roman" w:hAnsi="Times New Roman" w:eastAsia="宋体" w:cs="Times New Roman"/>
                      <w:color w:val="auto"/>
                      <w:spacing w:val="0"/>
                      <w:sz w:val="21"/>
                      <w:szCs w:val="21"/>
                      <w:u w:val="single" w:color="auto"/>
                      <w:lang w:val="en-US" w:eastAsia="zh-CN"/>
                    </w:rPr>
                    <w:t>锅炉</w:t>
                  </w:r>
                </w:p>
              </w:tc>
              <w:tc>
                <w:tcPr>
                  <w:tcW w:w="778" w:type="pct"/>
                  <w:vAlign w:val="center"/>
                </w:tcPr>
                <w:p w14:paraId="3AAA87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0.25 t/h</w:t>
                  </w:r>
                </w:p>
              </w:tc>
              <w:tc>
                <w:tcPr>
                  <w:tcW w:w="445" w:type="pct"/>
                  <w:shd w:val="clear" w:color="auto" w:fill="auto"/>
                  <w:vAlign w:val="center"/>
                </w:tcPr>
                <w:p w14:paraId="27D4F555">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kern w:val="2"/>
                      <w:sz w:val="21"/>
                      <w:szCs w:val="21"/>
                      <w:u w:val="single" w:color="auto"/>
                      <w:lang w:val="en-US" w:eastAsia="zh-CN" w:bidi="ar-SA"/>
                    </w:rPr>
                    <w:t>1</w:t>
                  </w:r>
                </w:p>
              </w:tc>
              <w:tc>
                <w:tcPr>
                  <w:tcW w:w="844" w:type="pct"/>
                  <w:vAlign w:val="center"/>
                </w:tcPr>
                <w:p w14:paraId="1E7AD8F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w:t>
                  </w:r>
                </w:p>
              </w:tc>
              <w:tc>
                <w:tcPr>
                  <w:tcW w:w="376" w:type="pct"/>
                  <w:vAlign w:val="center"/>
                </w:tcPr>
                <w:p w14:paraId="498C3AA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0</w:t>
                  </w:r>
                </w:p>
              </w:tc>
              <w:tc>
                <w:tcPr>
                  <w:tcW w:w="1182" w:type="pct"/>
                  <w:vMerge w:val="restart"/>
                  <w:vAlign w:val="center"/>
                </w:tcPr>
                <w:p w14:paraId="3B182EFC">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燃煤锅炉改造为电锅炉</w:t>
                  </w:r>
                </w:p>
              </w:tc>
            </w:tr>
            <w:tr w14:paraId="6776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shd w:val="clear" w:color="auto" w:fill="auto"/>
                  <w:vAlign w:val="center"/>
                </w:tcPr>
                <w:p w14:paraId="745F9FA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5</w:t>
                  </w:r>
                </w:p>
              </w:tc>
              <w:tc>
                <w:tcPr>
                  <w:tcW w:w="896" w:type="pct"/>
                  <w:shd w:val="clear" w:color="auto" w:fill="auto"/>
                  <w:vAlign w:val="center"/>
                </w:tcPr>
                <w:p w14:paraId="140DDF2F">
                  <w:pPr>
                    <w:pStyle w:val="11"/>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电锅炉</w:t>
                  </w:r>
                </w:p>
              </w:tc>
              <w:tc>
                <w:tcPr>
                  <w:tcW w:w="778" w:type="pct"/>
                  <w:vAlign w:val="center"/>
                </w:tcPr>
                <w:p w14:paraId="44FECA3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6E19474F">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kern w:val="2"/>
                      <w:sz w:val="21"/>
                      <w:szCs w:val="21"/>
                      <w:u w:val="single" w:color="auto"/>
                      <w:lang w:val="en-US" w:eastAsia="zh-CN" w:bidi="ar-SA"/>
                    </w:rPr>
                    <w:t>0</w:t>
                  </w:r>
                </w:p>
              </w:tc>
              <w:tc>
                <w:tcPr>
                  <w:tcW w:w="844" w:type="pct"/>
                  <w:vAlign w:val="center"/>
                </w:tcPr>
                <w:p w14:paraId="4ED6F9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144 kwh耗电量，蒸汽产生量0.2 t/h</w:t>
                  </w:r>
                </w:p>
              </w:tc>
              <w:tc>
                <w:tcPr>
                  <w:tcW w:w="376" w:type="pct"/>
                  <w:vAlign w:val="center"/>
                </w:tcPr>
                <w:p w14:paraId="1749D52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w:t>
                  </w:r>
                </w:p>
              </w:tc>
              <w:tc>
                <w:tcPr>
                  <w:tcW w:w="1182" w:type="pct"/>
                  <w:vMerge w:val="continue"/>
                  <w:vAlign w:val="center"/>
                </w:tcPr>
                <w:p w14:paraId="6F765F99">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p>
              </w:tc>
            </w:tr>
            <w:tr w14:paraId="5F28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shd w:val="clear" w:color="auto" w:fill="auto"/>
                  <w:vAlign w:val="center"/>
                </w:tcPr>
                <w:p w14:paraId="4FBDB65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6</w:t>
                  </w:r>
                </w:p>
              </w:tc>
              <w:tc>
                <w:tcPr>
                  <w:tcW w:w="896" w:type="pct"/>
                  <w:shd w:val="clear" w:color="auto" w:fill="auto"/>
                  <w:vAlign w:val="center"/>
                </w:tcPr>
                <w:p w14:paraId="28D2820E">
                  <w:pPr>
                    <w:pStyle w:val="11"/>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1"/>
                      <w:u w:val="single" w:color="auto"/>
                      <w:lang w:val="en-US" w:eastAsia="zh-CN" w:bidi="ar-SA"/>
                    </w:rPr>
                  </w:pPr>
                  <w:r>
                    <w:rPr>
                      <w:rFonts w:hint="default" w:ascii="Times New Roman" w:hAnsi="Times New Roman" w:eastAsia="宋体" w:cs="Times New Roman"/>
                      <w:color w:val="auto"/>
                      <w:spacing w:val="0"/>
                      <w:sz w:val="21"/>
                      <w:szCs w:val="21"/>
                      <w:u w:val="single" w:color="auto"/>
                      <w:lang w:val="en-US" w:eastAsia="zh-CN"/>
                    </w:rPr>
                    <w:t>刺杀钩</w:t>
                  </w:r>
                </w:p>
              </w:tc>
              <w:tc>
                <w:tcPr>
                  <w:tcW w:w="778" w:type="pct"/>
                  <w:vAlign w:val="center"/>
                </w:tcPr>
                <w:p w14:paraId="1A2CEF8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1397CA52">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50</w:t>
                  </w:r>
                </w:p>
              </w:tc>
              <w:tc>
                <w:tcPr>
                  <w:tcW w:w="844" w:type="pct"/>
                  <w:vAlign w:val="center"/>
                </w:tcPr>
                <w:p w14:paraId="427DBDF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w:t>
                  </w:r>
                </w:p>
              </w:tc>
              <w:tc>
                <w:tcPr>
                  <w:tcW w:w="376" w:type="pct"/>
                  <w:shd w:val="clear" w:color="auto" w:fill="auto"/>
                  <w:vAlign w:val="center"/>
                </w:tcPr>
                <w:p w14:paraId="48A2BC4E">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50</w:t>
                  </w:r>
                </w:p>
              </w:tc>
              <w:tc>
                <w:tcPr>
                  <w:tcW w:w="1182" w:type="pct"/>
                  <w:vAlign w:val="center"/>
                </w:tcPr>
                <w:p w14:paraId="743FD3BA">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0A22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shd w:val="clear" w:color="auto" w:fill="auto"/>
                  <w:vAlign w:val="center"/>
                </w:tcPr>
                <w:p w14:paraId="61E17C5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7</w:t>
                  </w:r>
                </w:p>
              </w:tc>
              <w:tc>
                <w:tcPr>
                  <w:tcW w:w="896" w:type="pct"/>
                  <w:shd w:val="clear" w:color="auto" w:fill="auto"/>
                  <w:vAlign w:val="center"/>
                </w:tcPr>
                <w:p w14:paraId="7800DCE7">
                  <w:pPr>
                    <w:pStyle w:val="11"/>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1"/>
                      <w:u w:val="single" w:color="auto"/>
                      <w:lang w:val="en-US" w:eastAsia="zh-CN" w:bidi="ar-SA"/>
                    </w:rPr>
                  </w:pPr>
                  <w:r>
                    <w:rPr>
                      <w:rFonts w:hint="default" w:ascii="Times New Roman" w:hAnsi="Times New Roman" w:eastAsia="宋体" w:cs="Times New Roman"/>
                      <w:color w:val="auto"/>
                      <w:spacing w:val="0"/>
                      <w:sz w:val="21"/>
                      <w:szCs w:val="21"/>
                      <w:u w:val="single" w:color="auto"/>
                      <w:lang w:val="en-US" w:eastAsia="zh-CN"/>
                    </w:rPr>
                    <w:t>活挂放血线</w:t>
                  </w:r>
                </w:p>
              </w:tc>
              <w:tc>
                <w:tcPr>
                  <w:tcW w:w="778" w:type="pct"/>
                  <w:vAlign w:val="center"/>
                </w:tcPr>
                <w:p w14:paraId="2F0D841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724C0501">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z w:val="21"/>
                      <w:szCs w:val="21"/>
                      <w:u w:val="single" w:color="auto"/>
                      <w:lang w:val="en-US" w:eastAsia="zh-CN"/>
                    </w:rPr>
                    <w:t>2</w:t>
                  </w:r>
                </w:p>
              </w:tc>
              <w:tc>
                <w:tcPr>
                  <w:tcW w:w="844" w:type="pct"/>
                  <w:vAlign w:val="center"/>
                </w:tcPr>
                <w:p w14:paraId="052A002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w:t>
                  </w:r>
                </w:p>
              </w:tc>
              <w:tc>
                <w:tcPr>
                  <w:tcW w:w="376" w:type="pct"/>
                  <w:shd w:val="clear" w:color="auto" w:fill="auto"/>
                  <w:vAlign w:val="center"/>
                </w:tcPr>
                <w:p w14:paraId="6D74224C">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z w:val="21"/>
                      <w:szCs w:val="21"/>
                      <w:u w:val="single" w:color="auto"/>
                      <w:lang w:val="en-US" w:eastAsia="zh-CN"/>
                    </w:rPr>
                    <w:t>2</w:t>
                  </w:r>
                </w:p>
              </w:tc>
              <w:tc>
                <w:tcPr>
                  <w:tcW w:w="1182" w:type="pct"/>
                  <w:vAlign w:val="center"/>
                </w:tcPr>
                <w:p w14:paraId="15FA7B4A">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33B9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shd w:val="clear" w:color="auto" w:fill="auto"/>
                  <w:vAlign w:val="center"/>
                </w:tcPr>
                <w:p w14:paraId="556CC27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8</w:t>
                  </w:r>
                </w:p>
              </w:tc>
              <w:tc>
                <w:tcPr>
                  <w:tcW w:w="896" w:type="pct"/>
                  <w:shd w:val="clear" w:color="auto" w:fill="auto"/>
                  <w:vAlign w:val="center"/>
                </w:tcPr>
                <w:p w14:paraId="4DEADBD0">
                  <w:pPr>
                    <w:pStyle w:val="11"/>
                    <w:adjustRightInd/>
                    <w:snapToGrid/>
                    <w:spacing w:line="240" w:lineRule="auto"/>
                    <w:ind w:firstLine="0" w:firstLineChars="0"/>
                    <w:jc w:val="center"/>
                    <w:rPr>
                      <w:rFonts w:hint="default" w:ascii="Times New Roman" w:hAnsi="Times New Roman" w:eastAsia="宋体" w:cs="Times New Roman"/>
                      <w:color w:val="auto"/>
                      <w:spacing w:val="0"/>
                      <w:kern w:val="0"/>
                      <w:sz w:val="21"/>
                      <w:szCs w:val="21"/>
                      <w:u w:val="single" w:color="auto"/>
                      <w:lang w:val="en-US" w:eastAsia="zh-CN" w:bidi="ar-SA"/>
                    </w:rPr>
                  </w:pPr>
                  <w:r>
                    <w:rPr>
                      <w:rFonts w:hint="default" w:ascii="Times New Roman" w:hAnsi="Times New Roman" w:eastAsia="宋体" w:cs="Times New Roman"/>
                      <w:color w:val="auto"/>
                      <w:spacing w:val="0"/>
                      <w:sz w:val="21"/>
                      <w:szCs w:val="21"/>
                      <w:u w:val="single" w:color="auto"/>
                      <w:lang w:val="en-US" w:eastAsia="zh-CN"/>
                    </w:rPr>
                    <w:t>密闭收集箱</w:t>
                  </w:r>
                </w:p>
              </w:tc>
              <w:tc>
                <w:tcPr>
                  <w:tcW w:w="778" w:type="pct"/>
                  <w:vAlign w:val="center"/>
                </w:tcPr>
                <w:p w14:paraId="0C64BB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5811FAD2">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kern w:val="2"/>
                      <w:sz w:val="21"/>
                      <w:szCs w:val="21"/>
                      <w:u w:val="single" w:color="auto"/>
                      <w:lang w:val="en-US" w:eastAsia="zh-CN" w:bidi="ar-SA"/>
                    </w:rPr>
                    <w:t>1</w:t>
                  </w:r>
                </w:p>
              </w:tc>
              <w:tc>
                <w:tcPr>
                  <w:tcW w:w="844" w:type="pct"/>
                  <w:vAlign w:val="center"/>
                </w:tcPr>
                <w:p w14:paraId="6D47D06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w:t>
                  </w:r>
                </w:p>
              </w:tc>
              <w:tc>
                <w:tcPr>
                  <w:tcW w:w="376" w:type="pct"/>
                  <w:vAlign w:val="center"/>
                </w:tcPr>
                <w:p w14:paraId="7A7DB1A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w:t>
                  </w:r>
                </w:p>
              </w:tc>
              <w:tc>
                <w:tcPr>
                  <w:tcW w:w="1182" w:type="pct"/>
                  <w:vAlign w:val="center"/>
                </w:tcPr>
                <w:p w14:paraId="69892CAE">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656D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vMerge w:val="restart"/>
                  <w:shd w:val="clear" w:color="auto" w:fill="auto"/>
                  <w:vAlign w:val="center"/>
                </w:tcPr>
                <w:p w14:paraId="34CEC65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9</w:t>
                  </w:r>
                </w:p>
              </w:tc>
              <w:tc>
                <w:tcPr>
                  <w:tcW w:w="896" w:type="pct"/>
                  <w:shd w:val="clear" w:color="auto" w:fill="auto"/>
                  <w:vAlign w:val="center"/>
                </w:tcPr>
                <w:p w14:paraId="312A8971">
                  <w:pPr>
                    <w:pStyle w:val="11"/>
                    <w:adjustRightInd/>
                    <w:snapToGrid/>
                    <w:spacing w:line="240" w:lineRule="auto"/>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烫毛池</w:t>
                  </w:r>
                </w:p>
              </w:tc>
              <w:tc>
                <w:tcPr>
                  <w:tcW w:w="778" w:type="pct"/>
                  <w:vAlign w:val="center"/>
                </w:tcPr>
                <w:p w14:paraId="6033005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10*1.9*0.8</w:t>
                  </w:r>
                </w:p>
              </w:tc>
              <w:tc>
                <w:tcPr>
                  <w:tcW w:w="445" w:type="pct"/>
                  <w:shd w:val="clear" w:color="auto" w:fill="auto"/>
                  <w:vAlign w:val="center"/>
                </w:tcPr>
                <w:p w14:paraId="0A198500">
                  <w:pPr>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1</w:t>
                  </w:r>
                </w:p>
              </w:tc>
              <w:tc>
                <w:tcPr>
                  <w:tcW w:w="844" w:type="pct"/>
                  <w:shd w:val="clear" w:color="auto" w:fill="auto"/>
                  <w:vAlign w:val="center"/>
                </w:tcPr>
                <w:p w14:paraId="7D282D1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10*1.9*0.8</w:t>
                  </w:r>
                </w:p>
              </w:tc>
              <w:tc>
                <w:tcPr>
                  <w:tcW w:w="376" w:type="pct"/>
                  <w:vAlign w:val="center"/>
                </w:tcPr>
                <w:p w14:paraId="3DA4E01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w:t>
                  </w:r>
                </w:p>
              </w:tc>
              <w:tc>
                <w:tcPr>
                  <w:tcW w:w="1182" w:type="pct"/>
                  <w:vAlign w:val="center"/>
                </w:tcPr>
                <w:p w14:paraId="28944BF7">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4BCE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vMerge w:val="continue"/>
                  <w:shd w:val="clear" w:color="auto" w:fill="auto"/>
                  <w:vAlign w:val="center"/>
                </w:tcPr>
                <w:p w14:paraId="3F6F3F3A">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u w:val="single" w:color="auto"/>
                      <w:vertAlign w:val="baseline"/>
                      <w:lang w:val="en-US" w:eastAsia="zh-CN" w:bidi="ar-SA"/>
                    </w:rPr>
                  </w:pPr>
                </w:p>
              </w:tc>
              <w:tc>
                <w:tcPr>
                  <w:tcW w:w="896" w:type="pct"/>
                  <w:shd w:val="clear" w:color="auto" w:fill="auto"/>
                  <w:vAlign w:val="center"/>
                </w:tcPr>
                <w:p w14:paraId="58DAC616">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备用烫毛池</w:t>
                  </w:r>
                </w:p>
              </w:tc>
              <w:tc>
                <w:tcPr>
                  <w:tcW w:w="778" w:type="pct"/>
                  <w:shd w:val="clear" w:color="auto" w:fill="auto"/>
                  <w:vAlign w:val="center"/>
                </w:tcPr>
                <w:p w14:paraId="75B0B3D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7*2*0.8</w:t>
                  </w:r>
                </w:p>
              </w:tc>
              <w:tc>
                <w:tcPr>
                  <w:tcW w:w="445" w:type="pct"/>
                  <w:shd w:val="clear" w:color="auto" w:fill="auto"/>
                  <w:vAlign w:val="center"/>
                </w:tcPr>
                <w:p w14:paraId="71F3DE19">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w:t>
                  </w:r>
                </w:p>
              </w:tc>
              <w:tc>
                <w:tcPr>
                  <w:tcW w:w="844" w:type="pct"/>
                  <w:shd w:val="clear" w:color="auto" w:fill="auto"/>
                  <w:vAlign w:val="center"/>
                </w:tcPr>
                <w:p w14:paraId="2930F0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7*2*0.8</w:t>
                  </w:r>
                </w:p>
              </w:tc>
              <w:tc>
                <w:tcPr>
                  <w:tcW w:w="376" w:type="pct"/>
                  <w:vAlign w:val="center"/>
                </w:tcPr>
                <w:p w14:paraId="4585681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w:t>
                  </w:r>
                </w:p>
              </w:tc>
              <w:tc>
                <w:tcPr>
                  <w:tcW w:w="1182" w:type="pct"/>
                  <w:vAlign w:val="center"/>
                </w:tcPr>
                <w:p w14:paraId="5FFFA14C">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5A0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shd w:val="clear" w:color="auto" w:fill="auto"/>
                  <w:vAlign w:val="center"/>
                </w:tcPr>
                <w:p w14:paraId="52DB55A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10</w:t>
                  </w:r>
                </w:p>
              </w:tc>
              <w:tc>
                <w:tcPr>
                  <w:tcW w:w="896" w:type="pct"/>
                  <w:shd w:val="clear" w:color="auto" w:fill="auto"/>
                  <w:vAlign w:val="center"/>
                </w:tcPr>
                <w:p w14:paraId="7E559899">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olor w:val="auto"/>
                      <w:szCs w:val="24"/>
                      <w:u w:val="single" w:color="auto"/>
                      <w:lang w:val="en-US" w:eastAsia="zh-CN"/>
                    </w:rPr>
                    <w:t>禽</w:t>
                  </w:r>
                  <w:r>
                    <w:rPr>
                      <w:rFonts w:hint="eastAsia"/>
                      <w:color w:val="auto"/>
                      <w:szCs w:val="24"/>
                      <w:u w:val="single" w:color="auto"/>
                    </w:rPr>
                    <w:t>类</w:t>
                  </w:r>
                  <w:r>
                    <w:rPr>
                      <w:rFonts w:hint="default" w:ascii="Times New Roman" w:hAnsi="Times New Roman" w:eastAsia="宋体" w:cs="Times New Roman"/>
                      <w:bCs w:val="0"/>
                      <w:color w:val="auto"/>
                      <w:spacing w:val="0"/>
                      <w:kern w:val="0"/>
                      <w:sz w:val="21"/>
                      <w:szCs w:val="21"/>
                      <w:u w:val="single" w:color="auto"/>
                      <w:lang w:val="en-US" w:eastAsia="zh-CN" w:bidi="ar-SA"/>
                    </w:rPr>
                    <w:t>脱毛</w:t>
                  </w:r>
                  <w:r>
                    <w:rPr>
                      <w:rFonts w:hint="eastAsia" w:cs="Times New Roman"/>
                      <w:bCs w:val="0"/>
                      <w:color w:val="auto"/>
                      <w:spacing w:val="0"/>
                      <w:kern w:val="0"/>
                      <w:sz w:val="21"/>
                      <w:szCs w:val="21"/>
                      <w:u w:val="single" w:color="auto"/>
                      <w:lang w:val="en-US" w:eastAsia="zh-CN" w:bidi="ar-SA"/>
                    </w:rPr>
                    <w:t>机</w:t>
                  </w:r>
                </w:p>
              </w:tc>
              <w:tc>
                <w:tcPr>
                  <w:tcW w:w="778" w:type="pct"/>
                  <w:shd w:val="clear" w:color="auto" w:fill="auto"/>
                  <w:vAlign w:val="center"/>
                </w:tcPr>
                <w:p w14:paraId="1A3645E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1CFD7ECC">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w:t>
                  </w:r>
                </w:p>
              </w:tc>
              <w:tc>
                <w:tcPr>
                  <w:tcW w:w="844" w:type="pct"/>
                  <w:shd w:val="clear" w:color="auto" w:fill="auto"/>
                  <w:vAlign w:val="center"/>
                </w:tcPr>
                <w:p w14:paraId="15864F4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eastAsiaTheme="minorEastAsia"/>
                      <w:b w:val="0"/>
                      <w:bCs w:val="0"/>
                      <w:color w:val="auto"/>
                      <w:sz w:val="21"/>
                      <w:szCs w:val="21"/>
                      <w:u w:val="single" w:color="auto"/>
                      <w:vertAlign w:val="baseline"/>
                      <w:lang w:val="en-US" w:eastAsia="zh-CN"/>
                    </w:rPr>
                    <w:t>6</w:t>
                  </w:r>
                  <w:r>
                    <w:rPr>
                      <w:rFonts w:hint="default" w:ascii="Times New Roman" w:hAnsi="Times New Roman" w:cs="Times New Roman" w:eastAsiaTheme="minorEastAsia"/>
                      <w:b w:val="0"/>
                      <w:bCs w:val="0"/>
                      <w:color w:val="auto"/>
                      <w:sz w:val="21"/>
                      <w:szCs w:val="21"/>
                      <w:u w:val="single" w:color="auto"/>
                      <w:vertAlign w:val="baseline"/>
                      <w:lang w:val="en-US" w:eastAsia="zh-CN"/>
                    </w:rPr>
                    <w:t>0</w:t>
                  </w:r>
                  <w:r>
                    <w:rPr>
                      <w:rFonts w:hint="default" w:ascii="Times New Roman" w:hAnsi="Times New Roman" w:cs="Times New Roman" w:eastAsiaTheme="minorEastAsia"/>
                      <w:b w:val="0"/>
                      <w:bCs w:val="0"/>
                      <w:color w:val="auto"/>
                      <w:sz w:val="21"/>
                      <w:szCs w:val="21"/>
                      <w:u w:val="single" w:color="auto"/>
                    </w:rPr>
                    <w:t>型刨毛机</w:t>
                  </w:r>
                </w:p>
              </w:tc>
              <w:tc>
                <w:tcPr>
                  <w:tcW w:w="376" w:type="pct"/>
                  <w:vAlign w:val="center"/>
                </w:tcPr>
                <w:p w14:paraId="5BBB3A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6</w:t>
                  </w:r>
                </w:p>
              </w:tc>
              <w:tc>
                <w:tcPr>
                  <w:tcW w:w="1182" w:type="pct"/>
                  <w:vAlign w:val="center"/>
                </w:tcPr>
                <w:p w14:paraId="4462B618">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四用两备</w:t>
                  </w:r>
                </w:p>
              </w:tc>
            </w:tr>
            <w:tr w14:paraId="0B5E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shd w:val="clear" w:color="auto" w:fill="auto"/>
                  <w:vAlign w:val="center"/>
                </w:tcPr>
                <w:p w14:paraId="4218BD9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11</w:t>
                  </w:r>
                </w:p>
              </w:tc>
              <w:tc>
                <w:tcPr>
                  <w:tcW w:w="896" w:type="pct"/>
                  <w:shd w:val="clear" w:color="auto" w:fill="auto"/>
                  <w:vAlign w:val="center"/>
                </w:tcPr>
                <w:p w14:paraId="044EA423">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Cs w:val="24"/>
                      <w:u w:val="single" w:color="auto"/>
                      <w:lang w:val="en-US" w:eastAsia="zh-CN"/>
                    </w:rPr>
                  </w:pPr>
                  <w:r>
                    <w:rPr>
                      <w:rFonts w:hint="eastAsia"/>
                      <w:color w:val="auto"/>
                      <w:szCs w:val="24"/>
                      <w:u w:val="single" w:color="auto"/>
                      <w:lang w:val="en-US" w:eastAsia="zh-CN"/>
                    </w:rPr>
                    <w:t>检疫设备</w:t>
                  </w:r>
                </w:p>
              </w:tc>
              <w:tc>
                <w:tcPr>
                  <w:tcW w:w="778" w:type="pct"/>
                  <w:shd w:val="clear" w:color="auto" w:fill="auto"/>
                  <w:vAlign w:val="center"/>
                </w:tcPr>
                <w:p w14:paraId="1A8C58A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55E1BC70">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w:t>
                  </w:r>
                </w:p>
              </w:tc>
              <w:tc>
                <w:tcPr>
                  <w:tcW w:w="844" w:type="pct"/>
                  <w:shd w:val="clear" w:color="auto" w:fill="auto"/>
                  <w:vAlign w:val="center"/>
                </w:tcPr>
                <w:p w14:paraId="3D6D20E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eastAsiaTheme="minorEastAsia"/>
                      <w:b w:val="0"/>
                      <w:bCs w:val="0"/>
                      <w:color w:val="auto"/>
                      <w:sz w:val="21"/>
                      <w:szCs w:val="21"/>
                      <w:u w:val="single" w:color="auto"/>
                      <w:vertAlign w:val="baseline"/>
                      <w:lang w:val="en-US" w:eastAsia="zh-CN"/>
                    </w:rPr>
                  </w:pPr>
                  <w:r>
                    <w:rPr>
                      <w:rFonts w:hint="eastAsia" w:cs="Times New Roman" w:eastAsiaTheme="minorEastAsia"/>
                      <w:b w:val="0"/>
                      <w:bCs w:val="0"/>
                      <w:color w:val="auto"/>
                      <w:sz w:val="21"/>
                      <w:szCs w:val="21"/>
                      <w:u w:val="single" w:color="auto"/>
                      <w:vertAlign w:val="baseline"/>
                      <w:lang w:val="en-US" w:eastAsia="zh-CN"/>
                    </w:rPr>
                    <w:t>/</w:t>
                  </w:r>
                </w:p>
              </w:tc>
              <w:tc>
                <w:tcPr>
                  <w:tcW w:w="376" w:type="pct"/>
                  <w:vAlign w:val="center"/>
                </w:tcPr>
                <w:p w14:paraId="0A490CA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w:t>
                  </w:r>
                </w:p>
              </w:tc>
              <w:tc>
                <w:tcPr>
                  <w:tcW w:w="1182" w:type="pct"/>
                  <w:shd w:val="clear" w:color="auto" w:fill="auto"/>
                  <w:vAlign w:val="center"/>
                </w:tcPr>
                <w:p w14:paraId="112012CB">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05EF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shd w:val="clear" w:color="auto" w:fill="auto"/>
                  <w:vAlign w:val="center"/>
                </w:tcPr>
                <w:p w14:paraId="10B1C66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12</w:t>
                  </w:r>
                </w:p>
              </w:tc>
              <w:tc>
                <w:tcPr>
                  <w:tcW w:w="896" w:type="pct"/>
                  <w:shd w:val="clear" w:color="auto" w:fill="auto"/>
                  <w:vAlign w:val="center"/>
                </w:tcPr>
                <w:p w14:paraId="3F393D82">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Cs w:val="24"/>
                      <w:u w:val="single" w:color="auto"/>
                      <w:lang w:val="en-US" w:eastAsia="zh-CN"/>
                    </w:rPr>
                  </w:pPr>
                  <w:r>
                    <w:rPr>
                      <w:rFonts w:hint="eastAsia"/>
                      <w:color w:val="auto"/>
                      <w:szCs w:val="24"/>
                      <w:u w:val="single" w:color="auto"/>
                      <w:lang w:val="en-US" w:eastAsia="zh-CN"/>
                    </w:rPr>
                    <w:t>实验设备（量筒等）</w:t>
                  </w:r>
                </w:p>
              </w:tc>
              <w:tc>
                <w:tcPr>
                  <w:tcW w:w="778" w:type="pct"/>
                  <w:shd w:val="clear" w:color="auto" w:fill="auto"/>
                  <w:vAlign w:val="center"/>
                </w:tcPr>
                <w:p w14:paraId="30F56FD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491C1EB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t>
                  </w:r>
                </w:p>
              </w:tc>
              <w:tc>
                <w:tcPr>
                  <w:tcW w:w="844" w:type="pct"/>
                  <w:shd w:val="clear" w:color="auto" w:fill="auto"/>
                  <w:vAlign w:val="center"/>
                </w:tcPr>
                <w:p w14:paraId="0833C9FC">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color w:val="auto"/>
                      <w:kern w:val="0"/>
                      <w:sz w:val="21"/>
                      <w:szCs w:val="24"/>
                      <w:u w:val="single" w:color="auto"/>
                      <w:lang w:val="en-US" w:eastAsia="zh-CN" w:bidi="ar-SA"/>
                    </w:rPr>
                  </w:pPr>
                  <w:r>
                    <w:rPr>
                      <w:rFonts w:hint="eastAsia" w:cs="Times New Roman"/>
                      <w:color w:val="auto"/>
                      <w:kern w:val="2"/>
                      <w:sz w:val="21"/>
                      <w:szCs w:val="21"/>
                      <w:u w:val="single" w:color="auto"/>
                      <w:vertAlign w:val="baseline"/>
                      <w:lang w:val="en-US" w:eastAsia="zh-CN" w:bidi="ar-SA"/>
                    </w:rPr>
                    <w:t>若干</w:t>
                  </w:r>
                </w:p>
              </w:tc>
              <w:tc>
                <w:tcPr>
                  <w:tcW w:w="376" w:type="pct"/>
                  <w:shd w:val="clear" w:color="auto" w:fill="auto"/>
                  <w:vAlign w:val="center"/>
                </w:tcPr>
                <w:p w14:paraId="0087815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t>
                  </w:r>
                </w:p>
              </w:tc>
              <w:tc>
                <w:tcPr>
                  <w:tcW w:w="1182" w:type="pct"/>
                  <w:shd w:val="clear" w:color="auto" w:fill="auto"/>
                  <w:vAlign w:val="center"/>
                </w:tcPr>
                <w:p w14:paraId="260F471C">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13A9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shd w:val="clear" w:color="auto" w:fill="auto"/>
                  <w:vAlign w:val="center"/>
                </w:tcPr>
                <w:p w14:paraId="60FD1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13</w:t>
                  </w:r>
                </w:p>
              </w:tc>
              <w:tc>
                <w:tcPr>
                  <w:tcW w:w="896" w:type="pct"/>
                  <w:shd w:val="clear" w:color="auto" w:fill="auto"/>
                  <w:vAlign w:val="center"/>
                </w:tcPr>
                <w:p w14:paraId="7AA119E5">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Cs w:val="24"/>
                      <w:u w:val="single" w:color="auto"/>
                      <w:lang w:val="en-US" w:eastAsia="zh-CN"/>
                    </w:rPr>
                  </w:pPr>
                  <w:r>
                    <w:rPr>
                      <w:rFonts w:hint="eastAsia"/>
                      <w:color w:val="auto"/>
                      <w:szCs w:val="24"/>
                      <w:u w:val="single" w:color="auto"/>
                      <w:lang w:val="en-US" w:eastAsia="zh-CN"/>
                    </w:rPr>
                    <w:t>切割机</w:t>
                  </w:r>
                </w:p>
              </w:tc>
              <w:tc>
                <w:tcPr>
                  <w:tcW w:w="778" w:type="pct"/>
                  <w:shd w:val="clear" w:color="auto" w:fill="auto"/>
                  <w:vAlign w:val="center"/>
                </w:tcPr>
                <w:p w14:paraId="4C35736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307264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w:t>
                  </w:r>
                </w:p>
              </w:tc>
              <w:tc>
                <w:tcPr>
                  <w:tcW w:w="844" w:type="pct"/>
                  <w:shd w:val="clear" w:color="auto" w:fill="auto"/>
                  <w:vAlign w:val="center"/>
                </w:tcPr>
                <w:p w14:paraId="7928263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t>
                  </w:r>
                </w:p>
              </w:tc>
              <w:tc>
                <w:tcPr>
                  <w:tcW w:w="376" w:type="pct"/>
                  <w:shd w:val="clear" w:color="auto" w:fill="auto"/>
                  <w:vAlign w:val="center"/>
                </w:tcPr>
                <w:p w14:paraId="736A7AC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2</w:t>
                  </w:r>
                </w:p>
              </w:tc>
              <w:tc>
                <w:tcPr>
                  <w:tcW w:w="1182" w:type="pct"/>
                  <w:shd w:val="clear" w:color="auto" w:fill="auto"/>
                  <w:vAlign w:val="center"/>
                </w:tcPr>
                <w:p w14:paraId="119859A2">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1599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shd w:val="clear" w:color="auto" w:fill="auto"/>
                  <w:vAlign w:val="center"/>
                </w:tcPr>
                <w:p w14:paraId="01C2E06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14</w:t>
                  </w:r>
                </w:p>
              </w:tc>
              <w:tc>
                <w:tcPr>
                  <w:tcW w:w="896" w:type="pct"/>
                  <w:shd w:val="clear" w:color="auto" w:fill="auto"/>
                  <w:vAlign w:val="center"/>
                </w:tcPr>
                <w:p w14:paraId="7591D9EE">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Cs w:val="24"/>
                      <w:u w:val="single" w:color="auto"/>
                      <w:lang w:val="en-US" w:eastAsia="zh-CN"/>
                    </w:rPr>
                  </w:pPr>
                  <w:r>
                    <w:rPr>
                      <w:rFonts w:hint="eastAsia"/>
                      <w:color w:val="auto"/>
                      <w:szCs w:val="24"/>
                      <w:u w:val="single" w:color="auto"/>
                      <w:lang w:val="en-US" w:eastAsia="zh-CN"/>
                    </w:rPr>
                    <w:t>输送机</w:t>
                  </w:r>
                </w:p>
              </w:tc>
              <w:tc>
                <w:tcPr>
                  <w:tcW w:w="778" w:type="pct"/>
                  <w:shd w:val="clear" w:color="auto" w:fill="auto"/>
                  <w:vAlign w:val="center"/>
                </w:tcPr>
                <w:p w14:paraId="507C65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77AF23D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w:t>
                  </w:r>
                </w:p>
              </w:tc>
              <w:tc>
                <w:tcPr>
                  <w:tcW w:w="844" w:type="pct"/>
                  <w:shd w:val="clear" w:color="auto" w:fill="auto"/>
                  <w:vAlign w:val="center"/>
                </w:tcPr>
                <w:p w14:paraId="53689A2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376" w:type="pct"/>
                  <w:shd w:val="clear" w:color="auto" w:fill="auto"/>
                  <w:vAlign w:val="center"/>
                </w:tcPr>
                <w:p w14:paraId="16641E1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w:t>
                  </w:r>
                </w:p>
              </w:tc>
              <w:tc>
                <w:tcPr>
                  <w:tcW w:w="1182" w:type="pct"/>
                  <w:shd w:val="clear" w:color="auto" w:fill="auto"/>
                  <w:vAlign w:val="center"/>
                </w:tcPr>
                <w:p w14:paraId="4C661462">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53A4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shd w:val="clear" w:color="auto" w:fill="auto"/>
                  <w:vAlign w:val="center"/>
                </w:tcPr>
                <w:p w14:paraId="21123A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15</w:t>
                  </w:r>
                </w:p>
              </w:tc>
              <w:tc>
                <w:tcPr>
                  <w:tcW w:w="896" w:type="pct"/>
                  <w:shd w:val="clear" w:color="auto" w:fill="auto"/>
                  <w:vAlign w:val="center"/>
                </w:tcPr>
                <w:p w14:paraId="425E7EBA">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Cs w:val="24"/>
                      <w:u w:val="single" w:color="auto"/>
                      <w:lang w:val="en-US" w:eastAsia="zh-CN"/>
                    </w:rPr>
                  </w:pPr>
                  <w:r>
                    <w:rPr>
                      <w:rFonts w:hint="eastAsia"/>
                      <w:color w:val="auto"/>
                      <w:szCs w:val="24"/>
                      <w:u w:val="single" w:color="auto"/>
                      <w:lang w:val="en-US" w:eastAsia="zh-CN"/>
                    </w:rPr>
                    <w:t>提升机</w:t>
                  </w:r>
                </w:p>
              </w:tc>
              <w:tc>
                <w:tcPr>
                  <w:tcW w:w="778" w:type="pct"/>
                  <w:shd w:val="clear" w:color="auto" w:fill="auto"/>
                  <w:vAlign w:val="center"/>
                </w:tcPr>
                <w:p w14:paraId="1385E48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02668C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w:t>
                  </w:r>
                </w:p>
              </w:tc>
              <w:tc>
                <w:tcPr>
                  <w:tcW w:w="844" w:type="pct"/>
                  <w:shd w:val="clear" w:color="auto" w:fill="auto"/>
                  <w:vAlign w:val="center"/>
                </w:tcPr>
                <w:p w14:paraId="4BB3D2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376" w:type="pct"/>
                  <w:shd w:val="clear" w:color="auto" w:fill="auto"/>
                  <w:vAlign w:val="center"/>
                </w:tcPr>
                <w:p w14:paraId="1E5AD20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w:t>
                  </w:r>
                </w:p>
              </w:tc>
              <w:tc>
                <w:tcPr>
                  <w:tcW w:w="1182" w:type="pct"/>
                  <w:shd w:val="clear" w:color="auto" w:fill="auto"/>
                  <w:vAlign w:val="center"/>
                </w:tcPr>
                <w:p w14:paraId="47D9F052">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02EA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77" w:type="pct"/>
                  <w:shd w:val="clear" w:color="auto" w:fill="auto"/>
                  <w:vAlign w:val="center"/>
                </w:tcPr>
                <w:p w14:paraId="15112C4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16</w:t>
                  </w:r>
                </w:p>
              </w:tc>
              <w:tc>
                <w:tcPr>
                  <w:tcW w:w="896" w:type="pct"/>
                  <w:shd w:val="clear" w:color="auto" w:fill="auto"/>
                  <w:vAlign w:val="center"/>
                </w:tcPr>
                <w:p w14:paraId="1041DFBD">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Cs w:val="24"/>
                      <w:u w:val="single" w:color="auto"/>
                      <w:lang w:val="en-US" w:eastAsia="zh-CN"/>
                    </w:rPr>
                  </w:pPr>
                  <w:r>
                    <w:rPr>
                      <w:rFonts w:hint="eastAsia"/>
                      <w:color w:val="auto"/>
                      <w:szCs w:val="24"/>
                      <w:u w:val="single" w:color="auto"/>
                      <w:lang w:val="en-US" w:eastAsia="zh-CN"/>
                    </w:rPr>
                    <w:t>压滤机</w:t>
                  </w:r>
                </w:p>
              </w:tc>
              <w:tc>
                <w:tcPr>
                  <w:tcW w:w="778" w:type="pct"/>
                  <w:shd w:val="clear" w:color="auto" w:fill="auto"/>
                  <w:vAlign w:val="center"/>
                </w:tcPr>
                <w:p w14:paraId="05F380E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t>
                  </w:r>
                </w:p>
              </w:tc>
              <w:tc>
                <w:tcPr>
                  <w:tcW w:w="445" w:type="pct"/>
                  <w:shd w:val="clear" w:color="auto" w:fill="auto"/>
                  <w:vAlign w:val="center"/>
                </w:tcPr>
                <w:p w14:paraId="12E7C9B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w:t>
                  </w:r>
                </w:p>
              </w:tc>
              <w:tc>
                <w:tcPr>
                  <w:tcW w:w="844" w:type="pct"/>
                  <w:shd w:val="clear" w:color="auto" w:fill="auto"/>
                  <w:vAlign w:val="center"/>
                </w:tcPr>
                <w:p w14:paraId="3F69D27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t>
                  </w:r>
                </w:p>
              </w:tc>
              <w:tc>
                <w:tcPr>
                  <w:tcW w:w="376" w:type="pct"/>
                  <w:shd w:val="clear" w:color="auto" w:fill="auto"/>
                  <w:vAlign w:val="center"/>
                </w:tcPr>
                <w:p w14:paraId="614CB8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w:t>
                  </w:r>
                </w:p>
              </w:tc>
              <w:tc>
                <w:tcPr>
                  <w:tcW w:w="1182" w:type="pct"/>
                  <w:shd w:val="clear" w:color="auto" w:fill="auto"/>
                  <w:vAlign w:val="center"/>
                </w:tcPr>
                <w:p w14:paraId="21881CDB">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新设备替代老设备</w:t>
                  </w:r>
                </w:p>
              </w:tc>
            </w:tr>
            <w:tr w14:paraId="43C3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000" w:type="pct"/>
                  <w:gridSpan w:val="7"/>
                  <w:shd w:val="clear" w:color="auto" w:fill="auto"/>
                  <w:vAlign w:val="center"/>
                </w:tcPr>
                <w:p w14:paraId="32470117">
                  <w:pPr>
                    <w:widowControl/>
                    <w:ind w:firstLine="0" w:firstLineChars="0"/>
                    <w:jc w:val="both"/>
                    <w:rPr>
                      <w:rFonts w:hint="eastAsia" w:cs="Times New Roman"/>
                      <w:color w:val="auto"/>
                      <w:kern w:val="0"/>
                      <w:sz w:val="21"/>
                      <w:szCs w:val="21"/>
                      <w:u w:val="single" w:color="auto"/>
                      <w:vertAlign w:val="baseline"/>
                      <w:lang w:val="en-US" w:eastAsia="zh-CN" w:bidi="ar-SA"/>
                    </w:rPr>
                  </w:pPr>
                  <w:r>
                    <w:rPr>
                      <w:rFonts w:hint="eastAsia" w:cs="Times New Roman"/>
                      <w:color w:val="auto"/>
                      <w:kern w:val="0"/>
                      <w:sz w:val="21"/>
                      <w:szCs w:val="21"/>
                      <w:u w:val="single" w:color="auto"/>
                      <w:vertAlign w:val="baseline"/>
                      <w:lang w:val="en-US" w:eastAsia="zh-CN" w:bidi="ar-SA"/>
                    </w:rPr>
                    <w:t>注：1.现有老旧设备拆除后，交由物资回收部门综合利用。</w:t>
                  </w:r>
                </w:p>
                <w:p w14:paraId="47EB967C">
                  <w:pPr>
                    <w:widowControl/>
                    <w:ind w:firstLine="0" w:firstLineChars="0"/>
                    <w:jc w:val="both"/>
                    <w:rPr>
                      <w:rFonts w:hint="eastAsia"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vertAlign w:val="baseline"/>
                      <w:lang w:val="en-US" w:eastAsia="zh-CN" w:bidi="ar-SA"/>
                    </w:rPr>
                    <w:t>2.本项目新购</w:t>
                  </w:r>
                  <w:r>
                    <w:rPr>
                      <w:rFonts w:hint="eastAsia" w:ascii="Times New Roman" w:hAnsi="Times New Roman" w:eastAsia="宋体" w:cs="Times New Roman"/>
                      <w:color w:val="auto"/>
                      <w:kern w:val="0"/>
                      <w:sz w:val="21"/>
                      <w:szCs w:val="21"/>
                      <w:u w:val="single" w:color="auto"/>
                      <w:vertAlign w:val="baseline"/>
                      <w:lang w:val="en-US" w:eastAsia="zh-CN" w:bidi="ar-SA"/>
                    </w:rPr>
                    <w:t>设备均不属于</w:t>
                  </w:r>
                  <w:r>
                    <w:rPr>
                      <w:rFonts w:hint="eastAsia" w:ascii="Times New Roman" w:hAnsi="Times New Roman" w:eastAsia="宋体" w:cs="Times New Roman"/>
                      <w:color w:val="auto"/>
                      <w:kern w:val="0"/>
                      <w:sz w:val="21"/>
                      <w:szCs w:val="21"/>
                      <w:u w:val="single" w:color="auto"/>
                      <w:lang w:val="en-US" w:eastAsia="zh-CN" w:bidi="ar-SA"/>
                    </w:rPr>
                    <w:t>《限期淘汰产生严重污染环境的工业固体废物的落后生产工艺设备名录》、《高耗能落后机电设备（产品）淘汰目录》中等淘汰落后设备。</w:t>
                  </w:r>
                </w:p>
                <w:p w14:paraId="11B7BDF6">
                  <w:pPr>
                    <w:widowControl/>
                    <w:ind w:firstLine="0" w:firstLineChars="0"/>
                    <w:jc w:val="both"/>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bidi="ar-SA"/>
                    </w:rPr>
                    <w:t>3.本项目</w:t>
                  </w:r>
                  <w:r>
                    <w:rPr>
                      <w:rFonts w:hint="eastAsia"/>
                      <w:color w:val="000000"/>
                      <w:szCs w:val="24"/>
                      <w:u w:val="single" w:color="auto"/>
                    </w:rPr>
                    <w:t>畜类</w:t>
                  </w:r>
                  <w:r>
                    <w:rPr>
                      <w:rFonts w:hint="default" w:ascii="Times New Roman" w:hAnsi="Times New Roman" w:eastAsia="宋体" w:cs="Times New Roman"/>
                      <w:bCs w:val="0"/>
                      <w:color w:val="auto"/>
                      <w:spacing w:val="0"/>
                      <w:kern w:val="0"/>
                      <w:sz w:val="21"/>
                      <w:szCs w:val="21"/>
                      <w:u w:val="single" w:color="auto"/>
                      <w:lang w:val="en-US" w:eastAsia="zh-CN" w:bidi="ar-SA"/>
                    </w:rPr>
                    <w:t>脱毛机</w:t>
                  </w:r>
                  <w:r>
                    <w:rPr>
                      <w:rFonts w:hint="eastAsia" w:ascii="Times New Roman" w:hAnsi="Times New Roman" w:eastAsia="宋体" w:cs="Times New Roman"/>
                      <w:bCs w:val="0"/>
                      <w:color w:val="auto"/>
                      <w:spacing w:val="0"/>
                      <w:kern w:val="0"/>
                      <w:sz w:val="21"/>
                      <w:szCs w:val="21"/>
                      <w:u w:val="single" w:color="auto"/>
                      <w:lang w:val="en-US" w:eastAsia="zh-CN" w:bidi="ar-SA"/>
                    </w:rPr>
                    <w:t>300型可实现每小时脱毛300头畜类，年可脱毛87.6万头畜类，可满足本项目生产；禽类脱毛机60型可实现每小时脱毛60只禽类，年可脱毛17.52万只禽类，可满足本项目生产。</w:t>
                  </w:r>
                </w:p>
              </w:tc>
            </w:tr>
          </w:tbl>
          <w:p w14:paraId="4DA401CD">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2.2.4 </w:t>
            </w:r>
            <w:r>
              <w:rPr>
                <w:rFonts w:hint="default" w:ascii="Times New Roman" w:hAnsi="Times New Roman" w:eastAsia="黑体" w:cs="Times New Roman"/>
                <w:b/>
                <w:bCs/>
                <w:color w:val="auto"/>
                <w:u w:val="none" w:color="auto"/>
                <w:lang w:val="en-US" w:eastAsia="zh-CN"/>
              </w:rPr>
              <w:t>主要原辅材料消耗</w:t>
            </w:r>
          </w:p>
          <w:p w14:paraId="3D3931EC">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本项目主要原辅材料为</w:t>
            </w:r>
            <w:r>
              <w:rPr>
                <w:rFonts w:hint="eastAsia" w:cs="Times New Roman"/>
                <w:color w:val="auto"/>
                <w:u w:val="none" w:color="auto"/>
                <w:lang w:val="en-US" w:eastAsia="zh-CN"/>
              </w:rPr>
              <w:t>牛、猪</w:t>
            </w:r>
            <w:r>
              <w:rPr>
                <w:rFonts w:hint="default" w:ascii="Times New Roman" w:hAnsi="Times New Roman" w:cs="Times New Roman"/>
                <w:color w:val="auto"/>
                <w:u w:val="none" w:color="auto"/>
                <w:lang w:val="en-US" w:eastAsia="zh-CN"/>
              </w:rPr>
              <w:t>等。</w:t>
            </w:r>
            <w:r>
              <w:rPr>
                <w:rFonts w:hint="eastAsia" w:cs="Times New Roman"/>
                <w:color w:val="auto"/>
                <w:u w:val="none" w:color="auto"/>
                <w:lang w:val="en-US" w:eastAsia="zh-CN"/>
              </w:rPr>
              <w:t>企业</w:t>
            </w:r>
            <w:r>
              <w:rPr>
                <w:rFonts w:hint="default" w:ascii="Times New Roman" w:hAnsi="Times New Roman" w:cs="Times New Roman"/>
                <w:color w:val="auto"/>
                <w:u w:val="none" w:color="auto"/>
                <w:lang w:val="en-US" w:eastAsia="zh-CN"/>
              </w:rPr>
              <w:t>主要原辅材料及能源使用情况详见下表。</w:t>
            </w:r>
          </w:p>
          <w:p w14:paraId="31489262">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表2.2-</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 xml:space="preserve"> 主要原辅材料消耗一览表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381"/>
              <w:gridCol w:w="800"/>
              <w:gridCol w:w="1262"/>
              <w:gridCol w:w="1431"/>
              <w:gridCol w:w="2002"/>
            </w:tblGrid>
            <w:tr w14:paraId="1F7E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3" w:type="pct"/>
                  <w:vAlign w:val="center"/>
                </w:tcPr>
                <w:p w14:paraId="6D876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bookmarkStart w:id="59" w:name="OLE_LINK26" w:colFirst="6" w:colLast="6"/>
                  <w:bookmarkStart w:id="60" w:name="OLE_LINK19"/>
                  <w:r>
                    <w:rPr>
                      <w:rFonts w:hint="default" w:ascii="Times New Roman" w:hAnsi="Times New Roman" w:cs="Times New Roman"/>
                      <w:color w:val="auto"/>
                      <w:sz w:val="21"/>
                      <w:szCs w:val="21"/>
                      <w:u w:val="single" w:color="auto"/>
                      <w:vertAlign w:val="baseline"/>
                      <w:lang w:val="en-US" w:eastAsia="zh-CN"/>
                    </w:rPr>
                    <w:t>序号</w:t>
                  </w:r>
                </w:p>
              </w:tc>
              <w:tc>
                <w:tcPr>
                  <w:tcW w:w="1408" w:type="pct"/>
                  <w:vAlign w:val="center"/>
                </w:tcPr>
                <w:p w14:paraId="5233DC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名称</w:t>
                  </w:r>
                </w:p>
              </w:tc>
              <w:tc>
                <w:tcPr>
                  <w:tcW w:w="473" w:type="pct"/>
                  <w:vAlign w:val="center"/>
                </w:tcPr>
                <w:p w14:paraId="68E4E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单位</w:t>
                  </w:r>
                </w:p>
              </w:tc>
              <w:tc>
                <w:tcPr>
                  <w:tcW w:w="746" w:type="pct"/>
                  <w:vAlign w:val="center"/>
                </w:tcPr>
                <w:p w14:paraId="481C0C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技改</w:t>
                  </w:r>
                  <w:r>
                    <w:rPr>
                      <w:rFonts w:hint="default" w:ascii="Times New Roman" w:hAnsi="Times New Roman" w:cs="Times New Roman"/>
                      <w:color w:val="auto"/>
                      <w:sz w:val="21"/>
                      <w:szCs w:val="21"/>
                      <w:u w:val="single" w:color="auto"/>
                      <w:vertAlign w:val="baseline"/>
                      <w:lang w:val="en-US" w:eastAsia="zh-CN"/>
                    </w:rPr>
                    <w:t>建前年用量</w:t>
                  </w:r>
                </w:p>
              </w:tc>
              <w:tc>
                <w:tcPr>
                  <w:tcW w:w="846" w:type="pct"/>
                  <w:vAlign w:val="center"/>
                </w:tcPr>
                <w:p w14:paraId="594DE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技改</w:t>
                  </w:r>
                  <w:r>
                    <w:rPr>
                      <w:rFonts w:hint="default" w:ascii="Times New Roman" w:hAnsi="Times New Roman" w:cs="Times New Roman"/>
                      <w:color w:val="auto"/>
                      <w:sz w:val="21"/>
                      <w:szCs w:val="21"/>
                      <w:u w:val="single" w:color="auto"/>
                      <w:vertAlign w:val="baseline"/>
                      <w:lang w:val="en-US" w:eastAsia="zh-CN"/>
                    </w:rPr>
                    <w:t>建后年用量</w:t>
                  </w:r>
                </w:p>
              </w:tc>
              <w:tc>
                <w:tcPr>
                  <w:tcW w:w="1181" w:type="pct"/>
                  <w:vAlign w:val="center"/>
                </w:tcPr>
                <w:p w14:paraId="64AF7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变化量/备注</w:t>
                  </w:r>
                </w:p>
              </w:tc>
            </w:tr>
            <w:tr w14:paraId="54A6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3" w:type="pct"/>
                  <w:shd w:val="clear" w:color="auto" w:fill="auto"/>
                  <w:vAlign w:val="center"/>
                </w:tcPr>
                <w:p w14:paraId="79ABA6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bookmarkStart w:id="61" w:name="OLE_LINK167" w:colFirst="5" w:colLast="5"/>
                  <w:bookmarkStart w:id="62" w:name="OLE_LINK35" w:colFirst="3" w:colLast="3"/>
                  <w:r>
                    <w:rPr>
                      <w:rFonts w:hint="eastAsia" w:cs="Times New Roman"/>
                      <w:color w:val="auto"/>
                      <w:sz w:val="21"/>
                      <w:szCs w:val="21"/>
                      <w:u w:val="single" w:color="auto"/>
                      <w:vertAlign w:val="baseline"/>
                      <w:lang w:val="en-US" w:eastAsia="zh-CN"/>
                    </w:rPr>
                    <w:t>1</w:t>
                  </w:r>
                </w:p>
              </w:tc>
              <w:tc>
                <w:tcPr>
                  <w:tcW w:w="1408" w:type="pct"/>
                  <w:shd w:val="clear" w:color="auto" w:fill="auto"/>
                  <w:vAlign w:val="center"/>
                </w:tcPr>
                <w:p w14:paraId="4DD342E6">
                  <w:pPr>
                    <w:adjustRightInd/>
                    <w:snapToGrid/>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eastAsia="zh-CN"/>
                    </w:rPr>
                    <w:t>煤</w:t>
                  </w:r>
                </w:p>
              </w:tc>
              <w:tc>
                <w:tcPr>
                  <w:tcW w:w="473" w:type="pct"/>
                  <w:shd w:val="clear" w:color="auto" w:fill="auto"/>
                  <w:vAlign w:val="center"/>
                </w:tcPr>
                <w:p w14:paraId="1B7AD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vAlign w:val="center"/>
                </w:tcPr>
                <w:p w14:paraId="7A5013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120</w:t>
                  </w:r>
                </w:p>
              </w:tc>
              <w:tc>
                <w:tcPr>
                  <w:tcW w:w="846" w:type="pct"/>
                  <w:vAlign w:val="center"/>
                </w:tcPr>
                <w:p w14:paraId="74F7C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w:t>
                  </w:r>
                </w:p>
              </w:tc>
              <w:tc>
                <w:tcPr>
                  <w:tcW w:w="1181" w:type="pct"/>
                  <w:vAlign w:val="center"/>
                </w:tcPr>
                <w:p w14:paraId="0CC0A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-120，取消燃煤锅炉</w:t>
                  </w:r>
                </w:p>
              </w:tc>
            </w:tr>
            <w:bookmarkEnd w:id="59"/>
            <w:tr w14:paraId="3920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402DF4B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2</w:t>
                  </w:r>
                </w:p>
              </w:tc>
              <w:tc>
                <w:tcPr>
                  <w:tcW w:w="1408" w:type="pct"/>
                  <w:shd w:val="clear" w:color="auto" w:fill="auto"/>
                  <w:vAlign w:val="center"/>
                </w:tcPr>
                <w:p w14:paraId="64356C5C">
                  <w:pPr>
                    <w:adjustRightInd/>
                    <w:snapToGrid/>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ascii="Times New Roman" w:hAnsi="Times New Roman" w:eastAsia="宋体" w:cs="Times New Roman"/>
                      <w:color w:val="auto"/>
                      <w:spacing w:val="0"/>
                      <w:sz w:val="21"/>
                      <w:szCs w:val="21"/>
                      <w:u w:val="single" w:color="auto"/>
                    </w:rPr>
                    <w:t>生猪</w:t>
                  </w:r>
                </w:p>
              </w:tc>
              <w:tc>
                <w:tcPr>
                  <w:tcW w:w="473" w:type="pct"/>
                  <w:shd w:val="clear" w:color="auto" w:fill="auto"/>
                  <w:vAlign w:val="center"/>
                </w:tcPr>
                <w:p w14:paraId="28935D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308690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8030</w:t>
                  </w:r>
                </w:p>
              </w:tc>
              <w:tc>
                <w:tcPr>
                  <w:tcW w:w="846" w:type="pct"/>
                  <w:shd w:val="clear" w:color="auto" w:fill="auto"/>
                  <w:vAlign w:val="center"/>
                </w:tcPr>
                <w:p w14:paraId="0D13FEA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9871</w:t>
                  </w:r>
                </w:p>
              </w:tc>
              <w:tc>
                <w:tcPr>
                  <w:tcW w:w="1181" w:type="pct"/>
                  <w:shd w:val="clear" w:color="auto" w:fill="auto"/>
                  <w:vAlign w:val="center"/>
                </w:tcPr>
                <w:p w14:paraId="17B5B0D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+1841</w:t>
                  </w:r>
                </w:p>
              </w:tc>
            </w:tr>
            <w:tr w14:paraId="3522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148DD45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3</w:t>
                  </w:r>
                </w:p>
              </w:tc>
              <w:tc>
                <w:tcPr>
                  <w:tcW w:w="1408" w:type="pct"/>
                  <w:shd w:val="clear" w:color="auto" w:fill="auto"/>
                  <w:vAlign w:val="center"/>
                </w:tcPr>
                <w:p w14:paraId="74EC72ED">
                  <w:pPr>
                    <w:adjustRightInd/>
                    <w:snapToGrid/>
                    <w:spacing w:line="240" w:lineRule="auto"/>
                    <w:ind w:firstLine="0" w:firstLineChars="0"/>
                    <w:jc w:val="center"/>
                    <w:rPr>
                      <w:rFonts w:hint="eastAsia"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肉牛</w:t>
                  </w:r>
                </w:p>
              </w:tc>
              <w:tc>
                <w:tcPr>
                  <w:tcW w:w="473" w:type="pct"/>
                  <w:shd w:val="clear" w:color="auto" w:fill="auto"/>
                  <w:vAlign w:val="center"/>
                </w:tcPr>
                <w:p w14:paraId="1D48F4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31E02B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w:t>
                  </w:r>
                </w:p>
              </w:tc>
              <w:tc>
                <w:tcPr>
                  <w:tcW w:w="846" w:type="pct"/>
                  <w:shd w:val="clear" w:color="auto" w:fill="auto"/>
                  <w:vAlign w:val="center"/>
                </w:tcPr>
                <w:p w14:paraId="6912A7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500</w:t>
                  </w:r>
                </w:p>
              </w:tc>
              <w:tc>
                <w:tcPr>
                  <w:tcW w:w="1181" w:type="pct"/>
                  <w:shd w:val="clear" w:color="auto" w:fill="auto"/>
                  <w:vAlign w:val="center"/>
                </w:tcPr>
                <w:p w14:paraId="355C28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+500</w:t>
                  </w:r>
                </w:p>
              </w:tc>
            </w:tr>
            <w:tr w14:paraId="324B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4F857F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4</w:t>
                  </w:r>
                </w:p>
              </w:tc>
              <w:tc>
                <w:tcPr>
                  <w:tcW w:w="1408" w:type="pct"/>
                  <w:shd w:val="clear" w:color="auto" w:fill="auto"/>
                  <w:vAlign w:val="center"/>
                </w:tcPr>
                <w:p w14:paraId="20772BC4">
                  <w:pPr>
                    <w:adjustRightInd/>
                    <w:snapToGrid/>
                    <w:spacing w:line="240" w:lineRule="auto"/>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肉鸡</w:t>
                  </w:r>
                </w:p>
              </w:tc>
              <w:tc>
                <w:tcPr>
                  <w:tcW w:w="473" w:type="pct"/>
                  <w:shd w:val="clear" w:color="auto" w:fill="auto"/>
                  <w:vAlign w:val="center"/>
                </w:tcPr>
                <w:p w14:paraId="0AE5E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103D15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846" w:type="pct"/>
                  <w:shd w:val="clear" w:color="auto" w:fill="auto"/>
                  <w:vAlign w:val="center"/>
                </w:tcPr>
                <w:p w14:paraId="53723E3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1.75</w:t>
                  </w:r>
                </w:p>
              </w:tc>
              <w:tc>
                <w:tcPr>
                  <w:tcW w:w="1181" w:type="pct"/>
                  <w:shd w:val="clear" w:color="auto" w:fill="auto"/>
                  <w:vAlign w:val="center"/>
                </w:tcPr>
                <w:p w14:paraId="192D257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+1.75</w:t>
                  </w:r>
                </w:p>
              </w:tc>
            </w:tr>
            <w:tr w14:paraId="09A4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1FB9C8C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5</w:t>
                  </w:r>
                </w:p>
              </w:tc>
              <w:tc>
                <w:tcPr>
                  <w:tcW w:w="1408" w:type="pct"/>
                  <w:shd w:val="clear" w:color="auto" w:fill="auto"/>
                  <w:vAlign w:val="center"/>
                </w:tcPr>
                <w:p w14:paraId="46E5D879">
                  <w:pPr>
                    <w:adjustRightInd/>
                    <w:snapToGrid/>
                    <w:spacing w:line="240" w:lineRule="auto"/>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肉鸭</w:t>
                  </w:r>
                </w:p>
              </w:tc>
              <w:tc>
                <w:tcPr>
                  <w:tcW w:w="473" w:type="pct"/>
                  <w:shd w:val="clear" w:color="auto" w:fill="auto"/>
                  <w:vAlign w:val="center"/>
                </w:tcPr>
                <w:p w14:paraId="4EFF6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3E2107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846" w:type="pct"/>
                  <w:shd w:val="clear" w:color="auto" w:fill="auto"/>
                  <w:vAlign w:val="center"/>
                </w:tcPr>
                <w:p w14:paraId="0066F8F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2.5</w:t>
                  </w:r>
                </w:p>
              </w:tc>
              <w:tc>
                <w:tcPr>
                  <w:tcW w:w="1181" w:type="pct"/>
                  <w:shd w:val="clear" w:color="auto" w:fill="auto"/>
                  <w:vAlign w:val="center"/>
                </w:tcPr>
                <w:p w14:paraId="0A2637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+2.5</w:t>
                  </w:r>
                </w:p>
              </w:tc>
            </w:tr>
            <w:tr w14:paraId="3D86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0AD73C2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6</w:t>
                  </w:r>
                </w:p>
              </w:tc>
              <w:tc>
                <w:tcPr>
                  <w:tcW w:w="1408" w:type="pct"/>
                  <w:shd w:val="clear" w:color="auto" w:fill="auto"/>
                  <w:vAlign w:val="center"/>
                </w:tcPr>
                <w:p w14:paraId="28AE079C">
                  <w:pPr>
                    <w:adjustRightInd/>
                    <w:snapToGrid/>
                    <w:spacing w:line="240" w:lineRule="auto"/>
                    <w:ind w:firstLine="0" w:firstLineChars="0"/>
                    <w:jc w:val="center"/>
                    <w:rPr>
                      <w:rFonts w:hint="eastAsia"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肉鹅</w:t>
                  </w:r>
                </w:p>
              </w:tc>
              <w:tc>
                <w:tcPr>
                  <w:tcW w:w="473" w:type="pct"/>
                  <w:shd w:val="clear" w:color="auto" w:fill="auto"/>
                  <w:vAlign w:val="center"/>
                </w:tcPr>
                <w:p w14:paraId="74BB5A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3437FF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846" w:type="pct"/>
                  <w:shd w:val="clear" w:color="auto" w:fill="auto"/>
                  <w:vAlign w:val="center"/>
                </w:tcPr>
                <w:p w14:paraId="1E60D00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3</w:t>
                  </w:r>
                </w:p>
              </w:tc>
              <w:tc>
                <w:tcPr>
                  <w:tcW w:w="1181" w:type="pct"/>
                  <w:shd w:val="clear" w:color="auto" w:fill="auto"/>
                  <w:vAlign w:val="center"/>
                </w:tcPr>
                <w:p w14:paraId="15746D5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+3</w:t>
                  </w:r>
                </w:p>
              </w:tc>
            </w:tr>
            <w:tr w14:paraId="290D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34CE7CE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7</w:t>
                  </w:r>
                </w:p>
              </w:tc>
              <w:tc>
                <w:tcPr>
                  <w:tcW w:w="1408" w:type="pct"/>
                  <w:shd w:val="clear" w:color="auto" w:fill="auto"/>
                  <w:vAlign w:val="center"/>
                </w:tcPr>
                <w:p w14:paraId="1EAE44C0">
                  <w:pPr>
                    <w:adjustRightInd/>
                    <w:snapToGrid/>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ascii="Times New Roman" w:hAnsi="Times New Roman" w:eastAsia="宋体" w:cs="Times New Roman"/>
                      <w:color w:val="auto"/>
                      <w:spacing w:val="0"/>
                      <w:sz w:val="21"/>
                      <w:szCs w:val="21"/>
                      <w:u w:val="single" w:color="auto"/>
                    </w:rPr>
                    <w:t>二氯异氰脲酸钠粉</w:t>
                  </w:r>
                </w:p>
              </w:tc>
              <w:tc>
                <w:tcPr>
                  <w:tcW w:w="473" w:type="pct"/>
                  <w:shd w:val="clear" w:color="auto" w:fill="auto"/>
                  <w:vAlign w:val="center"/>
                </w:tcPr>
                <w:p w14:paraId="2F24E9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114503E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0.6</w:t>
                  </w:r>
                </w:p>
              </w:tc>
              <w:tc>
                <w:tcPr>
                  <w:tcW w:w="846" w:type="pct"/>
                  <w:shd w:val="clear" w:color="auto" w:fill="auto"/>
                  <w:vAlign w:val="center"/>
                </w:tcPr>
                <w:p w14:paraId="4D0B43E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1.8</w:t>
                  </w:r>
                </w:p>
              </w:tc>
              <w:tc>
                <w:tcPr>
                  <w:tcW w:w="1181" w:type="pct"/>
                  <w:shd w:val="clear" w:color="auto" w:fill="auto"/>
                  <w:vAlign w:val="center"/>
                </w:tcPr>
                <w:p w14:paraId="501F29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+1.2</w:t>
                  </w:r>
                  <w:r>
                    <w:rPr>
                      <w:rFonts w:hint="eastAsia" w:cs="Times New Roman"/>
                      <w:color w:val="auto"/>
                      <w:sz w:val="21"/>
                      <w:szCs w:val="21"/>
                      <w:u w:val="single" w:color="auto"/>
                      <w:lang w:val="en-US" w:eastAsia="zh-CN"/>
                    </w:rPr>
                    <w:t>，用于污水处理</w:t>
                  </w:r>
                </w:p>
              </w:tc>
            </w:tr>
            <w:bookmarkEnd w:id="60"/>
            <w:bookmarkEnd w:id="61"/>
            <w:bookmarkEnd w:id="62"/>
            <w:tr w14:paraId="5965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4EEDE19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8</w:t>
                  </w:r>
                </w:p>
              </w:tc>
              <w:tc>
                <w:tcPr>
                  <w:tcW w:w="1408" w:type="pct"/>
                  <w:shd w:val="clear" w:color="auto" w:fill="auto"/>
                  <w:vAlign w:val="center"/>
                </w:tcPr>
                <w:p w14:paraId="13FF3ED8">
                  <w:pPr>
                    <w:adjustRightInd/>
                    <w:snapToGrid/>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ascii="Times New Roman" w:hAnsi="Times New Roman" w:eastAsia="宋体" w:cs="Times New Roman"/>
                      <w:color w:val="auto"/>
                      <w:spacing w:val="0"/>
                      <w:sz w:val="21"/>
                      <w:szCs w:val="21"/>
                      <w:u w:val="single" w:color="auto"/>
                    </w:rPr>
                    <w:t>月苄三甲氯铵溶液</w:t>
                  </w:r>
                </w:p>
              </w:tc>
              <w:tc>
                <w:tcPr>
                  <w:tcW w:w="473" w:type="pct"/>
                  <w:vAlign w:val="center"/>
                </w:tcPr>
                <w:p w14:paraId="480B97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vAlign w:val="center"/>
                </w:tcPr>
                <w:p w14:paraId="37B0AD2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0.4</w:t>
                  </w:r>
                </w:p>
              </w:tc>
              <w:tc>
                <w:tcPr>
                  <w:tcW w:w="846" w:type="pct"/>
                  <w:shd w:val="clear" w:color="auto" w:fill="auto"/>
                  <w:vAlign w:val="center"/>
                </w:tcPr>
                <w:p w14:paraId="2121A60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w:t>
                  </w:r>
                </w:p>
              </w:tc>
              <w:tc>
                <w:tcPr>
                  <w:tcW w:w="1181" w:type="pct"/>
                  <w:vAlign w:val="center"/>
                </w:tcPr>
                <w:p w14:paraId="4A023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+0.6</w:t>
                  </w:r>
                  <w:r>
                    <w:rPr>
                      <w:rFonts w:hint="eastAsia" w:cs="Times New Roman"/>
                      <w:color w:val="auto"/>
                      <w:sz w:val="21"/>
                      <w:szCs w:val="21"/>
                      <w:u w:val="single" w:color="auto"/>
                      <w:lang w:val="en-US" w:eastAsia="zh-CN"/>
                    </w:rPr>
                    <w:t>，用于污水处理</w:t>
                  </w:r>
                </w:p>
              </w:tc>
            </w:tr>
            <w:tr w14:paraId="02F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31EC4B0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9</w:t>
                  </w:r>
                </w:p>
              </w:tc>
              <w:tc>
                <w:tcPr>
                  <w:tcW w:w="1408" w:type="pct"/>
                  <w:shd w:val="clear" w:color="auto" w:fill="auto"/>
                  <w:vAlign w:val="center"/>
                </w:tcPr>
                <w:p w14:paraId="309EACA8">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ascii="Times New Roman" w:hAnsi="Times New Roman" w:eastAsia="宋体" w:cs="Times New Roman"/>
                      <w:color w:val="auto"/>
                      <w:spacing w:val="0"/>
                      <w:sz w:val="21"/>
                      <w:szCs w:val="21"/>
                      <w:u w:val="single" w:color="auto"/>
                    </w:rPr>
                    <w:t>氢氧化钠</w:t>
                  </w:r>
                </w:p>
              </w:tc>
              <w:tc>
                <w:tcPr>
                  <w:tcW w:w="473" w:type="pct"/>
                  <w:vAlign w:val="center"/>
                </w:tcPr>
                <w:p w14:paraId="25F46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vAlign w:val="center"/>
                </w:tcPr>
                <w:p w14:paraId="5209A65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w:t>
                  </w:r>
                </w:p>
              </w:tc>
              <w:tc>
                <w:tcPr>
                  <w:tcW w:w="846" w:type="pct"/>
                  <w:vAlign w:val="center"/>
                </w:tcPr>
                <w:p w14:paraId="297900D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2</w:t>
                  </w:r>
                </w:p>
              </w:tc>
              <w:tc>
                <w:tcPr>
                  <w:tcW w:w="1181" w:type="pct"/>
                  <w:vAlign w:val="center"/>
                </w:tcPr>
                <w:p w14:paraId="013BA68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w:t>
                  </w:r>
                  <w:r>
                    <w:rPr>
                      <w:rFonts w:hint="eastAsia" w:cs="Times New Roman"/>
                      <w:color w:val="auto"/>
                      <w:sz w:val="21"/>
                      <w:szCs w:val="21"/>
                      <w:u w:val="single" w:color="auto"/>
                      <w:lang w:val="en-US" w:eastAsia="zh-CN"/>
                    </w:rPr>
                    <w:t>，用于污水处理</w:t>
                  </w:r>
                </w:p>
              </w:tc>
            </w:tr>
            <w:tr w14:paraId="4352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6F25D4A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10</w:t>
                  </w:r>
                </w:p>
              </w:tc>
              <w:tc>
                <w:tcPr>
                  <w:tcW w:w="1408" w:type="pct"/>
                  <w:shd w:val="clear" w:color="auto" w:fill="auto"/>
                  <w:vAlign w:val="center"/>
                </w:tcPr>
                <w:p w14:paraId="373A00E1">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ascii="Times New Roman" w:hAnsi="Times New Roman" w:eastAsia="宋体" w:cs="Times New Roman"/>
                      <w:color w:val="auto"/>
                      <w:spacing w:val="0"/>
                      <w:sz w:val="21"/>
                      <w:szCs w:val="21"/>
                      <w:u w:val="single" w:color="auto"/>
                    </w:rPr>
                    <w:t>三联快速检测卡（尿液）</w:t>
                  </w:r>
                </w:p>
              </w:tc>
              <w:tc>
                <w:tcPr>
                  <w:tcW w:w="473" w:type="pct"/>
                  <w:vAlign w:val="center"/>
                </w:tcPr>
                <w:p w14:paraId="2B9E2A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张/a</w:t>
                  </w:r>
                </w:p>
              </w:tc>
              <w:tc>
                <w:tcPr>
                  <w:tcW w:w="746" w:type="pct"/>
                  <w:shd w:val="clear" w:color="auto" w:fill="auto"/>
                  <w:vAlign w:val="center"/>
                </w:tcPr>
                <w:p w14:paraId="49EC4FB9">
                  <w:pPr>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2400</w:t>
                  </w:r>
                </w:p>
              </w:tc>
              <w:tc>
                <w:tcPr>
                  <w:tcW w:w="846" w:type="pct"/>
                  <w:shd w:val="clear" w:color="auto" w:fill="auto"/>
                  <w:vAlign w:val="center"/>
                </w:tcPr>
                <w:p w14:paraId="72E7D679">
                  <w:pPr>
                    <w:adjustRightInd/>
                    <w:snapToGrid/>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4</w:t>
                  </w:r>
                  <w:r>
                    <w:rPr>
                      <w:rFonts w:hint="eastAsia" w:ascii="Times New Roman" w:hAnsi="Times New Roman" w:eastAsia="宋体" w:cs="Times New Roman"/>
                      <w:color w:val="auto"/>
                      <w:sz w:val="21"/>
                      <w:szCs w:val="21"/>
                      <w:u w:val="single" w:color="auto"/>
                      <w:lang w:val="en-US" w:eastAsia="zh-CN"/>
                    </w:rPr>
                    <w:t>000</w:t>
                  </w:r>
                </w:p>
              </w:tc>
              <w:tc>
                <w:tcPr>
                  <w:tcW w:w="1181" w:type="pct"/>
                  <w:shd w:val="clear" w:color="auto" w:fill="auto"/>
                  <w:vAlign w:val="center"/>
                </w:tcPr>
                <w:p w14:paraId="227305F9">
                  <w:pPr>
                    <w:adjustRightInd/>
                    <w:snapToGrid/>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1</w:t>
                  </w:r>
                  <w:r>
                    <w:rPr>
                      <w:rFonts w:hint="eastAsia" w:ascii="Times New Roman" w:hAnsi="Times New Roman" w:eastAsia="宋体" w:cs="Times New Roman"/>
                      <w:color w:val="auto"/>
                      <w:sz w:val="21"/>
                      <w:szCs w:val="21"/>
                      <w:u w:val="single" w:color="auto"/>
                      <w:lang w:val="en-US" w:eastAsia="zh-CN"/>
                    </w:rPr>
                    <w:t>600</w:t>
                  </w:r>
                  <w:r>
                    <w:rPr>
                      <w:rFonts w:hint="eastAsia" w:cs="Times New Roman"/>
                      <w:color w:val="auto"/>
                      <w:sz w:val="21"/>
                      <w:szCs w:val="21"/>
                      <w:u w:val="single" w:color="auto"/>
                      <w:lang w:val="en-US" w:eastAsia="zh-CN"/>
                    </w:rPr>
                    <w:t>，用于检测</w:t>
                  </w:r>
                </w:p>
              </w:tc>
            </w:tr>
            <w:tr w14:paraId="6820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3" w:type="pct"/>
                  <w:shd w:val="clear" w:color="auto" w:fill="auto"/>
                  <w:vAlign w:val="center"/>
                </w:tcPr>
                <w:p w14:paraId="791363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11</w:t>
                  </w:r>
                </w:p>
              </w:tc>
              <w:tc>
                <w:tcPr>
                  <w:tcW w:w="1408" w:type="pct"/>
                  <w:shd w:val="clear" w:color="auto" w:fill="auto"/>
                  <w:vAlign w:val="center"/>
                </w:tcPr>
                <w:p w14:paraId="38F91E44">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ascii="Times New Roman" w:hAnsi="Times New Roman" w:eastAsia="宋体" w:cs="Times New Roman"/>
                      <w:color w:val="auto"/>
                      <w:spacing w:val="0"/>
                      <w:sz w:val="21"/>
                      <w:szCs w:val="21"/>
                      <w:u w:val="single" w:color="auto"/>
                    </w:rPr>
                    <w:t>非洲猪瘟病毒抗原胶体金测试卡</w:t>
                  </w:r>
                </w:p>
              </w:tc>
              <w:tc>
                <w:tcPr>
                  <w:tcW w:w="473" w:type="pct"/>
                  <w:vAlign w:val="center"/>
                </w:tcPr>
                <w:p w14:paraId="51255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张/a</w:t>
                  </w:r>
                </w:p>
              </w:tc>
              <w:tc>
                <w:tcPr>
                  <w:tcW w:w="746" w:type="pct"/>
                  <w:shd w:val="clear" w:color="auto" w:fill="auto"/>
                  <w:vAlign w:val="center"/>
                </w:tcPr>
                <w:p w14:paraId="45439D3D">
                  <w:pPr>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100</w:t>
                  </w:r>
                </w:p>
              </w:tc>
              <w:tc>
                <w:tcPr>
                  <w:tcW w:w="846" w:type="pct"/>
                  <w:shd w:val="clear" w:color="auto" w:fill="auto"/>
                  <w:vAlign w:val="center"/>
                </w:tcPr>
                <w:p w14:paraId="041B0F6B">
                  <w:pPr>
                    <w:adjustRightInd/>
                    <w:snapToGrid/>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14</w:t>
                  </w:r>
                  <w:r>
                    <w:rPr>
                      <w:rFonts w:hint="eastAsia" w:ascii="Times New Roman" w:hAnsi="Times New Roman" w:eastAsia="宋体" w:cs="Times New Roman"/>
                      <w:color w:val="auto"/>
                      <w:sz w:val="21"/>
                      <w:szCs w:val="21"/>
                      <w:u w:val="single" w:color="auto"/>
                      <w:lang w:val="en-US" w:eastAsia="zh-CN"/>
                    </w:rPr>
                    <w:t>0</w:t>
                  </w:r>
                </w:p>
              </w:tc>
              <w:tc>
                <w:tcPr>
                  <w:tcW w:w="1181" w:type="pct"/>
                  <w:shd w:val="clear" w:color="auto" w:fill="auto"/>
                  <w:vAlign w:val="center"/>
                </w:tcPr>
                <w:p w14:paraId="1CF05943">
                  <w:pPr>
                    <w:adjustRightInd/>
                    <w:snapToGrid/>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z w:val="21"/>
                      <w:szCs w:val="21"/>
                      <w:u w:val="single" w:color="auto"/>
                      <w:lang w:val="en-US" w:eastAsia="zh-CN"/>
                    </w:rPr>
                    <w:t>+40</w:t>
                  </w:r>
                  <w:r>
                    <w:rPr>
                      <w:rFonts w:hint="eastAsia" w:cs="Times New Roman"/>
                      <w:color w:val="auto"/>
                      <w:sz w:val="21"/>
                      <w:szCs w:val="21"/>
                      <w:u w:val="single" w:color="auto"/>
                      <w:lang w:val="en-US" w:eastAsia="zh-CN"/>
                    </w:rPr>
                    <w:t>，用于检疫</w:t>
                  </w:r>
                </w:p>
              </w:tc>
            </w:tr>
            <w:tr w14:paraId="61B5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47791A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12</w:t>
                  </w:r>
                </w:p>
              </w:tc>
              <w:tc>
                <w:tcPr>
                  <w:tcW w:w="1408" w:type="pct"/>
                  <w:shd w:val="clear" w:color="auto" w:fill="auto"/>
                  <w:vAlign w:val="center"/>
                </w:tcPr>
                <w:p w14:paraId="079EEDFE">
                  <w:pPr>
                    <w:adjustRightInd/>
                    <w:snapToGrid/>
                    <w:spacing w:line="240" w:lineRule="auto"/>
                    <w:ind w:firstLine="0" w:firstLineChars="0"/>
                    <w:jc w:val="center"/>
                    <w:rPr>
                      <w:rFonts w:hint="eastAsia" w:ascii="Times New Roman" w:hAnsi="Times New Roman" w:eastAsia="宋体" w:cs="Times New Roman"/>
                      <w:color w:val="auto"/>
                      <w:spacing w:val="0"/>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牛</w:t>
                  </w:r>
                  <w:r>
                    <w:rPr>
                      <w:rFonts w:ascii="Times New Roman" w:hAnsi="Times New Roman" w:eastAsia="宋体" w:cs="Times New Roman"/>
                      <w:color w:val="auto"/>
                      <w:spacing w:val="0"/>
                      <w:sz w:val="21"/>
                      <w:szCs w:val="21"/>
                      <w:u w:val="single" w:color="auto"/>
                    </w:rPr>
                    <w:t>病毒抗原胶体金测试卡</w:t>
                  </w:r>
                </w:p>
              </w:tc>
              <w:tc>
                <w:tcPr>
                  <w:tcW w:w="473" w:type="pct"/>
                  <w:vAlign w:val="center"/>
                </w:tcPr>
                <w:p w14:paraId="1CDC8D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张/a</w:t>
                  </w:r>
                </w:p>
              </w:tc>
              <w:tc>
                <w:tcPr>
                  <w:tcW w:w="746" w:type="pct"/>
                  <w:shd w:val="clear" w:color="auto" w:fill="auto"/>
                  <w:vAlign w:val="center"/>
                </w:tcPr>
                <w:p w14:paraId="6C61CD8A">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20</w:t>
                  </w:r>
                </w:p>
              </w:tc>
              <w:tc>
                <w:tcPr>
                  <w:tcW w:w="846" w:type="pct"/>
                  <w:shd w:val="clear" w:color="auto" w:fill="auto"/>
                  <w:vAlign w:val="center"/>
                </w:tcPr>
                <w:p w14:paraId="0DEBB6A8">
                  <w:pPr>
                    <w:tabs>
                      <w:tab w:val="left" w:pos="1021"/>
                    </w:tabs>
                    <w:adjustRightInd/>
                    <w:snapToGrid/>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3</w:t>
                  </w:r>
                  <w:r>
                    <w:rPr>
                      <w:rFonts w:hint="eastAsia" w:ascii="Times New Roman" w:hAnsi="Times New Roman" w:eastAsia="宋体" w:cs="Times New Roman"/>
                      <w:color w:val="auto"/>
                      <w:sz w:val="21"/>
                      <w:szCs w:val="21"/>
                      <w:u w:val="single" w:color="auto"/>
                      <w:lang w:val="en-US" w:eastAsia="zh-CN"/>
                    </w:rPr>
                    <w:t>0</w:t>
                  </w:r>
                </w:p>
              </w:tc>
              <w:tc>
                <w:tcPr>
                  <w:tcW w:w="1181" w:type="pct"/>
                  <w:shd w:val="clear" w:color="auto" w:fill="auto"/>
                  <w:vAlign w:val="center"/>
                </w:tcPr>
                <w:p w14:paraId="5E60370E">
                  <w:pPr>
                    <w:tabs>
                      <w:tab w:val="left" w:pos="1021"/>
                    </w:tabs>
                    <w:adjustRightInd/>
                    <w:snapToGrid/>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1</w:t>
                  </w:r>
                  <w:r>
                    <w:rPr>
                      <w:rFonts w:hint="eastAsia"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，用于检疫</w:t>
                  </w:r>
                </w:p>
              </w:tc>
            </w:tr>
            <w:tr w14:paraId="7F0C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0291E38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13</w:t>
                  </w:r>
                </w:p>
              </w:tc>
              <w:tc>
                <w:tcPr>
                  <w:tcW w:w="1408" w:type="pct"/>
                  <w:shd w:val="clear" w:color="auto" w:fill="auto"/>
                  <w:vAlign w:val="center"/>
                </w:tcPr>
                <w:p w14:paraId="1D2AB6F5">
                  <w:pPr>
                    <w:adjustRightInd/>
                    <w:snapToGrid/>
                    <w:spacing w:line="240" w:lineRule="auto"/>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消毒剂（卫效）</w:t>
                  </w:r>
                </w:p>
              </w:tc>
              <w:tc>
                <w:tcPr>
                  <w:tcW w:w="473" w:type="pct"/>
                  <w:shd w:val="clear" w:color="auto" w:fill="auto"/>
                  <w:vAlign w:val="center"/>
                </w:tcPr>
                <w:p w14:paraId="1AB3B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1EAE2B7D">
                  <w:pPr>
                    <w:tabs>
                      <w:tab w:val="left" w:pos="1021"/>
                    </w:tabs>
                    <w:adjustRightInd/>
                    <w:snapToGrid/>
                    <w:spacing w:line="360" w:lineRule="exact"/>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1</w:t>
                  </w:r>
                </w:p>
              </w:tc>
              <w:tc>
                <w:tcPr>
                  <w:tcW w:w="846" w:type="pct"/>
                  <w:shd w:val="clear" w:color="auto" w:fill="auto"/>
                  <w:vAlign w:val="center"/>
                </w:tcPr>
                <w:p w14:paraId="33B58CCA">
                  <w:pPr>
                    <w:tabs>
                      <w:tab w:val="left" w:pos="1021"/>
                    </w:tabs>
                    <w:adjustRightInd/>
                    <w:snapToGrid/>
                    <w:spacing w:line="360" w:lineRule="exact"/>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w:t>
                  </w:r>
                </w:p>
              </w:tc>
              <w:tc>
                <w:tcPr>
                  <w:tcW w:w="1181" w:type="pct"/>
                  <w:shd w:val="clear" w:color="auto" w:fill="auto"/>
                  <w:vAlign w:val="center"/>
                </w:tcPr>
                <w:p w14:paraId="4BD88F61">
                  <w:pPr>
                    <w:tabs>
                      <w:tab w:val="left" w:pos="1021"/>
                    </w:tabs>
                    <w:adjustRightInd/>
                    <w:snapToGrid/>
                    <w:spacing w:line="360" w:lineRule="exact"/>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劳动定员未增加，故消毒剂用量不增加，用于消毒</w:t>
                  </w:r>
                </w:p>
              </w:tc>
            </w:tr>
            <w:tr w14:paraId="40D1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5B4E9F9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14</w:t>
                  </w:r>
                </w:p>
              </w:tc>
              <w:tc>
                <w:tcPr>
                  <w:tcW w:w="1408" w:type="pct"/>
                  <w:shd w:val="clear" w:color="auto" w:fill="auto"/>
                  <w:vAlign w:val="center"/>
                </w:tcPr>
                <w:p w14:paraId="3083F7F4">
                  <w:pPr>
                    <w:adjustRightInd/>
                    <w:snapToGrid/>
                    <w:spacing w:line="240" w:lineRule="auto"/>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除臭剂</w:t>
                  </w:r>
                </w:p>
              </w:tc>
              <w:tc>
                <w:tcPr>
                  <w:tcW w:w="473" w:type="pct"/>
                  <w:shd w:val="clear" w:color="auto" w:fill="auto"/>
                  <w:vAlign w:val="center"/>
                </w:tcPr>
                <w:p w14:paraId="146A9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35920A1E">
                  <w:pPr>
                    <w:tabs>
                      <w:tab w:val="left" w:pos="1021"/>
                    </w:tabs>
                    <w:adjustRightInd/>
                    <w:snapToGrid/>
                    <w:spacing w:line="360" w:lineRule="exact"/>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0.3</w:t>
                  </w:r>
                </w:p>
              </w:tc>
              <w:tc>
                <w:tcPr>
                  <w:tcW w:w="846" w:type="pct"/>
                  <w:shd w:val="clear" w:color="auto" w:fill="auto"/>
                  <w:vAlign w:val="center"/>
                </w:tcPr>
                <w:p w14:paraId="6D060647">
                  <w:pPr>
                    <w:tabs>
                      <w:tab w:val="left" w:pos="1021"/>
                    </w:tabs>
                    <w:adjustRightInd/>
                    <w:snapToGrid/>
                    <w:spacing w:line="360" w:lineRule="exact"/>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5</w:t>
                  </w:r>
                </w:p>
              </w:tc>
              <w:tc>
                <w:tcPr>
                  <w:tcW w:w="1181" w:type="pct"/>
                  <w:shd w:val="clear" w:color="auto" w:fill="auto"/>
                  <w:vAlign w:val="center"/>
                </w:tcPr>
                <w:p w14:paraId="151369D6">
                  <w:pPr>
                    <w:tabs>
                      <w:tab w:val="left" w:pos="1021"/>
                    </w:tabs>
                    <w:adjustRightInd/>
                    <w:snapToGrid/>
                    <w:spacing w:line="360" w:lineRule="exact"/>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2，用于除臭</w:t>
                  </w:r>
                </w:p>
              </w:tc>
            </w:tr>
            <w:tr w14:paraId="6499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36DCCBE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15</w:t>
                  </w:r>
                </w:p>
              </w:tc>
              <w:tc>
                <w:tcPr>
                  <w:tcW w:w="1408" w:type="pct"/>
                  <w:shd w:val="clear" w:color="auto" w:fill="auto"/>
                  <w:vAlign w:val="center"/>
                </w:tcPr>
                <w:p w14:paraId="7BBDA473">
                  <w:pPr>
                    <w:adjustRightInd/>
                    <w:snapToGrid/>
                    <w:spacing w:line="240" w:lineRule="auto"/>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蒸汽</w:t>
                  </w:r>
                </w:p>
              </w:tc>
              <w:tc>
                <w:tcPr>
                  <w:tcW w:w="473" w:type="pct"/>
                  <w:shd w:val="clear" w:color="auto" w:fill="auto"/>
                  <w:vAlign w:val="center"/>
                </w:tcPr>
                <w:p w14:paraId="488CC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0A89C9C3">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547.5</w:t>
                  </w:r>
                </w:p>
              </w:tc>
              <w:tc>
                <w:tcPr>
                  <w:tcW w:w="846" w:type="pct"/>
                  <w:shd w:val="clear" w:color="auto" w:fill="auto"/>
                  <w:vAlign w:val="center"/>
                </w:tcPr>
                <w:p w14:paraId="6EE0C279">
                  <w:pPr>
                    <w:tabs>
                      <w:tab w:val="left" w:pos="1021"/>
                    </w:tabs>
                    <w:adjustRightInd/>
                    <w:snapToGrid/>
                    <w:spacing w:line="360" w:lineRule="exact"/>
                    <w:ind w:firstLine="0" w:firstLineChars="0"/>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547.5</w:t>
                  </w:r>
                </w:p>
              </w:tc>
              <w:tc>
                <w:tcPr>
                  <w:tcW w:w="1181" w:type="pct"/>
                  <w:shd w:val="clear" w:color="auto" w:fill="auto"/>
                  <w:vAlign w:val="center"/>
                </w:tcPr>
                <w:p w14:paraId="3151420A">
                  <w:pPr>
                    <w:tabs>
                      <w:tab w:val="left" w:pos="1021"/>
                    </w:tabs>
                    <w:adjustRightInd/>
                    <w:snapToGrid/>
                    <w:spacing w:line="360" w:lineRule="exact"/>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烫毛池容积不变，故蒸汽量不增加</w:t>
                  </w:r>
                </w:p>
              </w:tc>
            </w:tr>
            <w:tr w14:paraId="787D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343" w:type="pct"/>
                  <w:shd w:val="clear" w:color="auto" w:fill="auto"/>
                  <w:vAlign w:val="center"/>
                </w:tcPr>
                <w:p w14:paraId="2DF889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16</w:t>
                  </w:r>
                </w:p>
              </w:tc>
              <w:tc>
                <w:tcPr>
                  <w:tcW w:w="1408" w:type="pct"/>
                  <w:shd w:val="clear" w:color="auto" w:fill="auto"/>
                  <w:vAlign w:val="center"/>
                </w:tcPr>
                <w:p w14:paraId="17AB4A47">
                  <w:pPr>
                    <w:adjustRightInd/>
                    <w:snapToGrid/>
                    <w:spacing w:line="240" w:lineRule="auto"/>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PAC</w:t>
                  </w:r>
                </w:p>
              </w:tc>
              <w:tc>
                <w:tcPr>
                  <w:tcW w:w="473" w:type="pct"/>
                  <w:shd w:val="clear" w:color="auto" w:fill="auto"/>
                  <w:vAlign w:val="center"/>
                </w:tcPr>
                <w:p w14:paraId="3015F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09704343">
                  <w:pPr>
                    <w:tabs>
                      <w:tab w:val="left" w:pos="1021"/>
                    </w:tabs>
                    <w:adjustRightInd/>
                    <w:snapToGrid/>
                    <w:spacing w:line="360" w:lineRule="exact"/>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2</w:t>
                  </w:r>
                </w:p>
              </w:tc>
              <w:tc>
                <w:tcPr>
                  <w:tcW w:w="846" w:type="pct"/>
                  <w:shd w:val="clear" w:color="auto" w:fill="auto"/>
                  <w:vAlign w:val="center"/>
                </w:tcPr>
                <w:p w14:paraId="767BD05C">
                  <w:pPr>
                    <w:tabs>
                      <w:tab w:val="left" w:pos="1021"/>
                    </w:tabs>
                    <w:adjustRightInd/>
                    <w:snapToGrid/>
                    <w:spacing w:line="360" w:lineRule="exact"/>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3</w:t>
                  </w:r>
                </w:p>
              </w:tc>
              <w:tc>
                <w:tcPr>
                  <w:tcW w:w="1181" w:type="pct"/>
                  <w:shd w:val="clear" w:color="auto" w:fill="auto"/>
                  <w:vAlign w:val="center"/>
                </w:tcPr>
                <w:p w14:paraId="4B8B2B5D">
                  <w:pPr>
                    <w:tabs>
                      <w:tab w:val="left" w:pos="1021"/>
                    </w:tabs>
                    <w:adjustRightInd/>
                    <w:snapToGrid/>
                    <w:spacing w:line="360" w:lineRule="exact"/>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+1，用于污水处理</w:t>
                  </w:r>
                </w:p>
              </w:tc>
            </w:tr>
            <w:tr w14:paraId="093A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05BB187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17</w:t>
                  </w:r>
                </w:p>
              </w:tc>
              <w:tc>
                <w:tcPr>
                  <w:tcW w:w="1408" w:type="pct"/>
                  <w:shd w:val="clear" w:color="auto" w:fill="auto"/>
                  <w:vAlign w:val="center"/>
                </w:tcPr>
                <w:p w14:paraId="44CEAEAC">
                  <w:pPr>
                    <w:adjustRightInd/>
                    <w:snapToGrid/>
                    <w:spacing w:line="240" w:lineRule="auto"/>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PAM</w:t>
                  </w:r>
                </w:p>
              </w:tc>
              <w:tc>
                <w:tcPr>
                  <w:tcW w:w="473" w:type="pct"/>
                  <w:shd w:val="clear" w:color="auto" w:fill="auto"/>
                  <w:vAlign w:val="center"/>
                </w:tcPr>
                <w:p w14:paraId="7DD8AE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2F0B84D2">
                  <w:pPr>
                    <w:tabs>
                      <w:tab w:val="left" w:pos="1021"/>
                    </w:tabs>
                    <w:adjustRightInd/>
                    <w:snapToGrid/>
                    <w:spacing w:line="360" w:lineRule="exact"/>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2</w:t>
                  </w:r>
                </w:p>
              </w:tc>
              <w:tc>
                <w:tcPr>
                  <w:tcW w:w="846" w:type="pct"/>
                  <w:shd w:val="clear" w:color="auto" w:fill="auto"/>
                  <w:vAlign w:val="center"/>
                </w:tcPr>
                <w:p w14:paraId="44AECCB1">
                  <w:pPr>
                    <w:tabs>
                      <w:tab w:val="left" w:pos="1021"/>
                    </w:tabs>
                    <w:adjustRightInd/>
                    <w:snapToGrid/>
                    <w:spacing w:line="360" w:lineRule="exact"/>
                    <w:ind w:firstLine="0" w:firstLineChars="0"/>
                    <w:jc w:val="center"/>
                    <w:rPr>
                      <w:rFonts w:hint="default" w:ascii="Times New Roman" w:hAnsi="Times New Roman" w:eastAsia="宋体"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3</w:t>
                  </w:r>
                </w:p>
              </w:tc>
              <w:tc>
                <w:tcPr>
                  <w:tcW w:w="1181" w:type="pct"/>
                  <w:shd w:val="clear" w:color="auto" w:fill="auto"/>
                  <w:vAlign w:val="center"/>
                </w:tcPr>
                <w:p w14:paraId="598F4E1F">
                  <w:pPr>
                    <w:tabs>
                      <w:tab w:val="left" w:pos="1021"/>
                    </w:tabs>
                    <w:adjustRightInd/>
                    <w:snapToGrid/>
                    <w:spacing w:line="360" w:lineRule="exact"/>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+1，用于污水处理</w:t>
                  </w:r>
                </w:p>
              </w:tc>
            </w:tr>
            <w:tr w14:paraId="35DB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405F09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18</w:t>
                  </w:r>
                </w:p>
              </w:tc>
              <w:tc>
                <w:tcPr>
                  <w:tcW w:w="1408" w:type="pct"/>
                  <w:shd w:val="clear" w:color="auto" w:fill="auto"/>
                  <w:vAlign w:val="center"/>
                </w:tcPr>
                <w:p w14:paraId="6B4007A7">
                  <w:pPr>
                    <w:adjustRightInd/>
                    <w:snapToGrid/>
                    <w:spacing w:line="240" w:lineRule="auto"/>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PCR试剂</w:t>
                  </w:r>
                </w:p>
              </w:tc>
              <w:tc>
                <w:tcPr>
                  <w:tcW w:w="473" w:type="pct"/>
                  <w:shd w:val="clear" w:color="auto" w:fill="auto"/>
                  <w:vAlign w:val="center"/>
                </w:tcPr>
                <w:p w14:paraId="7159A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3826FA69">
                  <w:pPr>
                    <w:tabs>
                      <w:tab w:val="left" w:pos="1021"/>
                    </w:tabs>
                    <w:adjustRightInd/>
                    <w:snapToGrid/>
                    <w:spacing w:line="360" w:lineRule="exact"/>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0.5</w:t>
                  </w:r>
                </w:p>
              </w:tc>
              <w:tc>
                <w:tcPr>
                  <w:tcW w:w="846" w:type="pct"/>
                  <w:shd w:val="clear" w:color="auto" w:fill="auto"/>
                  <w:vAlign w:val="center"/>
                </w:tcPr>
                <w:p w14:paraId="582522E6">
                  <w:pPr>
                    <w:tabs>
                      <w:tab w:val="left" w:pos="1021"/>
                    </w:tabs>
                    <w:adjustRightInd/>
                    <w:snapToGrid/>
                    <w:spacing w:line="360" w:lineRule="exact"/>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0.8</w:t>
                  </w:r>
                </w:p>
              </w:tc>
              <w:tc>
                <w:tcPr>
                  <w:tcW w:w="1181" w:type="pct"/>
                  <w:shd w:val="clear" w:color="auto" w:fill="auto"/>
                  <w:vAlign w:val="center"/>
                </w:tcPr>
                <w:p w14:paraId="14A3507A">
                  <w:pPr>
                    <w:tabs>
                      <w:tab w:val="left" w:pos="1021"/>
                    </w:tabs>
                    <w:adjustRightInd/>
                    <w:snapToGrid/>
                    <w:spacing w:line="360" w:lineRule="exact"/>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+0.3，用于污水处理</w:t>
                  </w:r>
                </w:p>
              </w:tc>
            </w:tr>
            <w:tr w14:paraId="444F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06E1C7A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19</w:t>
                  </w:r>
                </w:p>
              </w:tc>
              <w:tc>
                <w:tcPr>
                  <w:tcW w:w="1408" w:type="pct"/>
                  <w:shd w:val="clear" w:color="auto" w:fill="auto"/>
                  <w:vAlign w:val="center"/>
                </w:tcPr>
                <w:p w14:paraId="21122948">
                  <w:pPr>
                    <w:adjustRightInd/>
                    <w:snapToGrid/>
                    <w:spacing w:line="240" w:lineRule="auto"/>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动物源性快速检测卡</w:t>
                  </w:r>
                </w:p>
              </w:tc>
              <w:tc>
                <w:tcPr>
                  <w:tcW w:w="473" w:type="pct"/>
                  <w:shd w:val="clear" w:color="auto" w:fill="auto"/>
                  <w:vAlign w:val="center"/>
                </w:tcPr>
                <w:p w14:paraId="0BE90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shd w:val="clear" w:color="auto" w:fill="auto"/>
                  <w:vAlign w:val="center"/>
                </w:tcPr>
                <w:p w14:paraId="52961FED">
                  <w:pPr>
                    <w:tabs>
                      <w:tab w:val="left" w:pos="1021"/>
                    </w:tabs>
                    <w:adjustRightInd/>
                    <w:snapToGrid/>
                    <w:spacing w:line="360" w:lineRule="exact"/>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0.2</w:t>
                  </w:r>
                </w:p>
              </w:tc>
              <w:tc>
                <w:tcPr>
                  <w:tcW w:w="846" w:type="pct"/>
                  <w:shd w:val="clear" w:color="auto" w:fill="auto"/>
                  <w:vAlign w:val="center"/>
                </w:tcPr>
                <w:p w14:paraId="13A20F6C">
                  <w:pPr>
                    <w:tabs>
                      <w:tab w:val="left" w:pos="1021"/>
                    </w:tabs>
                    <w:adjustRightInd/>
                    <w:snapToGrid/>
                    <w:spacing w:line="360" w:lineRule="exact"/>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0.5</w:t>
                  </w:r>
                </w:p>
              </w:tc>
              <w:tc>
                <w:tcPr>
                  <w:tcW w:w="1181" w:type="pct"/>
                  <w:shd w:val="clear" w:color="auto" w:fill="auto"/>
                  <w:vAlign w:val="center"/>
                </w:tcPr>
                <w:p w14:paraId="5A08BABE">
                  <w:pPr>
                    <w:tabs>
                      <w:tab w:val="left" w:pos="1021"/>
                    </w:tabs>
                    <w:adjustRightInd/>
                    <w:snapToGrid/>
                    <w:spacing w:line="360" w:lineRule="exact"/>
                    <w:ind w:firstLine="0" w:firstLineChars="0"/>
                    <w:jc w:val="center"/>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+0.3，用于检测</w:t>
                  </w:r>
                </w:p>
              </w:tc>
            </w:tr>
            <w:tr w14:paraId="6ADF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77FE61B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20</w:t>
                  </w:r>
                </w:p>
              </w:tc>
              <w:tc>
                <w:tcPr>
                  <w:tcW w:w="1408" w:type="pct"/>
                  <w:shd w:val="clear" w:color="auto" w:fill="auto"/>
                  <w:vAlign w:val="center"/>
                </w:tcPr>
                <w:p w14:paraId="3A53A803">
                  <w:pPr>
                    <w:adjustRightInd/>
                    <w:snapToGrid/>
                    <w:spacing w:line="240" w:lineRule="auto"/>
                    <w:ind w:firstLine="0" w:firstLineChars="0"/>
                    <w:jc w:val="center"/>
                    <w:rPr>
                      <w:rFonts w:hint="eastAsia" w:ascii="Times New Roman" w:hAnsi="Times New Roman" w:eastAsia="宋体" w:cs="Times New Roman"/>
                      <w:color w:val="auto"/>
                      <w:spacing w:val="0"/>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水</w:t>
                  </w:r>
                </w:p>
              </w:tc>
              <w:tc>
                <w:tcPr>
                  <w:tcW w:w="473" w:type="pct"/>
                  <w:vAlign w:val="center"/>
                </w:tcPr>
                <w:p w14:paraId="409C69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t/a</w:t>
                  </w:r>
                </w:p>
              </w:tc>
              <w:tc>
                <w:tcPr>
                  <w:tcW w:w="746" w:type="pct"/>
                  <w:vAlign w:val="center"/>
                </w:tcPr>
                <w:p w14:paraId="2F1DAAF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74000</w:t>
                  </w:r>
                </w:p>
              </w:tc>
              <w:tc>
                <w:tcPr>
                  <w:tcW w:w="846" w:type="pct"/>
                  <w:vAlign w:val="center"/>
                </w:tcPr>
                <w:p w14:paraId="4CB1CB6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88094.1</w:t>
                  </w:r>
                </w:p>
              </w:tc>
              <w:tc>
                <w:tcPr>
                  <w:tcW w:w="1181" w:type="pct"/>
                  <w:shd w:val="clear" w:color="auto" w:fill="auto"/>
                  <w:vAlign w:val="center"/>
                </w:tcPr>
                <w:p w14:paraId="543CC1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+80649.1</w:t>
                  </w:r>
                </w:p>
              </w:tc>
            </w:tr>
            <w:tr w14:paraId="0C1C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 w:type="pct"/>
                  <w:shd w:val="clear" w:color="auto" w:fill="auto"/>
                  <w:vAlign w:val="center"/>
                </w:tcPr>
                <w:p w14:paraId="73C00E4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21</w:t>
                  </w:r>
                </w:p>
              </w:tc>
              <w:tc>
                <w:tcPr>
                  <w:tcW w:w="1408" w:type="pct"/>
                  <w:shd w:val="clear" w:color="auto" w:fill="auto"/>
                  <w:vAlign w:val="center"/>
                </w:tcPr>
                <w:p w14:paraId="5780E351">
                  <w:pPr>
                    <w:adjustRightInd/>
                    <w:snapToGrid/>
                    <w:spacing w:line="240" w:lineRule="auto"/>
                    <w:ind w:firstLine="0" w:firstLineChars="0"/>
                    <w:jc w:val="center"/>
                    <w:rPr>
                      <w:rFonts w:hint="eastAsia" w:ascii="Times New Roman" w:hAnsi="Times New Roman" w:eastAsia="宋体" w:cs="Times New Roman"/>
                      <w:color w:val="auto"/>
                      <w:spacing w:val="0"/>
                      <w:sz w:val="21"/>
                      <w:szCs w:val="21"/>
                      <w:u w:val="single" w:color="auto"/>
                      <w:lang w:val="en-US" w:eastAsia="zh-CN"/>
                    </w:rPr>
                  </w:pPr>
                  <w:r>
                    <w:rPr>
                      <w:rFonts w:hint="eastAsia" w:ascii="Times New Roman" w:hAnsi="Times New Roman" w:eastAsia="宋体" w:cs="Times New Roman"/>
                      <w:color w:val="auto"/>
                      <w:spacing w:val="0"/>
                      <w:sz w:val="21"/>
                      <w:szCs w:val="21"/>
                      <w:u w:val="single" w:color="auto"/>
                      <w:lang w:val="en-US" w:eastAsia="zh-CN"/>
                    </w:rPr>
                    <w:t>电</w:t>
                  </w:r>
                </w:p>
              </w:tc>
              <w:tc>
                <w:tcPr>
                  <w:tcW w:w="473" w:type="pct"/>
                  <w:vAlign w:val="center"/>
                </w:tcPr>
                <w:p w14:paraId="7F6F3D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Kw*h</w:t>
                  </w:r>
                </w:p>
              </w:tc>
              <w:tc>
                <w:tcPr>
                  <w:tcW w:w="746" w:type="pct"/>
                  <w:vAlign w:val="center"/>
                </w:tcPr>
                <w:p w14:paraId="18D58D1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5万</w:t>
                  </w:r>
                </w:p>
              </w:tc>
              <w:tc>
                <w:tcPr>
                  <w:tcW w:w="846" w:type="pct"/>
                  <w:vAlign w:val="center"/>
                </w:tcPr>
                <w:p w14:paraId="583727C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50万</w:t>
                  </w:r>
                </w:p>
              </w:tc>
              <w:tc>
                <w:tcPr>
                  <w:tcW w:w="1181" w:type="pct"/>
                  <w:vAlign w:val="center"/>
                </w:tcPr>
                <w:p w14:paraId="06129B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+45万</w:t>
                  </w:r>
                </w:p>
              </w:tc>
            </w:tr>
            <w:tr w14:paraId="033D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DF0E3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Times New Roman" w:hAnsi="Times New Roman" w:eastAsia="宋体" w:cs="Times New Roman"/>
                      <w:color w:val="auto"/>
                      <w:spacing w:val="4"/>
                      <w:sz w:val="21"/>
                      <w:szCs w:val="21"/>
                      <w:u w:val="single" w:color="auto"/>
                      <w:lang w:val="en-US" w:eastAsia="zh-CN"/>
                    </w:rPr>
                  </w:pPr>
                  <w:r>
                    <w:rPr>
                      <w:rFonts w:hint="eastAsia" w:ascii="Times New Roman" w:hAnsi="Times New Roman" w:eastAsia="宋体" w:cs="Times New Roman"/>
                      <w:color w:val="auto"/>
                      <w:spacing w:val="4"/>
                      <w:sz w:val="21"/>
                      <w:szCs w:val="21"/>
                      <w:u w:val="single" w:color="auto"/>
                      <w:lang w:val="en-US" w:eastAsia="zh-CN"/>
                    </w:rPr>
                    <w:t>注：</w:t>
                  </w:r>
                </w:p>
                <w:p w14:paraId="37D3CAC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cs="Times New Roman"/>
                      <w:color w:val="auto"/>
                      <w:spacing w:val="4"/>
                      <w:sz w:val="21"/>
                      <w:szCs w:val="21"/>
                      <w:u w:val="single" w:color="auto"/>
                      <w:lang w:val="en-US" w:eastAsia="zh-CN"/>
                    </w:rPr>
                    <w:t>1.</w:t>
                  </w:r>
                  <w:r>
                    <w:rPr>
                      <w:rFonts w:hint="eastAsia" w:cs="Times New Roman"/>
                      <w:color w:val="auto"/>
                      <w:spacing w:val="4"/>
                      <w:sz w:val="21"/>
                      <w:szCs w:val="21"/>
                      <w:u w:val="single" w:color="auto"/>
                    </w:rPr>
                    <w:t>根据《排污许可证申请与核发技术规范 农副食品加工工业-屠宰及肉类加工工业》</w:t>
                  </w:r>
                  <w:r>
                    <w:rPr>
                      <w:rFonts w:hint="eastAsia" w:cs="Times New Roman"/>
                      <w:color w:val="auto"/>
                      <w:spacing w:val="4"/>
                      <w:sz w:val="21"/>
                      <w:szCs w:val="21"/>
                      <w:u w:val="single" w:color="auto"/>
                      <w:lang w:eastAsia="zh-CN"/>
                    </w:rPr>
                    <w:t>（</w:t>
                  </w:r>
                  <w:r>
                    <w:rPr>
                      <w:rFonts w:hint="eastAsia" w:cs="Times New Roman"/>
                      <w:color w:val="auto"/>
                      <w:spacing w:val="4"/>
                      <w:sz w:val="21"/>
                      <w:szCs w:val="21"/>
                      <w:u w:val="single" w:color="auto"/>
                    </w:rPr>
                    <w:t>HJ</w:t>
                  </w:r>
                  <w:r>
                    <w:rPr>
                      <w:rFonts w:hint="eastAsia" w:cs="Times New Roman"/>
                      <w:color w:val="auto"/>
                      <w:spacing w:val="4"/>
                      <w:sz w:val="21"/>
                      <w:szCs w:val="21"/>
                      <w:u w:val="single" w:color="auto"/>
                      <w:lang w:val="en-US" w:eastAsia="zh-CN"/>
                    </w:rPr>
                    <w:t xml:space="preserve"> </w:t>
                  </w:r>
                  <w:r>
                    <w:rPr>
                      <w:rFonts w:hint="eastAsia" w:cs="Times New Roman"/>
                      <w:color w:val="auto"/>
                      <w:spacing w:val="4"/>
                      <w:sz w:val="21"/>
                      <w:szCs w:val="21"/>
                      <w:u w:val="single" w:color="auto"/>
                    </w:rPr>
                    <w:t>860.3-2018</w:t>
                  </w:r>
                  <w:r>
                    <w:rPr>
                      <w:rFonts w:hint="eastAsia" w:cs="Times New Roman"/>
                      <w:color w:val="auto"/>
                      <w:spacing w:val="4"/>
                      <w:sz w:val="21"/>
                      <w:szCs w:val="21"/>
                      <w:u w:val="single" w:color="auto"/>
                      <w:lang w:eastAsia="zh-CN"/>
                    </w:rPr>
                    <w:t>）</w:t>
                  </w:r>
                  <w:r>
                    <w:rPr>
                      <w:rFonts w:hint="eastAsia" w:ascii="Times New Roman" w:hAnsi="Times New Roman" w:eastAsia="宋体" w:cs="Times New Roman"/>
                      <w:b w:val="0"/>
                      <w:bCs w:val="0"/>
                      <w:color w:val="auto"/>
                      <w:spacing w:val="4"/>
                      <w:sz w:val="21"/>
                      <w:szCs w:val="21"/>
                      <w:u w:val="single" w:color="auto"/>
                    </w:rPr>
                    <w:t>，猪的活</w:t>
                  </w:r>
                  <w:r>
                    <w:rPr>
                      <w:rFonts w:hint="eastAsia" w:ascii="Times New Roman" w:hAnsi="Times New Roman" w:eastAsia="宋体" w:cs="Times New Roman"/>
                      <w:b w:val="0"/>
                      <w:bCs w:val="0"/>
                      <w:color w:val="auto"/>
                      <w:sz w:val="21"/>
                      <w:szCs w:val="21"/>
                      <w:u w:val="single" w:color="auto"/>
                    </w:rPr>
                    <w:t>屠重</w:t>
                  </w:r>
                  <w:r>
                    <w:rPr>
                      <w:rFonts w:hint="eastAsia" w:ascii="Times New Roman" w:hAnsi="Times New Roman" w:eastAsia="宋体" w:cs="Times New Roman"/>
                      <w:b w:val="0"/>
                      <w:bCs w:val="0"/>
                      <w:color w:val="auto"/>
                      <w:sz w:val="21"/>
                      <w:szCs w:val="21"/>
                      <w:u w:val="single" w:color="auto"/>
                      <w:lang w:val="en-US" w:eastAsia="zh-CN"/>
                    </w:rPr>
                    <w:t>约</w:t>
                  </w:r>
                  <w:r>
                    <w:rPr>
                      <w:rFonts w:hint="eastAsia" w:ascii="Times New Roman" w:hAnsi="Times New Roman" w:eastAsia="宋体" w:cs="Times New Roman"/>
                      <w:b w:val="0"/>
                      <w:bCs w:val="0"/>
                      <w:color w:val="auto"/>
                      <w:sz w:val="21"/>
                      <w:szCs w:val="21"/>
                      <w:u w:val="single" w:color="auto"/>
                    </w:rPr>
                    <w:t>为</w:t>
                  </w:r>
                  <w:r>
                    <w:rPr>
                      <w:rFonts w:hint="eastAsia" w:ascii="Times New Roman" w:hAnsi="Times New Roman" w:eastAsia="宋体" w:cs="Times New Roman"/>
                      <w:color w:val="auto"/>
                      <w:sz w:val="21"/>
                      <w:szCs w:val="21"/>
                      <w:u w:val="single" w:color="auto"/>
                      <w:lang w:val="en-US" w:eastAsia="zh-CN"/>
                    </w:rPr>
                    <w:t>11</w:t>
                  </w:r>
                  <w:r>
                    <w:rPr>
                      <w:rFonts w:hint="eastAsia" w:ascii="Times New Roman" w:hAnsi="Times New Roman" w:eastAsia="宋体" w:cs="Times New Roman"/>
                      <w:b w:val="0"/>
                      <w:bCs w:val="0"/>
                      <w:color w:val="auto"/>
                      <w:sz w:val="21"/>
                      <w:szCs w:val="21"/>
                      <w:u w:val="single" w:color="auto"/>
                    </w:rPr>
                    <w:t>0</w:t>
                  </w:r>
                  <w:r>
                    <w:rPr>
                      <w:rFonts w:hint="eastAsia" w:ascii="Times New Roman" w:hAnsi="Times New Roman" w:eastAsia="宋体" w:cs="Times New Roman"/>
                      <w:b w:val="0"/>
                      <w:bCs w:val="0"/>
                      <w:color w:val="auto"/>
                      <w:sz w:val="21"/>
                      <w:szCs w:val="21"/>
                      <w:u w:val="single" w:color="auto"/>
                      <w:lang w:val="en-US" w:eastAsia="zh-CN"/>
                    </w:rPr>
                    <w:t xml:space="preserve"> </w:t>
                  </w:r>
                  <w:r>
                    <w:rPr>
                      <w:rFonts w:hint="eastAsia" w:ascii="Times New Roman" w:hAnsi="Times New Roman" w:eastAsia="宋体" w:cs="Times New Roman"/>
                      <w:b w:val="0"/>
                      <w:bCs w:val="0"/>
                      <w:color w:val="auto"/>
                      <w:sz w:val="21"/>
                      <w:szCs w:val="21"/>
                      <w:u w:val="single" w:color="auto"/>
                    </w:rPr>
                    <w:t>kg/头</w:t>
                  </w:r>
                  <w:r>
                    <w:rPr>
                      <w:rFonts w:hint="eastAsia" w:ascii="Times New Roman" w:hAnsi="Times New Roman" w:eastAsia="宋体" w:cs="Times New Roman"/>
                      <w:b w:val="0"/>
                      <w:bCs w:val="0"/>
                      <w:color w:val="auto"/>
                      <w:sz w:val="21"/>
                      <w:szCs w:val="21"/>
                      <w:u w:val="single" w:color="auto"/>
                      <w:lang w:eastAsia="zh-CN"/>
                    </w:rPr>
                    <w:t>、</w:t>
                  </w:r>
                  <w:r>
                    <w:rPr>
                      <w:rFonts w:hint="eastAsia" w:ascii="Times New Roman" w:hAnsi="Times New Roman" w:eastAsia="宋体" w:cs="Times New Roman"/>
                      <w:b w:val="0"/>
                      <w:bCs w:val="0"/>
                      <w:color w:val="auto"/>
                      <w:sz w:val="21"/>
                      <w:szCs w:val="21"/>
                      <w:u w:val="single" w:color="auto"/>
                      <w:lang w:val="en-US" w:eastAsia="zh-CN"/>
                    </w:rPr>
                    <w:t xml:space="preserve">牛活屠重500 </w:t>
                  </w:r>
                  <w:r>
                    <w:rPr>
                      <w:rFonts w:hint="eastAsia" w:ascii="Times New Roman" w:hAnsi="Times New Roman" w:eastAsia="宋体" w:cs="Times New Roman"/>
                      <w:b w:val="0"/>
                      <w:bCs w:val="0"/>
                      <w:color w:val="auto"/>
                      <w:sz w:val="21"/>
                      <w:szCs w:val="21"/>
                      <w:u w:val="single" w:color="auto"/>
                    </w:rPr>
                    <w:t>kg/头</w:t>
                  </w:r>
                  <w:r>
                    <w:rPr>
                      <w:rFonts w:hint="eastAsia" w:cs="Times New Roman"/>
                      <w:b w:val="0"/>
                      <w:bCs w:val="0"/>
                      <w:color w:val="auto"/>
                      <w:sz w:val="21"/>
                      <w:szCs w:val="21"/>
                      <w:u w:val="single" w:color="auto"/>
                      <w:lang w:eastAsia="zh-CN"/>
                    </w:rPr>
                    <w:t>、</w:t>
                  </w:r>
                  <w:r>
                    <w:rPr>
                      <w:rFonts w:hint="eastAsia" w:cs="Times New Roman"/>
                      <w:b w:val="0"/>
                      <w:bCs w:val="0"/>
                      <w:color w:val="auto"/>
                      <w:sz w:val="21"/>
                      <w:szCs w:val="21"/>
                      <w:u w:val="single" w:color="auto"/>
                      <w:lang w:val="en-US" w:eastAsia="zh-CN"/>
                    </w:rPr>
                    <w:t>肉鸡</w:t>
                  </w:r>
                  <w:r>
                    <w:rPr>
                      <w:rFonts w:hint="eastAsia" w:ascii="Times New Roman" w:hAnsi="Times New Roman" w:eastAsia="宋体" w:cs="Times New Roman"/>
                      <w:b w:val="0"/>
                      <w:bCs w:val="0"/>
                      <w:color w:val="auto"/>
                      <w:sz w:val="21"/>
                      <w:szCs w:val="21"/>
                      <w:u w:val="single" w:color="auto"/>
                      <w:lang w:val="en-US" w:eastAsia="zh-CN"/>
                    </w:rPr>
                    <w:t>活屠重</w:t>
                  </w:r>
                  <w:r>
                    <w:rPr>
                      <w:rFonts w:hint="eastAsia" w:cs="Times New Roman"/>
                      <w:b w:val="0"/>
                      <w:bCs w:val="0"/>
                      <w:color w:val="auto"/>
                      <w:sz w:val="21"/>
                      <w:szCs w:val="21"/>
                      <w:u w:val="single" w:color="auto"/>
                      <w:lang w:val="en-US" w:eastAsia="zh-CN"/>
                    </w:rPr>
                    <w:t>1.75</w:t>
                  </w:r>
                  <w:r>
                    <w:rPr>
                      <w:rFonts w:hint="eastAsia" w:ascii="Times New Roman" w:hAnsi="Times New Roman" w:eastAsia="宋体" w:cs="Times New Roman"/>
                      <w:b w:val="0"/>
                      <w:bCs w:val="0"/>
                      <w:color w:val="auto"/>
                      <w:sz w:val="21"/>
                      <w:szCs w:val="21"/>
                      <w:u w:val="single" w:color="auto"/>
                      <w:lang w:val="en-US" w:eastAsia="zh-CN"/>
                    </w:rPr>
                    <w:t xml:space="preserve"> </w:t>
                  </w:r>
                  <w:r>
                    <w:rPr>
                      <w:rFonts w:hint="eastAsia" w:ascii="Times New Roman" w:hAnsi="Times New Roman" w:eastAsia="宋体" w:cs="Times New Roman"/>
                      <w:b w:val="0"/>
                      <w:bCs w:val="0"/>
                      <w:color w:val="auto"/>
                      <w:sz w:val="21"/>
                      <w:szCs w:val="21"/>
                      <w:u w:val="single" w:color="auto"/>
                    </w:rPr>
                    <w:t>kg/头</w:t>
                  </w:r>
                  <w:r>
                    <w:rPr>
                      <w:rFonts w:hint="eastAsia" w:cs="Times New Roman"/>
                      <w:b w:val="0"/>
                      <w:bCs w:val="0"/>
                      <w:color w:val="auto"/>
                      <w:sz w:val="21"/>
                      <w:szCs w:val="21"/>
                      <w:u w:val="single" w:color="auto"/>
                      <w:lang w:eastAsia="zh-CN"/>
                    </w:rPr>
                    <w:t>、</w:t>
                  </w:r>
                  <w:r>
                    <w:rPr>
                      <w:rFonts w:hint="eastAsia" w:cs="Times New Roman"/>
                      <w:b w:val="0"/>
                      <w:bCs w:val="0"/>
                      <w:color w:val="auto"/>
                      <w:sz w:val="21"/>
                      <w:szCs w:val="21"/>
                      <w:u w:val="single" w:color="auto"/>
                      <w:lang w:val="en-US" w:eastAsia="zh-CN"/>
                    </w:rPr>
                    <w:t>肉鸭</w:t>
                  </w:r>
                  <w:r>
                    <w:rPr>
                      <w:rFonts w:hint="eastAsia" w:ascii="Times New Roman" w:hAnsi="Times New Roman" w:eastAsia="宋体" w:cs="Times New Roman"/>
                      <w:b w:val="0"/>
                      <w:bCs w:val="0"/>
                      <w:color w:val="auto"/>
                      <w:sz w:val="21"/>
                      <w:szCs w:val="21"/>
                      <w:u w:val="single" w:color="auto"/>
                      <w:lang w:val="en-US" w:eastAsia="zh-CN"/>
                    </w:rPr>
                    <w:t>活屠重</w:t>
                  </w:r>
                  <w:r>
                    <w:rPr>
                      <w:rFonts w:hint="eastAsia" w:cs="Times New Roman"/>
                      <w:b w:val="0"/>
                      <w:bCs w:val="0"/>
                      <w:color w:val="auto"/>
                      <w:sz w:val="21"/>
                      <w:szCs w:val="21"/>
                      <w:u w:val="single" w:color="auto"/>
                      <w:lang w:val="en-US" w:eastAsia="zh-CN"/>
                    </w:rPr>
                    <w:t>2.5</w:t>
                  </w:r>
                  <w:r>
                    <w:rPr>
                      <w:rFonts w:hint="eastAsia" w:ascii="Times New Roman" w:hAnsi="Times New Roman" w:eastAsia="宋体" w:cs="Times New Roman"/>
                      <w:b w:val="0"/>
                      <w:bCs w:val="0"/>
                      <w:color w:val="auto"/>
                      <w:sz w:val="21"/>
                      <w:szCs w:val="21"/>
                      <w:u w:val="single" w:color="auto"/>
                      <w:lang w:val="en-US" w:eastAsia="zh-CN"/>
                    </w:rPr>
                    <w:t xml:space="preserve"> </w:t>
                  </w:r>
                  <w:r>
                    <w:rPr>
                      <w:rFonts w:hint="eastAsia" w:ascii="Times New Roman" w:hAnsi="Times New Roman" w:eastAsia="宋体" w:cs="Times New Roman"/>
                      <w:b w:val="0"/>
                      <w:bCs w:val="0"/>
                      <w:color w:val="auto"/>
                      <w:sz w:val="21"/>
                      <w:szCs w:val="21"/>
                      <w:u w:val="single" w:color="auto"/>
                    </w:rPr>
                    <w:t>kg/头</w:t>
                  </w:r>
                  <w:r>
                    <w:rPr>
                      <w:rFonts w:hint="eastAsia" w:cs="Times New Roman"/>
                      <w:b w:val="0"/>
                      <w:bCs w:val="0"/>
                      <w:color w:val="auto"/>
                      <w:sz w:val="21"/>
                      <w:szCs w:val="21"/>
                      <w:u w:val="single" w:color="auto"/>
                      <w:lang w:eastAsia="zh-CN"/>
                    </w:rPr>
                    <w:t>，</w:t>
                  </w:r>
                  <w:r>
                    <w:rPr>
                      <w:rFonts w:hint="eastAsia" w:cs="Times New Roman"/>
                      <w:b w:val="0"/>
                      <w:bCs w:val="0"/>
                      <w:color w:val="auto"/>
                      <w:sz w:val="21"/>
                      <w:szCs w:val="21"/>
                      <w:u w:val="single" w:color="auto"/>
                      <w:lang w:val="en-US" w:eastAsia="zh-CN"/>
                    </w:rPr>
                    <w:t>根</w:t>
                  </w:r>
                  <w:r>
                    <w:rPr>
                      <w:rFonts w:hint="eastAsia" w:cs="Times New Roman"/>
                      <w:b w:val="0"/>
                      <w:bCs w:val="0"/>
                      <w:color w:val="auto"/>
                      <w:spacing w:val="4"/>
                      <w:sz w:val="21"/>
                      <w:szCs w:val="21"/>
                      <w:u w:val="single" w:color="auto"/>
                      <w:lang w:val="en-US" w:eastAsia="zh-CN"/>
                    </w:rPr>
                    <w:t>据</w:t>
                  </w:r>
                  <w:r>
                    <w:rPr>
                      <w:rFonts w:hint="eastAsia" w:ascii="Times New Roman" w:hAnsi="Times New Roman" w:eastAsia="宋体" w:cs="Times New Roman"/>
                      <w:color w:val="auto"/>
                      <w:spacing w:val="4"/>
                      <w:kern w:val="2"/>
                      <w:sz w:val="21"/>
                      <w:szCs w:val="21"/>
                      <w:u w:val="single" w:color="auto"/>
                      <w:lang w:val="en-US" w:eastAsia="zh-CN" w:bidi="ar"/>
                    </w:rPr>
                    <w:t>《排放源统计调查产排污核算方法和系数手册》中的</w:t>
                  </w:r>
                  <w:r>
                    <w:rPr>
                      <w:rFonts w:hint="eastAsia" w:cs="Times New Roman"/>
                      <w:color w:val="auto"/>
                      <w:spacing w:val="4"/>
                      <w:kern w:val="2"/>
                      <w:sz w:val="21"/>
                      <w:szCs w:val="21"/>
                      <w:u w:val="single" w:color="auto"/>
                      <w:lang w:val="en-US" w:eastAsia="zh-CN" w:bidi="ar"/>
                    </w:rPr>
                    <w:t>屠宰及肉类加工</w:t>
                  </w:r>
                  <w:r>
                    <w:rPr>
                      <w:rFonts w:hint="eastAsia" w:ascii="Times New Roman" w:hAnsi="Times New Roman" w:cs="Times New Roman"/>
                      <w:color w:val="auto"/>
                      <w:spacing w:val="4"/>
                      <w:kern w:val="2"/>
                      <w:sz w:val="21"/>
                      <w:szCs w:val="21"/>
                      <w:u w:val="single" w:color="auto"/>
                      <w:lang w:val="en-US" w:eastAsia="zh-CN" w:bidi="ar"/>
                    </w:rPr>
                    <w:t>行业</w:t>
                  </w:r>
                  <w:r>
                    <w:rPr>
                      <w:rFonts w:hint="eastAsia" w:ascii="Times New Roman" w:hAnsi="Times New Roman" w:eastAsia="宋体" w:cs="Times New Roman"/>
                      <w:color w:val="auto"/>
                      <w:spacing w:val="4"/>
                      <w:kern w:val="2"/>
                      <w:sz w:val="21"/>
                      <w:szCs w:val="21"/>
                      <w:u w:val="single" w:color="auto"/>
                      <w:lang w:val="en-US" w:eastAsia="zh-CN" w:bidi="ar"/>
                    </w:rPr>
                    <w:t>系数手册，“</w:t>
                  </w:r>
                  <w:r>
                    <w:rPr>
                      <w:rFonts w:hint="eastAsia" w:cs="Times New Roman"/>
                      <w:color w:val="auto"/>
                      <w:spacing w:val="4"/>
                      <w:kern w:val="2"/>
                      <w:sz w:val="21"/>
                      <w:szCs w:val="21"/>
                      <w:u w:val="single" w:color="auto"/>
                      <w:lang w:val="en-US" w:eastAsia="zh-CN" w:bidi="ar"/>
                    </w:rPr>
                    <w:t>2.3节</w:t>
                  </w:r>
                  <w:r>
                    <w:rPr>
                      <w:rFonts w:hint="eastAsia" w:ascii="Times New Roman" w:hAnsi="Times New Roman" w:eastAsia="宋体" w:cs="Times New Roman"/>
                      <w:color w:val="auto"/>
                      <w:spacing w:val="4"/>
                      <w:kern w:val="2"/>
                      <w:sz w:val="21"/>
                      <w:szCs w:val="21"/>
                      <w:u w:val="single" w:color="auto"/>
                      <w:lang w:val="en-US" w:eastAsia="zh-CN" w:bidi="ar"/>
                    </w:rPr>
                    <w:t>”</w:t>
                  </w:r>
                  <w:r>
                    <w:rPr>
                      <w:rFonts w:hint="eastAsia" w:cs="Times New Roman"/>
                      <w:b w:val="0"/>
                      <w:bCs w:val="0"/>
                      <w:color w:val="auto"/>
                      <w:spacing w:val="4"/>
                      <w:sz w:val="21"/>
                      <w:szCs w:val="21"/>
                      <w:u w:val="single" w:color="auto"/>
                      <w:lang w:val="en-US" w:eastAsia="zh-CN"/>
                    </w:rPr>
                    <w:t>，</w:t>
                  </w:r>
                  <w:r>
                    <w:rPr>
                      <w:rFonts w:hint="eastAsia" w:cs="Times New Roman"/>
                      <w:b w:val="0"/>
                      <w:bCs w:val="0"/>
                      <w:color w:val="auto"/>
                      <w:sz w:val="21"/>
                      <w:szCs w:val="21"/>
                      <w:u w:val="single" w:color="auto"/>
                      <w:lang w:val="en-US" w:eastAsia="zh-CN"/>
                    </w:rPr>
                    <w:t>肉鹅</w:t>
                  </w:r>
                  <w:r>
                    <w:rPr>
                      <w:rFonts w:hint="eastAsia" w:ascii="Times New Roman" w:hAnsi="Times New Roman" w:eastAsia="宋体" w:cs="Times New Roman"/>
                      <w:b w:val="0"/>
                      <w:bCs w:val="0"/>
                      <w:color w:val="auto"/>
                      <w:sz w:val="21"/>
                      <w:szCs w:val="21"/>
                      <w:u w:val="single" w:color="auto"/>
                      <w:lang w:val="en-US" w:eastAsia="zh-CN"/>
                    </w:rPr>
                    <w:t>活屠</w:t>
                  </w:r>
                  <w:r>
                    <w:rPr>
                      <w:rFonts w:hint="eastAsia" w:ascii="Times New Roman" w:hAnsi="Times New Roman" w:eastAsia="宋体" w:cs="Times New Roman"/>
                      <w:b w:val="0"/>
                      <w:bCs w:val="0"/>
                      <w:color w:val="auto"/>
                      <w:spacing w:val="4"/>
                      <w:sz w:val="21"/>
                      <w:szCs w:val="21"/>
                      <w:u w:val="single" w:color="auto"/>
                      <w:lang w:val="en-US" w:eastAsia="zh-CN"/>
                    </w:rPr>
                    <w:t xml:space="preserve">重3 </w:t>
                  </w:r>
                  <w:r>
                    <w:rPr>
                      <w:rFonts w:hint="eastAsia" w:ascii="Times New Roman" w:hAnsi="Times New Roman" w:eastAsia="宋体" w:cs="Times New Roman"/>
                      <w:b w:val="0"/>
                      <w:bCs w:val="0"/>
                      <w:color w:val="auto"/>
                      <w:spacing w:val="4"/>
                      <w:sz w:val="21"/>
                      <w:szCs w:val="21"/>
                      <w:u w:val="single" w:color="auto"/>
                    </w:rPr>
                    <w:t>kg/头</w:t>
                  </w:r>
                  <w:r>
                    <w:rPr>
                      <w:rFonts w:hint="eastAsia" w:ascii="Times New Roman" w:hAnsi="Times New Roman" w:eastAsia="宋体" w:cs="Times New Roman"/>
                      <w:b w:val="0"/>
                      <w:bCs w:val="0"/>
                      <w:color w:val="auto"/>
                      <w:spacing w:val="4"/>
                      <w:sz w:val="21"/>
                      <w:szCs w:val="21"/>
                      <w:u w:val="single" w:color="auto"/>
                      <w:lang w:eastAsia="zh-CN"/>
                    </w:rPr>
                    <w:t>，</w:t>
                  </w:r>
                  <w:r>
                    <w:rPr>
                      <w:rFonts w:hint="eastAsia" w:ascii="Times New Roman" w:hAnsi="Times New Roman" w:eastAsia="宋体" w:cs="Times New Roman"/>
                      <w:b w:val="0"/>
                      <w:bCs w:val="0"/>
                      <w:color w:val="auto"/>
                      <w:spacing w:val="4"/>
                      <w:sz w:val="21"/>
                      <w:szCs w:val="21"/>
                      <w:u w:val="single" w:color="auto"/>
                      <w:lang w:val="en-US" w:eastAsia="zh-CN"/>
                    </w:rPr>
                    <w:t>故本项目</w:t>
                  </w:r>
                  <w:r>
                    <w:rPr>
                      <w:rFonts w:hint="eastAsia" w:ascii="Times New Roman" w:hAnsi="Times New Roman" w:eastAsia="宋体" w:cs="Times New Roman"/>
                      <w:b w:val="0"/>
                      <w:bCs w:val="0"/>
                      <w:snapToGrid/>
                      <w:color w:val="auto"/>
                      <w:spacing w:val="4"/>
                      <w:sz w:val="21"/>
                      <w:szCs w:val="21"/>
                      <w:u w:val="single" w:color="auto"/>
                      <w:lang w:val="en-US" w:eastAsia="zh-CN"/>
                    </w:rPr>
                    <w:t>本项目技术改造完成后将实现</w:t>
                  </w:r>
                  <w:r>
                    <w:rPr>
                      <w:rFonts w:hint="eastAsia" w:ascii="Times New Roman" w:hAnsi="Times New Roman" w:eastAsia="宋体" w:cs="Times New Roman"/>
                      <w:b w:val="0"/>
                      <w:bCs w:val="0"/>
                      <w:snapToGrid/>
                      <w:color w:val="auto"/>
                      <w:spacing w:val="4"/>
                      <w:sz w:val="21"/>
                      <w:szCs w:val="21"/>
                      <w:u w:val="single" w:color="auto"/>
                    </w:rPr>
                    <w:t>年屠宰生猪</w:t>
                  </w:r>
                  <w:r>
                    <w:rPr>
                      <w:rFonts w:hint="eastAsia" w:ascii="Times New Roman" w:hAnsi="Times New Roman" w:eastAsia="宋体" w:cs="Times New Roman"/>
                      <w:b w:val="0"/>
                      <w:bCs w:val="0"/>
                      <w:snapToGrid/>
                      <w:color w:val="auto"/>
                      <w:spacing w:val="4"/>
                      <w:sz w:val="21"/>
                      <w:szCs w:val="21"/>
                      <w:u w:val="single" w:color="auto"/>
                      <w:lang w:val="en-US" w:eastAsia="zh-CN"/>
                    </w:rPr>
                    <w:t>89733</w:t>
                  </w:r>
                  <w:r>
                    <w:rPr>
                      <w:rFonts w:hint="eastAsia" w:ascii="Times New Roman" w:hAnsi="Times New Roman" w:eastAsia="宋体" w:cs="Times New Roman"/>
                      <w:b w:val="0"/>
                      <w:bCs w:val="0"/>
                      <w:snapToGrid/>
                      <w:color w:val="auto"/>
                      <w:spacing w:val="4"/>
                      <w:sz w:val="21"/>
                      <w:szCs w:val="21"/>
                      <w:u w:val="single" w:color="auto"/>
                    </w:rPr>
                    <w:t>头</w:t>
                  </w:r>
                  <w:r>
                    <w:rPr>
                      <w:rFonts w:hint="eastAsia" w:ascii="Times New Roman" w:hAnsi="Times New Roman" w:eastAsia="宋体" w:cs="Times New Roman"/>
                      <w:b w:val="0"/>
                      <w:bCs w:val="0"/>
                      <w:snapToGrid/>
                      <w:color w:val="auto"/>
                      <w:spacing w:val="4"/>
                      <w:sz w:val="21"/>
                      <w:szCs w:val="21"/>
                      <w:u w:val="single" w:color="auto"/>
                      <w:lang w:eastAsia="zh-CN"/>
                    </w:rPr>
                    <w:t>、肉牛</w:t>
                  </w:r>
                  <w:r>
                    <w:rPr>
                      <w:rFonts w:hint="eastAsia" w:ascii="Times New Roman" w:hAnsi="Times New Roman" w:eastAsia="宋体" w:cs="Times New Roman"/>
                      <w:b w:val="0"/>
                      <w:bCs w:val="0"/>
                      <w:snapToGrid/>
                      <w:color w:val="auto"/>
                      <w:spacing w:val="4"/>
                      <w:sz w:val="21"/>
                      <w:szCs w:val="21"/>
                      <w:u w:val="single" w:color="auto"/>
                      <w:lang w:val="en-US" w:eastAsia="zh-CN"/>
                    </w:rPr>
                    <w:t>1000头、年屠宰肉鸡1000只、年屠宰肉鸭1000只、年屠宰肉鹅1000只</w:t>
                  </w:r>
                  <w:r>
                    <w:rPr>
                      <w:rFonts w:hint="eastAsia" w:ascii="Times New Roman" w:hAnsi="Times New Roman" w:eastAsia="宋体" w:cs="Times New Roman"/>
                      <w:b w:val="0"/>
                      <w:bCs w:val="0"/>
                      <w:snapToGrid/>
                      <w:color w:val="auto"/>
                      <w:spacing w:val="4"/>
                      <w:sz w:val="21"/>
                      <w:szCs w:val="21"/>
                      <w:u w:val="single" w:color="auto"/>
                    </w:rPr>
                    <w:t>。</w:t>
                  </w:r>
                </w:p>
                <w:p w14:paraId="34318A3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2.根据建设单位提供的资料，原燃煤锅炉每日运行6 h，燃煤锅炉产能为0.25 t/h，故蒸汽量为0.25*6*365=547.5 m</w:t>
                  </w:r>
                  <w:r>
                    <w:rPr>
                      <w:rFonts w:hint="eastAsia" w:cs="Times New Roman"/>
                      <w:b w:val="0"/>
                      <w:bCs w:val="0"/>
                      <w:color w:val="auto"/>
                      <w:sz w:val="21"/>
                      <w:szCs w:val="21"/>
                      <w:u w:val="single" w:color="auto"/>
                      <w:vertAlign w:val="superscript"/>
                      <w:lang w:val="en-US" w:eastAsia="zh-CN"/>
                    </w:rPr>
                    <w:t>3</w:t>
                  </w:r>
                  <w:r>
                    <w:rPr>
                      <w:rFonts w:hint="eastAsia" w:cs="Times New Roman"/>
                      <w:b w:val="0"/>
                      <w:bCs w:val="0"/>
                      <w:color w:val="auto"/>
                      <w:sz w:val="21"/>
                      <w:szCs w:val="21"/>
                      <w:u w:val="single" w:color="auto"/>
                      <w:lang w:val="en-US" w:eastAsia="zh-CN"/>
                    </w:rPr>
                    <w:t>，本项目改造后电锅炉产能为0.2 t/h，日运行时间7.5 h。</w:t>
                  </w:r>
                </w:p>
              </w:tc>
            </w:tr>
          </w:tbl>
          <w:p w14:paraId="2C9173AF">
            <w:pPr>
              <w:bidi w:val="0"/>
              <w:ind w:left="0" w:leftChars="0" w:firstLine="0" w:firstLineChars="0"/>
              <w:jc w:val="center"/>
              <w:rPr>
                <w:rFonts w:hint="default" w:ascii="Times New Roman" w:hAnsi="Times New Roman" w:cs="Times New Roman"/>
                <w:color w:val="auto"/>
                <w:u w:val="single" w:color="auto"/>
                <w:lang w:val="en-US" w:eastAsia="zh-CN"/>
              </w:rPr>
            </w:pPr>
            <w:r>
              <w:rPr>
                <w:rFonts w:hint="eastAsia" w:cs="Times New Roman"/>
                <w:color w:val="auto"/>
                <w:u w:val="single" w:color="auto"/>
                <w:lang w:val="en-US" w:eastAsia="zh-CN"/>
              </w:rPr>
              <w:t>表2.2-6 本次技改后猪质量平衡图</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8"/>
              <w:gridCol w:w="820"/>
              <w:gridCol w:w="886"/>
              <w:gridCol w:w="4951"/>
              <w:gridCol w:w="794"/>
            </w:tblGrid>
            <w:tr w14:paraId="34A2D4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591" w:type="pct"/>
                  <w:tcBorders>
                    <w:tl2br w:val="nil"/>
                    <w:tr2bl w:val="nil"/>
                  </w:tcBorders>
                  <w:noWrap w:val="0"/>
                  <w:vAlign w:val="center"/>
                </w:tcPr>
                <w:p w14:paraId="5B3C274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序号</w:t>
                  </w:r>
                </w:p>
              </w:tc>
              <w:tc>
                <w:tcPr>
                  <w:tcW w:w="1009" w:type="pct"/>
                  <w:gridSpan w:val="2"/>
                  <w:tcBorders>
                    <w:tl2br w:val="nil"/>
                    <w:tr2bl w:val="nil"/>
                  </w:tcBorders>
                  <w:noWrap w:val="0"/>
                  <w:vAlign w:val="center"/>
                </w:tcPr>
                <w:p w14:paraId="365FF85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输入</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c>
                <w:tcPr>
                  <w:tcW w:w="3399" w:type="pct"/>
                  <w:gridSpan w:val="2"/>
                  <w:tcBorders>
                    <w:tl2br w:val="nil"/>
                    <w:tr2bl w:val="nil"/>
                  </w:tcBorders>
                  <w:noWrap w:val="0"/>
                  <w:vAlign w:val="center"/>
                </w:tcPr>
                <w:p w14:paraId="3CE9094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输出</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r>
            <w:tr w14:paraId="31FC9F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0900731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1</w:t>
                  </w:r>
                </w:p>
              </w:tc>
              <w:tc>
                <w:tcPr>
                  <w:tcW w:w="485" w:type="pct"/>
                  <w:tcBorders>
                    <w:tl2br w:val="nil"/>
                    <w:tr2bl w:val="nil"/>
                  </w:tcBorders>
                  <w:noWrap w:val="0"/>
                  <w:vAlign w:val="center"/>
                </w:tcPr>
                <w:p w14:paraId="6F95ECF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lang w:val="en-US" w:eastAsia="zh-CN"/>
                    </w:rPr>
                    <w:t>猪</w:t>
                  </w:r>
                </w:p>
              </w:tc>
              <w:tc>
                <w:tcPr>
                  <w:tcW w:w="523" w:type="pct"/>
                  <w:tcBorders>
                    <w:tl2br w:val="nil"/>
                    <w:tr2bl w:val="nil"/>
                  </w:tcBorders>
                  <w:noWrap w:val="0"/>
                  <w:vAlign w:val="center"/>
                </w:tcPr>
                <w:p w14:paraId="47B4135E">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lang w:val="en-US" w:eastAsia="zh-CN"/>
                    </w:rPr>
                    <w:t>9871</w:t>
                  </w:r>
                </w:p>
              </w:tc>
              <w:tc>
                <w:tcPr>
                  <w:tcW w:w="2929" w:type="pct"/>
                  <w:tcBorders>
                    <w:tl2br w:val="nil"/>
                    <w:tr2bl w:val="nil"/>
                  </w:tcBorders>
                  <w:noWrap w:val="0"/>
                  <w:vAlign w:val="center"/>
                </w:tcPr>
                <w:p w14:paraId="47B2C70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default" w:ascii="Times New Roman" w:hAnsi="Times New Roman" w:eastAsia="宋体" w:cs="Times New Roman"/>
                      <w:color w:val="auto"/>
                      <w:sz w:val="21"/>
                      <w:szCs w:val="21"/>
                      <w:u w:val="single" w:color="auto"/>
                      <w:lang w:eastAsia="zh-CN"/>
                    </w:rPr>
                    <w:t>猪</w:t>
                  </w:r>
                  <w:r>
                    <w:rPr>
                      <w:rFonts w:hint="default" w:ascii="Times New Roman" w:hAnsi="Times New Roman" w:eastAsia="宋体" w:cs="Times New Roman"/>
                      <w:color w:val="auto"/>
                      <w:sz w:val="21"/>
                      <w:szCs w:val="21"/>
                      <w:u w:val="single" w:color="auto"/>
                    </w:rPr>
                    <w:t>白条肉</w:t>
                  </w:r>
                </w:p>
              </w:tc>
              <w:tc>
                <w:tcPr>
                  <w:tcW w:w="469" w:type="pct"/>
                  <w:tcBorders>
                    <w:tl2br w:val="nil"/>
                    <w:tr2bl w:val="nil"/>
                  </w:tcBorders>
                  <w:noWrap w:val="0"/>
                  <w:vAlign w:val="center"/>
                </w:tcPr>
                <w:p w14:paraId="24003707">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vertAlign w:val="baseline"/>
                      <w:lang w:val="en-US" w:eastAsia="zh-CN" w:bidi="ar-SA"/>
                    </w:rPr>
                    <w:t>8178</w:t>
                  </w:r>
                </w:p>
              </w:tc>
            </w:tr>
            <w:tr w14:paraId="6EBDFE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1FEBD80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2</w:t>
                  </w:r>
                </w:p>
              </w:tc>
              <w:tc>
                <w:tcPr>
                  <w:tcW w:w="485" w:type="pct"/>
                  <w:tcBorders>
                    <w:tl2br w:val="nil"/>
                    <w:tr2bl w:val="nil"/>
                  </w:tcBorders>
                  <w:noWrap w:val="0"/>
                  <w:vAlign w:val="center"/>
                </w:tcPr>
                <w:p w14:paraId="528B6B2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523" w:type="pct"/>
                  <w:tcBorders>
                    <w:tl2br w:val="nil"/>
                    <w:tr2bl w:val="nil"/>
                  </w:tcBorders>
                  <w:noWrap w:val="0"/>
                  <w:vAlign w:val="center"/>
                </w:tcPr>
                <w:p w14:paraId="5961CEE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29" w:type="pct"/>
                  <w:tcBorders>
                    <w:tl2br w:val="nil"/>
                    <w:tr2bl w:val="nil"/>
                  </w:tcBorders>
                  <w:noWrap w:val="0"/>
                  <w:vAlign w:val="center"/>
                </w:tcPr>
                <w:p w14:paraId="3CBD805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default" w:ascii="Times New Roman" w:hAnsi="Times New Roman" w:eastAsia="宋体" w:cs="Times New Roman"/>
                      <w:color w:val="auto"/>
                      <w:spacing w:val="0"/>
                      <w:sz w:val="21"/>
                      <w:szCs w:val="21"/>
                      <w:u w:val="single" w:color="auto"/>
                      <w:lang w:eastAsia="zh-CN"/>
                    </w:rPr>
                    <w:t>猪</w:t>
                  </w:r>
                  <w:r>
                    <w:rPr>
                      <w:rFonts w:hint="default" w:ascii="Times New Roman" w:hAnsi="Times New Roman" w:eastAsia="宋体" w:cs="Times New Roman"/>
                      <w:color w:val="auto"/>
                      <w:spacing w:val="0"/>
                      <w:sz w:val="21"/>
                      <w:szCs w:val="21"/>
                      <w:u w:val="single" w:color="auto"/>
                    </w:rPr>
                    <w:t>副产品</w:t>
                  </w:r>
                  <w:r>
                    <w:rPr>
                      <w:rFonts w:hint="eastAsia" w:ascii="Times New Roman" w:hAnsi="Times New Roman" w:eastAsia="宋体" w:cs="Times New Roman"/>
                      <w:color w:val="auto"/>
                      <w:spacing w:val="0"/>
                      <w:sz w:val="21"/>
                      <w:szCs w:val="21"/>
                      <w:u w:val="single" w:color="auto"/>
                      <w:lang w:eastAsia="zh-CN"/>
                    </w:rPr>
                    <w:t>（</w:t>
                  </w:r>
                  <w:r>
                    <w:rPr>
                      <w:rFonts w:hint="default" w:ascii="Times New Roman" w:hAnsi="Times New Roman" w:eastAsia="宋体" w:cs="Times New Roman"/>
                      <w:color w:val="auto"/>
                      <w:spacing w:val="0"/>
                      <w:sz w:val="21"/>
                      <w:szCs w:val="21"/>
                      <w:u w:val="single" w:color="auto"/>
                    </w:rPr>
                    <w:t>可食用内脏、猪头、猪蹄、猪尾、猪血</w:t>
                  </w:r>
                  <w:r>
                    <w:rPr>
                      <w:rFonts w:hint="eastAsia" w:ascii="Times New Roman" w:hAnsi="Times New Roman" w:eastAsia="宋体" w:cs="Times New Roman"/>
                      <w:color w:val="auto"/>
                      <w:spacing w:val="0"/>
                      <w:sz w:val="21"/>
                      <w:szCs w:val="21"/>
                      <w:u w:val="single" w:color="auto"/>
                      <w:lang w:val="en-US" w:eastAsia="zh-CN"/>
                    </w:rPr>
                    <w:t>等</w:t>
                  </w:r>
                  <w:r>
                    <w:rPr>
                      <w:rFonts w:hint="eastAsia" w:ascii="Times New Roman" w:hAnsi="Times New Roman" w:eastAsia="宋体" w:cs="Times New Roman"/>
                      <w:color w:val="auto"/>
                      <w:spacing w:val="0"/>
                      <w:sz w:val="21"/>
                      <w:szCs w:val="21"/>
                      <w:u w:val="single" w:color="auto"/>
                      <w:lang w:eastAsia="zh-CN"/>
                    </w:rPr>
                    <w:t>）</w:t>
                  </w:r>
                </w:p>
              </w:tc>
              <w:tc>
                <w:tcPr>
                  <w:tcW w:w="469" w:type="pct"/>
                  <w:tcBorders>
                    <w:tl2br w:val="nil"/>
                    <w:tr2bl w:val="nil"/>
                  </w:tcBorders>
                  <w:noWrap w:val="0"/>
                  <w:vAlign w:val="center"/>
                </w:tcPr>
                <w:p w14:paraId="22D5F53B">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vertAlign w:val="baseline"/>
                      <w:lang w:val="en-US" w:eastAsia="zh-CN" w:bidi="ar-SA"/>
                    </w:rPr>
                    <w:t>1410</w:t>
                  </w:r>
                </w:p>
              </w:tc>
            </w:tr>
            <w:tr w14:paraId="09612F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3353DB61">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3</w:t>
                  </w:r>
                </w:p>
              </w:tc>
              <w:tc>
                <w:tcPr>
                  <w:tcW w:w="485" w:type="pct"/>
                  <w:tcBorders>
                    <w:tl2br w:val="nil"/>
                    <w:tr2bl w:val="nil"/>
                  </w:tcBorders>
                  <w:noWrap w:val="0"/>
                  <w:vAlign w:val="center"/>
                </w:tcPr>
                <w:p w14:paraId="5E36DD3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523" w:type="pct"/>
                  <w:tcBorders>
                    <w:tl2br w:val="nil"/>
                    <w:tr2bl w:val="nil"/>
                  </w:tcBorders>
                  <w:noWrap w:val="0"/>
                  <w:vAlign w:val="center"/>
                </w:tcPr>
                <w:p w14:paraId="6E35F2E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29" w:type="pct"/>
                  <w:tcBorders>
                    <w:tl2br w:val="nil"/>
                    <w:tr2bl w:val="nil"/>
                  </w:tcBorders>
                  <w:noWrap w:val="0"/>
                  <w:vAlign w:val="center"/>
                </w:tcPr>
                <w:p w14:paraId="192B3E97">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不可食用部分</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不可食内脏及猪毛、蹄壳</w:t>
                  </w:r>
                  <w:r>
                    <w:rPr>
                      <w:rFonts w:hint="eastAsia" w:cs="Times New Roman"/>
                      <w:color w:val="auto"/>
                      <w:kern w:val="2"/>
                      <w:sz w:val="21"/>
                      <w:szCs w:val="21"/>
                      <w:u w:val="single" w:color="auto"/>
                      <w:lang w:eastAsia="zh-CN"/>
                    </w:rPr>
                    <w:t>、</w:t>
                  </w:r>
                  <w:r>
                    <w:rPr>
                      <w:rFonts w:hint="eastAsia" w:cs="Times New Roman"/>
                      <w:color w:val="auto"/>
                      <w:kern w:val="2"/>
                      <w:sz w:val="21"/>
                      <w:szCs w:val="21"/>
                      <w:u w:val="single" w:color="auto"/>
                      <w:vertAlign w:val="baseline"/>
                      <w:lang w:val="en-US" w:eastAsia="zh-CN"/>
                    </w:rPr>
                    <w:t>胃内容物、肠内容物等</w:t>
                  </w:r>
                  <w:r>
                    <w:rPr>
                      <w:rFonts w:hint="eastAsia" w:ascii="Times New Roman" w:hAnsi="Times New Roman" w:eastAsia="宋体" w:cs="Times New Roman"/>
                      <w:color w:val="auto"/>
                      <w:kern w:val="2"/>
                      <w:sz w:val="21"/>
                      <w:szCs w:val="21"/>
                      <w:u w:val="single" w:color="auto"/>
                      <w:lang w:eastAsia="zh-CN"/>
                    </w:rPr>
                    <w:t>）</w:t>
                  </w:r>
                </w:p>
              </w:tc>
              <w:tc>
                <w:tcPr>
                  <w:tcW w:w="469" w:type="pct"/>
                  <w:tcBorders>
                    <w:tl2br w:val="nil"/>
                    <w:tr2bl w:val="nil"/>
                  </w:tcBorders>
                  <w:noWrap w:val="0"/>
                  <w:vAlign w:val="center"/>
                </w:tcPr>
                <w:p w14:paraId="3CE201AB">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vertAlign w:val="baseline"/>
                      <w:lang w:val="en-US" w:eastAsia="zh-CN" w:bidi="ar-SA"/>
                    </w:rPr>
                    <w:t>172</w:t>
                  </w:r>
                </w:p>
              </w:tc>
            </w:tr>
            <w:tr w14:paraId="11D90E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10754A12">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4</w:t>
                  </w:r>
                </w:p>
              </w:tc>
              <w:tc>
                <w:tcPr>
                  <w:tcW w:w="485" w:type="pct"/>
                  <w:tcBorders>
                    <w:tl2br w:val="nil"/>
                    <w:tr2bl w:val="nil"/>
                  </w:tcBorders>
                  <w:noWrap w:val="0"/>
                  <w:vAlign w:val="center"/>
                </w:tcPr>
                <w:p w14:paraId="06F26A80">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w:t>
                  </w:r>
                </w:p>
              </w:tc>
              <w:tc>
                <w:tcPr>
                  <w:tcW w:w="523" w:type="pct"/>
                  <w:tcBorders>
                    <w:tl2br w:val="nil"/>
                    <w:tr2bl w:val="nil"/>
                  </w:tcBorders>
                  <w:noWrap w:val="0"/>
                  <w:vAlign w:val="center"/>
                </w:tcPr>
                <w:p w14:paraId="4BFEADF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w:t>
                  </w:r>
                </w:p>
              </w:tc>
              <w:tc>
                <w:tcPr>
                  <w:tcW w:w="2929" w:type="pct"/>
                  <w:tcBorders>
                    <w:tl2br w:val="nil"/>
                    <w:tr2bl w:val="nil"/>
                  </w:tcBorders>
                  <w:noWrap w:val="0"/>
                  <w:vAlign w:val="center"/>
                </w:tcPr>
                <w:p w14:paraId="1AC3492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碎肉渣</w:t>
                  </w:r>
                </w:p>
              </w:tc>
              <w:tc>
                <w:tcPr>
                  <w:tcW w:w="469" w:type="pct"/>
                  <w:tcBorders>
                    <w:tl2br w:val="nil"/>
                    <w:tr2bl w:val="nil"/>
                  </w:tcBorders>
                  <w:noWrap w:val="0"/>
                  <w:vAlign w:val="center"/>
                </w:tcPr>
                <w:p w14:paraId="78DF185D">
                  <w:pPr>
                    <w:widowControl/>
                    <w:adjustRightIn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w:t>
                  </w:r>
                </w:p>
              </w:tc>
            </w:tr>
            <w:tr w14:paraId="223AB3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shd w:val="clear" w:color="auto" w:fill="auto"/>
                  <w:noWrap w:val="0"/>
                  <w:vAlign w:val="center"/>
                </w:tcPr>
                <w:p w14:paraId="5453BC9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5</w:t>
                  </w:r>
                </w:p>
              </w:tc>
              <w:tc>
                <w:tcPr>
                  <w:tcW w:w="485" w:type="pct"/>
                  <w:tcBorders>
                    <w:tl2br w:val="nil"/>
                    <w:tr2bl w:val="nil"/>
                  </w:tcBorders>
                  <w:noWrap w:val="0"/>
                  <w:vAlign w:val="center"/>
                </w:tcPr>
                <w:p w14:paraId="42B1BE81">
                  <w:pPr>
                    <w:widowControl/>
                    <w:adjustRightInd/>
                    <w:spacing w:line="240" w:lineRule="auto"/>
                    <w:ind w:firstLine="0" w:firstLineChars="0"/>
                    <w:jc w:val="center"/>
                    <w:textAlignment w:val="auto"/>
                    <w:rPr>
                      <w:rFonts w:hint="eastAsia" w:cs="Times New Roman"/>
                      <w:color w:val="auto"/>
                      <w:kern w:val="2"/>
                      <w:sz w:val="21"/>
                      <w:szCs w:val="21"/>
                      <w:u w:val="single" w:color="auto"/>
                      <w:lang w:val="en-US" w:eastAsia="zh-CN"/>
                    </w:rPr>
                  </w:pPr>
                </w:p>
              </w:tc>
              <w:tc>
                <w:tcPr>
                  <w:tcW w:w="523" w:type="pct"/>
                  <w:tcBorders>
                    <w:tl2br w:val="nil"/>
                    <w:tr2bl w:val="nil"/>
                  </w:tcBorders>
                  <w:noWrap w:val="0"/>
                  <w:vAlign w:val="center"/>
                </w:tcPr>
                <w:p w14:paraId="00C4AB73">
                  <w:pPr>
                    <w:widowControl/>
                    <w:adjustRightInd/>
                    <w:spacing w:line="240" w:lineRule="auto"/>
                    <w:ind w:firstLine="0" w:firstLineChars="0"/>
                    <w:jc w:val="center"/>
                    <w:textAlignment w:val="auto"/>
                    <w:rPr>
                      <w:rFonts w:hint="eastAsia" w:cs="Times New Roman"/>
                      <w:color w:val="auto"/>
                      <w:kern w:val="2"/>
                      <w:sz w:val="21"/>
                      <w:szCs w:val="21"/>
                      <w:u w:val="single" w:color="auto"/>
                      <w:lang w:val="en-US" w:eastAsia="zh-CN"/>
                    </w:rPr>
                  </w:pPr>
                </w:p>
              </w:tc>
              <w:tc>
                <w:tcPr>
                  <w:tcW w:w="2929" w:type="pct"/>
                  <w:tcBorders>
                    <w:tl2br w:val="nil"/>
                    <w:tr2bl w:val="nil"/>
                  </w:tcBorders>
                  <w:noWrap w:val="0"/>
                  <w:vAlign w:val="center"/>
                </w:tcPr>
                <w:p w14:paraId="1CE7B0FB">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病死猪</w:t>
                  </w:r>
                </w:p>
              </w:tc>
              <w:tc>
                <w:tcPr>
                  <w:tcW w:w="469" w:type="pct"/>
                  <w:tcBorders>
                    <w:tl2br w:val="nil"/>
                    <w:tr2bl w:val="nil"/>
                  </w:tcBorders>
                  <w:noWrap w:val="0"/>
                  <w:vAlign w:val="center"/>
                </w:tcPr>
                <w:p w14:paraId="2F125716">
                  <w:pPr>
                    <w:widowControl/>
                    <w:adjustRightIn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100</w:t>
                  </w:r>
                </w:p>
              </w:tc>
            </w:tr>
            <w:tr w14:paraId="669A88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shd w:val="clear" w:color="auto" w:fill="auto"/>
                  <w:noWrap w:val="0"/>
                  <w:vAlign w:val="center"/>
                </w:tcPr>
                <w:p w14:paraId="2448C41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6</w:t>
                  </w:r>
                </w:p>
              </w:tc>
              <w:tc>
                <w:tcPr>
                  <w:tcW w:w="485" w:type="pct"/>
                  <w:tcBorders>
                    <w:tl2br w:val="nil"/>
                    <w:tr2bl w:val="nil"/>
                  </w:tcBorders>
                  <w:noWrap w:val="0"/>
                  <w:vAlign w:val="center"/>
                </w:tcPr>
                <w:p w14:paraId="71AFCBC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w:t>
                  </w:r>
                </w:p>
              </w:tc>
              <w:tc>
                <w:tcPr>
                  <w:tcW w:w="523" w:type="pct"/>
                  <w:tcBorders>
                    <w:tl2br w:val="nil"/>
                    <w:tr2bl w:val="nil"/>
                  </w:tcBorders>
                  <w:noWrap w:val="0"/>
                  <w:vAlign w:val="center"/>
                </w:tcPr>
                <w:p w14:paraId="5DB4BC2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w:t>
                  </w:r>
                </w:p>
              </w:tc>
              <w:tc>
                <w:tcPr>
                  <w:tcW w:w="2929" w:type="pct"/>
                  <w:tcBorders>
                    <w:tl2br w:val="nil"/>
                    <w:tr2bl w:val="nil"/>
                  </w:tcBorders>
                  <w:noWrap w:val="0"/>
                  <w:vAlign w:val="center"/>
                </w:tcPr>
                <w:p w14:paraId="612B3642">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不合格品</w:t>
                  </w:r>
                </w:p>
              </w:tc>
              <w:tc>
                <w:tcPr>
                  <w:tcW w:w="469" w:type="pct"/>
                  <w:tcBorders>
                    <w:tl2br w:val="nil"/>
                    <w:tr2bl w:val="nil"/>
                  </w:tcBorders>
                  <w:noWrap w:val="0"/>
                  <w:vAlign w:val="center"/>
                </w:tcPr>
                <w:p w14:paraId="28173C78">
                  <w:pPr>
                    <w:widowControl/>
                    <w:adjustRightIn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10</w:t>
                  </w:r>
                </w:p>
              </w:tc>
            </w:tr>
            <w:tr w14:paraId="54C09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5CC13FF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cs="Times New Roman"/>
                      <w:color w:val="auto"/>
                      <w:kern w:val="2"/>
                      <w:sz w:val="21"/>
                      <w:szCs w:val="21"/>
                      <w:u w:val="single" w:color="auto"/>
                      <w:lang w:val="en-US" w:eastAsia="zh-CN"/>
                    </w:rPr>
                    <w:t>7</w:t>
                  </w:r>
                </w:p>
              </w:tc>
              <w:tc>
                <w:tcPr>
                  <w:tcW w:w="485" w:type="pct"/>
                  <w:tcBorders>
                    <w:tl2br w:val="nil"/>
                    <w:tr2bl w:val="nil"/>
                  </w:tcBorders>
                  <w:noWrap w:val="0"/>
                  <w:vAlign w:val="center"/>
                </w:tcPr>
                <w:p w14:paraId="2BCE5720">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523" w:type="pct"/>
                  <w:tcBorders>
                    <w:tl2br w:val="nil"/>
                    <w:tr2bl w:val="nil"/>
                  </w:tcBorders>
                  <w:noWrap w:val="0"/>
                  <w:vAlign w:val="center"/>
                </w:tcPr>
                <w:p w14:paraId="5FC80842">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lang w:val="en-US" w:eastAsia="zh-CN"/>
                    </w:rPr>
                    <w:t>9871</w:t>
                  </w:r>
                </w:p>
              </w:tc>
              <w:tc>
                <w:tcPr>
                  <w:tcW w:w="2929" w:type="pct"/>
                  <w:tcBorders>
                    <w:tl2br w:val="nil"/>
                    <w:tr2bl w:val="nil"/>
                  </w:tcBorders>
                  <w:noWrap w:val="0"/>
                  <w:vAlign w:val="center"/>
                </w:tcPr>
                <w:p w14:paraId="581F0420">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469" w:type="pct"/>
                  <w:tcBorders>
                    <w:tl2br w:val="nil"/>
                    <w:tr2bl w:val="nil"/>
                  </w:tcBorders>
                  <w:noWrap w:val="0"/>
                  <w:vAlign w:val="center"/>
                </w:tcPr>
                <w:p w14:paraId="6CCDAEC4">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lang w:val="en-US" w:eastAsia="zh-CN"/>
                    </w:rPr>
                    <w:t>9871</w:t>
                  </w:r>
                </w:p>
              </w:tc>
            </w:tr>
          </w:tbl>
          <w:p w14:paraId="67DFD7AE">
            <w:pPr>
              <w:bidi w:val="0"/>
              <w:ind w:left="0" w:leftChars="0" w:firstLine="0" w:firstLineChars="0"/>
              <w:jc w:val="center"/>
              <w:rPr>
                <w:rFonts w:hint="default" w:ascii="Times New Roman" w:hAnsi="Times New Roman" w:cs="Times New Roman"/>
                <w:color w:val="auto"/>
                <w:u w:val="single" w:color="auto"/>
                <w:lang w:val="en-US" w:eastAsia="zh-CN"/>
              </w:rPr>
            </w:pPr>
            <w:r>
              <w:rPr>
                <w:rFonts w:hint="eastAsia" w:cs="Times New Roman"/>
                <w:color w:val="auto"/>
                <w:u w:val="single" w:color="auto"/>
                <w:lang w:val="en-US" w:eastAsia="zh-CN"/>
              </w:rPr>
              <w:t>表2.2-7 本次技改后牛质量平衡图</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7"/>
              <w:gridCol w:w="820"/>
              <w:gridCol w:w="725"/>
              <w:gridCol w:w="4928"/>
              <w:gridCol w:w="979"/>
            </w:tblGrid>
            <w:tr w14:paraId="3AB3F0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590" w:type="pct"/>
                  <w:tcBorders>
                    <w:tl2br w:val="nil"/>
                    <w:tr2bl w:val="nil"/>
                  </w:tcBorders>
                  <w:noWrap w:val="0"/>
                  <w:vAlign w:val="center"/>
                </w:tcPr>
                <w:p w14:paraId="5ABFF9B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序号</w:t>
                  </w:r>
                </w:p>
              </w:tc>
              <w:tc>
                <w:tcPr>
                  <w:tcW w:w="914" w:type="pct"/>
                  <w:gridSpan w:val="2"/>
                  <w:tcBorders>
                    <w:tl2br w:val="nil"/>
                    <w:tr2bl w:val="nil"/>
                  </w:tcBorders>
                  <w:noWrap w:val="0"/>
                  <w:vAlign w:val="center"/>
                </w:tcPr>
                <w:p w14:paraId="4C20DFA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输入</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c>
                <w:tcPr>
                  <w:tcW w:w="3494" w:type="pct"/>
                  <w:gridSpan w:val="2"/>
                  <w:tcBorders>
                    <w:tl2br w:val="nil"/>
                    <w:tr2bl w:val="nil"/>
                  </w:tcBorders>
                  <w:noWrap w:val="0"/>
                  <w:vAlign w:val="center"/>
                </w:tcPr>
                <w:p w14:paraId="65E865A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输出</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r>
            <w:tr w14:paraId="33E94D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0" w:type="pct"/>
                  <w:tcBorders>
                    <w:tl2br w:val="nil"/>
                    <w:tr2bl w:val="nil"/>
                  </w:tcBorders>
                  <w:noWrap w:val="0"/>
                  <w:vAlign w:val="center"/>
                </w:tcPr>
                <w:p w14:paraId="6474019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1</w:t>
                  </w:r>
                </w:p>
              </w:tc>
              <w:tc>
                <w:tcPr>
                  <w:tcW w:w="485" w:type="pct"/>
                  <w:tcBorders>
                    <w:tl2br w:val="nil"/>
                    <w:tr2bl w:val="nil"/>
                  </w:tcBorders>
                  <w:noWrap w:val="0"/>
                  <w:vAlign w:val="center"/>
                </w:tcPr>
                <w:p w14:paraId="6C6D455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lang w:val="en-US" w:eastAsia="zh-CN"/>
                    </w:rPr>
                    <w:t>牛</w:t>
                  </w:r>
                </w:p>
              </w:tc>
              <w:tc>
                <w:tcPr>
                  <w:tcW w:w="429" w:type="pct"/>
                  <w:tcBorders>
                    <w:tl2br w:val="nil"/>
                    <w:tr2bl w:val="nil"/>
                  </w:tcBorders>
                  <w:noWrap w:val="0"/>
                  <w:vAlign w:val="center"/>
                </w:tcPr>
                <w:p w14:paraId="6F35F4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500</w:t>
                  </w:r>
                </w:p>
              </w:tc>
              <w:tc>
                <w:tcPr>
                  <w:tcW w:w="2915" w:type="pct"/>
                  <w:tcBorders>
                    <w:tl2br w:val="nil"/>
                    <w:tr2bl w:val="nil"/>
                  </w:tcBorders>
                  <w:noWrap w:val="0"/>
                  <w:vAlign w:val="center"/>
                </w:tcPr>
                <w:p w14:paraId="696E646F">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rPr>
                  </w:pPr>
                  <w:r>
                    <w:rPr>
                      <w:rFonts w:hint="default" w:ascii="Times New Roman" w:hAnsi="Times New Roman" w:eastAsia="宋体" w:cs="Times New Roman"/>
                      <w:color w:val="auto"/>
                      <w:sz w:val="21"/>
                      <w:szCs w:val="21"/>
                      <w:u w:val="single" w:color="auto"/>
                      <w:lang w:eastAsia="zh-CN"/>
                    </w:rPr>
                    <w:t>牛</w:t>
                  </w:r>
                  <w:r>
                    <w:rPr>
                      <w:rFonts w:hint="default" w:ascii="Times New Roman" w:hAnsi="Times New Roman" w:eastAsia="宋体" w:cs="Times New Roman"/>
                      <w:color w:val="auto"/>
                      <w:sz w:val="21"/>
                      <w:szCs w:val="21"/>
                      <w:u w:val="single" w:color="auto"/>
                    </w:rPr>
                    <w:t>白条肉</w:t>
                  </w:r>
                </w:p>
              </w:tc>
              <w:tc>
                <w:tcPr>
                  <w:tcW w:w="579" w:type="pct"/>
                  <w:tcBorders>
                    <w:tl2br w:val="nil"/>
                    <w:tr2bl w:val="nil"/>
                  </w:tcBorders>
                  <w:noWrap w:val="0"/>
                  <w:vAlign w:val="center"/>
                </w:tcPr>
                <w:p w14:paraId="562C959F">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380</w:t>
                  </w:r>
                </w:p>
              </w:tc>
            </w:tr>
            <w:tr w14:paraId="1D2BE3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0" w:type="pct"/>
                  <w:tcBorders>
                    <w:tl2br w:val="nil"/>
                    <w:tr2bl w:val="nil"/>
                  </w:tcBorders>
                  <w:noWrap w:val="0"/>
                  <w:vAlign w:val="center"/>
                </w:tcPr>
                <w:p w14:paraId="6FE2CB51">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2</w:t>
                  </w:r>
                </w:p>
              </w:tc>
              <w:tc>
                <w:tcPr>
                  <w:tcW w:w="485" w:type="pct"/>
                  <w:tcBorders>
                    <w:tl2br w:val="nil"/>
                    <w:tr2bl w:val="nil"/>
                  </w:tcBorders>
                  <w:noWrap w:val="0"/>
                  <w:vAlign w:val="center"/>
                </w:tcPr>
                <w:p w14:paraId="63BC8D9D">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2E76294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7CBDA70E">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lang w:eastAsia="zh-CN"/>
                    </w:rPr>
                  </w:pP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副产品</w:t>
                  </w:r>
                  <w:r>
                    <w:rPr>
                      <w:rFonts w:hint="eastAsia" w:ascii="Times New Roman" w:hAnsi="Times New Roman" w:eastAsia="宋体" w:cs="Times New Roman"/>
                      <w:color w:val="auto"/>
                      <w:spacing w:val="0"/>
                      <w:sz w:val="21"/>
                      <w:szCs w:val="21"/>
                      <w:u w:val="single" w:color="auto"/>
                      <w:lang w:eastAsia="zh-CN"/>
                    </w:rPr>
                    <w:t>（</w:t>
                  </w:r>
                  <w:r>
                    <w:rPr>
                      <w:rFonts w:hint="default" w:ascii="Times New Roman" w:hAnsi="Times New Roman" w:eastAsia="宋体" w:cs="Times New Roman"/>
                      <w:color w:val="auto"/>
                      <w:spacing w:val="0"/>
                      <w:sz w:val="21"/>
                      <w:szCs w:val="21"/>
                      <w:u w:val="single" w:color="auto"/>
                    </w:rPr>
                    <w:t>可食用内脏、</w:t>
                  </w: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头、</w:t>
                  </w:r>
                  <w:r>
                    <w:rPr>
                      <w:rFonts w:hint="default" w:ascii="Times New Roman" w:hAnsi="Times New Roman" w:eastAsia="宋体" w:cs="Times New Roman"/>
                      <w:color w:val="auto"/>
                      <w:spacing w:val="0"/>
                      <w:sz w:val="21"/>
                      <w:szCs w:val="21"/>
                      <w:u w:val="single" w:color="auto"/>
                      <w:lang w:eastAsia="zh-CN"/>
                    </w:rPr>
                    <w:t>牛</w:t>
                  </w:r>
                  <w:r>
                    <w:rPr>
                      <w:rFonts w:hint="default" w:ascii="Times New Roman" w:hAnsi="Times New Roman" w:eastAsia="宋体" w:cs="Times New Roman"/>
                      <w:color w:val="auto"/>
                      <w:spacing w:val="0"/>
                      <w:sz w:val="21"/>
                      <w:szCs w:val="21"/>
                      <w:u w:val="single" w:color="auto"/>
                    </w:rPr>
                    <w:t>蹄</w:t>
                  </w:r>
                  <w:r>
                    <w:rPr>
                      <w:rFonts w:hint="eastAsia" w:ascii="Times New Roman" w:hAnsi="Times New Roman" w:eastAsia="宋体" w:cs="Times New Roman"/>
                      <w:color w:val="auto"/>
                      <w:spacing w:val="0"/>
                      <w:sz w:val="21"/>
                      <w:szCs w:val="21"/>
                      <w:u w:val="single" w:color="auto"/>
                      <w:lang w:val="en-US" w:eastAsia="zh-CN"/>
                    </w:rPr>
                    <w:t>等</w:t>
                  </w:r>
                  <w:r>
                    <w:rPr>
                      <w:rFonts w:hint="eastAsia" w:ascii="Times New Roman" w:hAnsi="Times New Roman" w:eastAsia="宋体" w:cs="Times New Roman"/>
                      <w:color w:val="auto"/>
                      <w:spacing w:val="0"/>
                      <w:sz w:val="21"/>
                      <w:szCs w:val="21"/>
                      <w:u w:val="single" w:color="auto"/>
                      <w:lang w:eastAsia="zh-CN"/>
                    </w:rPr>
                    <w:t>）</w:t>
                  </w:r>
                </w:p>
              </w:tc>
              <w:tc>
                <w:tcPr>
                  <w:tcW w:w="579" w:type="pct"/>
                  <w:tcBorders>
                    <w:tl2br w:val="nil"/>
                    <w:tr2bl w:val="nil"/>
                  </w:tcBorders>
                  <w:noWrap w:val="0"/>
                  <w:vAlign w:val="center"/>
                </w:tcPr>
                <w:p w14:paraId="57C5082E">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vertAlign w:val="baseline"/>
                      <w:lang w:val="en-US" w:eastAsia="zh-CN" w:bidi="ar-SA"/>
                    </w:rPr>
                    <w:t>100</w:t>
                  </w:r>
                </w:p>
              </w:tc>
            </w:tr>
            <w:tr w14:paraId="408BF2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0" w:type="pct"/>
                  <w:tcBorders>
                    <w:tl2br w:val="nil"/>
                    <w:tr2bl w:val="nil"/>
                  </w:tcBorders>
                  <w:noWrap w:val="0"/>
                  <w:vAlign w:val="center"/>
                </w:tcPr>
                <w:p w14:paraId="310BB39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3</w:t>
                  </w:r>
                </w:p>
              </w:tc>
              <w:tc>
                <w:tcPr>
                  <w:tcW w:w="485" w:type="pct"/>
                  <w:tcBorders>
                    <w:tl2br w:val="nil"/>
                    <w:tr2bl w:val="nil"/>
                  </w:tcBorders>
                  <w:noWrap w:val="0"/>
                  <w:vAlign w:val="center"/>
                </w:tcPr>
                <w:p w14:paraId="31235CC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35524BF4">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4E5720E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不可食用部分</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不可食内脏及</w:t>
                  </w:r>
                  <w:r>
                    <w:rPr>
                      <w:rFonts w:hint="eastAsia" w:ascii="Times New Roman" w:hAnsi="Times New Roman" w:eastAsia="宋体" w:cs="Times New Roman"/>
                      <w:color w:val="auto"/>
                      <w:kern w:val="2"/>
                      <w:sz w:val="21"/>
                      <w:szCs w:val="21"/>
                      <w:u w:val="single" w:color="auto"/>
                      <w:lang w:val="en-US" w:eastAsia="zh-CN"/>
                    </w:rPr>
                    <w:t>牛</w:t>
                  </w:r>
                  <w:r>
                    <w:rPr>
                      <w:rFonts w:hint="eastAsia" w:ascii="Times New Roman" w:hAnsi="Times New Roman" w:eastAsia="宋体" w:cs="Times New Roman"/>
                      <w:color w:val="auto"/>
                      <w:kern w:val="2"/>
                      <w:sz w:val="21"/>
                      <w:szCs w:val="21"/>
                      <w:u w:val="single" w:color="auto"/>
                    </w:rPr>
                    <w:t>毛、蹄壳</w:t>
                  </w:r>
                  <w:r>
                    <w:rPr>
                      <w:rFonts w:hint="eastAsia" w:cs="Times New Roman"/>
                      <w:color w:val="auto"/>
                      <w:kern w:val="2"/>
                      <w:sz w:val="21"/>
                      <w:szCs w:val="21"/>
                      <w:u w:val="single" w:color="auto"/>
                      <w:lang w:eastAsia="zh-CN"/>
                    </w:rPr>
                    <w:t>、</w:t>
                  </w:r>
                  <w:r>
                    <w:rPr>
                      <w:rFonts w:hint="eastAsia" w:cs="Times New Roman"/>
                      <w:color w:val="auto"/>
                      <w:kern w:val="2"/>
                      <w:sz w:val="21"/>
                      <w:szCs w:val="21"/>
                      <w:u w:val="single" w:color="auto"/>
                      <w:vertAlign w:val="baseline"/>
                      <w:lang w:val="en-US" w:eastAsia="zh-CN"/>
                    </w:rPr>
                    <w:t>胃内容物、肠内容物等</w:t>
                  </w:r>
                  <w:r>
                    <w:rPr>
                      <w:rFonts w:hint="eastAsia" w:ascii="Times New Roman" w:hAnsi="Times New Roman" w:eastAsia="宋体" w:cs="Times New Roman"/>
                      <w:color w:val="auto"/>
                      <w:kern w:val="2"/>
                      <w:sz w:val="21"/>
                      <w:szCs w:val="21"/>
                      <w:u w:val="single" w:color="auto"/>
                      <w:lang w:eastAsia="zh-CN"/>
                    </w:rPr>
                    <w:t>）</w:t>
                  </w:r>
                </w:p>
              </w:tc>
              <w:tc>
                <w:tcPr>
                  <w:tcW w:w="579" w:type="pct"/>
                  <w:tcBorders>
                    <w:tl2br w:val="nil"/>
                    <w:tr2bl w:val="nil"/>
                  </w:tcBorders>
                  <w:noWrap w:val="0"/>
                  <w:vAlign w:val="center"/>
                </w:tcPr>
                <w:p w14:paraId="55B883D3">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lang w:val="en-US" w:eastAsia="zh-CN"/>
                    </w:rPr>
                    <w:t>14.45</w:t>
                  </w:r>
                </w:p>
              </w:tc>
            </w:tr>
            <w:tr w14:paraId="7AA6EE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0" w:type="pct"/>
                  <w:tcBorders>
                    <w:tl2br w:val="nil"/>
                    <w:tr2bl w:val="nil"/>
                  </w:tcBorders>
                  <w:noWrap w:val="0"/>
                  <w:vAlign w:val="center"/>
                </w:tcPr>
                <w:p w14:paraId="67E3CF5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4</w:t>
                  </w:r>
                </w:p>
              </w:tc>
              <w:tc>
                <w:tcPr>
                  <w:tcW w:w="485" w:type="pct"/>
                  <w:tcBorders>
                    <w:tl2br w:val="nil"/>
                    <w:tr2bl w:val="nil"/>
                  </w:tcBorders>
                  <w:noWrap w:val="0"/>
                  <w:vAlign w:val="center"/>
                </w:tcPr>
                <w:p w14:paraId="50F029C1">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0E7674F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58DF0D9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碎肉渣</w:t>
                  </w:r>
                </w:p>
              </w:tc>
              <w:tc>
                <w:tcPr>
                  <w:tcW w:w="579" w:type="pct"/>
                  <w:tcBorders>
                    <w:tl2br w:val="nil"/>
                    <w:tr2bl w:val="nil"/>
                  </w:tcBorders>
                  <w:noWrap w:val="0"/>
                  <w:vAlign w:val="center"/>
                </w:tcPr>
                <w:p w14:paraId="2F728CC7">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0.05</w:t>
                  </w:r>
                </w:p>
              </w:tc>
            </w:tr>
            <w:tr w14:paraId="2BA409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0" w:type="pct"/>
                  <w:tcBorders>
                    <w:tl2br w:val="nil"/>
                    <w:tr2bl w:val="nil"/>
                  </w:tcBorders>
                  <w:noWrap w:val="0"/>
                  <w:vAlign w:val="center"/>
                </w:tcPr>
                <w:p w14:paraId="297CD42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5</w:t>
                  </w:r>
                </w:p>
              </w:tc>
              <w:tc>
                <w:tcPr>
                  <w:tcW w:w="485" w:type="pct"/>
                  <w:tcBorders>
                    <w:tl2br w:val="nil"/>
                    <w:tr2bl w:val="nil"/>
                  </w:tcBorders>
                  <w:noWrap w:val="0"/>
                  <w:vAlign w:val="center"/>
                </w:tcPr>
                <w:p w14:paraId="471C852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03A35B1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4D5085C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病死牛</w:t>
                  </w:r>
                </w:p>
              </w:tc>
              <w:tc>
                <w:tcPr>
                  <w:tcW w:w="579" w:type="pct"/>
                  <w:tcBorders>
                    <w:tl2br w:val="nil"/>
                    <w:tr2bl w:val="nil"/>
                  </w:tcBorders>
                  <w:noWrap w:val="0"/>
                  <w:vAlign w:val="center"/>
                </w:tcPr>
                <w:p w14:paraId="09835861">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0.5</w:t>
                  </w:r>
                </w:p>
              </w:tc>
            </w:tr>
            <w:tr w14:paraId="48110D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0" w:type="pct"/>
                  <w:tcBorders>
                    <w:tl2br w:val="nil"/>
                    <w:tr2bl w:val="nil"/>
                  </w:tcBorders>
                  <w:noWrap w:val="0"/>
                  <w:vAlign w:val="center"/>
                </w:tcPr>
                <w:p w14:paraId="5D6ADB37">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6</w:t>
                  </w:r>
                </w:p>
              </w:tc>
              <w:tc>
                <w:tcPr>
                  <w:tcW w:w="485" w:type="pct"/>
                  <w:tcBorders>
                    <w:tl2br w:val="nil"/>
                    <w:tr2bl w:val="nil"/>
                  </w:tcBorders>
                  <w:noWrap w:val="0"/>
                  <w:vAlign w:val="center"/>
                </w:tcPr>
                <w:p w14:paraId="14265C0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5CD0B84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506AE882">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不合格品</w:t>
                  </w:r>
                </w:p>
              </w:tc>
              <w:tc>
                <w:tcPr>
                  <w:tcW w:w="579" w:type="pct"/>
                  <w:tcBorders>
                    <w:tl2br w:val="nil"/>
                    <w:tr2bl w:val="nil"/>
                  </w:tcBorders>
                  <w:noWrap w:val="0"/>
                  <w:vAlign w:val="center"/>
                </w:tcPr>
                <w:p w14:paraId="2B8ED2F6">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5</w:t>
                  </w:r>
                </w:p>
              </w:tc>
            </w:tr>
            <w:tr w14:paraId="68AD8B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0" w:type="pct"/>
                  <w:tcBorders>
                    <w:tl2br w:val="nil"/>
                    <w:tr2bl w:val="nil"/>
                  </w:tcBorders>
                  <w:noWrap w:val="0"/>
                  <w:vAlign w:val="center"/>
                </w:tcPr>
                <w:p w14:paraId="5C40B7F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7</w:t>
                  </w:r>
                </w:p>
              </w:tc>
              <w:tc>
                <w:tcPr>
                  <w:tcW w:w="485" w:type="pct"/>
                  <w:tcBorders>
                    <w:tl2br w:val="nil"/>
                    <w:tr2bl w:val="nil"/>
                  </w:tcBorders>
                  <w:noWrap w:val="0"/>
                  <w:vAlign w:val="center"/>
                </w:tcPr>
                <w:p w14:paraId="6561125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429" w:type="pct"/>
                  <w:tcBorders>
                    <w:tl2br w:val="nil"/>
                    <w:tr2bl w:val="nil"/>
                  </w:tcBorders>
                  <w:noWrap w:val="0"/>
                  <w:vAlign w:val="center"/>
                </w:tcPr>
                <w:p w14:paraId="37E2B15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500</w:t>
                  </w:r>
                </w:p>
              </w:tc>
              <w:tc>
                <w:tcPr>
                  <w:tcW w:w="2915" w:type="pct"/>
                  <w:tcBorders>
                    <w:tl2br w:val="nil"/>
                    <w:tr2bl w:val="nil"/>
                  </w:tcBorders>
                  <w:noWrap w:val="0"/>
                  <w:vAlign w:val="center"/>
                </w:tcPr>
                <w:p w14:paraId="1809B570">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579" w:type="pct"/>
                  <w:tcBorders>
                    <w:tl2br w:val="nil"/>
                    <w:tr2bl w:val="nil"/>
                  </w:tcBorders>
                  <w:noWrap w:val="0"/>
                  <w:vAlign w:val="center"/>
                </w:tcPr>
                <w:p w14:paraId="3D5CD2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500</w:t>
                  </w:r>
                </w:p>
              </w:tc>
            </w:tr>
          </w:tbl>
          <w:p w14:paraId="23CB6C8A">
            <w:pPr>
              <w:bidi w:val="0"/>
              <w:ind w:left="0" w:leftChars="0" w:firstLine="0" w:firstLineChars="0"/>
              <w:jc w:val="center"/>
              <w:rPr>
                <w:rFonts w:hint="default" w:ascii="Times New Roman" w:hAnsi="Times New Roman" w:cs="Times New Roman"/>
                <w:color w:val="auto"/>
                <w:u w:val="single" w:color="auto"/>
                <w:lang w:val="en-US" w:eastAsia="zh-CN"/>
              </w:rPr>
            </w:pPr>
            <w:r>
              <w:rPr>
                <w:rFonts w:hint="eastAsia" w:cs="Times New Roman"/>
                <w:color w:val="auto"/>
                <w:u w:val="single" w:color="auto"/>
                <w:lang w:val="en-US" w:eastAsia="zh-CN"/>
              </w:rPr>
              <w:t>表2.2-8 本次技改后肉鸡质量平衡图</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8"/>
              <w:gridCol w:w="820"/>
              <w:gridCol w:w="725"/>
              <w:gridCol w:w="4927"/>
              <w:gridCol w:w="979"/>
            </w:tblGrid>
            <w:tr w14:paraId="6151D1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591" w:type="pct"/>
                  <w:tcBorders>
                    <w:tl2br w:val="nil"/>
                    <w:tr2bl w:val="nil"/>
                  </w:tcBorders>
                  <w:noWrap w:val="0"/>
                  <w:vAlign w:val="center"/>
                </w:tcPr>
                <w:p w14:paraId="5B45568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序号</w:t>
                  </w:r>
                </w:p>
              </w:tc>
              <w:tc>
                <w:tcPr>
                  <w:tcW w:w="914" w:type="pct"/>
                  <w:gridSpan w:val="2"/>
                  <w:tcBorders>
                    <w:tl2br w:val="nil"/>
                    <w:tr2bl w:val="nil"/>
                  </w:tcBorders>
                  <w:noWrap w:val="0"/>
                  <w:vAlign w:val="center"/>
                </w:tcPr>
                <w:p w14:paraId="0E72E9D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输入</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c>
                <w:tcPr>
                  <w:tcW w:w="3494" w:type="pct"/>
                  <w:gridSpan w:val="2"/>
                  <w:tcBorders>
                    <w:tl2br w:val="nil"/>
                    <w:tr2bl w:val="nil"/>
                  </w:tcBorders>
                  <w:noWrap w:val="0"/>
                  <w:vAlign w:val="center"/>
                </w:tcPr>
                <w:p w14:paraId="41A96E5D">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输出</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r>
            <w:tr w14:paraId="7D7639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02E9DB42">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1</w:t>
                  </w:r>
                </w:p>
              </w:tc>
              <w:tc>
                <w:tcPr>
                  <w:tcW w:w="485" w:type="pct"/>
                  <w:tcBorders>
                    <w:tl2br w:val="nil"/>
                    <w:tr2bl w:val="nil"/>
                  </w:tcBorders>
                  <w:noWrap w:val="0"/>
                  <w:vAlign w:val="center"/>
                </w:tcPr>
                <w:p w14:paraId="74213740">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肉鸡</w:t>
                  </w:r>
                </w:p>
              </w:tc>
              <w:tc>
                <w:tcPr>
                  <w:tcW w:w="429" w:type="pct"/>
                  <w:tcBorders>
                    <w:tl2br w:val="nil"/>
                    <w:tr2bl w:val="nil"/>
                  </w:tcBorders>
                  <w:noWrap w:val="0"/>
                  <w:vAlign w:val="center"/>
                </w:tcPr>
                <w:p w14:paraId="239A9E3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1.75</w:t>
                  </w:r>
                </w:p>
              </w:tc>
              <w:tc>
                <w:tcPr>
                  <w:tcW w:w="2915" w:type="pct"/>
                  <w:tcBorders>
                    <w:tl2br w:val="nil"/>
                    <w:tr2bl w:val="nil"/>
                  </w:tcBorders>
                  <w:noWrap w:val="0"/>
                  <w:vAlign w:val="center"/>
                </w:tcPr>
                <w:p w14:paraId="6D236233">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rPr>
                  </w:pPr>
                  <w:r>
                    <w:rPr>
                      <w:rFonts w:hint="eastAsia" w:cs="Times New Roman"/>
                      <w:color w:val="auto"/>
                      <w:spacing w:val="0"/>
                      <w:sz w:val="21"/>
                      <w:szCs w:val="21"/>
                      <w:u w:val="single" w:color="auto"/>
                      <w:lang w:val="en-US" w:eastAsia="zh-CN"/>
                    </w:rPr>
                    <w:t>肉鸡肉</w:t>
                  </w:r>
                </w:p>
              </w:tc>
              <w:tc>
                <w:tcPr>
                  <w:tcW w:w="579" w:type="pct"/>
                  <w:tcBorders>
                    <w:tl2br w:val="nil"/>
                    <w:tr2bl w:val="nil"/>
                  </w:tcBorders>
                  <w:noWrap w:val="0"/>
                  <w:vAlign w:val="center"/>
                </w:tcPr>
                <w:p w14:paraId="487D2413">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1.39</w:t>
                  </w:r>
                </w:p>
              </w:tc>
            </w:tr>
            <w:tr w14:paraId="6CE046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3F7A3F2D">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2</w:t>
                  </w:r>
                </w:p>
              </w:tc>
              <w:tc>
                <w:tcPr>
                  <w:tcW w:w="485" w:type="pct"/>
                  <w:tcBorders>
                    <w:tl2br w:val="nil"/>
                    <w:tr2bl w:val="nil"/>
                  </w:tcBorders>
                  <w:noWrap w:val="0"/>
                  <w:vAlign w:val="center"/>
                </w:tcPr>
                <w:p w14:paraId="4EFB963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1A8F3C1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54A235F5">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lang w:eastAsia="zh-CN"/>
                    </w:rPr>
                  </w:pPr>
                  <w:r>
                    <w:rPr>
                      <w:rFonts w:hint="eastAsia" w:cs="Times New Roman"/>
                      <w:color w:val="auto"/>
                      <w:spacing w:val="0"/>
                      <w:sz w:val="21"/>
                      <w:szCs w:val="21"/>
                      <w:u w:val="single" w:color="auto"/>
                      <w:lang w:val="en-US" w:eastAsia="zh-CN"/>
                    </w:rPr>
                    <w:t>肉鸡副产品（可食用肉鸡胗、肉鸡血等）</w:t>
                  </w:r>
                </w:p>
              </w:tc>
              <w:tc>
                <w:tcPr>
                  <w:tcW w:w="579" w:type="pct"/>
                  <w:tcBorders>
                    <w:tl2br w:val="nil"/>
                    <w:tr2bl w:val="nil"/>
                  </w:tcBorders>
                  <w:noWrap w:val="0"/>
                  <w:vAlign w:val="center"/>
                </w:tcPr>
                <w:p w14:paraId="201C15D5">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0.3</w:t>
                  </w:r>
                </w:p>
              </w:tc>
            </w:tr>
            <w:tr w14:paraId="48F042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75120DA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3</w:t>
                  </w:r>
                </w:p>
              </w:tc>
              <w:tc>
                <w:tcPr>
                  <w:tcW w:w="485" w:type="pct"/>
                  <w:tcBorders>
                    <w:tl2br w:val="nil"/>
                    <w:tr2bl w:val="nil"/>
                  </w:tcBorders>
                  <w:noWrap w:val="0"/>
                  <w:vAlign w:val="center"/>
                </w:tcPr>
                <w:p w14:paraId="3A77BBA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39AC520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0EB89FA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不可食用部分</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不可食内脏及毛</w:t>
                  </w:r>
                  <w:r>
                    <w:rPr>
                      <w:rFonts w:hint="eastAsia" w:cs="Times New Roman"/>
                      <w:color w:val="auto"/>
                      <w:kern w:val="2"/>
                      <w:sz w:val="21"/>
                      <w:szCs w:val="21"/>
                      <w:u w:val="single" w:color="auto"/>
                      <w:lang w:eastAsia="zh-CN"/>
                    </w:rPr>
                    <w:t>、</w:t>
                  </w:r>
                  <w:r>
                    <w:rPr>
                      <w:rFonts w:hint="eastAsia" w:cs="Times New Roman"/>
                      <w:color w:val="auto"/>
                      <w:kern w:val="2"/>
                      <w:sz w:val="21"/>
                      <w:szCs w:val="21"/>
                      <w:u w:val="single" w:color="auto"/>
                      <w:vertAlign w:val="baseline"/>
                      <w:lang w:val="en-US" w:eastAsia="zh-CN"/>
                    </w:rPr>
                    <w:t>胃内容物、肠内容物等</w:t>
                  </w:r>
                  <w:r>
                    <w:rPr>
                      <w:rFonts w:hint="eastAsia" w:ascii="Times New Roman" w:hAnsi="Times New Roman" w:eastAsia="宋体" w:cs="Times New Roman"/>
                      <w:color w:val="auto"/>
                      <w:kern w:val="2"/>
                      <w:sz w:val="21"/>
                      <w:szCs w:val="21"/>
                      <w:u w:val="single" w:color="auto"/>
                      <w:lang w:eastAsia="zh-CN"/>
                    </w:rPr>
                    <w:t>）</w:t>
                  </w:r>
                </w:p>
              </w:tc>
              <w:tc>
                <w:tcPr>
                  <w:tcW w:w="579" w:type="pct"/>
                  <w:tcBorders>
                    <w:tl2br w:val="nil"/>
                    <w:tr2bl w:val="nil"/>
                  </w:tcBorders>
                  <w:noWrap w:val="0"/>
                  <w:vAlign w:val="center"/>
                </w:tcPr>
                <w:p w14:paraId="115F089C">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lang w:val="en-US" w:eastAsia="zh-CN"/>
                    </w:rPr>
                    <w:t>0.0378</w:t>
                  </w:r>
                </w:p>
              </w:tc>
            </w:tr>
            <w:tr w14:paraId="73ACC7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4BCBDA02">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4</w:t>
                  </w:r>
                </w:p>
              </w:tc>
              <w:tc>
                <w:tcPr>
                  <w:tcW w:w="485" w:type="pct"/>
                  <w:tcBorders>
                    <w:tl2br w:val="nil"/>
                    <w:tr2bl w:val="nil"/>
                  </w:tcBorders>
                  <w:noWrap w:val="0"/>
                  <w:vAlign w:val="center"/>
                </w:tcPr>
                <w:p w14:paraId="7A97E6C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42A4A5C7">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760C81E7">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碎肉渣</w:t>
                  </w:r>
                </w:p>
              </w:tc>
              <w:tc>
                <w:tcPr>
                  <w:tcW w:w="579" w:type="pct"/>
                  <w:tcBorders>
                    <w:tl2br w:val="nil"/>
                    <w:tr2bl w:val="nil"/>
                  </w:tcBorders>
                  <w:noWrap w:val="0"/>
                  <w:vAlign w:val="center"/>
                </w:tcPr>
                <w:p w14:paraId="70526798">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0.0002</w:t>
                  </w:r>
                </w:p>
              </w:tc>
            </w:tr>
            <w:tr w14:paraId="47CB0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123FFEF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5</w:t>
                  </w:r>
                </w:p>
              </w:tc>
              <w:tc>
                <w:tcPr>
                  <w:tcW w:w="485" w:type="pct"/>
                  <w:tcBorders>
                    <w:tl2br w:val="nil"/>
                    <w:tr2bl w:val="nil"/>
                  </w:tcBorders>
                  <w:noWrap w:val="0"/>
                  <w:vAlign w:val="center"/>
                </w:tcPr>
                <w:p w14:paraId="1023427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1C92205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64B4ECDB">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病死鸡</w:t>
                  </w:r>
                </w:p>
              </w:tc>
              <w:tc>
                <w:tcPr>
                  <w:tcW w:w="579" w:type="pct"/>
                  <w:tcBorders>
                    <w:tl2br w:val="nil"/>
                    <w:tr2bl w:val="nil"/>
                  </w:tcBorders>
                  <w:noWrap w:val="0"/>
                  <w:vAlign w:val="center"/>
                </w:tcPr>
                <w:p w14:paraId="12B93BF6">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0.002</w:t>
                  </w:r>
                </w:p>
              </w:tc>
            </w:tr>
            <w:tr w14:paraId="05893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0EC260D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6</w:t>
                  </w:r>
                </w:p>
              </w:tc>
              <w:tc>
                <w:tcPr>
                  <w:tcW w:w="485" w:type="pct"/>
                  <w:tcBorders>
                    <w:tl2br w:val="nil"/>
                    <w:tr2bl w:val="nil"/>
                  </w:tcBorders>
                  <w:noWrap w:val="0"/>
                  <w:vAlign w:val="center"/>
                </w:tcPr>
                <w:p w14:paraId="55058D8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7D7D073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648F6B4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不合格品</w:t>
                  </w:r>
                </w:p>
              </w:tc>
              <w:tc>
                <w:tcPr>
                  <w:tcW w:w="579" w:type="pct"/>
                  <w:tcBorders>
                    <w:tl2br w:val="nil"/>
                    <w:tr2bl w:val="nil"/>
                  </w:tcBorders>
                  <w:noWrap w:val="0"/>
                  <w:vAlign w:val="center"/>
                </w:tcPr>
                <w:p w14:paraId="2282B809">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0.02</w:t>
                  </w:r>
                </w:p>
              </w:tc>
            </w:tr>
            <w:tr w14:paraId="7C9FBC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57C1382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cs="Times New Roman"/>
                      <w:color w:val="auto"/>
                      <w:kern w:val="2"/>
                      <w:sz w:val="21"/>
                      <w:szCs w:val="21"/>
                      <w:u w:val="single" w:color="auto"/>
                      <w:lang w:val="en-US" w:eastAsia="zh-CN"/>
                    </w:rPr>
                    <w:t>7</w:t>
                  </w:r>
                </w:p>
              </w:tc>
              <w:tc>
                <w:tcPr>
                  <w:tcW w:w="485" w:type="pct"/>
                  <w:tcBorders>
                    <w:tl2br w:val="nil"/>
                    <w:tr2bl w:val="nil"/>
                  </w:tcBorders>
                  <w:noWrap w:val="0"/>
                  <w:vAlign w:val="center"/>
                </w:tcPr>
                <w:p w14:paraId="0DDEE964">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429" w:type="pct"/>
                  <w:tcBorders>
                    <w:tl2br w:val="nil"/>
                    <w:tr2bl w:val="nil"/>
                  </w:tcBorders>
                  <w:noWrap w:val="0"/>
                  <w:vAlign w:val="center"/>
                </w:tcPr>
                <w:p w14:paraId="59A722D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1.75</w:t>
                  </w:r>
                </w:p>
              </w:tc>
              <w:tc>
                <w:tcPr>
                  <w:tcW w:w="2915" w:type="pct"/>
                  <w:tcBorders>
                    <w:tl2br w:val="nil"/>
                    <w:tr2bl w:val="nil"/>
                  </w:tcBorders>
                  <w:noWrap w:val="0"/>
                  <w:vAlign w:val="center"/>
                </w:tcPr>
                <w:p w14:paraId="40602282">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579" w:type="pct"/>
                  <w:tcBorders>
                    <w:tl2br w:val="nil"/>
                    <w:tr2bl w:val="nil"/>
                  </w:tcBorders>
                  <w:noWrap w:val="0"/>
                  <w:vAlign w:val="center"/>
                </w:tcPr>
                <w:p w14:paraId="28ED023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1.75</w:t>
                  </w:r>
                </w:p>
              </w:tc>
            </w:tr>
          </w:tbl>
          <w:p w14:paraId="4A34F6E6">
            <w:pPr>
              <w:bidi w:val="0"/>
              <w:ind w:left="0" w:leftChars="0" w:firstLine="0" w:firstLineChars="0"/>
              <w:jc w:val="center"/>
              <w:rPr>
                <w:rFonts w:hint="default" w:ascii="Times New Roman" w:hAnsi="Times New Roman" w:cs="Times New Roman"/>
                <w:color w:val="auto"/>
                <w:u w:val="single" w:color="auto"/>
                <w:lang w:val="en-US" w:eastAsia="zh-CN"/>
              </w:rPr>
            </w:pPr>
            <w:r>
              <w:rPr>
                <w:rFonts w:hint="eastAsia" w:cs="Times New Roman"/>
                <w:color w:val="auto"/>
                <w:u w:val="single" w:color="auto"/>
                <w:lang w:val="en-US" w:eastAsia="zh-CN"/>
              </w:rPr>
              <w:t>表2.2-9 本次技改后肉鸭质量平衡图</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8"/>
              <w:gridCol w:w="820"/>
              <w:gridCol w:w="725"/>
              <w:gridCol w:w="4927"/>
              <w:gridCol w:w="979"/>
            </w:tblGrid>
            <w:tr w14:paraId="2E48D7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591" w:type="pct"/>
                  <w:tcBorders>
                    <w:tl2br w:val="nil"/>
                    <w:tr2bl w:val="nil"/>
                  </w:tcBorders>
                  <w:noWrap w:val="0"/>
                  <w:vAlign w:val="center"/>
                </w:tcPr>
                <w:p w14:paraId="67473BB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序号</w:t>
                  </w:r>
                </w:p>
              </w:tc>
              <w:tc>
                <w:tcPr>
                  <w:tcW w:w="914" w:type="pct"/>
                  <w:gridSpan w:val="2"/>
                  <w:tcBorders>
                    <w:tl2br w:val="nil"/>
                    <w:tr2bl w:val="nil"/>
                  </w:tcBorders>
                  <w:noWrap w:val="0"/>
                  <w:vAlign w:val="center"/>
                </w:tcPr>
                <w:p w14:paraId="09ACDFA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输入</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c>
                <w:tcPr>
                  <w:tcW w:w="3494" w:type="pct"/>
                  <w:gridSpan w:val="2"/>
                  <w:tcBorders>
                    <w:tl2br w:val="nil"/>
                    <w:tr2bl w:val="nil"/>
                  </w:tcBorders>
                  <w:noWrap w:val="0"/>
                  <w:vAlign w:val="center"/>
                </w:tcPr>
                <w:p w14:paraId="5FCE86B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输出</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r>
            <w:tr w14:paraId="360120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5C0C28B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1</w:t>
                  </w:r>
                </w:p>
              </w:tc>
              <w:tc>
                <w:tcPr>
                  <w:tcW w:w="485" w:type="pct"/>
                  <w:tcBorders>
                    <w:tl2br w:val="nil"/>
                    <w:tr2bl w:val="nil"/>
                  </w:tcBorders>
                  <w:noWrap w:val="0"/>
                  <w:vAlign w:val="center"/>
                </w:tcPr>
                <w:p w14:paraId="6F97454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cs="Times New Roman"/>
                      <w:color w:val="auto"/>
                      <w:kern w:val="2"/>
                      <w:sz w:val="21"/>
                      <w:szCs w:val="21"/>
                      <w:u w:val="single" w:color="auto"/>
                      <w:lang w:val="en-US" w:eastAsia="zh-CN"/>
                    </w:rPr>
                    <w:t>肉鸭</w:t>
                  </w:r>
                </w:p>
              </w:tc>
              <w:tc>
                <w:tcPr>
                  <w:tcW w:w="429" w:type="pct"/>
                  <w:tcBorders>
                    <w:tl2br w:val="nil"/>
                    <w:tr2bl w:val="nil"/>
                  </w:tcBorders>
                  <w:noWrap w:val="0"/>
                  <w:vAlign w:val="center"/>
                </w:tcPr>
                <w:p w14:paraId="69F942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2.5</w:t>
                  </w:r>
                </w:p>
              </w:tc>
              <w:tc>
                <w:tcPr>
                  <w:tcW w:w="2915" w:type="pct"/>
                  <w:tcBorders>
                    <w:tl2br w:val="nil"/>
                    <w:tr2bl w:val="nil"/>
                  </w:tcBorders>
                  <w:noWrap w:val="0"/>
                  <w:vAlign w:val="center"/>
                </w:tcPr>
                <w:p w14:paraId="4853A6EA">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rPr>
                  </w:pPr>
                  <w:r>
                    <w:rPr>
                      <w:rFonts w:hint="eastAsia" w:cs="Times New Roman"/>
                      <w:color w:val="auto"/>
                      <w:spacing w:val="0"/>
                      <w:sz w:val="21"/>
                      <w:szCs w:val="21"/>
                      <w:u w:val="single" w:color="auto"/>
                      <w:lang w:val="en-US" w:eastAsia="zh-CN"/>
                    </w:rPr>
                    <w:t>肉鸭肉</w:t>
                  </w:r>
                </w:p>
              </w:tc>
              <w:tc>
                <w:tcPr>
                  <w:tcW w:w="579" w:type="pct"/>
                  <w:tcBorders>
                    <w:tl2br w:val="nil"/>
                    <w:tr2bl w:val="nil"/>
                  </w:tcBorders>
                  <w:noWrap w:val="0"/>
                  <w:vAlign w:val="center"/>
                </w:tcPr>
                <w:p w14:paraId="25D42A89">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2</w:t>
                  </w:r>
                </w:p>
              </w:tc>
            </w:tr>
            <w:tr w14:paraId="13884D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36E3143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2</w:t>
                  </w:r>
                </w:p>
              </w:tc>
              <w:tc>
                <w:tcPr>
                  <w:tcW w:w="485" w:type="pct"/>
                  <w:tcBorders>
                    <w:tl2br w:val="nil"/>
                    <w:tr2bl w:val="nil"/>
                  </w:tcBorders>
                  <w:noWrap w:val="0"/>
                  <w:vAlign w:val="center"/>
                </w:tcPr>
                <w:p w14:paraId="3B644A3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30F04F1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51038461">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lang w:eastAsia="zh-CN"/>
                    </w:rPr>
                  </w:pPr>
                  <w:r>
                    <w:rPr>
                      <w:rFonts w:hint="eastAsia" w:cs="Times New Roman"/>
                      <w:color w:val="auto"/>
                      <w:spacing w:val="0"/>
                      <w:sz w:val="21"/>
                      <w:szCs w:val="21"/>
                      <w:u w:val="single" w:color="auto"/>
                      <w:lang w:val="en-US" w:eastAsia="zh-CN"/>
                    </w:rPr>
                    <w:t>肉鸭副产品（可食用肉鸭胗、肉鸭血等）</w:t>
                  </w:r>
                </w:p>
              </w:tc>
              <w:tc>
                <w:tcPr>
                  <w:tcW w:w="579" w:type="pct"/>
                  <w:tcBorders>
                    <w:tl2br w:val="nil"/>
                    <w:tr2bl w:val="nil"/>
                  </w:tcBorders>
                  <w:noWrap w:val="0"/>
                  <w:vAlign w:val="center"/>
                </w:tcPr>
                <w:p w14:paraId="02CA89E8">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vertAlign w:val="baseline"/>
                      <w:lang w:val="en-US" w:eastAsia="zh-CN" w:bidi="ar-SA"/>
                    </w:rPr>
                    <w:t>0.42</w:t>
                  </w:r>
                </w:p>
              </w:tc>
            </w:tr>
            <w:tr w14:paraId="463B6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05EBAF31">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3</w:t>
                  </w:r>
                </w:p>
              </w:tc>
              <w:tc>
                <w:tcPr>
                  <w:tcW w:w="485" w:type="pct"/>
                  <w:tcBorders>
                    <w:tl2br w:val="nil"/>
                    <w:tr2bl w:val="nil"/>
                  </w:tcBorders>
                  <w:noWrap w:val="0"/>
                  <w:vAlign w:val="center"/>
                </w:tcPr>
                <w:p w14:paraId="1077ED9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4DEB9D34">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66A9DB41">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不可食用部分</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不可食内脏及毛</w:t>
                  </w:r>
                  <w:r>
                    <w:rPr>
                      <w:rFonts w:hint="eastAsia" w:cs="Times New Roman"/>
                      <w:color w:val="auto"/>
                      <w:kern w:val="2"/>
                      <w:sz w:val="21"/>
                      <w:szCs w:val="21"/>
                      <w:u w:val="single" w:color="auto"/>
                      <w:lang w:eastAsia="zh-CN"/>
                    </w:rPr>
                    <w:t>、</w:t>
                  </w:r>
                  <w:r>
                    <w:rPr>
                      <w:rFonts w:hint="eastAsia" w:cs="Times New Roman"/>
                      <w:color w:val="auto"/>
                      <w:kern w:val="2"/>
                      <w:sz w:val="21"/>
                      <w:szCs w:val="21"/>
                      <w:u w:val="single" w:color="auto"/>
                      <w:vertAlign w:val="baseline"/>
                      <w:lang w:val="en-US" w:eastAsia="zh-CN"/>
                    </w:rPr>
                    <w:t>胃内容物、肠内容物等</w:t>
                  </w:r>
                  <w:r>
                    <w:rPr>
                      <w:rFonts w:hint="eastAsia" w:cs="Times New Roman"/>
                      <w:color w:val="auto"/>
                      <w:kern w:val="2"/>
                      <w:sz w:val="21"/>
                      <w:szCs w:val="21"/>
                      <w:u w:val="single" w:color="auto"/>
                      <w:lang w:val="en-US" w:eastAsia="zh-CN"/>
                    </w:rPr>
                    <w:t>等</w:t>
                  </w:r>
                  <w:r>
                    <w:rPr>
                      <w:rFonts w:hint="eastAsia" w:ascii="Times New Roman" w:hAnsi="Times New Roman" w:eastAsia="宋体" w:cs="Times New Roman"/>
                      <w:color w:val="auto"/>
                      <w:kern w:val="2"/>
                      <w:sz w:val="21"/>
                      <w:szCs w:val="21"/>
                      <w:u w:val="single" w:color="auto"/>
                      <w:lang w:eastAsia="zh-CN"/>
                    </w:rPr>
                    <w:t>）</w:t>
                  </w:r>
                </w:p>
              </w:tc>
              <w:tc>
                <w:tcPr>
                  <w:tcW w:w="579" w:type="pct"/>
                  <w:tcBorders>
                    <w:tl2br w:val="nil"/>
                    <w:tr2bl w:val="nil"/>
                  </w:tcBorders>
                  <w:noWrap w:val="0"/>
                  <w:vAlign w:val="center"/>
                </w:tcPr>
                <w:p w14:paraId="338B72B4">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lang w:val="en-US" w:eastAsia="zh-CN"/>
                    </w:rPr>
                    <w:t>0.0467</w:t>
                  </w:r>
                </w:p>
              </w:tc>
            </w:tr>
            <w:tr w14:paraId="41D989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4255CA50">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4</w:t>
                  </w:r>
                </w:p>
              </w:tc>
              <w:tc>
                <w:tcPr>
                  <w:tcW w:w="836" w:type="dxa"/>
                  <w:tcBorders>
                    <w:tl2br w:val="nil"/>
                    <w:tr2bl w:val="nil"/>
                  </w:tcBorders>
                  <w:noWrap w:val="0"/>
                  <w:vAlign w:val="center"/>
                </w:tcPr>
                <w:p w14:paraId="1BE25DF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740" w:type="dxa"/>
                  <w:tcBorders>
                    <w:tl2br w:val="nil"/>
                    <w:tr2bl w:val="nil"/>
                  </w:tcBorders>
                  <w:noWrap w:val="0"/>
                  <w:vAlign w:val="center"/>
                </w:tcPr>
                <w:p w14:paraId="531B0484">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71616A1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碎肉渣</w:t>
                  </w:r>
                </w:p>
              </w:tc>
              <w:tc>
                <w:tcPr>
                  <w:tcW w:w="579" w:type="pct"/>
                  <w:tcBorders>
                    <w:tl2br w:val="nil"/>
                    <w:tr2bl w:val="nil"/>
                  </w:tcBorders>
                  <w:noWrap w:val="0"/>
                  <w:vAlign w:val="center"/>
                </w:tcPr>
                <w:p w14:paraId="532C08F5">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0.0003</w:t>
                  </w:r>
                </w:p>
              </w:tc>
            </w:tr>
            <w:tr w14:paraId="785FEC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10F493A8">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5</w:t>
                  </w:r>
                </w:p>
              </w:tc>
              <w:tc>
                <w:tcPr>
                  <w:tcW w:w="836" w:type="dxa"/>
                  <w:tcBorders>
                    <w:tl2br w:val="nil"/>
                    <w:tr2bl w:val="nil"/>
                  </w:tcBorders>
                  <w:noWrap w:val="0"/>
                  <w:vAlign w:val="center"/>
                </w:tcPr>
                <w:p w14:paraId="1024FB8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740" w:type="dxa"/>
                  <w:tcBorders>
                    <w:tl2br w:val="nil"/>
                    <w:tr2bl w:val="nil"/>
                  </w:tcBorders>
                  <w:noWrap w:val="0"/>
                  <w:vAlign w:val="center"/>
                </w:tcPr>
                <w:p w14:paraId="1003C92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29FBDF47">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病死鸭</w:t>
                  </w:r>
                </w:p>
              </w:tc>
              <w:tc>
                <w:tcPr>
                  <w:tcW w:w="579" w:type="pct"/>
                  <w:tcBorders>
                    <w:tl2br w:val="nil"/>
                    <w:tr2bl w:val="nil"/>
                  </w:tcBorders>
                  <w:noWrap w:val="0"/>
                  <w:vAlign w:val="center"/>
                </w:tcPr>
                <w:p w14:paraId="65240F7F">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0.003</w:t>
                  </w:r>
                </w:p>
              </w:tc>
            </w:tr>
            <w:tr w14:paraId="742501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677DFD9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6</w:t>
                  </w:r>
                </w:p>
              </w:tc>
              <w:tc>
                <w:tcPr>
                  <w:tcW w:w="836" w:type="dxa"/>
                  <w:tcBorders>
                    <w:tl2br w:val="nil"/>
                    <w:tr2bl w:val="nil"/>
                  </w:tcBorders>
                  <w:noWrap w:val="0"/>
                  <w:vAlign w:val="center"/>
                </w:tcPr>
                <w:p w14:paraId="5602B4F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740" w:type="dxa"/>
                  <w:tcBorders>
                    <w:tl2br w:val="nil"/>
                    <w:tr2bl w:val="nil"/>
                  </w:tcBorders>
                  <w:noWrap w:val="0"/>
                  <w:vAlign w:val="center"/>
                </w:tcPr>
                <w:p w14:paraId="3D453A41">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4F9EED5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不合格品</w:t>
                  </w:r>
                </w:p>
              </w:tc>
              <w:tc>
                <w:tcPr>
                  <w:tcW w:w="579" w:type="pct"/>
                  <w:tcBorders>
                    <w:tl2br w:val="nil"/>
                    <w:tr2bl w:val="nil"/>
                  </w:tcBorders>
                  <w:noWrap w:val="0"/>
                  <w:vAlign w:val="center"/>
                </w:tcPr>
                <w:p w14:paraId="2B8A507D">
                  <w:pPr>
                    <w:widowControl/>
                    <w:adjustRightInd/>
                    <w:spacing w:line="240" w:lineRule="auto"/>
                    <w:ind w:firstLine="0" w:firstLineChars="0"/>
                    <w:jc w:val="center"/>
                    <w:textAlignment w:val="auto"/>
                    <w:rPr>
                      <w:rFonts w:hint="default" w:cs="Times New Roman"/>
                      <w:color w:val="auto"/>
                      <w:kern w:val="2"/>
                      <w:sz w:val="21"/>
                      <w:szCs w:val="21"/>
                      <w:u w:val="single" w:color="auto"/>
                      <w:lang w:val="en-US" w:eastAsia="zh-CN"/>
                    </w:rPr>
                  </w:pPr>
                  <w:r>
                    <w:rPr>
                      <w:rFonts w:hint="eastAsia" w:cs="Times New Roman"/>
                      <w:color w:val="auto"/>
                      <w:kern w:val="2"/>
                      <w:sz w:val="21"/>
                      <w:szCs w:val="21"/>
                      <w:u w:val="single" w:color="auto"/>
                      <w:lang w:val="en-US" w:eastAsia="zh-CN"/>
                    </w:rPr>
                    <w:t>0.03</w:t>
                  </w:r>
                </w:p>
              </w:tc>
            </w:tr>
            <w:tr w14:paraId="33B306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199DFA9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cs="Times New Roman"/>
                      <w:color w:val="auto"/>
                      <w:kern w:val="2"/>
                      <w:sz w:val="21"/>
                      <w:szCs w:val="21"/>
                      <w:u w:val="single" w:color="auto"/>
                      <w:lang w:val="en-US" w:eastAsia="zh-CN"/>
                    </w:rPr>
                    <w:t>7</w:t>
                  </w:r>
                </w:p>
              </w:tc>
              <w:tc>
                <w:tcPr>
                  <w:tcW w:w="485" w:type="pct"/>
                  <w:tcBorders>
                    <w:tl2br w:val="nil"/>
                    <w:tr2bl w:val="nil"/>
                  </w:tcBorders>
                  <w:noWrap w:val="0"/>
                  <w:vAlign w:val="center"/>
                </w:tcPr>
                <w:p w14:paraId="41D24F47">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429" w:type="pct"/>
                  <w:tcBorders>
                    <w:tl2br w:val="nil"/>
                    <w:tr2bl w:val="nil"/>
                  </w:tcBorders>
                  <w:noWrap w:val="0"/>
                  <w:vAlign w:val="center"/>
                </w:tcPr>
                <w:p w14:paraId="1A0EC7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2.5</w:t>
                  </w:r>
                </w:p>
              </w:tc>
              <w:tc>
                <w:tcPr>
                  <w:tcW w:w="2915" w:type="pct"/>
                  <w:tcBorders>
                    <w:tl2br w:val="nil"/>
                    <w:tr2bl w:val="nil"/>
                  </w:tcBorders>
                  <w:noWrap w:val="0"/>
                  <w:vAlign w:val="center"/>
                </w:tcPr>
                <w:p w14:paraId="774B53A5">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579" w:type="pct"/>
                  <w:tcBorders>
                    <w:tl2br w:val="nil"/>
                    <w:tr2bl w:val="nil"/>
                  </w:tcBorders>
                  <w:noWrap w:val="0"/>
                  <w:vAlign w:val="center"/>
                </w:tcPr>
                <w:p w14:paraId="0E9BF37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2.5</w:t>
                  </w:r>
                </w:p>
              </w:tc>
            </w:tr>
          </w:tbl>
          <w:p w14:paraId="05A5A1DA">
            <w:pPr>
              <w:bidi w:val="0"/>
              <w:ind w:left="0" w:leftChars="0" w:firstLine="0" w:firstLineChars="0"/>
              <w:jc w:val="center"/>
              <w:rPr>
                <w:rFonts w:hint="default" w:ascii="Times New Roman" w:hAnsi="Times New Roman" w:cs="Times New Roman"/>
                <w:color w:val="auto"/>
                <w:u w:val="single" w:color="auto"/>
                <w:lang w:val="en-US" w:eastAsia="zh-CN"/>
              </w:rPr>
            </w:pPr>
            <w:r>
              <w:rPr>
                <w:rFonts w:hint="eastAsia" w:cs="Times New Roman"/>
                <w:color w:val="auto"/>
                <w:u w:val="single" w:color="auto"/>
                <w:lang w:val="en-US" w:eastAsia="zh-CN"/>
              </w:rPr>
              <w:t>表2.2-10 本次技改后肉鹅质量平衡图</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8"/>
              <w:gridCol w:w="820"/>
              <w:gridCol w:w="725"/>
              <w:gridCol w:w="4927"/>
              <w:gridCol w:w="979"/>
            </w:tblGrid>
            <w:tr w14:paraId="6F1929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591" w:type="pct"/>
                  <w:tcBorders>
                    <w:tl2br w:val="nil"/>
                    <w:tr2bl w:val="nil"/>
                  </w:tcBorders>
                  <w:noWrap w:val="0"/>
                  <w:vAlign w:val="center"/>
                </w:tcPr>
                <w:p w14:paraId="1CD4FD1D">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序号</w:t>
                  </w:r>
                </w:p>
              </w:tc>
              <w:tc>
                <w:tcPr>
                  <w:tcW w:w="914" w:type="pct"/>
                  <w:gridSpan w:val="2"/>
                  <w:tcBorders>
                    <w:tl2br w:val="nil"/>
                    <w:tr2bl w:val="nil"/>
                  </w:tcBorders>
                  <w:noWrap w:val="0"/>
                  <w:vAlign w:val="center"/>
                </w:tcPr>
                <w:p w14:paraId="27A6300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输入</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c>
                <w:tcPr>
                  <w:tcW w:w="3494" w:type="pct"/>
                  <w:gridSpan w:val="2"/>
                  <w:tcBorders>
                    <w:tl2br w:val="nil"/>
                    <w:tr2bl w:val="nil"/>
                  </w:tcBorders>
                  <w:noWrap w:val="0"/>
                  <w:vAlign w:val="center"/>
                </w:tcPr>
                <w:p w14:paraId="78E5D04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输出</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t/a</w:t>
                  </w:r>
                  <w:r>
                    <w:rPr>
                      <w:rFonts w:hint="eastAsia" w:ascii="Times New Roman" w:hAnsi="Times New Roman" w:eastAsia="宋体" w:cs="Times New Roman"/>
                      <w:color w:val="auto"/>
                      <w:kern w:val="2"/>
                      <w:sz w:val="21"/>
                      <w:szCs w:val="21"/>
                      <w:u w:val="single" w:color="auto"/>
                      <w:lang w:eastAsia="zh-CN"/>
                    </w:rPr>
                    <w:t>）</w:t>
                  </w:r>
                </w:p>
              </w:tc>
            </w:tr>
            <w:tr w14:paraId="7B8950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704922A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1</w:t>
                  </w:r>
                </w:p>
              </w:tc>
              <w:tc>
                <w:tcPr>
                  <w:tcW w:w="485" w:type="pct"/>
                  <w:tcBorders>
                    <w:tl2br w:val="nil"/>
                    <w:tr2bl w:val="nil"/>
                  </w:tcBorders>
                  <w:noWrap w:val="0"/>
                  <w:vAlign w:val="center"/>
                </w:tcPr>
                <w:p w14:paraId="62555A5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cs="Times New Roman"/>
                      <w:color w:val="auto"/>
                      <w:kern w:val="2"/>
                      <w:sz w:val="21"/>
                      <w:szCs w:val="21"/>
                      <w:u w:val="single" w:color="auto"/>
                      <w:lang w:val="en-US" w:eastAsia="zh-CN"/>
                    </w:rPr>
                    <w:t>肉鹅</w:t>
                  </w:r>
                </w:p>
              </w:tc>
              <w:tc>
                <w:tcPr>
                  <w:tcW w:w="429" w:type="pct"/>
                  <w:tcBorders>
                    <w:tl2br w:val="nil"/>
                    <w:tr2bl w:val="nil"/>
                  </w:tcBorders>
                  <w:noWrap w:val="0"/>
                  <w:vAlign w:val="center"/>
                </w:tcPr>
                <w:p w14:paraId="260B540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3</w:t>
                  </w:r>
                </w:p>
              </w:tc>
              <w:tc>
                <w:tcPr>
                  <w:tcW w:w="2915" w:type="pct"/>
                  <w:tcBorders>
                    <w:tl2br w:val="nil"/>
                    <w:tr2bl w:val="nil"/>
                  </w:tcBorders>
                  <w:noWrap w:val="0"/>
                  <w:vAlign w:val="center"/>
                </w:tcPr>
                <w:p w14:paraId="6F4858D9">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rPr>
                  </w:pPr>
                  <w:r>
                    <w:rPr>
                      <w:rFonts w:hint="eastAsia" w:cs="Times New Roman"/>
                      <w:color w:val="auto"/>
                      <w:spacing w:val="0"/>
                      <w:sz w:val="21"/>
                      <w:szCs w:val="21"/>
                      <w:u w:val="single" w:color="auto"/>
                      <w:lang w:val="en-US" w:eastAsia="zh-CN"/>
                    </w:rPr>
                    <w:t>肉鹅肉</w:t>
                  </w:r>
                </w:p>
              </w:tc>
              <w:tc>
                <w:tcPr>
                  <w:tcW w:w="579" w:type="pct"/>
                  <w:tcBorders>
                    <w:tl2br w:val="nil"/>
                    <w:tr2bl w:val="nil"/>
                  </w:tcBorders>
                  <w:noWrap w:val="0"/>
                  <w:vAlign w:val="center"/>
                </w:tcPr>
                <w:p w14:paraId="4706D0CD">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2.2</w:t>
                  </w:r>
                </w:p>
              </w:tc>
            </w:tr>
            <w:tr w14:paraId="18496D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45FAFE0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2</w:t>
                  </w:r>
                </w:p>
              </w:tc>
              <w:tc>
                <w:tcPr>
                  <w:tcW w:w="485" w:type="pct"/>
                  <w:tcBorders>
                    <w:tl2br w:val="nil"/>
                    <w:tr2bl w:val="nil"/>
                  </w:tcBorders>
                  <w:noWrap w:val="0"/>
                  <w:vAlign w:val="center"/>
                </w:tcPr>
                <w:p w14:paraId="508441B1">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6BC4A83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4F16C4B0">
                  <w:pPr>
                    <w:adjustRightInd/>
                    <w:snapToGrid/>
                    <w:spacing w:line="240" w:lineRule="auto"/>
                    <w:ind w:firstLine="0" w:firstLineChars="0"/>
                    <w:jc w:val="center"/>
                    <w:rPr>
                      <w:rFonts w:hint="eastAsia" w:ascii="Times New Roman" w:hAnsi="Times New Roman" w:eastAsia="宋体" w:cs="Times New Roman"/>
                      <w:color w:val="auto"/>
                      <w:kern w:val="2"/>
                      <w:sz w:val="21"/>
                      <w:szCs w:val="21"/>
                      <w:u w:val="single" w:color="auto"/>
                      <w:lang w:eastAsia="zh-CN"/>
                    </w:rPr>
                  </w:pPr>
                  <w:r>
                    <w:rPr>
                      <w:rFonts w:hint="eastAsia" w:cs="Times New Roman"/>
                      <w:color w:val="auto"/>
                      <w:spacing w:val="0"/>
                      <w:sz w:val="21"/>
                      <w:szCs w:val="21"/>
                      <w:u w:val="single" w:color="auto"/>
                      <w:lang w:val="en-US" w:eastAsia="zh-CN"/>
                    </w:rPr>
                    <w:t>肉鹅副产品（可食用肉鹅胗、肉鹅血等）</w:t>
                  </w:r>
                </w:p>
              </w:tc>
              <w:tc>
                <w:tcPr>
                  <w:tcW w:w="579" w:type="pct"/>
                  <w:tcBorders>
                    <w:tl2br w:val="nil"/>
                    <w:tr2bl w:val="nil"/>
                  </w:tcBorders>
                  <w:noWrap w:val="0"/>
                  <w:vAlign w:val="center"/>
                </w:tcPr>
                <w:p w14:paraId="63AD7EEC">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vertAlign w:val="baseline"/>
                      <w:lang w:val="en-US" w:eastAsia="zh-CN" w:bidi="ar-SA"/>
                    </w:rPr>
                    <w:t>0.68</w:t>
                  </w:r>
                </w:p>
              </w:tc>
            </w:tr>
            <w:tr w14:paraId="0AF430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462111D7">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3</w:t>
                  </w:r>
                </w:p>
              </w:tc>
              <w:tc>
                <w:tcPr>
                  <w:tcW w:w="485" w:type="pct"/>
                  <w:tcBorders>
                    <w:tl2br w:val="nil"/>
                    <w:tr2bl w:val="nil"/>
                  </w:tcBorders>
                  <w:noWrap w:val="0"/>
                  <w:vAlign w:val="center"/>
                </w:tcPr>
                <w:p w14:paraId="7F899D1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noWrap w:val="0"/>
                  <w:vAlign w:val="center"/>
                </w:tcPr>
                <w:p w14:paraId="55CC415B">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noWrap w:val="0"/>
                  <w:vAlign w:val="center"/>
                </w:tcPr>
                <w:p w14:paraId="2D34265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ascii="Times New Roman" w:hAnsi="Times New Roman" w:eastAsia="宋体" w:cs="Times New Roman"/>
                      <w:color w:val="auto"/>
                      <w:kern w:val="2"/>
                      <w:sz w:val="21"/>
                      <w:szCs w:val="21"/>
                      <w:u w:val="single" w:color="auto"/>
                    </w:rPr>
                    <w:t>不可食用部分</w:t>
                  </w:r>
                  <w:r>
                    <w:rPr>
                      <w:rFonts w:hint="eastAsia" w:ascii="Times New Roman" w:hAnsi="Times New Roman" w:eastAsia="宋体" w:cs="Times New Roman"/>
                      <w:color w:val="auto"/>
                      <w:kern w:val="2"/>
                      <w:sz w:val="21"/>
                      <w:szCs w:val="21"/>
                      <w:u w:val="single" w:color="auto"/>
                      <w:lang w:eastAsia="zh-CN"/>
                    </w:rPr>
                    <w:t>（</w:t>
                  </w:r>
                  <w:r>
                    <w:rPr>
                      <w:rFonts w:hint="eastAsia" w:ascii="Times New Roman" w:hAnsi="Times New Roman" w:eastAsia="宋体" w:cs="Times New Roman"/>
                      <w:color w:val="auto"/>
                      <w:kern w:val="2"/>
                      <w:sz w:val="21"/>
                      <w:szCs w:val="21"/>
                      <w:u w:val="single" w:color="auto"/>
                    </w:rPr>
                    <w:t>不可食内脏及毛</w:t>
                  </w:r>
                  <w:r>
                    <w:rPr>
                      <w:rFonts w:hint="eastAsia" w:cs="Times New Roman"/>
                      <w:color w:val="auto"/>
                      <w:kern w:val="2"/>
                      <w:sz w:val="21"/>
                      <w:szCs w:val="21"/>
                      <w:u w:val="single" w:color="auto"/>
                      <w:lang w:eastAsia="zh-CN"/>
                    </w:rPr>
                    <w:t>、</w:t>
                  </w:r>
                  <w:r>
                    <w:rPr>
                      <w:rFonts w:hint="eastAsia" w:cs="Times New Roman"/>
                      <w:color w:val="auto"/>
                      <w:kern w:val="2"/>
                      <w:sz w:val="21"/>
                      <w:szCs w:val="21"/>
                      <w:u w:val="single" w:color="auto"/>
                      <w:vertAlign w:val="baseline"/>
                      <w:lang w:val="en-US" w:eastAsia="zh-CN"/>
                    </w:rPr>
                    <w:t>胃内容物、肠内容物等</w:t>
                  </w:r>
                  <w:r>
                    <w:rPr>
                      <w:rFonts w:hint="eastAsia" w:cs="Times New Roman"/>
                      <w:color w:val="auto"/>
                      <w:kern w:val="2"/>
                      <w:sz w:val="21"/>
                      <w:szCs w:val="21"/>
                      <w:u w:val="single" w:color="auto"/>
                      <w:lang w:val="en-US" w:eastAsia="zh-CN"/>
                    </w:rPr>
                    <w:t>等</w:t>
                  </w:r>
                  <w:r>
                    <w:rPr>
                      <w:rFonts w:hint="eastAsia" w:ascii="Times New Roman" w:hAnsi="Times New Roman" w:eastAsia="宋体" w:cs="Times New Roman"/>
                      <w:color w:val="auto"/>
                      <w:kern w:val="2"/>
                      <w:sz w:val="21"/>
                      <w:szCs w:val="21"/>
                      <w:u w:val="single" w:color="auto"/>
                      <w:lang w:eastAsia="zh-CN"/>
                    </w:rPr>
                    <w:t>）</w:t>
                  </w:r>
                </w:p>
              </w:tc>
              <w:tc>
                <w:tcPr>
                  <w:tcW w:w="579" w:type="pct"/>
                  <w:tcBorders>
                    <w:tl2br w:val="nil"/>
                    <w:tr2bl w:val="nil"/>
                  </w:tcBorders>
                  <w:noWrap w:val="0"/>
                  <w:vAlign w:val="center"/>
                </w:tcPr>
                <w:p w14:paraId="2D137274">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kern w:val="2"/>
                      <w:sz w:val="21"/>
                      <w:szCs w:val="21"/>
                      <w:u w:val="single" w:color="auto"/>
                      <w:lang w:val="en-US" w:eastAsia="zh-CN"/>
                    </w:rPr>
                    <w:t>0.0756</w:t>
                  </w:r>
                </w:p>
              </w:tc>
            </w:tr>
            <w:tr w14:paraId="1F8DB0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shd w:val="clear" w:color="auto" w:fill="auto"/>
                  <w:noWrap w:val="0"/>
                  <w:vAlign w:val="center"/>
                </w:tcPr>
                <w:p w14:paraId="014E758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rPr>
                    <w:t>4</w:t>
                  </w:r>
                </w:p>
              </w:tc>
              <w:tc>
                <w:tcPr>
                  <w:tcW w:w="485" w:type="pct"/>
                  <w:tcBorders>
                    <w:tl2br w:val="nil"/>
                    <w:tr2bl w:val="nil"/>
                  </w:tcBorders>
                  <w:shd w:val="clear" w:color="auto" w:fill="auto"/>
                  <w:noWrap w:val="0"/>
                  <w:vAlign w:val="center"/>
                </w:tcPr>
                <w:p w14:paraId="27F46C02">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shd w:val="clear" w:color="auto" w:fill="auto"/>
                  <w:noWrap w:val="0"/>
                  <w:vAlign w:val="center"/>
                </w:tcPr>
                <w:p w14:paraId="27D9F403">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13AE8630">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碎肉渣</w:t>
                  </w:r>
                </w:p>
              </w:tc>
              <w:tc>
                <w:tcPr>
                  <w:tcW w:w="579" w:type="pct"/>
                  <w:tcBorders>
                    <w:tl2br w:val="nil"/>
                    <w:tr2bl w:val="nil"/>
                  </w:tcBorders>
                  <w:shd w:val="clear" w:color="auto" w:fill="auto"/>
                  <w:noWrap w:val="0"/>
                  <w:vAlign w:val="center"/>
                </w:tcPr>
                <w:p w14:paraId="67CF52B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0.0004</w:t>
                  </w:r>
                </w:p>
              </w:tc>
            </w:tr>
            <w:tr w14:paraId="52D65C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shd w:val="clear" w:color="auto" w:fill="auto"/>
                  <w:noWrap w:val="0"/>
                  <w:vAlign w:val="center"/>
                </w:tcPr>
                <w:p w14:paraId="10AB3BE9">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5</w:t>
                  </w:r>
                </w:p>
              </w:tc>
              <w:tc>
                <w:tcPr>
                  <w:tcW w:w="485" w:type="pct"/>
                  <w:tcBorders>
                    <w:tl2br w:val="nil"/>
                    <w:tr2bl w:val="nil"/>
                  </w:tcBorders>
                  <w:shd w:val="clear" w:color="auto" w:fill="auto"/>
                  <w:noWrap w:val="0"/>
                  <w:vAlign w:val="center"/>
                </w:tcPr>
                <w:p w14:paraId="35385726">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shd w:val="clear" w:color="auto" w:fill="auto"/>
                  <w:noWrap w:val="0"/>
                  <w:vAlign w:val="center"/>
                </w:tcPr>
                <w:p w14:paraId="18F89CD2">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5FFCD5BD">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病死鹅</w:t>
                  </w:r>
                </w:p>
              </w:tc>
              <w:tc>
                <w:tcPr>
                  <w:tcW w:w="579" w:type="pct"/>
                  <w:tcBorders>
                    <w:tl2br w:val="nil"/>
                    <w:tr2bl w:val="nil"/>
                  </w:tcBorders>
                  <w:shd w:val="clear" w:color="auto" w:fill="auto"/>
                  <w:noWrap w:val="0"/>
                  <w:vAlign w:val="center"/>
                </w:tcPr>
                <w:p w14:paraId="6C1BBCDE">
                  <w:pPr>
                    <w:widowControl/>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0.004</w:t>
                  </w:r>
                </w:p>
              </w:tc>
            </w:tr>
            <w:tr w14:paraId="362D96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shd w:val="clear" w:color="auto" w:fill="auto"/>
                  <w:noWrap w:val="0"/>
                  <w:vAlign w:val="center"/>
                </w:tcPr>
                <w:p w14:paraId="3E86001D">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6</w:t>
                  </w:r>
                </w:p>
              </w:tc>
              <w:tc>
                <w:tcPr>
                  <w:tcW w:w="485" w:type="pct"/>
                  <w:tcBorders>
                    <w:tl2br w:val="nil"/>
                    <w:tr2bl w:val="nil"/>
                  </w:tcBorders>
                  <w:shd w:val="clear" w:color="auto" w:fill="auto"/>
                  <w:noWrap w:val="0"/>
                  <w:vAlign w:val="center"/>
                </w:tcPr>
                <w:p w14:paraId="32DE9DC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rPr>
                    <w:t>/</w:t>
                  </w:r>
                </w:p>
              </w:tc>
              <w:tc>
                <w:tcPr>
                  <w:tcW w:w="429" w:type="pct"/>
                  <w:tcBorders>
                    <w:tl2br w:val="nil"/>
                    <w:tr2bl w:val="nil"/>
                  </w:tcBorders>
                  <w:shd w:val="clear" w:color="auto" w:fill="auto"/>
                  <w:noWrap w:val="0"/>
                  <w:vAlign w:val="center"/>
                </w:tcPr>
                <w:p w14:paraId="0F912894">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rPr>
                    <w:t>/</w:t>
                  </w:r>
                </w:p>
              </w:tc>
              <w:tc>
                <w:tcPr>
                  <w:tcW w:w="2915" w:type="pct"/>
                  <w:tcBorders>
                    <w:tl2br w:val="nil"/>
                    <w:tr2bl w:val="nil"/>
                  </w:tcBorders>
                  <w:shd w:val="clear" w:color="auto" w:fill="auto"/>
                  <w:noWrap w:val="0"/>
                  <w:vAlign w:val="center"/>
                </w:tcPr>
                <w:p w14:paraId="1DF8891D">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不合格品</w:t>
                  </w:r>
                </w:p>
              </w:tc>
              <w:tc>
                <w:tcPr>
                  <w:tcW w:w="579" w:type="pct"/>
                  <w:tcBorders>
                    <w:tl2br w:val="nil"/>
                    <w:tr2bl w:val="nil"/>
                  </w:tcBorders>
                  <w:shd w:val="clear" w:color="auto" w:fill="auto"/>
                  <w:noWrap w:val="0"/>
                  <w:vAlign w:val="center"/>
                </w:tcPr>
                <w:p w14:paraId="6EC0D8FE">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rPr>
                    <w:t>0.04</w:t>
                  </w:r>
                </w:p>
              </w:tc>
            </w:tr>
            <w:tr w14:paraId="6079C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91" w:type="pct"/>
                  <w:tcBorders>
                    <w:tl2br w:val="nil"/>
                    <w:tr2bl w:val="nil"/>
                  </w:tcBorders>
                  <w:noWrap w:val="0"/>
                  <w:vAlign w:val="center"/>
                </w:tcPr>
                <w:p w14:paraId="06AC124A">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eastAsia="zh-CN"/>
                    </w:rPr>
                  </w:pPr>
                  <w:r>
                    <w:rPr>
                      <w:rFonts w:hint="eastAsia" w:cs="Times New Roman"/>
                      <w:color w:val="auto"/>
                      <w:kern w:val="2"/>
                      <w:sz w:val="21"/>
                      <w:szCs w:val="21"/>
                      <w:u w:val="single" w:color="auto"/>
                      <w:lang w:val="en-US" w:eastAsia="zh-CN"/>
                    </w:rPr>
                    <w:t>7</w:t>
                  </w:r>
                </w:p>
              </w:tc>
              <w:tc>
                <w:tcPr>
                  <w:tcW w:w="485" w:type="pct"/>
                  <w:tcBorders>
                    <w:tl2br w:val="nil"/>
                    <w:tr2bl w:val="nil"/>
                  </w:tcBorders>
                  <w:noWrap w:val="0"/>
                  <w:vAlign w:val="center"/>
                </w:tcPr>
                <w:p w14:paraId="4ED289EC">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429" w:type="pct"/>
                  <w:tcBorders>
                    <w:tl2br w:val="nil"/>
                    <w:tr2bl w:val="nil"/>
                  </w:tcBorders>
                  <w:noWrap w:val="0"/>
                  <w:vAlign w:val="center"/>
                </w:tcPr>
                <w:p w14:paraId="240790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3</w:t>
                  </w:r>
                </w:p>
              </w:tc>
              <w:tc>
                <w:tcPr>
                  <w:tcW w:w="2915" w:type="pct"/>
                  <w:tcBorders>
                    <w:tl2br w:val="nil"/>
                    <w:tr2bl w:val="nil"/>
                  </w:tcBorders>
                  <w:noWrap w:val="0"/>
                  <w:vAlign w:val="center"/>
                </w:tcPr>
                <w:p w14:paraId="5DC16BAF">
                  <w:pPr>
                    <w:widowControl/>
                    <w:adjustRightIn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rPr>
                  </w:pPr>
                  <w:r>
                    <w:rPr>
                      <w:rFonts w:hint="eastAsia" w:ascii="Times New Roman" w:hAnsi="Times New Roman" w:eastAsia="宋体" w:cs="Times New Roman"/>
                      <w:color w:val="auto"/>
                      <w:kern w:val="2"/>
                      <w:sz w:val="21"/>
                      <w:szCs w:val="21"/>
                      <w:u w:val="single" w:color="auto"/>
                    </w:rPr>
                    <w:t>合计</w:t>
                  </w:r>
                </w:p>
              </w:tc>
              <w:tc>
                <w:tcPr>
                  <w:tcW w:w="579" w:type="pct"/>
                  <w:tcBorders>
                    <w:tl2br w:val="nil"/>
                    <w:tr2bl w:val="nil"/>
                  </w:tcBorders>
                  <w:noWrap w:val="0"/>
                  <w:vAlign w:val="center"/>
                </w:tcPr>
                <w:p w14:paraId="34CF1FA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rPr>
                  </w:pPr>
                  <w:r>
                    <w:rPr>
                      <w:rFonts w:hint="eastAsia" w:cs="Times New Roman"/>
                      <w:color w:val="auto"/>
                      <w:sz w:val="21"/>
                      <w:szCs w:val="21"/>
                      <w:u w:val="single" w:color="auto"/>
                      <w:vertAlign w:val="baseline"/>
                      <w:lang w:val="en-US" w:eastAsia="zh-CN"/>
                    </w:rPr>
                    <w:t>3</w:t>
                  </w:r>
                </w:p>
              </w:tc>
            </w:tr>
          </w:tbl>
          <w:p w14:paraId="617EE4D6">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表2.2-</w:t>
            </w:r>
            <w:r>
              <w:rPr>
                <w:rFonts w:hint="eastAsia" w:cs="Times New Roman"/>
                <w:color w:val="auto"/>
                <w:u w:val="none" w:color="auto"/>
                <w:lang w:val="en-US" w:eastAsia="zh-CN"/>
              </w:rPr>
              <w:t>11</w:t>
            </w:r>
            <w:r>
              <w:rPr>
                <w:rFonts w:hint="default" w:ascii="Times New Roman" w:hAnsi="Times New Roman" w:cs="Times New Roman"/>
                <w:color w:val="auto"/>
                <w:u w:val="none" w:color="auto"/>
                <w:lang w:val="en-US" w:eastAsia="zh-CN"/>
              </w:rPr>
              <w:t xml:space="preserve"> 主要原辅材料理化性质一览表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66"/>
              <w:gridCol w:w="1875"/>
              <w:gridCol w:w="4967"/>
            </w:tblGrid>
            <w:tr w14:paraId="6060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1BFED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序号</w:t>
                  </w:r>
                </w:p>
              </w:tc>
              <w:tc>
                <w:tcPr>
                  <w:tcW w:w="571" w:type="pct"/>
                  <w:vAlign w:val="center"/>
                </w:tcPr>
                <w:p w14:paraId="18A70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名称</w:t>
                  </w:r>
                </w:p>
              </w:tc>
              <w:tc>
                <w:tcPr>
                  <w:tcW w:w="1108" w:type="pct"/>
                  <w:vAlign w:val="center"/>
                </w:tcPr>
                <w:p w14:paraId="377D1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成分</w:t>
                  </w:r>
                </w:p>
              </w:tc>
              <w:tc>
                <w:tcPr>
                  <w:tcW w:w="2936" w:type="pct"/>
                  <w:vAlign w:val="center"/>
                </w:tcPr>
                <w:p w14:paraId="00F215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理化性质</w:t>
                  </w:r>
                </w:p>
              </w:tc>
            </w:tr>
            <w:tr w14:paraId="2DF2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383" w:type="pct"/>
                  <w:vAlign w:val="center"/>
                </w:tcPr>
                <w:p w14:paraId="47ABD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bookmarkStart w:id="63" w:name="OLE_LINK274" w:colFirst="2" w:colLast="2"/>
                  <w:bookmarkStart w:id="64" w:name="OLE_LINK100" w:colFirst="2" w:colLast="3"/>
                  <w:r>
                    <w:rPr>
                      <w:rFonts w:hint="eastAsia" w:cs="Times New Roman"/>
                      <w:color w:val="auto"/>
                      <w:sz w:val="21"/>
                      <w:szCs w:val="21"/>
                      <w:u w:val="none" w:color="auto"/>
                      <w:vertAlign w:val="baseline"/>
                      <w:lang w:val="en-US" w:eastAsia="zh-CN"/>
                    </w:rPr>
                    <w:t>1</w:t>
                  </w:r>
                </w:p>
              </w:tc>
              <w:tc>
                <w:tcPr>
                  <w:tcW w:w="571" w:type="pct"/>
                  <w:vAlign w:val="center"/>
                </w:tcPr>
                <w:p w14:paraId="7C8D920E">
                  <w:pPr>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pacing w:val="0"/>
                      <w:sz w:val="21"/>
                      <w:szCs w:val="21"/>
                      <w:u w:val="none" w:color="auto"/>
                      <w:lang w:val="en-US" w:eastAsia="zh-CN"/>
                    </w:rPr>
                    <w:t>消毒剂（卫效）</w:t>
                  </w:r>
                </w:p>
              </w:tc>
              <w:tc>
                <w:tcPr>
                  <w:tcW w:w="1108" w:type="pct"/>
                  <w:shd w:val="clear" w:color="auto" w:fill="auto"/>
                  <w:vAlign w:val="center"/>
                </w:tcPr>
                <w:p w14:paraId="37B45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kern w:val="2"/>
                      <w:sz w:val="21"/>
                      <w:szCs w:val="21"/>
                      <w:u w:val="none" w:color="auto"/>
                      <w:vertAlign w:val="baseline"/>
                      <w:lang w:val="en-US" w:eastAsia="zh-CN" w:bidi="ar-SA"/>
                    </w:rPr>
                    <w:t>-</w:t>
                  </w:r>
                </w:p>
              </w:tc>
              <w:tc>
                <w:tcPr>
                  <w:tcW w:w="2936" w:type="pct"/>
                  <w:vAlign w:val="center"/>
                </w:tcPr>
                <w:p w14:paraId="360A8E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i w:val="0"/>
                      <w:iCs w:val="0"/>
                      <w:caps w:val="0"/>
                      <w:color w:val="auto"/>
                      <w:spacing w:val="0"/>
                      <w:sz w:val="21"/>
                      <w:szCs w:val="21"/>
                      <w:u w:val="none" w:color="auto"/>
                      <w:shd w:val="clear"/>
                    </w:rPr>
                    <w:t>该品是强氧化剂，可以杀灭一切微生物，对病毒、细菌、真菌及芽孢均能迅速杀灭，可广泛应用于各种器具及环境消毒。0.2%溶液接触10分钟基本可达到灭菌目的。</w:t>
                  </w:r>
                </w:p>
              </w:tc>
            </w:tr>
            <w:bookmarkEnd w:id="63"/>
            <w:bookmarkEnd w:id="64"/>
            <w:tr w14:paraId="283B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shd w:val="clear" w:color="auto" w:fill="auto"/>
                  <w:vAlign w:val="center"/>
                </w:tcPr>
                <w:p w14:paraId="4EAAB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2</w:t>
                  </w:r>
                </w:p>
              </w:tc>
              <w:tc>
                <w:tcPr>
                  <w:tcW w:w="571" w:type="pct"/>
                  <w:shd w:val="clear" w:color="auto" w:fill="auto"/>
                  <w:vAlign w:val="center"/>
                </w:tcPr>
                <w:p w14:paraId="2D294096">
                  <w:pPr>
                    <w:adjustRightInd/>
                    <w:snapToGrid/>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ascii="Times New Roman" w:hAnsi="Times New Roman" w:eastAsia="宋体" w:cs="Times New Roman"/>
                      <w:color w:val="auto"/>
                      <w:spacing w:val="0"/>
                      <w:sz w:val="21"/>
                      <w:szCs w:val="21"/>
                      <w:u w:val="none" w:color="auto"/>
                    </w:rPr>
                    <w:t>二氯异氰脲酸钠粉</w:t>
                  </w:r>
                </w:p>
              </w:tc>
              <w:tc>
                <w:tcPr>
                  <w:tcW w:w="1108" w:type="pct"/>
                  <w:vAlign w:val="center"/>
                </w:tcPr>
                <w:p w14:paraId="0C17A8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i w:val="0"/>
                      <w:iCs w:val="0"/>
                      <w:caps w:val="0"/>
                      <w:color w:val="auto"/>
                      <w:spacing w:val="0"/>
                      <w:sz w:val="21"/>
                      <w:szCs w:val="21"/>
                      <w:u w:val="none" w:color="auto"/>
                      <w:shd w:val="clear"/>
                    </w:rPr>
                    <w:t>C</w:t>
                  </w:r>
                  <w:r>
                    <w:rPr>
                      <w:rFonts w:hint="default" w:ascii="Times New Roman" w:hAnsi="Times New Roman" w:eastAsia="宋体" w:cs="Times New Roman"/>
                      <w:i w:val="0"/>
                      <w:iCs w:val="0"/>
                      <w:caps w:val="0"/>
                      <w:color w:val="auto"/>
                      <w:spacing w:val="0"/>
                      <w:sz w:val="21"/>
                      <w:szCs w:val="21"/>
                      <w:u w:val="none" w:color="auto"/>
                      <w:shd w:val="clear"/>
                      <w:vertAlign w:val="subscript"/>
                    </w:rPr>
                    <w:t>3</w:t>
                  </w:r>
                  <w:r>
                    <w:rPr>
                      <w:rFonts w:hint="default" w:ascii="Times New Roman" w:hAnsi="Times New Roman" w:eastAsia="宋体" w:cs="Times New Roman"/>
                      <w:i w:val="0"/>
                      <w:iCs w:val="0"/>
                      <w:caps w:val="0"/>
                      <w:color w:val="auto"/>
                      <w:spacing w:val="0"/>
                      <w:sz w:val="21"/>
                      <w:szCs w:val="21"/>
                      <w:u w:val="none" w:color="auto"/>
                      <w:shd w:val="clear"/>
                    </w:rPr>
                    <w:t>Cl</w:t>
                  </w:r>
                  <w:r>
                    <w:rPr>
                      <w:rFonts w:hint="default" w:ascii="Times New Roman" w:hAnsi="Times New Roman" w:eastAsia="宋体" w:cs="Times New Roman"/>
                      <w:i w:val="0"/>
                      <w:iCs w:val="0"/>
                      <w:caps w:val="0"/>
                      <w:color w:val="auto"/>
                      <w:spacing w:val="0"/>
                      <w:sz w:val="21"/>
                      <w:szCs w:val="21"/>
                      <w:u w:val="none" w:color="auto"/>
                      <w:shd w:val="clear"/>
                      <w:vertAlign w:val="subscript"/>
                    </w:rPr>
                    <w:t>2</w:t>
                  </w:r>
                  <w:r>
                    <w:rPr>
                      <w:rFonts w:hint="default" w:ascii="Times New Roman" w:hAnsi="Times New Roman" w:eastAsia="宋体" w:cs="Times New Roman"/>
                      <w:i w:val="0"/>
                      <w:iCs w:val="0"/>
                      <w:caps w:val="0"/>
                      <w:color w:val="auto"/>
                      <w:spacing w:val="0"/>
                      <w:sz w:val="21"/>
                      <w:szCs w:val="21"/>
                      <w:u w:val="none" w:color="auto"/>
                      <w:shd w:val="clear"/>
                    </w:rPr>
                    <w:t>N</w:t>
                  </w:r>
                  <w:r>
                    <w:rPr>
                      <w:rFonts w:hint="default" w:ascii="Times New Roman" w:hAnsi="Times New Roman" w:eastAsia="宋体" w:cs="Times New Roman"/>
                      <w:i w:val="0"/>
                      <w:iCs w:val="0"/>
                      <w:caps w:val="0"/>
                      <w:color w:val="auto"/>
                      <w:spacing w:val="0"/>
                      <w:sz w:val="21"/>
                      <w:szCs w:val="21"/>
                      <w:u w:val="none" w:color="auto"/>
                      <w:shd w:val="clear"/>
                      <w:vertAlign w:val="subscript"/>
                    </w:rPr>
                    <w:t>3</w:t>
                  </w:r>
                  <w:r>
                    <w:rPr>
                      <w:rFonts w:hint="default" w:ascii="Times New Roman" w:hAnsi="Times New Roman" w:eastAsia="宋体" w:cs="Times New Roman"/>
                      <w:i w:val="0"/>
                      <w:iCs w:val="0"/>
                      <w:caps w:val="0"/>
                      <w:color w:val="auto"/>
                      <w:spacing w:val="0"/>
                      <w:sz w:val="21"/>
                      <w:szCs w:val="21"/>
                      <w:u w:val="none" w:color="auto"/>
                      <w:shd w:val="clear"/>
                    </w:rPr>
                    <w:t>NaO</w:t>
                  </w:r>
                  <w:r>
                    <w:rPr>
                      <w:rFonts w:hint="default" w:ascii="Times New Roman" w:hAnsi="Times New Roman" w:eastAsia="宋体" w:cs="Times New Roman"/>
                      <w:i w:val="0"/>
                      <w:iCs w:val="0"/>
                      <w:caps w:val="0"/>
                      <w:color w:val="auto"/>
                      <w:spacing w:val="0"/>
                      <w:sz w:val="21"/>
                      <w:szCs w:val="21"/>
                      <w:u w:val="none" w:color="auto"/>
                      <w:shd w:val="clear"/>
                      <w:vertAlign w:val="subscript"/>
                    </w:rPr>
                    <w:t>3</w:t>
                  </w:r>
                </w:p>
              </w:tc>
              <w:tc>
                <w:tcPr>
                  <w:tcW w:w="2936" w:type="pct"/>
                  <w:vAlign w:val="center"/>
                </w:tcPr>
                <w:p w14:paraId="5440B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密度：2.06</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 xml:space="preserve"> </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g/cm</w:t>
                  </w:r>
                  <w:r>
                    <w:rPr>
                      <w:rFonts w:hint="default" w:ascii="Times New Roman" w:hAnsi="Times New Roman" w:eastAsia="宋体" w:cs="Times New Roman"/>
                      <w:i w:val="0"/>
                      <w:iCs w:val="0"/>
                      <w:caps w:val="0"/>
                      <w:color w:val="auto"/>
                      <w:spacing w:val="0"/>
                      <w:kern w:val="2"/>
                      <w:sz w:val="21"/>
                      <w:szCs w:val="21"/>
                      <w:u w:val="none" w:color="auto"/>
                      <w:shd w:val="clear"/>
                      <w:vertAlign w:val="superscript"/>
                      <w:lang w:val="en-US" w:eastAsia="zh-CN" w:bidi="ar-SA"/>
                    </w:rPr>
                    <w:t>3</w:t>
                  </w:r>
                  <w:r>
                    <w:rPr>
                      <w:rFonts w:hint="eastAsia" w:ascii="Times New Roman" w:hAnsi="Times New Roman" w:eastAsia="宋体" w:cs="Times New Roman"/>
                      <w:i w:val="0"/>
                      <w:iCs w:val="0"/>
                      <w:caps w:val="0"/>
                      <w:color w:val="auto"/>
                      <w:spacing w:val="0"/>
                      <w:kern w:val="2"/>
                      <w:sz w:val="21"/>
                      <w:szCs w:val="21"/>
                      <w:u w:val="none" w:color="auto"/>
                      <w:shd w:val="clear"/>
                      <w:vertAlign w:val="baseline"/>
                      <w:lang w:val="en-US" w:eastAsia="zh-CN" w:bidi="ar-SA"/>
                    </w:rPr>
                    <w:t>；</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熔点：225</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 xml:space="preserve"> </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沸点：306.7</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 xml:space="preserve"> </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闪点：139.3</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 xml:space="preserve"> </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外观：白色粉末状晶体或颗粒</w:t>
                  </w: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SA"/>
                    </w:rPr>
                    <w:t>；</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SA"/>
                    </w:rPr>
                    <w:t>水溶性：易溶于水，难溶于有机溶剂</w:t>
                  </w:r>
                </w:p>
              </w:tc>
            </w:tr>
            <w:tr w14:paraId="2F89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shd w:val="clear" w:color="auto" w:fill="auto"/>
                  <w:vAlign w:val="center"/>
                </w:tcPr>
                <w:p w14:paraId="09A9C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3</w:t>
                  </w:r>
                </w:p>
              </w:tc>
              <w:tc>
                <w:tcPr>
                  <w:tcW w:w="571" w:type="pct"/>
                  <w:shd w:val="clear" w:color="auto" w:fill="auto"/>
                  <w:vAlign w:val="center"/>
                </w:tcPr>
                <w:p w14:paraId="5C7679DA">
                  <w:pPr>
                    <w:adjustRightInd/>
                    <w:snapToGrid/>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ascii="Times New Roman" w:hAnsi="Times New Roman" w:eastAsia="宋体" w:cs="Times New Roman"/>
                      <w:color w:val="auto"/>
                      <w:spacing w:val="0"/>
                      <w:sz w:val="21"/>
                      <w:szCs w:val="21"/>
                      <w:u w:val="none" w:color="auto"/>
                    </w:rPr>
                    <w:t>月苄三甲氯铵溶液</w:t>
                  </w:r>
                </w:p>
              </w:tc>
              <w:tc>
                <w:tcPr>
                  <w:tcW w:w="1108" w:type="pct"/>
                  <w:vAlign w:val="center"/>
                </w:tcPr>
                <w:p w14:paraId="5E069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aps w:val="0"/>
                      <w:color w:val="auto"/>
                      <w:spacing w:val="0"/>
                      <w:sz w:val="21"/>
                      <w:szCs w:val="21"/>
                      <w:u w:val="none" w:color="auto"/>
                      <w:shd w:val="clear"/>
                    </w:rPr>
                    <w:t>C</w:t>
                  </w:r>
                  <w:r>
                    <w:rPr>
                      <w:rFonts w:hint="eastAsia" w:ascii="Times New Roman" w:hAnsi="Times New Roman" w:eastAsia="宋体" w:cs="Times New Roman"/>
                      <w:i w:val="0"/>
                      <w:iCs w:val="0"/>
                      <w:caps w:val="0"/>
                      <w:color w:val="auto"/>
                      <w:spacing w:val="0"/>
                      <w:sz w:val="21"/>
                      <w:szCs w:val="21"/>
                      <w:u w:val="none" w:color="auto"/>
                      <w:shd w:val="clear"/>
                      <w:vertAlign w:val="subscript"/>
                    </w:rPr>
                    <w:t>22</w:t>
                  </w:r>
                  <w:r>
                    <w:rPr>
                      <w:rFonts w:hint="eastAsia" w:ascii="Times New Roman" w:hAnsi="Times New Roman" w:eastAsia="宋体" w:cs="Times New Roman"/>
                      <w:i w:val="0"/>
                      <w:iCs w:val="0"/>
                      <w:caps w:val="0"/>
                      <w:color w:val="auto"/>
                      <w:spacing w:val="0"/>
                      <w:sz w:val="21"/>
                      <w:szCs w:val="21"/>
                      <w:u w:val="none" w:color="auto"/>
                      <w:shd w:val="clear"/>
                    </w:rPr>
                    <w:t>H</w:t>
                  </w:r>
                  <w:r>
                    <w:rPr>
                      <w:rFonts w:hint="eastAsia" w:ascii="Times New Roman" w:hAnsi="Times New Roman" w:eastAsia="宋体" w:cs="Times New Roman"/>
                      <w:i w:val="0"/>
                      <w:iCs w:val="0"/>
                      <w:caps w:val="0"/>
                      <w:color w:val="auto"/>
                      <w:spacing w:val="0"/>
                      <w:sz w:val="21"/>
                      <w:szCs w:val="21"/>
                      <w:u w:val="none" w:color="auto"/>
                      <w:shd w:val="clear"/>
                      <w:vertAlign w:val="subscript"/>
                    </w:rPr>
                    <w:t>40</w:t>
                  </w:r>
                  <w:r>
                    <w:rPr>
                      <w:rFonts w:hint="eastAsia" w:ascii="Times New Roman" w:hAnsi="Times New Roman" w:eastAsia="宋体" w:cs="Times New Roman"/>
                      <w:i w:val="0"/>
                      <w:iCs w:val="0"/>
                      <w:caps w:val="0"/>
                      <w:color w:val="auto"/>
                      <w:spacing w:val="0"/>
                      <w:sz w:val="21"/>
                      <w:szCs w:val="21"/>
                      <w:u w:val="none" w:color="auto"/>
                      <w:shd w:val="clear"/>
                    </w:rPr>
                    <w:t>C</w:t>
                  </w:r>
                  <w:r>
                    <w:rPr>
                      <w:rFonts w:hint="eastAsia" w:ascii="Times New Roman" w:hAnsi="Times New Roman" w:eastAsia="宋体" w:cs="Times New Roman"/>
                      <w:i w:val="0"/>
                      <w:iCs w:val="0"/>
                      <w:caps w:val="0"/>
                      <w:color w:val="auto"/>
                      <w:spacing w:val="0"/>
                      <w:sz w:val="21"/>
                      <w:szCs w:val="21"/>
                      <w:u w:val="none" w:color="auto"/>
                      <w:shd w:val="clear"/>
                      <w:vertAlign w:val="baseline"/>
                      <w:lang w:eastAsia="zh-CN"/>
                    </w:rPr>
                    <w:t>l</w:t>
                  </w:r>
                  <w:r>
                    <w:rPr>
                      <w:rFonts w:hint="eastAsia" w:ascii="Times New Roman" w:hAnsi="Times New Roman" w:eastAsia="宋体" w:cs="Times New Roman"/>
                      <w:i w:val="0"/>
                      <w:iCs w:val="0"/>
                      <w:caps w:val="0"/>
                      <w:color w:val="auto"/>
                      <w:spacing w:val="0"/>
                      <w:sz w:val="21"/>
                      <w:szCs w:val="21"/>
                      <w:u w:val="none" w:color="auto"/>
                      <w:shd w:val="clear"/>
                    </w:rPr>
                    <w:t>N</w:t>
                  </w:r>
                </w:p>
              </w:tc>
              <w:tc>
                <w:tcPr>
                  <w:tcW w:w="5002" w:type="dxa"/>
                  <w:vAlign w:val="center"/>
                </w:tcPr>
                <w:p w14:paraId="0FDD2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i w:val="0"/>
                      <w:iCs w:val="0"/>
                      <w:caps w:val="0"/>
                      <w:color w:val="auto"/>
                      <w:spacing w:val="0"/>
                      <w:sz w:val="21"/>
                      <w:szCs w:val="21"/>
                      <w:u w:val="none" w:color="auto"/>
                      <w:shd w:val="clear"/>
                    </w:rPr>
                    <w:t>无色或淡黄色的澄明液体；味苦；强力振摇则发生多量泡沫。</w:t>
                  </w:r>
                </w:p>
              </w:tc>
            </w:tr>
            <w:tr w14:paraId="2D09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shd w:val="clear" w:color="auto" w:fill="auto"/>
                  <w:vAlign w:val="center"/>
                </w:tcPr>
                <w:p w14:paraId="71FAEA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w:t>
                  </w:r>
                </w:p>
              </w:tc>
              <w:tc>
                <w:tcPr>
                  <w:tcW w:w="571" w:type="pct"/>
                  <w:shd w:val="clear" w:color="auto" w:fill="auto"/>
                  <w:vAlign w:val="center"/>
                </w:tcPr>
                <w:p w14:paraId="21507DFD">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ascii="Times New Roman" w:hAnsi="Times New Roman" w:eastAsia="宋体" w:cs="Times New Roman"/>
                      <w:color w:val="auto"/>
                      <w:spacing w:val="0"/>
                      <w:sz w:val="21"/>
                      <w:szCs w:val="21"/>
                      <w:u w:val="none" w:color="auto"/>
                    </w:rPr>
                    <w:t>氢氧化钠</w:t>
                  </w:r>
                </w:p>
              </w:tc>
              <w:tc>
                <w:tcPr>
                  <w:tcW w:w="1108" w:type="pct"/>
                  <w:vAlign w:val="center"/>
                </w:tcPr>
                <w:p w14:paraId="3D7DE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NaOH</w:t>
                  </w:r>
                </w:p>
              </w:tc>
              <w:tc>
                <w:tcPr>
                  <w:tcW w:w="5002" w:type="dxa"/>
                  <w:vAlign w:val="center"/>
                </w:tcPr>
                <w:p w14:paraId="19828F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
                    </w:rPr>
                    <w:t>密度：2.130 g/cm</w:t>
                  </w:r>
                  <w:r>
                    <w:rPr>
                      <w:rFonts w:hint="default" w:ascii="Times New Roman" w:hAnsi="Times New Roman" w:eastAsia="宋体" w:cs="Times New Roman"/>
                      <w:i w:val="0"/>
                      <w:iCs w:val="0"/>
                      <w:caps w:val="0"/>
                      <w:color w:val="auto"/>
                      <w:spacing w:val="0"/>
                      <w:kern w:val="2"/>
                      <w:sz w:val="21"/>
                      <w:szCs w:val="21"/>
                      <w:u w:val="none" w:color="auto"/>
                      <w:shd w:val="clear"/>
                      <w:vertAlign w:val="superscript"/>
                      <w:lang w:val="en-US" w:eastAsia="zh-CN" w:bidi="ar"/>
                    </w:rPr>
                    <w:t>3</w:t>
                  </w:r>
                  <w:r>
                    <w:rPr>
                      <w:rFonts w:hint="default" w:ascii="Times New Roman" w:hAnsi="Times New Roman" w:eastAsia="宋体" w:cs="Times New Roman"/>
                      <w:i w:val="0"/>
                      <w:iCs w:val="0"/>
                      <w:caps w:val="0"/>
                      <w:color w:val="auto"/>
                      <w:spacing w:val="0"/>
                      <w:kern w:val="2"/>
                      <w:sz w:val="21"/>
                      <w:szCs w:val="21"/>
                      <w:u w:val="none" w:color="auto"/>
                      <w:shd w:val="clear"/>
                      <w:lang w:val="en-US" w:eastAsia="zh-CN" w:bidi="ar"/>
                    </w:rPr>
                    <w:t>；熔点：318.4 ℃；沸点：1390 ℃；外观：白色结晶性粉末溶解性：易溶于水、乙醇、甘油，不溶于丙酮、乙醚。</w:t>
                  </w:r>
                  <w:r>
                    <w:rPr>
                      <w:rFonts w:hint="default" w:ascii="Times New Roman" w:hAnsi="Times New Roman" w:eastAsia="宋体" w:cs="Times New Roman"/>
                      <w:i w:val="0"/>
                      <w:iCs w:val="0"/>
                      <w:caps w:val="0"/>
                      <w:color w:val="auto"/>
                      <w:spacing w:val="0"/>
                      <w:sz w:val="21"/>
                      <w:szCs w:val="21"/>
                      <w:u w:val="none" w:color="auto"/>
                      <w:shd w:val="clear"/>
                    </w:rPr>
                    <w:t>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这是去除织物上的油污的原理。</w:t>
                  </w:r>
                </w:p>
              </w:tc>
            </w:tr>
            <w:tr w14:paraId="1009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shd w:val="clear" w:color="auto" w:fill="auto"/>
                  <w:vAlign w:val="center"/>
                </w:tcPr>
                <w:p w14:paraId="289A3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5</w:t>
                  </w:r>
                </w:p>
              </w:tc>
              <w:tc>
                <w:tcPr>
                  <w:tcW w:w="571" w:type="pct"/>
                  <w:shd w:val="clear" w:color="auto" w:fill="auto"/>
                  <w:vAlign w:val="center"/>
                </w:tcPr>
                <w:p w14:paraId="2B21C08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除臭剂</w:t>
                  </w:r>
                </w:p>
              </w:tc>
              <w:tc>
                <w:tcPr>
                  <w:tcW w:w="1108" w:type="pct"/>
                  <w:shd w:val="clear" w:color="auto" w:fill="auto"/>
                  <w:vAlign w:val="center"/>
                </w:tcPr>
                <w:p w14:paraId="609A5ACB">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薄荷、香茅、樟科植物、桉叶油等30多种植物</w:t>
                  </w:r>
                </w:p>
              </w:tc>
              <w:tc>
                <w:tcPr>
                  <w:tcW w:w="5002" w:type="dxa"/>
                  <w:vAlign w:val="center"/>
                </w:tcPr>
                <w:p w14:paraId="5E8A4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2"/>
                      <w:sz w:val="21"/>
                      <w:szCs w:val="21"/>
                      <w:u w:val="none" w:color="auto"/>
                      <w:shd w:val="clear"/>
                      <w:lang w:val="en-US" w:eastAsia="zh-CN" w:bidi="ar"/>
                    </w:rPr>
                  </w:pPr>
                  <w:r>
                    <w:rPr>
                      <w:rFonts w:hint="eastAsia" w:ascii="Times New Roman" w:hAnsi="Times New Roman" w:eastAsia="宋体" w:cs="Times New Roman"/>
                      <w:i w:val="0"/>
                      <w:iCs w:val="0"/>
                      <w:caps w:val="0"/>
                      <w:color w:val="auto"/>
                      <w:spacing w:val="0"/>
                      <w:kern w:val="2"/>
                      <w:sz w:val="21"/>
                      <w:szCs w:val="21"/>
                      <w:u w:val="none" w:color="auto"/>
                      <w:shd w:val="clear"/>
                      <w:lang w:val="en-US" w:eastAsia="zh-CN" w:bidi="ar"/>
                    </w:rPr>
                    <w:t>用于厂区除臭</w:t>
                  </w:r>
                </w:p>
              </w:tc>
            </w:tr>
            <w:tr w14:paraId="0A19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shd w:val="clear" w:color="auto" w:fill="auto"/>
                  <w:vAlign w:val="center"/>
                </w:tcPr>
                <w:p w14:paraId="3FA55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6</w:t>
                  </w:r>
                </w:p>
              </w:tc>
              <w:tc>
                <w:tcPr>
                  <w:tcW w:w="571" w:type="pct"/>
                  <w:shd w:val="clear" w:color="auto" w:fill="auto"/>
                  <w:vAlign w:val="center"/>
                </w:tcPr>
                <w:p w14:paraId="725F4BFC">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pacing w:val="0"/>
                      <w:sz w:val="21"/>
                      <w:szCs w:val="21"/>
                      <w:u w:val="none" w:color="auto"/>
                      <w:lang w:val="en-US" w:eastAsia="zh-CN"/>
                    </w:rPr>
                    <w:t>PCR试剂</w:t>
                  </w:r>
                </w:p>
              </w:tc>
              <w:tc>
                <w:tcPr>
                  <w:tcW w:w="1108" w:type="pct"/>
                  <w:shd w:val="clear" w:color="auto" w:fill="auto"/>
                  <w:vAlign w:val="center"/>
                </w:tcPr>
                <w:p w14:paraId="66A8E9B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002" w:type="dxa"/>
                  <w:vAlign w:val="center"/>
                </w:tcPr>
                <w:p w14:paraId="37A4E6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2"/>
                      <w:sz w:val="21"/>
                      <w:szCs w:val="21"/>
                      <w:u w:val="none" w:color="auto"/>
                      <w:shd w:val="clear"/>
                      <w:lang w:val="en-US" w:eastAsia="zh-CN" w:bidi="ar"/>
                    </w:rPr>
                  </w:pPr>
                  <w:r>
                    <w:rPr>
                      <w:rFonts w:hint="eastAsia" w:cs="Times New Roman"/>
                      <w:i w:val="0"/>
                      <w:iCs w:val="0"/>
                      <w:caps w:val="0"/>
                      <w:color w:val="auto"/>
                      <w:spacing w:val="0"/>
                      <w:kern w:val="2"/>
                      <w:sz w:val="21"/>
                      <w:szCs w:val="21"/>
                      <w:u w:val="none" w:color="auto"/>
                      <w:shd w:val="clear"/>
                      <w:lang w:val="en-US" w:eastAsia="zh-CN" w:bidi="ar"/>
                    </w:rPr>
                    <w:t>用于生猪、肉牛、肉鸡、肉鸭、肉鹅检疫</w:t>
                  </w:r>
                </w:p>
              </w:tc>
            </w:tr>
          </w:tbl>
          <w:p w14:paraId="6810FBB6">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2.2.5 </w:t>
            </w:r>
            <w:r>
              <w:rPr>
                <w:rFonts w:hint="default" w:ascii="Times New Roman" w:hAnsi="Times New Roman" w:eastAsia="黑体" w:cs="Times New Roman"/>
                <w:b/>
                <w:bCs/>
                <w:color w:val="auto"/>
                <w:u w:val="none" w:color="auto"/>
                <w:lang w:val="en-US" w:eastAsia="zh-CN"/>
              </w:rPr>
              <w:t>工作制度及劳动定员</w:t>
            </w:r>
          </w:p>
          <w:p w14:paraId="35CB0E25">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劳动定员：</w:t>
            </w:r>
            <w:r>
              <w:rPr>
                <w:rFonts w:hint="eastAsia" w:cs="Times New Roman"/>
                <w:color w:val="auto"/>
                <w:u w:val="none" w:color="auto"/>
                <w:lang w:val="en-US" w:eastAsia="zh-CN"/>
              </w:rPr>
              <w:t>企业现有劳动定员35人，本项目不新增劳动定员</w:t>
            </w:r>
            <w:r>
              <w:rPr>
                <w:rFonts w:hint="default" w:ascii="Times New Roman" w:hAnsi="Times New Roman" w:cs="Times New Roman"/>
                <w:color w:val="auto"/>
                <w:u w:val="none" w:color="auto"/>
                <w:lang w:val="en-US" w:eastAsia="zh-CN"/>
              </w:rPr>
              <w:t>。</w:t>
            </w:r>
          </w:p>
          <w:p w14:paraId="46CD49D3">
            <w:pPr>
              <w:bidi w:val="0"/>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工作制度：</w:t>
            </w:r>
            <w:r>
              <w:rPr>
                <w:rFonts w:hint="eastAsia" w:cs="Times New Roman"/>
                <w:color w:val="auto"/>
                <w:u w:val="single" w:color="auto"/>
                <w:lang w:val="en-US" w:eastAsia="zh-CN"/>
              </w:rPr>
              <w:t>一班制，每班8 h，年生产365天</w:t>
            </w:r>
            <w:r>
              <w:rPr>
                <w:rFonts w:hint="default" w:ascii="Times New Roman" w:hAnsi="Times New Roman" w:cs="Times New Roman"/>
                <w:color w:val="auto"/>
                <w:u w:val="single" w:color="auto"/>
                <w:lang w:val="en-US" w:eastAsia="zh-CN"/>
              </w:rPr>
              <w:t>。</w:t>
            </w:r>
          </w:p>
          <w:p w14:paraId="781B6514">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2.2.6 </w:t>
            </w:r>
            <w:r>
              <w:rPr>
                <w:rFonts w:hint="default" w:ascii="Times New Roman" w:hAnsi="Times New Roman" w:eastAsia="黑体" w:cs="Times New Roman"/>
                <w:b/>
                <w:bCs/>
                <w:color w:val="auto"/>
                <w:u w:val="none" w:color="auto"/>
                <w:lang w:val="en-US" w:eastAsia="zh-CN"/>
              </w:rPr>
              <w:t>项目水平衡分析</w:t>
            </w:r>
          </w:p>
          <w:p w14:paraId="7E3057DA">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（1）给水</w:t>
            </w:r>
          </w:p>
          <w:p w14:paraId="3745B21E">
            <w:pPr>
              <w:pStyle w:val="11"/>
              <w:rPr>
                <w:rFonts w:hint="default" w:cs="Times New Roman"/>
                <w:color w:val="auto"/>
                <w:sz w:val="24"/>
                <w:u w:val="none" w:color="auto"/>
                <w:lang w:val="en-US" w:eastAsia="zh-CN"/>
              </w:rPr>
            </w:pPr>
            <w:r>
              <w:rPr>
                <w:rFonts w:hint="eastAsia" w:cs="Times New Roman"/>
                <w:color w:val="auto"/>
                <w:sz w:val="24"/>
                <w:u w:val="none" w:color="auto"/>
                <w:lang w:val="en-US" w:eastAsia="zh-CN"/>
              </w:rPr>
              <w:t>①生活污水</w:t>
            </w:r>
          </w:p>
          <w:p w14:paraId="535D1191">
            <w:pPr>
              <w:pStyle w:val="11"/>
              <w:rPr>
                <w:rFonts w:hint="eastAsia" w:cs="Times New Roman"/>
                <w:color w:val="auto"/>
                <w:sz w:val="24"/>
                <w:u w:val="none" w:color="auto"/>
                <w:lang w:val="en-US" w:eastAsia="zh-CN"/>
              </w:rPr>
            </w:pPr>
            <w:r>
              <w:rPr>
                <w:rFonts w:hint="eastAsia" w:cs="Times New Roman"/>
                <w:color w:val="auto"/>
                <w:sz w:val="24"/>
                <w:u w:val="none" w:color="auto"/>
                <w:lang w:val="en-US" w:eastAsia="zh-CN"/>
              </w:rPr>
              <w:t>本项目无新增员工，故不新增生活用水。</w:t>
            </w:r>
          </w:p>
          <w:p w14:paraId="2E74BF05">
            <w:pPr>
              <w:rPr>
                <w:rFonts w:hint="default" w:cs="Times New Roman"/>
                <w:color w:val="auto"/>
                <w:sz w:val="24"/>
                <w:szCs w:val="24"/>
                <w:highlight w:val="none"/>
                <w:u w:val="none" w:color="auto"/>
                <w:lang w:val="en-US" w:eastAsia="zh-CN"/>
              </w:rPr>
            </w:pPr>
            <w:r>
              <w:rPr>
                <w:rFonts w:hint="default"/>
                <w:color w:val="auto"/>
                <w:u w:val="none" w:color="auto"/>
                <w:lang w:val="en-US" w:eastAsia="zh-CN"/>
              </w:rPr>
              <w:t>②</w:t>
            </w:r>
            <w:r>
              <w:rPr>
                <w:rFonts w:hint="eastAsia"/>
                <w:color w:val="auto"/>
                <w:u w:val="none" w:color="auto"/>
                <w:lang w:val="en-US" w:eastAsia="zh-CN"/>
              </w:rPr>
              <w:t>车辆清洗用水</w:t>
            </w:r>
          </w:p>
          <w:p w14:paraId="67D75C60">
            <w:pPr>
              <w:rPr>
                <w:rFonts w:hint="eastAsia" w:cs="Times New Roman"/>
                <w:color w:val="auto"/>
                <w:sz w:val="24"/>
                <w:szCs w:val="24"/>
                <w:highlight w:val="none"/>
                <w:u w:val="none" w:color="auto"/>
                <w:lang w:val="en-US" w:eastAsia="zh-CN"/>
              </w:rPr>
            </w:pPr>
            <w:r>
              <w:rPr>
                <w:rFonts w:hint="eastAsia"/>
                <w:color w:val="auto"/>
                <w:szCs w:val="24"/>
                <w:lang w:val="en-US" w:eastAsia="zh-CN"/>
              </w:rPr>
              <w:t>运输</w:t>
            </w:r>
            <w:r>
              <w:rPr>
                <w:rFonts w:hint="eastAsia"/>
                <w:color w:val="auto"/>
                <w:szCs w:val="24"/>
              </w:rPr>
              <w:t>车辆进厂后要进行轮胎清洗，以保证卫生条件；生猪</w:t>
            </w:r>
            <w:r>
              <w:rPr>
                <w:rFonts w:hint="eastAsia"/>
                <w:color w:val="auto"/>
                <w:szCs w:val="24"/>
                <w:lang w:eastAsia="zh-CN"/>
              </w:rPr>
              <w:t>、</w:t>
            </w:r>
            <w:r>
              <w:rPr>
                <w:rFonts w:hint="eastAsia"/>
                <w:color w:val="auto"/>
                <w:szCs w:val="24"/>
                <w:lang w:val="en-US" w:eastAsia="zh-CN"/>
              </w:rPr>
              <w:t>肉牛</w:t>
            </w:r>
            <w:r>
              <w:rPr>
                <w:rFonts w:hint="eastAsia"/>
                <w:color w:val="auto"/>
                <w:szCs w:val="24"/>
              </w:rPr>
              <w:t>卸下车后运</w:t>
            </w:r>
            <w:r>
              <w:rPr>
                <w:rFonts w:hint="eastAsia"/>
                <w:color w:val="auto"/>
                <w:szCs w:val="24"/>
                <w:lang w:val="en-US" w:eastAsia="zh-CN"/>
              </w:rPr>
              <w:t>输</w:t>
            </w:r>
            <w:r>
              <w:rPr>
                <w:rFonts w:hint="eastAsia"/>
                <w:color w:val="auto"/>
                <w:szCs w:val="24"/>
              </w:rPr>
              <w:t>空车到清洗点对车辆进行整车清洗，按2</w:t>
            </w:r>
            <w:r>
              <w:rPr>
                <w:color w:val="auto"/>
                <w:szCs w:val="24"/>
              </w:rPr>
              <w:t>5</w:t>
            </w:r>
            <w:r>
              <w:rPr>
                <w:rFonts w:hint="eastAsia"/>
                <w:color w:val="auto"/>
                <w:szCs w:val="24"/>
              </w:rPr>
              <w:t>头每车次核算</w:t>
            </w:r>
            <w:r>
              <w:rPr>
                <w:rFonts w:hint="eastAsia"/>
                <w:color w:val="auto"/>
                <w:szCs w:val="24"/>
                <w:lang w:eastAsia="zh-CN"/>
              </w:rPr>
              <w:t>；</w:t>
            </w:r>
            <w:r>
              <w:rPr>
                <w:rFonts w:hint="eastAsia"/>
                <w:color w:val="auto"/>
                <w:szCs w:val="24"/>
                <w:lang w:val="en-US" w:eastAsia="zh-CN"/>
              </w:rPr>
              <w:t>肉鸡、肉鸭、肉鹅</w:t>
            </w:r>
            <w:r>
              <w:rPr>
                <w:rFonts w:hint="eastAsia"/>
                <w:color w:val="auto"/>
                <w:szCs w:val="24"/>
              </w:rPr>
              <w:t>卸下车后运</w:t>
            </w:r>
            <w:r>
              <w:rPr>
                <w:rFonts w:hint="eastAsia"/>
                <w:color w:val="auto"/>
                <w:szCs w:val="24"/>
                <w:lang w:val="en-US" w:eastAsia="zh-CN"/>
              </w:rPr>
              <w:t>输</w:t>
            </w:r>
            <w:r>
              <w:rPr>
                <w:rFonts w:hint="eastAsia"/>
                <w:color w:val="auto"/>
                <w:szCs w:val="24"/>
              </w:rPr>
              <w:t>空车到清洗点对车辆进行整车清洗，按</w:t>
            </w:r>
            <w:r>
              <w:rPr>
                <w:rFonts w:hint="eastAsia"/>
                <w:color w:val="auto"/>
                <w:szCs w:val="24"/>
                <w:lang w:val="en-US" w:eastAsia="zh-CN"/>
              </w:rPr>
              <w:t>100只</w:t>
            </w:r>
            <w:r>
              <w:rPr>
                <w:rFonts w:hint="eastAsia"/>
                <w:color w:val="auto"/>
                <w:szCs w:val="24"/>
              </w:rPr>
              <w:t>每车次核算，则平均每</w:t>
            </w:r>
            <w:r>
              <w:rPr>
                <w:rFonts w:hint="eastAsia"/>
                <w:color w:val="auto"/>
                <w:szCs w:val="24"/>
                <w:lang w:val="en-US" w:eastAsia="zh-CN"/>
              </w:rPr>
              <w:t>年</w:t>
            </w:r>
            <w:r>
              <w:rPr>
                <w:rFonts w:hint="eastAsia"/>
                <w:color w:val="auto"/>
                <w:szCs w:val="24"/>
              </w:rPr>
              <w:t>运输</w:t>
            </w:r>
            <w:r>
              <w:rPr>
                <w:rFonts w:hint="eastAsia"/>
                <w:color w:val="auto"/>
                <w:szCs w:val="24"/>
                <w:lang w:val="en-US" w:eastAsia="zh-CN"/>
              </w:rPr>
              <w:t>3660</w:t>
            </w:r>
            <w:r>
              <w:rPr>
                <w:rFonts w:hint="eastAsia"/>
                <w:color w:val="auto"/>
                <w:szCs w:val="24"/>
              </w:rPr>
              <w:t>车次，根据建设单位提供的资料，每车次冲洗水量取0.5</w:t>
            </w:r>
            <w:r>
              <w:rPr>
                <w:rFonts w:hint="eastAsia"/>
                <w:color w:val="auto"/>
                <w:szCs w:val="24"/>
                <w:lang w:val="en-US" w:eastAsia="zh-CN"/>
              </w:rPr>
              <w:t xml:space="preserve"> </w:t>
            </w:r>
            <w:r>
              <w:rPr>
                <w:rFonts w:hint="eastAsia"/>
                <w:color w:val="auto"/>
                <w:szCs w:val="24"/>
              </w:rPr>
              <w:t>m</w:t>
            </w:r>
            <w:r>
              <w:rPr>
                <w:rFonts w:hint="eastAsia"/>
                <w:color w:val="auto"/>
                <w:szCs w:val="24"/>
                <w:vertAlign w:val="superscript"/>
              </w:rPr>
              <w:t>3</w:t>
            </w:r>
            <w:r>
              <w:rPr>
                <w:rFonts w:hint="eastAsia"/>
                <w:color w:val="auto"/>
                <w:szCs w:val="24"/>
              </w:rPr>
              <w:t>/辆，用水量预计为</w:t>
            </w:r>
            <w:r>
              <w:rPr>
                <w:rFonts w:hint="eastAsia"/>
                <w:color w:val="auto"/>
                <w:szCs w:val="24"/>
                <w:lang w:val="en-US" w:eastAsia="zh-CN"/>
              </w:rPr>
              <w:t xml:space="preserve">1830 </w:t>
            </w:r>
            <w:r>
              <w:rPr>
                <w:rFonts w:hint="eastAsia"/>
                <w:color w:val="auto"/>
                <w:szCs w:val="24"/>
              </w:rPr>
              <w:t>m</w:t>
            </w:r>
            <w:r>
              <w:rPr>
                <w:rFonts w:hint="eastAsia"/>
                <w:color w:val="auto"/>
                <w:szCs w:val="24"/>
                <w:vertAlign w:val="superscript"/>
              </w:rPr>
              <w:t>3</w:t>
            </w:r>
            <w:r>
              <w:rPr>
                <w:rFonts w:hint="eastAsia"/>
                <w:color w:val="auto"/>
                <w:szCs w:val="24"/>
              </w:rPr>
              <w:t>/a</w:t>
            </w:r>
            <w:r>
              <w:rPr>
                <w:rFonts w:hint="eastAsia" w:cs="Times New Roman"/>
                <w:color w:val="auto"/>
                <w:sz w:val="24"/>
                <w:szCs w:val="24"/>
                <w:highlight w:val="none"/>
                <w:u w:val="none" w:color="auto"/>
                <w:lang w:val="en-US" w:eastAsia="zh-CN"/>
              </w:rPr>
              <w:t>。</w:t>
            </w:r>
          </w:p>
          <w:p w14:paraId="4CCA0A00">
            <w:pPr>
              <w:pStyle w:val="9"/>
              <w:rPr>
                <w:rFonts w:hint="default"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③屠宰生产用水</w:t>
            </w:r>
          </w:p>
          <w:p w14:paraId="4D4C1534">
            <w:pPr>
              <w:ind w:firstLine="480" w:firstLineChars="200"/>
              <w:rPr>
                <w:rFonts w:hint="default"/>
                <w:color w:val="000000"/>
                <w:sz w:val="24"/>
                <w:szCs w:val="24"/>
                <w:lang w:val="en-US" w:eastAsia="zh-CN"/>
              </w:rPr>
            </w:pPr>
            <w:r>
              <w:rPr>
                <w:rFonts w:hint="eastAsia"/>
                <w:color w:val="auto"/>
                <w:szCs w:val="24"/>
                <w:u w:val="none"/>
              </w:rPr>
              <w:t>本项目</w:t>
            </w:r>
            <w:r>
              <w:rPr>
                <w:rFonts w:hint="eastAsia"/>
                <w:color w:val="auto"/>
                <w:szCs w:val="24"/>
                <w:u w:val="none"/>
                <w:lang w:val="en-US" w:eastAsia="zh-CN"/>
              </w:rPr>
              <w:t>技改完成后将实现</w:t>
            </w:r>
            <w:r>
              <w:rPr>
                <w:rFonts w:hint="eastAsia"/>
                <w:color w:val="auto"/>
                <w:szCs w:val="24"/>
                <w:u w:val="none"/>
              </w:rPr>
              <w:t>年屠宰生猪</w:t>
            </w:r>
            <w:r>
              <w:rPr>
                <w:rFonts w:hint="eastAsia"/>
                <w:color w:val="auto"/>
                <w:szCs w:val="24"/>
                <w:u w:val="none"/>
                <w:lang w:val="en-US" w:eastAsia="zh-CN"/>
              </w:rPr>
              <w:t>89733</w:t>
            </w:r>
            <w:r>
              <w:rPr>
                <w:rFonts w:hint="eastAsia"/>
                <w:color w:val="auto"/>
                <w:szCs w:val="24"/>
                <w:u w:val="none"/>
              </w:rPr>
              <w:t>头</w:t>
            </w:r>
            <w:r>
              <w:rPr>
                <w:rFonts w:hint="eastAsia"/>
                <w:color w:val="auto"/>
                <w:szCs w:val="24"/>
                <w:u w:val="none"/>
                <w:lang w:eastAsia="zh-CN"/>
              </w:rPr>
              <w:t>（</w:t>
            </w:r>
            <w:r>
              <w:rPr>
                <w:rFonts w:hint="eastAsia"/>
                <w:color w:val="auto"/>
                <w:szCs w:val="24"/>
                <w:u w:val="none"/>
                <w:lang w:val="en-US" w:eastAsia="zh-CN"/>
              </w:rPr>
              <w:t>9871 t</w:t>
            </w:r>
            <w:r>
              <w:rPr>
                <w:rFonts w:hint="eastAsia"/>
                <w:color w:val="auto"/>
                <w:szCs w:val="24"/>
                <w:u w:val="none"/>
                <w:lang w:eastAsia="zh-CN"/>
              </w:rPr>
              <w:t>）、</w:t>
            </w:r>
            <w:r>
              <w:rPr>
                <w:rFonts w:hint="eastAsia"/>
                <w:color w:val="auto"/>
                <w:szCs w:val="24"/>
                <w:u w:val="none"/>
                <w:lang w:val="en-US" w:eastAsia="zh-CN"/>
              </w:rPr>
              <w:t>年屠宰肉牛</w:t>
            </w:r>
            <w:r>
              <w:rPr>
                <w:rFonts w:hint="eastAsia" w:cstheme="minorBidi"/>
                <w:color w:val="auto"/>
                <w:spacing w:val="0"/>
                <w:sz w:val="24"/>
                <w:szCs w:val="24"/>
                <w:lang w:val="en-US" w:eastAsia="zh-CN"/>
              </w:rPr>
              <w:t>1000</w:t>
            </w:r>
            <w:r>
              <w:rPr>
                <w:rFonts w:hint="eastAsia" w:ascii="Times New Roman" w:hAnsi="Times New Roman" w:eastAsia="宋体" w:cstheme="minorBidi"/>
                <w:b w:val="0"/>
                <w:bCs w:val="0"/>
                <w:color w:val="auto"/>
                <w:sz w:val="24"/>
                <w:szCs w:val="24"/>
                <w:u w:val="none"/>
                <w:lang w:val="en-US" w:eastAsia="zh-CN"/>
              </w:rPr>
              <w:t>头</w:t>
            </w:r>
            <w:r>
              <w:rPr>
                <w:rFonts w:hint="eastAsia" w:cstheme="minorBidi"/>
                <w:b w:val="0"/>
                <w:bCs w:val="0"/>
                <w:color w:val="auto"/>
                <w:sz w:val="24"/>
                <w:szCs w:val="24"/>
                <w:u w:val="none"/>
                <w:lang w:val="en-US" w:eastAsia="zh-CN"/>
              </w:rPr>
              <w:t>（500 t）、</w:t>
            </w:r>
            <w:r>
              <w:rPr>
                <w:rFonts w:hint="eastAsia" w:cs="Times New Roman"/>
                <w:bCs/>
                <w:snapToGrid w:val="0"/>
                <w:color w:val="auto"/>
                <w:sz w:val="24"/>
                <w:u w:val="none"/>
                <w:lang w:val="en-US" w:eastAsia="zh-CN"/>
              </w:rPr>
              <w:t>年屠宰肉鸡1000只（1.75 t）、年屠宰肉鸭1000只（2.5 t）、年屠宰肉鹅1000只（3.5 t）。</w:t>
            </w:r>
            <w:r>
              <w:rPr>
                <w:rFonts w:hint="eastAsia" w:cstheme="minorBidi"/>
                <w:b w:val="0"/>
                <w:bCs w:val="0"/>
                <w:color w:val="000000"/>
                <w:sz w:val="24"/>
                <w:szCs w:val="24"/>
                <w:u w:val="none"/>
                <w:lang w:val="en-US" w:eastAsia="zh-CN"/>
              </w:rPr>
              <w:t>根</w:t>
            </w:r>
            <w:r>
              <w:rPr>
                <w:rFonts w:hint="eastAsia" w:cstheme="minorBidi"/>
                <w:b w:val="0"/>
                <w:bCs w:val="0"/>
                <w:color w:val="000000"/>
                <w:spacing w:val="0"/>
                <w:sz w:val="24"/>
                <w:szCs w:val="24"/>
                <w:u w:val="none"/>
                <w:lang w:val="en-US" w:eastAsia="zh-CN"/>
              </w:rPr>
              <w:t>据</w:t>
            </w:r>
            <w:r>
              <w:rPr>
                <w:rFonts w:hint="eastAsia" w:ascii="Times New Roman" w:hAnsi="Times New Roman" w:eastAsia="宋体" w:cstheme="minorBidi"/>
                <w:color w:val="000000"/>
                <w:spacing w:val="0"/>
                <w:kern w:val="2"/>
                <w:sz w:val="24"/>
                <w:szCs w:val="24"/>
                <w:u w:val="none"/>
                <w:lang w:val="en-US" w:eastAsia="zh-CN" w:bidi="ar"/>
              </w:rPr>
              <w:t>《排放源统计调查产排污核算方法和系数手册》中的</w:t>
            </w:r>
            <w:r>
              <w:rPr>
                <w:rFonts w:hint="eastAsia" w:cstheme="minorBidi"/>
                <w:color w:val="000000"/>
                <w:spacing w:val="0"/>
                <w:kern w:val="2"/>
                <w:sz w:val="24"/>
                <w:szCs w:val="24"/>
                <w:u w:val="none"/>
                <w:lang w:val="en-US" w:eastAsia="zh-CN" w:bidi="ar"/>
              </w:rPr>
              <w:t>屠宰及肉类加工</w:t>
            </w:r>
            <w:r>
              <w:rPr>
                <w:rFonts w:hint="eastAsia" w:ascii="Times New Roman" w:hAnsi="Times New Roman" w:cstheme="minorBidi"/>
                <w:color w:val="000000"/>
                <w:spacing w:val="0"/>
                <w:kern w:val="2"/>
                <w:sz w:val="24"/>
                <w:szCs w:val="24"/>
                <w:u w:val="none"/>
                <w:lang w:val="en-US" w:eastAsia="zh-CN" w:bidi="ar"/>
              </w:rPr>
              <w:t>行业</w:t>
            </w:r>
            <w:r>
              <w:rPr>
                <w:rFonts w:hint="eastAsia" w:ascii="Times New Roman" w:hAnsi="Times New Roman" w:eastAsia="宋体" w:cstheme="minorBidi"/>
                <w:color w:val="000000"/>
                <w:spacing w:val="0"/>
                <w:kern w:val="2"/>
                <w:sz w:val="24"/>
                <w:szCs w:val="24"/>
                <w:u w:val="none"/>
                <w:lang w:val="en-US" w:eastAsia="zh-CN" w:bidi="ar"/>
              </w:rPr>
              <w:t>系数手册，“</w:t>
            </w:r>
            <w:r>
              <w:rPr>
                <w:rFonts w:hint="eastAsia" w:ascii="Times New Roman" w:hAnsi="Times New Roman" w:eastAsia="宋体" w:cstheme="minorBidi"/>
                <w:color w:val="000000"/>
                <w:sz w:val="24"/>
                <w:szCs w:val="24"/>
              </w:rPr>
              <w:t>1351牲畜屠宰行业产污系数表</w:t>
            </w:r>
            <w:r>
              <w:rPr>
                <w:rFonts w:hint="eastAsia" w:ascii="Times New Roman" w:hAnsi="Times New Roman" w:eastAsia="宋体" w:cstheme="minorBidi"/>
                <w:color w:val="000000"/>
                <w:spacing w:val="0"/>
                <w:kern w:val="2"/>
                <w:sz w:val="24"/>
                <w:szCs w:val="24"/>
                <w:u w:val="none"/>
                <w:lang w:val="en-US" w:eastAsia="zh-CN" w:bidi="ar"/>
              </w:rPr>
              <w:t>”</w:t>
            </w:r>
            <w:r>
              <w:rPr>
                <w:rFonts w:hint="eastAsia" w:cstheme="minorBidi"/>
                <w:color w:val="000000"/>
                <w:spacing w:val="0"/>
                <w:kern w:val="2"/>
                <w:sz w:val="24"/>
                <w:szCs w:val="24"/>
                <w:u w:val="none"/>
                <w:lang w:val="en-US" w:eastAsia="zh-CN" w:bidi="ar"/>
              </w:rPr>
              <w:t>及“</w:t>
            </w:r>
            <w:r>
              <w:rPr>
                <w:rFonts w:hint="eastAsia" w:ascii="Times New Roman" w:hAnsi="Times New Roman" w:eastAsia="宋体" w:cstheme="minorBidi"/>
                <w:color w:val="000000"/>
                <w:sz w:val="24"/>
                <w:szCs w:val="24"/>
              </w:rPr>
              <w:t>1352禽类屠宰行业产污系数表</w:t>
            </w:r>
            <w:r>
              <w:rPr>
                <w:rFonts w:hint="eastAsia" w:cstheme="minorBidi"/>
                <w:color w:val="000000"/>
                <w:spacing w:val="0"/>
                <w:kern w:val="2"/>
                <w:sz w:val="24"/>
                <w:szCs w:val="24"/>
                <w:u w:val="none"/>
                <w:lang w:val="en-US" w:eastAsia="zh-CN" w:bidi="ar"/>
              </w:rPr>
              <w:t>”</w:t>
            </w:r>
            <w:r>
              <w:rPr>
                <w:rFonts w:hint="eastAsia"/>
                <w:color w:val="000000"/>
                <w:sz w:val="24"/>
                <w:szCs w:val="24"/>
                <w:lang w:val="en-US" w:eastAsia="zh-CN"/>
              </w:rPr>
              <w:t>计算</w:t>
            </w:r>
            <w:r>
              <w:rPr>
                <w:rFonts w:hint="eastAsia" w:cs="Times New Roman"/>
                <w:bCs/>
                <w:snapToGrid w:val="0"/>
                <w:color w:val="auto"/>
                <w:sz w:val="24"/>
                <w:u w:val="none"/>
                <w:lang w:val="en-US" w:eastAsia="zh-CN"/>
              </w:rPr>
              <w:t>；屠宰生猪的废水产生系数为0.535 t/只+1.59 t/（t-产品）、屠宰肉牛的废水产生系数为0.27 t/只、屠宰肉鸡的废水产生系数为1.43 t/百只、屠宰肉鸭的废水产生系数为2.15 t/百只、屠宰肉鹅的废水产生系数为2.57 t/百只。</w:t>
            </w:r>
          </w:p>
          <w:p w14:paraId="58DB82AA">
            <w:pPr>
              <w:ind w:firstLine="480" w:firstLineChars="200"/>
              <w:rPr>
                <w:rFonts w:hint="default"/>
                <w:color w:val="000000"/>
                <w:sz w:val="24"/>
                <w:szCs w:val="24"/>
                <w:lang w:val="en-US" w:eastAsia="zh-CN"/>
              </w:rPr>
            </w:pPr>
            <w:r>
              <w:rPr>
                <w:rFonts w:hint="eastAsia"/>
                <w:color w:val="000000"/>
                <w:sz w:val="24"/>
                <w:szCs w:val="24"/>
                <w:lang w:val="en-US" w:eastAsia="zh-CN"/>
              </w:rPr>
              <w:t>故本项目废水产生量为89733*0.535+9588*1.59+1000*0.27+1000*1.43/100+1000*</w:t>
            </w:r>
            <w:r>
              <w:rPr>
                <w:rFonts w:hint="eastAsia" w:cs="Times New Roman"/>
                <w:bCs/>
                <w:snapToGrid w:val="0"/>
                <w:color w:val="auto"/>
                <w:sz w:val="24"/>
                <w:u w:val="none"/>
                <w:lang w:val="en-US" w:eastAsia="zh-CN"/>
              </w:rPr>
              <w:t>2.15/100+1000*2.57/100=63583.575 t/a。</w:t>
            </w:r>
          </w:p>
          <w:p w14:paraId="7F9E9E61">
            <w:pPr>
              <w:rPr>
                <w:rFonts w:hint="eastAsia"/>
                <w:color w:val="auto"/>
                <w:szCs w:val="24"/>
              </w:rPr>
            </w:pPr>
            <w:r>
              <w:rPr>
                <w:rFonts w:hint="eastAsia"/>
                <w:color w:val="000000"/>
                <w:szCs w:val="24"/>
                <w:u w:val="none"/>
                <w:lang w:val="en-US" w:eastAsia="zh-CN"/>
              </w:rPr>
              <w:t>产污系数按0.8计，</w:t>
            </w:r>
            <w:r>
              <w:rPr>
                <w:rFonts w:hint="eastAsia"/>
                <w:color w:val="auto"/>
                <w:szCs w:val="24"/>
                <w:u w:val="none"/>
                <w:lang w:eastAsia="zh-CN"/>
              </w:rPr>
              <w:t>则</w:t>
            </w:r>
            <w:r>
              <w:rPr>
                <w:rFonts w:hint="eastAsia"/>
                <w:color w:val="auto"/>
                <w:szCs w:val="24"/>
                <w:u w:val="none"/>
                <w:lang w:val="en-US" w:eastAsia="zh-CN"/>
              </w:rPr>
              <w:t>本</w:t>
            </w:r>
            <w:r>
              <w:rPr>
                <w:rFonts w:hint="eastAsia"/>
                <w:color w:val="000000"/>
                <w:szCs w:val="24"/>
                <w:u w:val="none"/>
                <w:lang w:val="en-US" w:eastAsia="zh-CN"/>
              </w:rPr>
              <w:t>项目生产</w:t>
            </w:r>
            <w:r>
              <w:rPr>
                <w:rFonts w:hint="eastAsia"/>
                <w:color w:val="000000"/>
                <w:szCs w:val="24"/>
                <w:u w:val="none"/>
              </w:rPr>
              <w:t>用水量</w:t>
            </w:r>
            <w:r>
              <w:rPr>
                <w:rFonts w:hint="eastAsia"/>
                <w:color w:val="000000"/>
                <w:szCs w:val="24"/>
                <w:u w:val="none"/>
                <w:lang w:eastAsia="zh-CN"/>
              </w:rPr>
              <w:t>（</w:t>
            </w:r>
            <w:r>
              <w:rPr>
                <w:rFonts w:hint="eastAsia"/>
                <w:color w:val="000000"/>
                <w:szCs w:val="24"/>
                <w:u w:val="none"/>
              </w:rPr>
              <w:t>含</w:t>
            </w:r>
            <w:r>
              <w:rPr>
                <w:rFonts w:hint="eastAsia"/>
                <w:color w:val="000000"/>
                <w:szCs w:val="24"/>
                <w:u w:val="none"/>
                <w:lang w:val="en-US" w:eastAsia="zh-CN"/>
              </w:rPr>
              <w:t>消毒剂配制用水、</w:t>
            </w:r>
            <w:r>
              <w:rPr>
                <w:rFonts w:hint="eastAsia"/>
                <w:color w:val="000000"/>
                <w:szCs w:val="24"/>
                <w:u w:val="none"/>
              </w:rPr>
              <w:t>地面和设备清洗用水</w:t>
            </w:r>
            <w:r>
              <w:rPr>
                <w:rFonts w:hint="eastAsia"/>
                <w:color w:val="000000"/>
                <w:szCs w:val="24"/>
                <w:u w:val="none"/>
                <w:lang w:val="en-US" w:eastAsia="zh-CN"/>
              </w:rPr>
              <w:t>等</w:t>
            </w:r>
            <w:r>
              <w:rPr>
                <w:rFonts w:hint="eastAsia"/>
                <w:color w:val="000000"/>
                <w:szCs w:val="24"/>
                <w:u w:val="none"/>
                <w:lang w:eastAsia="zh-CN"/>
              </w:rPr>
              <w:t>）</w:t>
            </w:r>
            <w:r>
              <w:rPr>
                <w:rFonts w:hint="eastAsia"/>
                <w:color w:val="000000"/>
                <w:szCs w:val="24"/>
                <w:u w:val="none"/>
              </w:rPr>
              <w:t>约为</w:t>
            </w:r>
            <w:r>
              <w:rPr>
                <w:rFonts w:hint="eastAsia" w:cs="Times New Roman"/>
                <w:bCs/>
                <w:snapToGrid w:val="0"/>
                <w:color w:val="auto"/>
                <w:sz w:val="24"/>
                <w:u w:val="none"/>
                <w:lang w:val="en-US" w:eastAsia="zh-CN"/>
              </w:rPr>
              <w:t>210090.25</w:t>
            </w:r>
            <w:r>
              <w:rPr>
                <w:rFonts w:hint="eastAsia"/>
                <w:color w:val="000000"/>
                <w:szCs w:val="24"/>
                <w:u w:val="none"/>
                <w:lang w:val="en-US" w:eastAsia="zh-CN"/>
              </w:rPr>
              <w:t xml:space="preserve">/0.8=79479.5 </w:t>
            </w:r>
            <w:r>
              <w:rPr>
                <w:rFonts w:hint="eastAsia"/>
                <w:color w:val="000000"/>
                <w:szCs w:val="24"/>
                <w:u w:val="none"/>
              </w:rPr>
              <w:t>m</w:t>
            </w:r>
            <w:r>
              <w:rPr>
                <w:rFonts w:hint="eastAsia"/>
                <w:color w:val="000000"/>
                <w:szCs w:val="24"/>
                <w:u w:val="none"/>
                <w:vertAlign w:val="superscript"/>
              </w:rPr>
              <w:t>3</w:t>
            </w:r>
            <w:r>
              <w:rPr>
                <w:rFonts w:hint="eastAsia"/>
                <w:color w:val="000000"/>
                <w:szCs w:val="24"/>
                <w:u w:val="none"/>
              </w:rPr>
              <w:t>/a</w:t>
            </w:r>
            <w:r>
              <w:rPr>
                <w:rFonts w:hint="eastAsia"/>
                <w:color w:val="000000"/>
                <w:szCs w:val="24"/>
              </w:rPr>
              <w:t>。其中屠宰使用的蒸汽用水已包括在屠宰用水中，</w:t>
            </w:r>
            <w:r>
              <w:rPr>
                <w:rFonts w:hint="eastAsia"/>
                <w:color w:val="000000"/>
                <w:szCs w:val="24"/>
                <w:lang w:val="en-US" w:eastAsia="zh-CN"/>
              </w:rPr>
              <w:t>故本评价</w:t>
            </w:r>
            <w:r>
              <w:rPr>
                <w:rFonts w:hint="eastAsia"/>
                <w:color w:val="000000"/>
                <w:szCs w:val="24"/>
              </w:rPr>
              <w:t>不再</w:t>
            </w:r>
            <w:r>
              <w:rPr>
                <w:rFonts w:hint="eastAsia"/>
                <w:color w:val="000000"/>
                <w:szCs w:val="24"/>
                <w:lang w:val="en-US" w:eastAsia="zh-CN"/>
              </w:rPr>
              <w:t>重</w:t>
            </w:r>
            <w:r>
              <w:rPr>
                <w:rFonts w:hint="eastAsia"/>
                <w:color w:val="auto"/>
                <w:szCs w:val="24"/>
                <w:lang w:val="en-US" w:eastAsia="zh-CN"/>
              </w:rPr>
              <w:t>复</w:t>
            </w:r>
            <w:r>
              <w:rPr>
                <w:rFonts w:hint="eastAsia"/>
                <w:color w:val="auto"/>
                <w:szCs w:val="24"/>
              </w:rPr>
              <w:t>计算电</w:t>
            </w:r>
            <w:r>
              <w:rPr>
                <w:rFonts w:hint="eastAsia"/>
                <w:color w:val="auto"/>
                <w:szCs w:val="24"/>
                <w:lang w:val="en-US" w:eastAsia="zh-CN"/>
              </w:rPr>
              <w:t>锅炉</w:t>
            </w:r>
            <w:r>
              <w:rPr>
                <w:rFonts w:hint="eastAsia"/>
                <w:color w:val="auto"/>
                <w:szCs w:val="24"/>
              </w:rPr>
              <w:t>补充水。</w:t>
            </w:r>
          </w:p>
          <w:p w14:paraId="684333C6">
            <w:pPr>
              <w:numPr>
                <w:ilvl w:val="-1"/>
                <w:numId w:val="0"/>
              </w:numPr>
              <w:bidi w:val="0"/>
              <w:ind w:left="0" w:leftChars="0"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排水系统</w:t>
            </w:r>
          </w:p>
          <w:p w14:paraId="346E8CCF">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排水方式采用雨水、污水分流制。</w:t>
            </w:r>
          </w:p>
          <w:p w14:paraId="2AD3B8B2">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①雨水</w:t>
            </w:r>
          </w:p>
          <w:p w14:paraId="1DAE84E6">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本项目在</w:t>
            </w:r>
            <w:r>
              <w:rPr>
                <w:rFonts w:hint="eastAsia" w:cs="Times New Roman"/>
                <w:color w:val="auto"/>
                <w:sz w:val="24"/>
                <w:u w:val="none" w:color="auto"/>
                <w:lang w:eastAsia="zh-CN"/>
              </w:rPr>
              <w:t>溆浦县金中定点屠宰场</w:t>
            </w:r>
            <w:r>
              <w:rPr>
                <w:rFonts w:hint="eastAsia" w:cs="Times New Roman"/>
                <w:color w:val="auto"/>
                <w:sz w:val="24"/>
                <w:u w:val="none" w:color="auto"/>
                <w:lang w:val="en-US" w:eastAsia="zh-CN"/>
              </w:rPr>
              <w:t>已建车间</w:t>
            </w:r>
            <w:r>
              <w:rPr>
                <w:rFonts w:hint="default" w:ascii="Times New Roman" w:hAnsi="Times New Roman" w:eastAsia="宋体" w:cs="Times New Roman"/>
                <w:color w:val="auto"/>
                <w:sz w:val="24"/>
                <w:u w:val="none" w:color="auto"/>
                <w:lang w:val="en-US" w:eastAsia="zh-CN"/>
              </w:rPr>
              <w:t>内</w:t>
            </w:r>
            <w:r>
              <w:rPr>
                <w:rFonts w:hint="default" w:ascii="Times New Roman" w:hAnsi="Times New Roman" w:cs="Times New Roman"/>
                <w:color w:val="auto"/>
                <w:u w:val="none" w:color="auto"/>
                <w:lang w:val="en-US" w:eastAsia="zh-CN"/>
              </w:rPr>
              <w:t>建设，雨水排放依托现有雨水</w:t>
            </w:r>
            <w:r>
              <w:rPr>
                <w:rFonts w:hint="eastAsia" w:cs="Times New Roman"/>
                <w:color w:val="auto"/>
                <w:u w:val="none" w:color="auto"/>
                <w:lang w:val="en-US" w:eastAsia="zh-CN"/>
              </w:rPr>
              <w:t>管网</w:t>
            </w:r>
            <w:r>
              <w:rPr>
                <w:rFonts w:hint="default" w:ascii="Times New Roman" w:hAnsi="Times New Roman" w:cs="Times New Roman"/>
                <w:color w:val="auto"/>
                <w:u w:val="none" w:color="auto"/>
                <w:lang w:val="en-US" w:eastAsia="zh-CN"/>
              </w:rPr>
              <w:t>，经市政雨水管网排入</w:t>
            </w:r>
            <w:r>
              <w:rPr>
                <w:rFonts w:hint="eastAsia" w:cs="Times New Roman"/>
                <w:color w:val="auto"/>
                <w:u w:val="none" w:color="auto"/>
                <w:lang w:val="en-US" w:eastAsia="zh-CN"/>
              </w:rPr>
              <w:t>溆</w:t>
            </w:r>
            <w:r>
              <w:rPr>
                <w:rFonts w:hint="default" w:ascii="Times New Roman" w:hAnsi="Times New Roman" w:cs="Times New Roman"/>
                <w:color w:val="auto"/>
                <w:u w:val="none" w:color="auto"/>
                <w:lang w:val="en-US" w:eastAsia="zh-CN"/>
              </w:rPr>
              <w:t>水。</w:t>
            </w:r>
          </w:p>
          <w:p w14:paraId="280B7A80">
            <w:pPr>
              <w:bidi w:val="0"/>
              <w:rPr>
                <w:rFonts w:hint="eastAsia"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②</w:t>
            </w:r>
            <w:r>
              <w:rPr>
                <w:rFonts w:hint="eastAsia" w:ascii="Times New Roman" w:hAnsi="Times New Roman" w:cs="Times New Roman"/>
                <w:color w:val="auto"/>
                <w:u w:val="none" w:color="auto"/>
                <w:lang w:val="en-US" w:eastAsia="zh-CN"/>
              </w:rPr>
              <w:t>废水</w:t>
            </w:r>
          </w:p>
          <w:p w14:paraId="3B4DD251">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生活污水：</w:t>
            </w:r>
          </w:p>
          <w:p w14:paraId="1E3D7D02">
            <w:pPr>
              <w:rPr>
                <w:rFonts w:hint="eastAsia" w:ascii="Times New Roman" w:hAnsi="Times New Roman" w:eastAsia="宋体" w:cs="Times New Roman"/>
                <w:color w:val="auto"/>
                <w:sz w:val="24"/>
                <w:u w:val="none" w:color="auto"/>
                <w:lang w:val="en-US" w:eastAsia="zh-CN"/>
              </w:rPr>
            </w:pPr>
            <w:r>
              <w:rPr>
                <w:rFonts w:hint="eastAsia" w:cs="Times New Roman"/>
                <w:color w:val="auto"/>
                <w:u w:val="none" w:color="auto"/>
                <w:lang w:val="en-US" w:eastAsia="zh-CN"/>
              </w:rPr>
              <w:t>本项目无新增生活污水</w:t>
            </w:r>
            <w:r>
              <w:rPr>
                <w:rFonts w:hint="eastAsia" w:ascii="Times New Roman" w:hAnsi="Times New Roman" w:eastAsia="宋体" w:cs="Times New Roman"/>
                <w:color w:val="auto"/>
                <w:sz w:val="24"/>
                <w:u w:val="none" w:color="auto"/>
                <w:lang w:val="en-US" w:eastAsia="zh-CN"/>
              </w:rPr>
              <w:t>。</w:t>
            </w:r>
          </w:p>
          <w:p w14:paraId="1D6F2C81">
            <w:pPr>
              <w:ind w:firstLine="480" w:firstLineChars="200"/>
              <w:jc w:val="left"/>
              <w:rPr>
                <w:rFonts w:hint="eastAsia" w:cs="Times New Roman"/>
                <w:color w:val="auto"/>
                <w:sz w:val="24"/>
                <w:u w:val="none" w:color="auto"/>
                <w:lang w:val="en-US" w:eastAsia="zh-CN"/>
              </w:rPr>
            </w:pPr>
            <w:r>
              <w:rPr>
                <w:rFonts w:hint="eastAsia" w:cs="Times New Roman"/>
                <w:color w:val="auto"/>
                <w:sz w:val="24"/>
                <w:u w:val="none" w:color="auto"/>
                <w:lang w:val="en-US" w:eastAsia="zh-CN"/>
              </w:rPr>
              <w:t>生产废水：</w:t>
            </w:r>
          </w:p>
          <w:p w14:paraId="4F96A710">
            <w:pPr>
              <w:ind w:firstLine="480" w:firstLineChars="0"/>
              <w:jc w:val="both"/>
              <w:rPr>
                <w:rFonts w:hint="eastAsia" w:cs="Times New Roman"/>
                <w:color w:val="auto"/>
                <w:sz w:val="24"/>
                <w:u w:val="none" w:color="auto"/>
                <w:lang w:val="en-US" w:eastAsia="zh-CN"/>
              </w:rPr>
            </w:pPr>
            <w:r>
              <w:rPr>
                <w:rFonts w:hint="eastAsia" w:cs="Times New Roman"/>
                <w:color w:val="auto"/>
                <w:sz w:val="24"/>
                <w:u w:val="none" w:color="auto"/>
                <w:lang w:val="en-US" w:eastAsia="zh-CN"/>
              </w:rPr>
              <w:t>车辆清洗废水：车辆清洗废水产污系数按0.8计，则本项目车辆清洗废水产生量为1464 t/a；</w:t>
            </w:r>
          </w:p>
          <w:p w14:paraId="0EC957ED">
            <w:pPr>
              <w:ind w:firstLine="480" w:firstLineChars="200"/>
              <w:rPr>
                <w:rFonts w:hint="default"/>
                <w:color w:val="000000"/>
                <w:sz w:val="24"/>
                <w:szCs w:val="24"/>
                <w:lang w:val="en-US" w:eastAsia="zh-CN"/>
              </w:rPr>
            </w:pPr>
            <w:r>
              <w:rPr>
                <w:rFonts w:hint="eastAsia" w:cs="Times New Roman"/>
                <w:color w:val="auto"/>
                <w:sz w:val="24"/>
                <w:u w:val="none" w:color="auto"/>
                <w:lang w:val="en-US" w:eastAsia="zh-CN"/>
              </w:rPr>
              <w:t>生产废水：</w:t>
            </w:r>
            <w:r>
              <w:rPr>
                <w:rFonts w:hint="eastAsia"/>
                <w:color w:val="auto"/>
                <w:szCs w:val="24"/>
                <w:u w:val="none"/>
              </w:rPr>
              <w:t>本项目</w:t>
            </w:r>
            <w:r>
              <w:rPr>
                <w:rFonts w:hint="eastAsia"/>
                <w:color w:val="auto"/>
                <w:szCs w:val="24"/>
                <w:u w:val="none"/>
                <w:lang w:val="en-US" w:eastAsia="zh-CN"/>
              </w:rPr>
              <w:t>技改完成后将实现</w:t>
            </w:r>
            <w:r>
              <w:rPr>
                <w:rFonts w:hint="eastAsia"/>
                <w:color w:val="auto"/>
                <w:szCs w:val="24"/>
                <w:u w:val="none"/>
              </w:rPr>
              <w:t>年屠宰生猪</w:t>
            </w:r>
            <w:r>
              <w:rPr>
                <w:rFonts w:hint="eastAsia"/>
                <w:color w:val="auto"/>
                <w:szCs w:val="24"/>
                <w:u w:val="none"/>
                <w:lang w:val="en-US" w:eastAsia="zh-CN"/>
              </w:rPr>
              <w:t>89733</w:t>
            </w:r>
            <w:r>
              <w:rPr>
                <w:rFonts w:hint="eastAsia"/>
                <w:color w:val="auto"/>
                <w:szCs w:val="24"/>
                <w:u w:val="none"/>
              </w:rPr>
              <w:t>头</w:t>
            </w:r>
            <w:r>
              <w:rPr>
                <w:rFonts w:hint="eastAsia"/>
                <w:color w:val="auto"/>
                <w:szCs w:val="24"/>
                <w:u w:val="none"/>
                <w:lang w:eastAsia="zh-CN"/>
              </w:rPr>
              <w:t>（</w:t>
            </w:r>
            <w:r>
              <w:rPr>
                <w:rFonts w:hint="eastAsia"/>
                <w:color w:val="auto"/>
                <w:szCs w:val="24"/>
                <w:u w:val="none"/>
                <w:lang w:val="en-US" w:eastAsia="zh-CN"/>
              </w:rPr>
              <w:t>9871 t</w:t>
            </w:r>
            <w:r>
              <w:rPr>
                <w:rFonts w:hint="eastAsia"/>
                <w:color w:val="auto"/>
                <w:szCs w:val="24"/>
                <w:u w:val="none"/>
                <w:lang w:eastAsia="zh-CN"/>
              </w:rPr>
              <w:t>）、</w:t>
            </w:r>
            <w:r>
              <w:rPr>
                <w:rFonts w:hint="eastAsia"/>
                <w:color w:val="auto"/>
                <w:szCs w:val="24"/>
                <w:u w:val="none"/>
                <w:lang w:val="en-US" w:eastAsia="zh-CN"/>
              </w:rPr>
              <w:t>年屠宰肉牛</w:t>
            </w:r>
            <w:r>
              <w:rPr>
                <w:rFonts w:hint="eastAsia" w:cstheme="minorBidi"/>
                <w:color w:val="auto"/>
                <w:spacing w:val="0"/>
                <w:sz w:val="24"/>
                <w:szCs w:val="24"/>
                <w:lang w:val="en-US" w:eastAsia="zh-CN"/>
              </w:rPr>
              <w:t>1000</w:t>
            </w:r>
            <w:r>
              <w:rPr>
                <w:rFonts w:hint="eastAsia" w:ascii="Times New Roman" w:hAnsi="Times New Roman" w:eastAsia="宋体" w:cstheme="minorBidi"/>
                <w:b w:val="0"/>
                <w:bCs w:val="0"/>
                <w:color w:val="auto"/>
                <w:sz w:val="24"/>
                <w:szCs w:val="24"/>
                <w:u w:val="none"/>
                <w:lang w:val="en-US" w:eastAsia="zh-CN"/>
              </w:rPr>
              <w:t>头</w:t>
            </w:r>
            <w:r>
              <w:rPr>
                <w:rFonts w:hint="eastAsia" w:cstheme="minorBidi"/>
                <w:b w:val="0"/>
                <w:bCs w:val="0"/>
                <w:color w:val="auto"/>
                <w:sz w:val="24"/>
                <w:szCs w:val="24"/>
                <w:u w:val="none"/>
                <w:lang w:val="en-US" w:eastAsia="zh-CN"/>
              </w:rPr>
              <w:t>（500 t）、</w:t>
            </w:r>
            <w:r>
              <w:rPr>
                <w:rFonts w:hint="eastAsia" w:cs="Times New Roman"/>
                <w:bCs/>
                <w:snapToGrid w:val="0"/>
                <w:color w:val="auto"/>
                <w:sz w:val="24"/>
                <w:u w:val="none"/>
                <w:lang w:val="en-US" w:eastAsia="zh-CN"/>
              </w:rPr>
              <w:t>年屠宰肉鸡1000只（1.75 t）、年屠宰肉鸭1000只（2.5 t）、年屠宰肉鹅1000只（3.5 t）。</w:t>
            </w:r>
            <w:r>
              <w:rPr>
                <w:rFonts w:hint="eastAsia" w:cstheme="minorBidi"/>
                <w:b w:val="0"/>
                <w:bCs w:val="0"/>
                <w:color w:val="000000"/>
                <w:sz w:val="24"/>
                <w:szCs w:val="24"/>
                <w:u w:val="none"/>
                <w:lang w:val="en-US" w:eastAsia="zh-CN"/>
              </w:rPr>
              <w:t>根</w:t>
            </w:r>
            <w:r>
              <w:rPr>
                <w:rFonts w:hint="eastAsia" w:cstheme="minorBidi"/>
                <w:b w:val="0"/>
                <w:bCs w:val="0"/>
                <w:color w:val="000000"/>
                <w:spacing w:val="0"/>
                <w:sz w:val="24"/>
                <w:szCs w:val="24"/>
                <w:u w:val="none"/>
                <w:lang w:val="en-US" w:eastAsia="zh-CN"/>
              </w:rPr>
              <w:t>据</w:t>
            </w:r>
            <w:r>
              <w:rPr>
                <w:rFonts w:hint="eastAsia" w:ascii="Times New Roman" w:hAnsi="Times New Roman" w:eastAsia="宋体" w:cstheme="minorBidi"/>
                <w:color w:val="000000"/>
                <w:spacing w:val="0"/>
                <w:kern w:val="2"/>
                <w:sz w:val="24"/>
                <w:szCs w:val="24"/>
                <w:u w:val="none"/>
                <w:lang w:val="en-US" w:eastAsia="zh-CN" w:bidi="ar"/>
              </w:rPr>
              <w:t>《排放源统计调查产排污核算方法和系数手册》中的</w:t>
            </w:r>
            <w:r>
              <w:rPr>
                <w:rFonts w:hint="eastAsia" w:cstheme="minorBidi"/>
                <w:color w:val="000000"/>
                <w:spacing w:val="0"/>
                <w:kern w:val="2"/>
                <w:sz w:val="24"/>
                <w:szCs w:val="24"/>
                <w:u w:val="none"/>
                <w:lang w:val="en-US" w:eastAsia="zh-CN" w:bidi="ar"/>
              </w:rPr>
              <w:t>屠宰及肉类加工</w:t>
            </w:r>
            <w:r>
              <w:rPr>
                <w:rFonts w:hint="eastAsia" w:ascii="Times New Roman" w:hAnsi="Times New Roman" w:cstheme="minorBidi"/>
                <w:color w:val="000000"/>
                <w:spacing w:val="0"/>
                <w:kern w:val="2"/>
                <w:sz w:val="24"/>
                <w:szCs w:val="24"/>
                <w:u w:val="none"/>
                <w:lang w:val="en-US" w:eastAsia="zh-CN" w:bidi="ar"/>
              </w:rPr>
              <w:t>行业</w:t>
            </w:r>
            <w:r>
              <w:rPr>
                <w:rFonts w:hint="eastAsia" w:ascii="Times New Roman" w:hAnsi="Times New Roman" w:eastAsia="宋体" w:cstheme="minorBidi"/>
                <w:color w:val="000000"/>
                <w:spacing w:val="0"/>
                <w:kern w:val="2"/>
                <w:sz w:val="24"/>
                <w:szCs w:val="24"/>
                <w:u w:val="none"/>
                <w:lang w:val="en-US" w:eastAsia="zh-CN" w:bidi="ar"/>
              </w:rPr>
              <w:t>系数手册，“</w:t>
            </w:r>
            <w:r>
              <w:rPr>
                <w:rFonts w:hint="eastAsia" w:ascii="Times New Roman" w:hAnsi="Times New Roman" w:eastAsia="宋体" w:cstheme="minorBidi"/>
                <w:color w:val="000000"/>
                <w:sz w:val="24"/>
                <w:szCs w:val="24"/>
              </w:rPr>
              <w:t>1351牲畜屠宰行业产污系数表</w:t>
            </w:r>
            <w:r>
              <w:rPr>
                <w:rFonts w:hint="eastAsia" w:ascii="Times New Roman" w:hAnsi="Times New Roman" w:eastAsia="宋体" w:cstheme="minorBidi"/>
                <w:color w:val="000000"/>
                <w:spacing w:val="0"/>
                <w:kern w:val="2"/>
                <w:sz w:val="24"/>
                <w:szCs w:val="24"/>
                <w:u w:val="none"/>
                <w:lang w:val="en-US" w:eastAsia="zh-CN" w:bidi="ar"/>
              </w:rPr>
              <w:t>”</w:t>
            </w:r>
            <w:r>
              <w:rPr>
                <w:rFonts w:hint="eastAsia" w:cstheme="minorBidi"/>
                <w:color w:val="000000"/>
                <w:spacing w:val="0"/>
                <w:kern w:val="2"/>
                <w:sz w:val="24"/>
                <w:szCs w:val="24"/>
                <w:u w:val="none"/>
                <w:lang w:val="en-US" w:eastAsia="zh-CN" w:bidi="ar"/>
              </w:rPr>
              <w:t>及“</w:t>
            </w:r>
            <w:r>
              <w:rPr>
                <w:rFonts w:hint="eastAsia" w:ascii="Times New Roman" w:hAnsi="Times New Roman" w:eastAsia="宋体" w:cstheme="minorBidi"/>
                <w:color w:val="000000"/>
                <w:sz w:val="24"/>
                <w:szCs w:val="24"/>
              </w:rPr>
              <w:t>1352禽类屠宰行业产污系数表</w:t>
            </w:r>
            <w:r>
              <w:rPr>
                <w:rFonts w:hint="eastAsia" w:cstheme="minorBidi"/>
                <w:color w:val="000000"/>
                <w:spacing w:val="0"/>
                <w:kern w:val="2"/>
                <w:sz w:val="24"/>
                <w:szCs w:val="24"/>
                <w:u w:val="none"/>
                <w:lang w:val="en-US" w:eastAsia="zh-CN" w:bidi="ar"/>
              </w:rPr>
              <w:t>”</w:t>
            </w:r>
            <w:r>
              <w:rPr>
                <w:rFonts w:hint="eastAsia"/>
                <w:color w:val="000000"/>
                <w:sz w:val="24"/>
                <w:szCs w:val="24"/>
                <w:lang w:val="en-US" w:eastAsia="zh-CN"/>
              </w:rPr>
              <w:t>计算</w:t>
            </w:r>
            <w:r>
              <w:rPr>
                <w:rFonts w:hint="eastAsia" w:cs="Times New Roman"/>
                <w:bCs/>
                <w:snapToGrid w:val="0"/>
                <w:color w:val="auto"/>
                <w:sz w:val="24"/>
                <w:u w:val="none"/>
                <w:lang w:val="en-US" w:eastAsia="zh-CN"/>
              </w:rPr>
              <w:t>；屠宰生猪的废水产生系数为0.535 t/只+1.59 t/（t-产品）、屠宰肉牛的废水产生系数为0.27 t/只、屠宰肉鸡的废水产生系数为1.43 t/百只、屠宰肉鸭的废水产生系数为2.15 t/百只、屠宰肉鹅的废水产生系数为2.57 t/百只。</w:t>
            </w:r>
          </w:p>
          <w:p w14:paraId="01F0F9C9">
            <w:pPr>
              <w:ind w:firstLine="480" w:firstLineChars="200"/>
              <w:jc w:val="left"/>
              <w:rPr>
                <w:rFonts w:hint="eastAsia" w:cs="Times New Roman"/>
                <w:color w:val="auto"/>
                <w:sz w:val="24"/>
                <w:u w:val="none" w:color="auto"/>
                <w:lang w:val="en-US" w:eastAsia="zh-CN"/>
              </w:rPr>
            </w:pPr>
            <w:r>
              <w:rPr>
                <w:rFonts w:hint="eastAsia"/>
                <w:color w:val="000000"/>
                <w:sz w:val="24"/>
                <w:szCs w:val="24"/>
                <w:lang w:val="en-US" w:eastAsia="zh-CN"/>
              </w:rPr>
              <w:t>故本项目废水产生量为89733*0.535+9588*1.59+1000*0.27+1000*1.43/100+1000*</w:t>
            </w:r>
            <w:r>
              <w:rPr>
                <w:rFonts w:hint="eastAsia" w:cs="Times New Roman"/>
                <w:bCs/>
                <w:snapToGrid w:val="0"/>
                <w:color w:val="auto"/>
                <w:sz w:val="24"/>
                <w:u w:val="none"/>
                <w:lang w:val="en-US" w:eastAsia="zh-CN"/>
              </w:rPr>
              <w:t>2.15/100+1000*2.57/100=63583.575 t/a。</w:t>
            </w:r>
          </w:p>
          <w:p w14:paraId="1CED807C">
            <w:pPr>
              <w:ind w:firstLine="0" w:firstLineChars="0"/>
              <w:jc w:val="both"/>
              <w:rPr>
                <w:rFonts w:hint="eastAsia" w:cs="Times New Roman"/>
                <w:color w:val="auto"/>
                <w:sz w:val="24"/>
                <w:u w:val="single" w:color="auto"/>
                <w:lang w:val="en-US" w:eastAsia="zh-CN"/>
              </w:rPr>
            </w:pPr>
            <w:r>
              <w:rPr>
                <w:rFonts w:hint="eastAsia" w:cs="Times New Roman"/>
                <w:color w:val="auto"/>
                <w:sz w:val="24"/>
                <w:u w:val="single" w:color="auto"/>
                <w:lang w:val="en-US" w:eastAsia="zh-CN"/>
              </w:rPr>
              <w:object>
                <v:shape id="_x0000_i1025" o:spt="75" type="#_x0000_t75" style="height:285.8pt;width:423.45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14:paraId="78885800">
            <w:pPr>
              <w:ind w:firstLine="0" w:firstLineChars="0"/>
              <w:jc w:val="center"/>
              <w:rPr>
                <w:rFonts w:hint="default" w:cs="Times New Roman"/>
                <w:color w:val="auto"/>
                <w:sz w:val="24"/>
                <w:u w:val="single" w:color="auto"/>
                <w:lang w:val="en-US" w:eastAsia="zh-CN"/>
              </w:rPr>
            </w:pPr>
            <w:r>
              <w:rPr>
                <w:rFonts w:hint="eastAsia" w:cs="Times New Roman"/>
                <w:color w:val="auto"/>
                <w:sz w:val="24"/>
                <w:u w:val="single" w:color="auto"/>
                <w:lang w:val="en-US" w:eastAsia="zh-CN"/>
              </w:rPr>
              <w:t>图2.2-1 本项目水平衡图（t/a）</w:t>
            </w:r>
          </w:p>
          <w:p w14:paraId="0C6FC7E1">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2.2.</w:t>
            </w:r>
            <w:r>
              <w:rPr>
                <w:rFonts w:hint="eastAsia" w:cs="Times New Roman"/>
                <w:b/>
                <w:bCs/>
                <w:color w:val="auto"/>
                <w:u w:val="none" w:color="auto"/>
                <w:lang w:val="en-US" w:eastAsia="zh-CN"/>
              </w:rPr>
              <w:t>7</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项目平面布局</w:t>
            </w:r>
          </w:p>
          <w:p w14:paraId="32281F82">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本项目技改前后，仅污水处理站位置发生变化，其余各建筑位置不变，厂房拆除后在原址上重建。污水处理站位置由技改前的厂界东南侧，调整至厂界西南侧</w:t>
            </w:r>
          </w:p>
          <w:p w14:paraId="33779681">
            <w:pPr>
              <w:keepNext w:val="0"/>
              <w:keepLines w:val="0"/>
              <w:widowControl/>
              <w:suppressLineNumbers w:val="0"/>
              <w:jc w:val="left"/>
              <w:rPr>
                <w:color w:val="auto"/>
              </w:rPr>
            </w:pPr>
            <w:r>
              <w:rPr>
                <w:rFonts w:hint="eastAsia" w:ascii="宋体" w:hAnsi="宋体" w:cs="宋体"/>
                <w:color w:val="auto"/>
                <w:kern w:val="0"/>
                <w:sz w:val="24"/>
                <w:szCs w:val="24"/>
                <w:lang w:val="en-US" w:eastAsia="zh-CN" w:bidi="ar"/>
              </w:rPr>
              <w:t>本次技改后，</w:t>
            </w:r>
            <w:r>
              <w:rPr>
                <w:rFonts w:hint="eastAsia" w:ascii="宋体" w:hAnsi="宋体" w:eastAsia="宋体" w:cs="宋体"/>
                <w:color w:val="auto"/>
                <w:kern w:val="0"/>
                <w:sz w:val="24"/>
                <w:szCs w:val="24"/>
                <w:lang w:val="en-US" w:eastAsia="zh-CN" w:bidi="ar"/>
              </w:rPr>
              <w:t>企业生产车间位于厂区中间位置，北侧为</w:t>
            </w:r>
            <w:r>
              <w:rPr>
                <w:rFonts w:hint="eastAsia" w:ascii="宋体" w:hAnsi="宋体" w:cs="宋体"/>
                <w:color w:val="auto"/>
                <w:kern w:val="0"/>
                <w:sz w:val="24"/>
                <w:szCs w:val="24"/>
                <w:lang w:val="en-US" w:eastAsia="zh-CN" w:bidi="ar"/>
              </w:rPr>
              <w:t>办公</w:t>
            </w:r>
            <w:r>
              <w:rPr>
                <w:rFonts w:hint="eastAsia" w:ascii="宋体" w:hAnsi="宋体" w:eastAsia="宋体" w:cs="宋体"/>
                <w:color w:val="auto"/>
                <w:kern w:val="0"/>
                <w:sz w:val="24"/>
                <w:szCs w:val="24"/>
                <w:lang w:val="en-US" w:eastAsia="zh-CN" w:bidi="ar"/>
              </w:rPr>
              <w:t>楼，南侧为</w:t>
            </w:r>
            <w:r>
              <w:rPr>
                <w:rFonts w:hint="eastAsia" w:ascii="宋体" w:hAnsi="宋体" w:cs="宋体"/>
                <w:color w:val="auto"/>
                <w:kern w:val="0"/>
                <w:sz w:val="24"/>
                <w:szCs w:val="24"/>
                <w:lang w:val="en-US" w:eastAsia="zh-CN" w:bidi="ar"/>
              </w:rPr>
              <w:t>露天停车场，西侧为待宰间</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厂区西南侧为污水处理站、一般固废暂存间及危废暂存间。</w:t>
            </w:r>
          </w:p>
          <w:p w14:paraId="14B60078">
            <w:pPr>
              <w:keepNext w:val="0"/>
              <w:keepLines w:val="0"/>
              <w:widowControl/>
              <w:suppressLineNumbers w:val="0"/>
              <w:jc w:val="left"/>
              <w:rPr>
                <w:rFonts w:ascii="Times New Roman" w:hAnsi="Times New Roman" w:cs="Times New Roman"/>
                <w:color w:val="auto"/>
              </w:rPr>
            </w:pPr>
            <w:r>
              <w:rPr>
                <w:rFonts w:hint="eastAsia" w:ascii="宋体" w:hAnsi="宋体" w:eastAsia="宋体" w:cs="宋体"/>
                <w:color w:val="auto"/>
                <w:kern w:val="0"/>
                <w:sz w:val="24"/>
                <w:szCs w:val="24"/>
                <w:lang w:val="en-US" w:eastAsia="zh-CN" w:bidi="ar"/>
              </w:rPr>
              <w:t>项目生产车间为</w:t>
            </w:r>
            <w:r>
              <w:rPr>
                <w:rFonts w:hint="eastAsia" w:ascii="宋体" w:hAnsi="宋体" w:cs="宋体"/>
                <w:color w:val="auto"/>
                <w:kern w:val="0"/>
                <w:sz w:val="24"/>
                <w:szCs w:val="24"/>
                <w:lang w:val="en-US" w:eastAsia="zh-CN" w:bidi="ar"/>
              </w:rPr>
              <w:t>砖混</w:t>
            </w:r>
            <w:r>
              <w:rPr>
                <w:rFonts w:hint="eastAsia" w:ascii="宋体" w:hAnsi="宋体" w:eastAsia="宋体" w:cs="宋体"/>
                <w:color w:val="auto"/>
                <w:kern w:val="0"/>
                <w:sz w:val="24"/>
                <w:szCs w:val="24"/>
                <w:lang w:val="en-US" w:eastAsia="zh-CN" w:bidi="ar"/>
              </w:rPr>
              <w:t>厂房，建筑面积</w:t>
            </w:r>
            <w:r>
              <w:rPr>
                <w:rFonts w:hint="eastAsia" w:cs="Times New Roman"/>
                <w:color w:val="auto"/>
                <w:kern w:val="0"/>
                <w:sz w:val="24"/>
                <w:szCs w:val="24"/>
                <w:lang w:val="en-US" w:eastAsia="zh-CN" w:bidi="ar"/>
              </w:rPr>
              <w:t>1350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，主要用于</w:t>
            </w:r>
            <w:r>
              <w:rPr>
                <w:rFonts w:hint="eastAsia"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条</w:t>
            </w:r>
            <w:r>
              <w:rPr>
                <w:rFonts w:hint="eastAsia" w:ascii="宋体" w:hAnsi="宋体" w:cs="宋体"/>
                <w:color w:val="auto"/>
                <w:kern w:val="0"/>
                <w:sz w:val="24"/>
                <w:szCs w:val="24"/>
                <w:lang w:val="en-US" w:eastAsia="zh-CN" w:bidi="ar"/>
              </w:rPr>
              <w:t>屠宰</w:t>
            </w:r>
            <w:r>
              <w:rPr>
                <w:rFonts w:hint="eastAsia" w:ascii="宋体" w:hAnsi="宋体" w:eastAsia="宋体" w:cs="宋体"/>
                <w:color w:val="auto"/>
                <w:kern w:val="0"/>
                <w:sz w:val="24"/>
                <w:szCs w:val="24"/>
                <w:lang w:val="en-US" w:eastAsia="zh-CN" w:bidi="ar"/>
              </w:rPr>
              <w:t>生产线生产设备布置，包括</w:t>
            </w:r>
            <w:r>
              <w:rPr>
                <w:rFonts w:hint="eastAsia" w:ascii="宋体" w:hAnsi="宋体" w:cs="宋体"/>
                <w:color w:val="auto"/>
                <w:kern w:val="0"/>
                <w:sz w:val="24"/>
                <w:szCs w:val="24"/>
                <w:lang w:val="en-US" w:eastAsia="zh-CN" w:bidi="ar"/>
              </w:rPr>
              <w:t>屠宰</w:t>
            </w:r>
            <w:r>
              <w:rPr>
                <w:rFonts w:hint="eastAsia" w:ascii="宋体" w:hAnsi="宋体" w:eastAsia="宋体" w:cs="宋体"/>
                <w:color w:val="auto"/>
                <w:kern w:val="0"/>
                <w:sz w:val="24"/>
                <w:szCs w:val="24"/>
                <w:lang w:val="en-US" w:eastAsia="zh-CN" w:bidi="ar"/>
              </w:rPr>
              <w:t>间、</w:t>
            </w:r>
            <w:r>
              <w:rPr>
                <w:rFonts w:hint="eastAsia" w:ascii="宋体" w:hAnsi="宋体" w:cs="宋体"/>
                <w:color w:val="auto"/>
                <w:kern w:val="0"/>
                <w:sz w:val="24"/>
                <w:szCs w:val="24"/>
                <w:lang w:val="en-US" w:eastAsia="zh-CN" w:bidi="ar"/>
              </w:rPr>
              <w:t>急宰</w:t>
            </w:r>
            <w:r>
              <w:rPr>
                <w:rFonts w:hint="eastAsia" w:ascii="宋体" w:hAnsi="宋体" w:eastAsia="宋体" w:cs="宋体"/>
                <w:color w:val="auto"/>
                <w:kern w:val="0"/>
                <w:sz w:val="24"/>
                <w:szCs w:val="24"/>
                <w:lang w:val="en-US" w:eastAsia="zh-CN" w:bidi="ar"/>
              </w:rPr>
              <w:t>间、</w:t>
            </w:r>
            <w:r>
              <w:rPr>
                <w:rFonts w:hint="eastAsia" w:ascii="宋体" w:hAnsi="宋体" w:cs="宋体"/>
                <w:color w:val="auto"/>
                <w:kern w:val="0"/>
                <w:sz w:val="24"/>
                <w:szCs w:val="24"/>
                <w:lang w:val="en-US" w:eastAsia="zh-CN" w:bidi="ar"/>
              </w:rPr>
              <w:t>检疫室</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肉品检测室</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实验室</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消毒区</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红脏处理间</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白脏处理间</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更衣</w:t>
            </w:r>
            <w:r>
              <w:rPr>
                <w:rFonts w:hint="eastAsia" w:ascii="宋体" w:hAnsi="宋体" w:eastAsia="宋体" w:cs="宋体"/>
                <w:color w:val="auto"/>
                <w:kern w:val="0"/>
                <w:sz w:val="24"/>
                <w:szCs w:val="24"/>
                <w:lang w:val="en-US" w:eastAsia="zh-CN" w:bidi="ar"/>
              </w:rPr>
              <w:t>区</w:t>
            </w:r>
            <w:r>
              <w:rPr>
                <w:rFonts w:hint="eastAsia" w:ascii="宋体" w:hAnsi="宋体" w:cs="宋体"/>
                <w:color w:val="auto"/>
                <w:kern w:val="0"/>
                <w:sz w:val="24"/>
                <w:szCs w:val="24"/>
                <w:lang w:val="en-US" w:eastAsia="zh-CN" w:bidi="ar"/>
              </w:rPr>
              <w:t>、锅炉房</w:t>
            </w:r>
            <w:r>
              <w:rPr>
                <w:rFonts w:hint="eastAsia" w:ascii="宋体" w:hAnsi="宋体" w:eastAsia="宋体" w:cs="宋体"/>
                <w:color w:val="auto"/>
                <w:kern w:val="0"/>
                <w:sz w:val="24"/>
                <w:szCs w:val="24"/>
                <w:lang w:val="en-US" w:eastAsia="zh-CN" w:bidi="ar"/>
              </w:rPr>
              <w:t>等。紧邻生产车间</w:t>
            </w:r>
            <w:r>
              <w:rPr>
                <w:rFonts w:hint="eastAsia" w:ascii="宋体" w:hAnsi="宋体" w:cs="宋体"/>
                <w:color w:val="auto"/>
                <w:kern w:val="0"/>
                <w:sz w:val="24"/>
                <w:szCs w:val="24"/>
                <w:lang w:val="en-US" w:eastAsia="zh-CN" w:bidi="ar"/>
              </w:rPr>
              <w:t>北</w:t>
            </w:r>
            <w:r>
              <w:rPr>
                <w:rFonts w:hint="eastAsia" w:ascii="宋体" w:hAnsi="宋体" w:eastAsia="宋体" w:cs="宋体"/>
                <w:color w:val="auto"/>
                <w:kern w:val="0"/>
                <w:sz w:val="24"/>
                <w:szCs w:val="24"/>
                <w:lang w:val="en-US" w:eastAsia="zh-CN" w:bidi="ar"/>
              </w:rPr>
              <w:t>侧为</w:t>
            </w:r>
            <w:r>
              <w:rPr>
                <w:rFonts w:hint="eastAsia" w:ascii="宋体" w:hAnsi="宋体" w:cs="宋体"/>
                <w:color w:val="auto"/>
                <w:kern w:val="0"/>
                <w:sz w:val="24"/>
                <w:szCs w:val="24"/>
                <w:lang w:val="en-US" w:eastAsia="zh-CN" w:bidi="ar"/>
              </w:rPr>
              <w:t>办公楼</w:t>
            </w:r>
            <w:r>
              <w:rPr>
                <w:rFonts w:hint="eastAsia" w:ascii="宋体" w:hAnsi="宋体" w:eastAsia="宋体" w:cs="宋体"/>
                <w:color w:val="auto"/>
                <w:kern w:val="0"/>
                <w:sz w:val="24"/>
                <w:szCs w:val="24"/>
                <w:lang w:val="en-US" w:eastAsia="zh-CN" w:bidi="ar"/>
              </w:rPr>
              <w:t>，为</w:t>
            </w:r>
            <w:r>
              <w:rPr>
                <w:rFonts w:hint="eastAsia"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层砖混结构建筑，</w:t>
            </w:r>
            <w:r>
              <w:rPr>
                <w:rFonts w:hint="eastAsia" w:ascii="宋体" w:hAnsi="宋体" w:cs="宋体"/>
                <w:color w:val="auto"/>
                <w:kern w:val="0"/>
                <w:sz w:val="24"/>
                <w:szCs w:val="24"/>
                <w:lang w:val="en-US" w:eastAsia="zh-CN" w:bidi="ar"/>
              </w:rPr>
              <w:t>占地</w:t>
            </w:r>
            <w:r>
              <w:rPr>
                <w:rFonts w:hint="eastAsia" w:ascii="宋体" w:hAnsi="宋体" w:eastAsia="宋体" w:cs="宋体"/>
                <w:color w:val="auto"/>
                <w:kern w:val="0"/>
                <w:sz w:val="24"/>
                <w:szCs w:val="24"/>
                <w:lang w:val="en-US" w:eastAsia="zh-CN" w:bidi="ar"/>
              </w:rPr>
              <w:t>面积</w:t>
            </w:r>
            <w:r>
              <w:rPr>
                <w:rFonts w:hint="eastAsia" w:cs="Times New Roman"/>
                <w:color w:val="auto"/>
                <w:kern w:val="0"/>
                <w:sz w:val="24"/>
                <w:szCs w:val="24"/>
                <w:lang w:val="en-US" w:eastAsia="zh-CN" w:bidi="ar"/>
              </w:rPr>
              <w:t>60</w:t>
            </w:r>
            <w:r>
              <w:rPr>
                <w:rFonts w:hint="default" w:ascii="Times New Roman" w:hAnsi="Times New Roman" w:eastAsia="宋体"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cs="宋体"/>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楼</w:t>
            </w:r>
            <w:r>
              <w:rPr>
                <w:rFonts w:hint="default" w:ascii="Times New Roman" w:hAnsi="Times New Roman" w:cs="Times New Roman"/>
                <w:color w:val="auto"/>
                <w:kern w:val="0"/>
                <w:sz w:val="24"/>
                <w:szCs w:val="24"/>
                <w:lang w:val="en-US" w:eastAsia="zh-CN" w:bidi="ar"/>
              </w:rPr>
              <w:t>为待宰间、2楼为冷库、3楼及4楼为办公区</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主要产噪车间为生产车间，生产车间位于厂区中部，已最大限度减少噪声对外界的影响，同时企业通过在加高厂界围墙，进一步削减噪声，根据后文分析，本项目噪声可达标排放。</w:t>
            </w:r>
          </w:p>
          <w:p w14:paraId="69641C30">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厂区围墙内沿线布设</w:t>
            </w:r>
            <w:r>
              <w:rPr>
                <w:rFonts w:hint="default" w:ascii="Times New Roman" w:hAnsi="Times New Roman" w:cs="Times New Roman"/>
                <w:color w:val="auto"/>
                <w:kern w:val="0"/>
                <w:sz w:val="24"/>
                <w:szCs w:val="24"/>
                <w:lang w:val="en-US" w:eastAsia="zh-CN" w:bidi="ar"/>
              </w:rPr>
              <w:t>雨水</w:t>
            </w:r>
            <w:r>
              <w:rPr>
                <w:rFonts w:hint="default" w:ascii="Times New Roman" w:hAnsi="Times New Roman" w:eastAsia="宋体" w:cs="Times New Roman"/>
                <w:color w:val="auto"/>
                <w:kern w:val="0"/>
                <w:sz w:val="24"/>
                <w:szCs w:val="24"/>
                <w:lang w:val="en-US" w:eastAsia="zh-CN" w:bidi="ar"/>
              </w:rPr>
              <w:t>集水井</w:t>
            </w:r>
            <w:r>
              <w:rPr>
                <w:rFonts w:hint="default" w:ascii="Times New Roman" w:hAnsi="Times New Roman" w:cs="Times New Roman"/>
                <w:color w:val="auto"/>
                <w:kern w:val="0"/>
                <w:sz w:val="24"/>
                <w:szCs w:val="24"/>
                <w:lang w:val="en-US" w:eastAsia="zh-CN" w:bidi="ar"/>
              </w:rPr>
              <w:t>，最后汇集至厂区东北侧雨水</w:t>
            </w:r>
            <w:r>
              <w:rPr>
                <w:rFonts w:hint="eastAsia" w:ascii="宋体" w:hAnsi="宋体" w:cs="宋体"/>
                <w:color w:val="auto"/>
                <w:kern w:val="0"/>
                <w:sz w:val="24"/>
                <w:szCs w:val="24"/>
                <w:lang w:val="en-US" w:eastAsia="zh-CN" w:bidi="ar"/>
              </w:rPr>
              <w:t>外排口进入市政雨水管网。厂区污水通过污水管网收集进入</w:t>
            </w:r>
            <w:r>
              <w:rPr>
                <w:rFonts w:hint="eastAsia" w:ascii="宋体" w:hAnsi="宋体" w:eastAsia="宋体" w:cs="宋体"/>
                <w:color w:val="auto"/>
                <w:kern w:val="0"/>
                <w:sz w:val="24"/>
                <w:szCs w:val="24"/>
                <w:lang w:val="en-US" w:eastAsia="zh-CN" w:bidi="ar"/>
              </w:rPr>
              <w:t>厂区西</w:t>
            </w:r>
            <w:r>
              <w:rPr>
                <w:rFonts w:hint="eastAsia" w:ascii="宋体" w:hAnsi="宋体" w:cs="宋体"/>
                <w:color w:val="auto"/>
                <w:kern w:val="0"/>
                <w:sz w:val="24"/>
                <w:szCs w:val="24"/>
                <w:lang w:val="en-US" w:eastAsia="zh-CN" w:bidi="ar"/>
              </w:rPr>
              <w:t>南</w:t>
            </w:r>
            <w:r>
              <w:rPr>
                <w:rFonts w:hint="eastAsia" w:ascii="宋体" w:hAnsi="宋体" w:eastAsia="宋体" w:cs="宋体"/>
                <w:color w:val="auto"/>
                <w:kern w:val="0"/>
                <w:sz w:val="24"/>
                <w:szCs w:val="24"/>
                <w:lang w:val="en-US" w:eastAsia="zh-CN" w:bidi="ar"/>
              </w:rPr>
              <w:t>侧</w:t>
            </w:r>
            <w:r>
              <w:rPr>
                <w:rFonts w:hint="eastAsia" w:ascii="宋体" w:hAnsi="宋体" w:cs="宋体"/>
                <w:color w:val="auto"/>
                <w:kern w:val="0"/>
                <w:sz w:val="24"/>
                <w:szCs w:val="24"/>
                <w:lang w:val="en-US" w:eastAsia="zh-CN" w:bidi="ar"/>
              </w:rPr>
              <w:t>的</w:t>
            </w:r>
            <w:r>
              <w:rPr>
                <w:rFonts w:hint="eastAsia" w:ascii="宋体" w:hAnsi="宋体" w:eastAsia="宋体" w:cs="宋体"/>
                <w:color w:val="auto"/>
                <w:kern w:val="0"/>
                <w:sz w:val="24"/>
                <w:szCs w:val="24"/>
                <w:lang w:val="en-US" w:eastAsia="zh-CN" w:bidi="ar"/>
              </w:rPr>
              <w:t>污水处理站</w:t>
            </w:r>
            <w:r>
              <w:rPr>
                <w:rFonts w:hint="eastAsia" w:ascii="宋体" w:hAnsi="宋体" w:cs="宋体"/>
                <w:color w:val="auto"/>
                <w:kern w:val="0"/>
                <w:sz w:val="24"/>
                <w:szCs w:val="24"/>
                <w:lang w:val="en-US" w:eastAsia="zh-CN" w:bidi="ar"/>
              </w:rPr>
              <w:t>处理后外排</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雨水管网与污水管网设置三通阀，可确保初期雨水经污水处理站处理后间接排放。</w:t>
            </w:r>
          </w:p>
          <w:p w14:paraId="672C32C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总体来看，</w:t>
            </w:r>
            <w:r>
              <w:rPr>
                <w:rFonts w:hint="eastAsia" w:ascii="宋体" w:hAnsi="宋体" w:cs="宋体"/>
                <w:color w:val="auto"/>
                <w:kern w:val="0"/>
                <w:sz w:val="24"/>
                <w:szCs w:val="24"/>
                <w:lang w:val="en-US" w:eastAsia="zh-CN" w:bidi="ar"/>
              </w:rPr>
              <w:t>企业厂区</w:t>
            </w:r>
            <w:r>
              <w:rPr>
                <w:rFonts w:hint="eastAsia" w:ascii="宋体" w:hAnsi="宋体" w:eastAsia="宋体" w:cs="宋体"/>
                <w:color w:val="auto"/>
                <w:kern w:val="0"/>
                <w:sz w:val="24"/>
                <w:szCs w:val="24"/>
                <w:lang w:val="en-US" w:eastAsia="zh-CN" w:bidi="ar"/>
              </w:rPr>
              <w:t>功能分工明确，物料流通便捷，按照生产线布置，可在生产车间有序进行</w:t>
            </w:r>
            <w:r>
              <w:rPr>
                <w:rFonts w:hint="eastAsia" w:ascii="宋体" w:hAnsi="宋体" w:cs="宋体"/>
                <w:color w:val="auto"/>
                <w:kern w:val="0"/>
                <w:sz w:val="24"/>
                <w:szCs w:val="24"/>
                <w:lang w:val="en-US" w:eastAsia="zh-CN" w:bidi="ar"/>
              </w:rPr>
              <w:t>屠宰作业</w:t>
            </w:r>
            <w:r>
              <w:rPr>
                <w:rFonts w:hint="eastAsia" w:ascii="宋体" w:hAnsi="宋体" w:eastAsia="宋体" w:cs="宋体"/>
                <w:color w:val="auto"/>
                <w:kern w:val="0"/>
                <w:sz w:val="24"/>
                <w:szCs w:val="24"/>
                <w:lang w:val="en-US" w:eastAsia="zh-CN" w:bidi="ar"/>
              </w:rPr>
              <w:t>，项目整体布局合理。</w:t>
            </w:r>
          </w:p>
          <w:p w14:paraId="2BF48FB2">
            <w:pPr>
              <w:keepNext w:val="0"/>
              <w:keepLines w:val="0"/>
              <w:widowControl/>
              <w:suppressLineNumbers w:val="0"/>
              <w:jc w:val="left"/>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none" w:color="auto"/>
                <w:lang w:val="en-US" w:eastAsia="zh-CN"/>
              </w:rPr>
              <w:t>厂区平面布置详见附图</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w:t>
            </w:r>
          </w:p>
        </w:tc>
      </w:tr>
      <w:tr w14:paraId="280C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603" w:type="dxa"/>
            <w:vAlign w:val="center"/>
          </w:tcPr>
          <w:p w14:paraId="6BFE5D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工艺流程和产排污环节</w:t>
            </w:r>
          </w:p>
        </w:tc>
        <w:tc>
          <w:tcPr>
            <w:tcW w:w="8685" w:type="dxa"/>
            <w:vAlign w:val="center"/>
          </w:tcPr>
          <w:p w14:paraId="1883B630">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2.3 </w:t>
            </w:r>
            <w:r>
              <w:rPr>
                <w:rFonts w:hint="default" w:ascii="Times New Roman" w:hAnsi="Times New Roman" w:eastAsia="黑体" w:cs="Times New Roman"/>
                <w:b/>
                <w:bCs/>
                <w:color w:val="auto"/>
                <w:u w:val="none" w:color="auto"/>
                <w:lang w:val="en-US" w:eastAsia="zh-CN"/>
              </w:rPr>
              <w:t>工艺流程简述</w:t>
            </w:r>
            <w:r>
              <w:rPr>
                <w:rFonts w:hint="eastAsia" w:eastAsia="黑体" w:cs="Times New Roman"/>
                <w:b/>
                <w:bCs/>
                <w:color w:val="auto"/>
                <w:u w:val="none" w:color="auto"/>
                <w:lang w:val="en-US" w:eastAsia="zh-CN"/>
              </w:rPr>
              <w:t>及项目物料平衡</w:t>
            </w:r>
          </w:p>
          <w:p w14:paraId="388B5C2C">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2.3.1 </w:t>
            </w:r>
            <w:r>
              <w:rPr>
                <w:rFonts w:hint="default" w:ascii="Times New Roman" w:hAnsi="Times New Roman" w:eastAsia="黑体" w:cs="Times New Roman"/>
                <w:b/>
                <w:bCs/>
                <w:color w:val="auto"/>
                <w:u w:val="none" w:color="auto"/>
                <w:lang w:val="en-US" w:eastAsia="zh-CN"/>
              </w:rPr>
              <w:t>施工期工艺流程及产污位置</w:t>
            </w:r>
          </w:p>
          <w:p w14:paraId="7141380B">
            <w:pPr>
              <w:spacing w:before="173" w:line="1664" w:lineRule="exact"/>
              <w:ind w:firstLine="347"/>
              <w:textAlignment w:val="center"/>
              <w:rPr>
                <w:rFonts w:hint="default" w:ascii="Times New Roman" w:hAnsi="Times New Roman" w:eastAsia="宋体" w:cs="Times New Roman"/>
                <w:color w:val="auto"/>
              </w:rPr>
            </w:pPr>
            <w:bookmarkStart w:id="65" w:name="_Toc1649"/>
            <w:bookmarkStart w:id="66" w:name="_Toc8863"/>
            <w:bookmarkStart w:id="67" w:name="_Toc6502"/>
            <w:bookmarkStart w:id="68" w:name="_Toc23467"/>
            <w:bookmarkStart w:id="69" w:name="_Toc26354"/>
            <w:bookmarkStart w:id="70" w:name="_Toc1584"/>
            <w:bookmarkStart w:id="71" w:name="_Toc15138"/>
            <w:bookmarkStart w:id="72" w:name="_Toc21620"/>
            <w:bookmarkStart w:id="73" w:name="_Toc9030"/>
            <w:bookmarkStart w:id="74" w:name="_Toc18417"/>
            <w:bookmarkStart w:id="75" w:name="_Toc18655"/>
            <w:bookmarkStart w:id="76" w:name="_Toc23088"/>
            <w:bookmarkStart w:id="77" w:name="_Toc24462"/>
            <w:bookmarkStart w:id="78" w:name="_Toc30707"/>
            <w:bookmarkStart w:id="79" w:name="_Toc18549"/>
            <w:r>
              <w:rPr>
                <w:rFonts w:hint="default" w:ascii="Times New Roman" w:hAnsi="Times New Roman" w:eastAsia="宋体" w:cs="Times New Roman"/>
                <w:color w:val="auto"/>
              </w:rPr>
              <w:drawing>
                <wp:inline distT="0" distB="0" distL="114300" distR="114300">
                  <wp:extent cx="4728845" cy="1030605"/>
                  <wp:effectExtent l="0" t="0" r="8255" b="10795"/>
                  <wp:docPr id="8" name="图片 15"/>
                  <wp:cNvGraphicFramePr/>
                  <a:graphic xmlns:a="http://schemas.openxmlformats.org/drawingml/2006/main">
                    <a:graphicData uri="http://schemas.openxmlformats.org/drawingml/2006/picture">
                      <pic:pic xmlns:pic="http://schemas.openxmlformats.org/drawingml/2006/picture">
                        <pic:nvPicPr>
                          <pic:cNvPr id="8" name="图片 15"/>
                          <pic:cNvPicPr/>
                        </pic:nvPicPr>
                        <pic:blipFill>
                          <a:blip r:embed="rId18"/>
                          <a:stretch>
                            <a:fillRect/>
                          </a:stretch>
                        </pic:blipFill>
                        <pic:spPr>
                          <a:xfrm>
                            <a:off x="0" y="0"/>
                            <a:ext cx="4728845" cy="1030605"/>
                          </a:xfrm>
                          <a:prstGeom prst="rect">
                            <a:avLst/>
                          </a:prstGeom>
                          <a:noFill/>
                          <a:ln>
                            <a:noFill/>
                          </a:ln>
                        </pic:spPr>
                      </pic:pic>
                    </a:graphicData>
                  </a:graphic>
                </wp:inline>
              </w:drawing>
            </w:r>
          </w:p>
          <w:p w14:paraId="56C62ADD">
            <w:pPr>
              <w:spacing w:before="233" w:line="231" w:lineRule="auto"/>
              <w:ind w:left="531"/>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pacing w:val="15"/>
                <w:sz w:val="20"/>
                <w:szCs w:val="20"/>
              </w:rPr>
              <w:t>(</w:t>
            </w:r>
            <w:r>
              <w:rPr>
                <w:rFonts w:hint="default" w:ascii="Times New Roman" w:hAnsi="Times New Roman" w:eastAsia="宋体" w:cs="Times New Roman"/>
                <w:color w:val="auto"/>
                <w:sz w:val="20"/>
                <w:szCs w:val="20"/>
              </w:rPr>
              <w:t>G</w:t>
            </w:r>
            <w:r>
              <w:rPr>
                <w:rFonts w:hint="default" w:ascii="Times New Roman" w:hAnsi="Times New Roman" w:eastAsia="宋体" w:cs="Times New Roman"/>
                <w:color w:val="auto"/>
                <w:spacing w:val="12"/>
                <w:sz w:val="20"/>
                <w:szCs w:val="20"/>
              </w:rPr>
              <w:t>：废气、</w:t>
            </w:r>
            <w:r>
              <w:rPr>
                <w:rFonts w:hint="default" w:ascii="Times New Roman" w:hAnsi="Times New Roman" w:eastAsia="宋体" w:cs="Times New Roman"/>
                <w:color w:val="auto"/>
                <w:sz w:val="20"/>
                <w:szCs w:val="20"/>
              </w:rPr>
              <w:t>W</w:t>
            </w:r>
            <w:r>
              <w:rPr>
                <w:rFonts w:hint="default" w:ascii="Times New Roman" w:hAnsi="Times New Roman" w:eastAsia="宋体" w:cs="Times New Roman"/>
                <w:color w:val="auto"/>
                <w:spacing w:val="12"/>
                <w:sz w:val="20"/>
                <w:szCs w:val="20"/>
              </w:rPr>
              <w:t>：废水、</w:t>
            </w:r>
            <w:r>
              <w:rPr>
                <w:rFonts w:hint="default" w:ascii="Times New Roman" w:hAnsi="Times New Roman" w:eastAsia="宋体" w:cs="Times New Roman"/>
                <w:color w:val="auto"/>
                <w:sz w:val="20"/>
                <w:szCs w:val="20"/>
              </w:rPr>
              <w:t>N</w:t>
            </w:r>
            <w:r>
              <w:rPr>
                <w:rFonts w:hint="default" w:ascii="Times New Roman" w:hAnsi="Times New Roman" w:eastAsia="宋体" w:cs="Times New Roman"/>
                <w:color w:val="auto"/>
                <w:spacing w:val="12"/>
                <w:sz w:val="20"/>
                <w:szCs w:val="20"/>
              </w:rPr>
              <w:t>：噪声、</w:t>
            </w:r>
            <w:r>
              <w:rPr>
                <w:rFonts w:hint="default" w:ascii="Times New Roman" w:hAnsi="Times New Roman" w:eastAsia="宋体" w:cs="Times New Roman"/>
                <w:color w:val="auto"/>
                <w:sz w:val="20"/>
                <w:szCs w:val="20"/>
              </w:rPr>
              <w:t>S</w:t>
            </w:r>
            <w:r>
              <w:rPr>
                <w:rFonts w:hint="default" w:ascii="Times New Roman" w:hAnsi="Times New Roman" w:eastAsia="宋体" w:cs="Times New Roman"/>
                <w:color w:val="auto"/>
                <w:spacing w:val="12"/>
                <w:sz w:val="20"/>
                <w:szCs w:val="20"/>
              </w:rPr>
              <w:t>：固废)</w:t>
            </w:r>
          </w:p>
          <w:p w14:paraId="6ABDA0C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spacing w:val="0"/>
                <w:sz w:val="24"/>
                <w:szCs w:val="21"/>
                <w:u w:val="none"/>
              </w:rPr>
            </w:pPr>
            <w:r>
              <w:rPr>
                <w:rFonts w:hint="default" w:ascii="Times New Roman" w:hAnsi="Times New Roman" w:eastAsia="宋体" w:cs="Times New Roman"/>
                <w:b w:val="0"/>
                <w:bCs w:val="0"/>
                <w:color w:val="auto"/>
                <w:spacing w:val="0"/>
                <w:sz w:val="24"/>
                <w:szCs w:val="21"/>
                <w:u w:val="none"/>
              </w:rPr>
              <w:t>图2</w:t>
            </w:r>
            <w:r>
              <w:rPr>
                <w:rFonts w:hint="default" w:ascii="Times New Roman" w:hAnsi="Times New Roman" w:eastAsia="宋体" w:cs="Times New Roman"/>
                <w:b w:val="0"/>
                <w:bCs w:val="0"/>
                <w:color w:val="auto"/>
                <w:spacing w:val="0"/>
                <w:sz w:val="24"/>
                <w:szCs w:val="21"/>
                <w:u w:val="none"/>
                <w:lang w:val="en-US" w:eastAsia="zh-CN"/>
              </w:rPr>
              <w:t xml:space="preserve">.3-1 </w:t>
            </w:r>
            <w:r>
              <w:rPr>
                <w:rFonts w:hint="default" w:ascii="Times New Roman" w:hAnsi="Times New Roman" w:eastAsia="宋体" w:cs="Times New Roman"/>
                <w:b w:val="0"/>
                <w:bCs w:val="0"/>
                <w:color w:val="auto"/>
                <w:spacing w:val="0"/>
                <w:sz w:val="24"/>
                <w:szCs w:val="21"/>
                <w:u w:val="none"/>
              </w:rPr>
              <w:t>施工期工艺流程及产污节点图</w:t>
            </w:r>
          </w:p>
          <w:p w14:paraId="5C8FEB89">
            <w:pPr>
              <w:keepNext w:val="0"/>
              <w:keepLines w:val="0"/>
              <w:pageBreakBefore w:val="0"/>
              <w:widowControl w:val="0"/>
              <w:kinsoku/>
              <w:wordWrap/>
              <w:overflowPunct/>
              <w:topLinePunct w:val="0"/>
              <w:autoSpaceDE/>
              <w:autoSpaceDN/>
              <w:bidi w:val="0"/>
              <w:adjustRightInd/>
              <w:snapToGrid/>
              <w:spacing w:line="360" w:lineRule="auto"/>
              <w:ind w:left="0" w:right="0" w:firstLine="518" w:firstLineChars="200"/>
              <w:textAlignment w:val="auto"/>
              <w:rPr>
                <w:rFonts w:hint="default" w:ascii="Times New Roman" w:hAnsi="Times New Roman" w:eastAsia="宋体" w:cs="Times New Roman"/>
                <w:b/>
                <w:bCs/>
                <w:color w:val="auto"/>
                <w:spacing w:val="9"/>
                <w:sz w:val="24"/>
                <w:szCs w:val="24"/>
              </w:rPr>
            </w:pPr>
            <w:r>
              <w:rPr>
                <w:rFonts w:hint="default" w:ascii="Times New Roman" w:hAnsi="Times New Roman" w:eastAsia="宋体" w:cs="Times New Roman"/>
                <w:b/>
                <w:bCs/>
                <w:color w:val="auto"/>
                <w:spacing w:val="9"/>
                <w:sz w:val="24"/>
                <w:szCs w:val="24"/>
              </w:rPr>
              <w:t>工艺流程简述：</w:t>
            </w:r>
          </w:p>
          <w:p w14:paraId="467899EB">
            <w:pPr>
              <w:pStyle w:val="3"/>
              <w:ind w:firstLine="516" w:firstLineChars="200"/>
              <w:jc w:val="left"/>
              <w:outlineLvl w:val="9"/>
              <w:rPr>
                <w:rFonts w:hint="eastAsia"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rPr>
              <w:t>项目施工期将进行场地清理</w:t>
            </w: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拆除现有生产车间、燃煤锅炉及其废气处理设施</w:t>
            </w: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基础施工、结构施工、装修施工、以及工程验收等。土石方阶段以机械施工为主，人力施工为辅，主要使用推土机、挖掘机等；在基础打桩阶段几乎全部是接卸施工，主要使用静压打桩机；在主体结构阶段则机械施工及人力施工各占一半，主要使用电锯、电焊机等；材料运送主要使用提升机，在装修阶段以人力施工为主，机械施工为辅，使用的机械包括电钻、多功能木刨等。本项目施工期主要污染来物有废气、废水、噪声以及固体废弃物。</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eastAsia" w:eastAsia="宋体" w:cs="Times New Roman"/>
                <w:color w:val="auto"/>
                <w:spacing w:val="9"/>
                <w:sz w:val="24"/>
                <w:szCs w:val="24"/>
                <w:lang w:val="en-US" w:eastAsia="zh-CN"/>
              </w:rPr>
              <w:t>污水处理站共设有8个池体，规格均为3*4*15 m（180 m</w:t>
            </w:r>
            <w:r>
              <w:rPr>
                <w:rFonts w:hint="eastAsia" w:eastAsia="宋体" w:cs="Times New Roman"/>
                <w:color w:val="auto"/>
                <w:spacing w:val="9"/>
                <w:sz w:val="24"/>
                <w:szCs w:val="24"/>
                <w:vertAlign w:val="superscript"/>
                <w:lang w:val="en-US" w:eastAsia="zh-CN"/>
              </w:rPr>
              <w:t>3</w:t>
            </w:r>
            <w:r>
              <w:rPr>
                <w:rFonts w:hint="eastAsia" w:eastAsia="宋体" w:cs="Times New Roman"/>
                <w:color w:val="auto"/>
                <w:spacing w:val="9"/>
                <w:sz w:val="24"/>
                <w:szCs w:val="24"/>
                <w:lang w:val="en-US" w:eastAsia="zh-CN"/>
              </w:rPr>
              <w:t>），项目施工期共计挖方180*8=1440 m</w:t>
            </w:r>
            <w:r>
              <w:rPr>
                <w:rFonts w:hint="eastAsia" w:eastAsia="宋体" w:cs="Times New Roman"/>
                <w:color w:val="auto"/>
                <w:spacing w:val="9"/>
                <w:sz w:val="24"/>
                <w:szCs w:val="24"/>
                <w:vertAlign w:val="superscript"/>
                <w:lang w:val="en-US" w:eastAsia="zh-CN"/>
              </w:rPr>
              <w:t>3</w:t>
            </w:r>
            <w:r>
              <w:rPr>
                <w:rFonts w:hint="eastAsia" w:eastAsia="宋体" w:cs="Times New Roman"/>
                <w:color w:val="auto"/>
                <w:spacing w:val="9"/>
                <w:sz w:val="24"/>
                <w:szCs w:val="24"/>
                <w:lang w:val="en-US" w:eastAsia="zh-CN"/>
              </w:rPr>
              <w:t>，该部分土石方全部用于生产车间地基及临河低洼处的填高。加高厂界围墙，以减少噪声对外界的影响。</w:t>
            </w:r>
          </w:p>
          <w:p w14:paraId="5E1AFE25">
            <w:pPr>
              <w:ind w:firstLine="0" w:firstLineChars="0"/>
              <w:jc w:val="center"/>
              <w:rPr>
                <w:rFonts w:hint="default" w:eastAsia="宋体" w:cs="Times New Roman"/>
                <w:color w:val="auto"/>
                <w:spacing w:val="9"/>
                <w:sz w:val="24"/>
                <w:szCs w:val="24"/>
                <w:lang w:val="en-US" w:eastAsia="zh-CN"/>
              </w:rPr>
            </w:pPr>
            <w:r>
              <w:rPr>
                <w:rFonts w:hint="eastAsia" w:cs="Times New Roman"/>
                <w:color w:val="auto"/>
                <w:spacing w:val="9"/>
                <w:sz w:val="24"/>
                <w:szCs w:val="24"/>
                <w:lang w:val="en-US" w:eastAsia="zh-CN"/>
              </w:rPr>
              <w:t>表2.3-1 土石方平衡</w:t>
            </w:r>
          </w:p>
          <w:tbl>
            <w:tblPr>
              <w:tblStyle w:val="23"/>
              <w:tblW w:w="84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4"/>
              <w:gridCol w:w="4235"/>
            </w:tblGrid>
            <w:tr w14:paraId="303C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4" w:type="dxa"/>
                  <w:vAlign w:val="center"/>
                </w:tcPr>
                <w:p w14:paraId="0689EFF7">
                  <w:pPr>
                    <w:spacing w:line="240" w:lineRule="auto"/>
                    <w:ind w:firstLine="0" w:firstLineChars="0"/>
                    <w:jc w:val="center"/>
                    <w:rPr>
                      <w:rFonts w:hint="default" w:eastAsia="宋体" w:cs="Times New Roman"/>
                      <w:color w:val="auto"/>
                      <w:spacing w:val="9"/>
                      <w:sz w:val="24"/>
                      <w:szCs w:val="24"/>
                      <w:u w:val="single"/>
                      <w:vertAlign w:val="baseline"/>
                      <w:lang w:val="en-US" w:eastAsia="zh-CN"/>
                    </w:rPr>
                  </w:pPr>
                  <w:r>
                    <w:rPr>
                      <w:rFonts w:hint="eastAsia" w:cs="Times New Roman"/>
                      <w:color w:val="auto"/>
                      <w:spacing w:val="9"/>
                      <w:sz w:val="24"/>
                      <w:szCs w:val="24"/>
                      <w:u w:val="single"/>
                      <w:vertAlign w:val="baseline"/>
                      <w:lang w:val="en-US" w:eastAsia="zh-CN"/>
                    </w:rPr>
                    <w:t>污水处理站挖方</w:t>
                  </w:r>
                </w:p>
              </w:tc>
              <w:tc>
                <w:tcPr>
                  <w:tcW w:w="4235" w:type="dxa"/>
                  <w:vAlign w:val="center"/>
                </w:tcPr>
                <w:p w14:paraId="5B78FF7F">
                  <w:pPr>
                    <w:spacing w:line="240" w:lineRule="auto"/>
                    <w:ind w:firstLine="0" w:firstLineChars="0"/>
                    <w:jc w:val="center"/>
                    <w:rPr>
                      <w:rFonts w:hint="eastAsia" w:eastAsia="宋体" w:cs="Times New Roman"/>
                      <w:color w:val="auto"/>
                      <w:spacing w:val="9"/>
                      <w:sz w:val="24"/>
                      <w:szCs w:val="24"/>
                      <w:u w:val="single"/>
                      <w:vertAlign w:val="baseline"/>
                      <w:lang w:val="en-US" w:eastAsia="zh-CN"/>
                    </w:rPr>
                  </w:pPr>
                  <w:r>
                    <w:rPr>
                      <w:rFonts w:hint="eastAsia" w:eastAsia="宋体" w:cs="Times New Roman"/>
                      <w:color w:val="auto"/>
                      <w:spacing w:val="9"/>
                      <w:sz w:val="24"/>
                      <w:szCs w:val="24"/>
                      <w:u w:val="single"/>
                      <w:lang w:val="en-US" w:eastAsia="zh-CN"/>
                    </w:rPr>
                    <w:t>生产车间地基及临河低洼处填高</w:t>
                  </w:r>
                </w:p>
              </w:tc>
            </w:tr>
            <w:tr w14:paraId="7C29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4" w:type="dxa"/>
                  <w:vAlign w:val="center"/>
                </w:tcPr>
                <w:p w14:paraId="51847B28">
                  <w:pPr>
                    <w:spacing w:line="240" w:lineRule="auto"/>
                    <w:ind w:firstLine="0" w:firstLineChars="0"/>
                    <w:jc w:val="center"/>
                    <w:rPr>
                      <w:rFonts w:hint="default" w:eastAsia="宋体" w:cs="Times New Roman"/>
                      <w:color w:val="auto"/>
                      <w:spacing w:val="9"/>
                      <w:sz w:val="24"/>
                      <w:szCs w:val="24"/>
                      <w:u w:val="single"/>
                      <w:vertAlign w:val="baseline"/>
                      <w:lang w:val="en-US" w:eastAsia="zh-CN"/>
                    </w:rPr>
                  </w:pPr>
                  <w:r>
                    <w:rPr>
                      <w:rFonts w:hint="eastAsia" w:cs="Times New Roman"/>
                      <w:color w:val="auto"/>
                      <w:spacing w:val="9"/>
                      <w:sz w:val="24"/>
                      <w:szCs w:val="24"/>
                      <w:u w:val="single"/>
                      <w:vertAlign w:val="baseline"/>
                      <w:lang w:val="en-US" w:eastAsia="zh-CN"/>
                    </w:rPr>
                    <w:t>1440 m</w:t>
                  </w:r>
                  <w:r>
                    <w:rPr>
                      <w:rFonts w:hint="eastAsia" w:cs="Times New Roman"/>
                      <w:color w:val="auto"/>
                      <w:spacing w:val="9"/>
                      <w:sz w:val="24"/>
                      <w:szCs w:val="24"/>
                      <w:u w:val="single"/>
                      <w:vertAlign w:val="superscript"/>
                      <w:lang w:val="en-US" w:eastAsia="zh-CN"/>
                    </w:rPr>
                    <w:t>3</w:t>
                  </w:r>
                </w:p>
              </w:tc>
              <w:tc>
                <w:tcPr>
                  <w:tcW w:w="4235" w:type="dxa"/>
                  <w:shd w:val="clear" w:color="auto" w:fill="auto"/>
                  <w:vAlign w:val="center"/>
                </w:tcPr>
                <w:p w14:paraId="10801561">
                  <w:pPr>
                    <w:spacing w:line="240" w:lineRule="auto"/>
                    <w:ind w:firstLine="0" w:firstLineChars="0"/>
                    <w:jc w:val="center"/>
                    <w:rPr>
                      <w:rFonts w:hint="eastAsia" w:eastAsia="宋体" w:cs="Times New Roman"/>
                      <w:color w:val="auto"/>
                      <w:spacing w:val="9"/>
                      <w:sz w:val="24"/>
                      <w:szCs w:val="24"/>
                      <w:u w:val="single"/>
                      <w:vertAlign w:val="baseline"/>
                      <w:lang w:val="en-US" w:eastAsia="zh-CN"/>
                    </w:rPr>
                  </w:pPr>
                  <w:r>
                    <w:rPr>
                      <w:rFonts w:hint="eastAsia" w:cs="Times New Roman"/>
                      <w:color w:val="auto"/>
                      <w:spacing w:val="9"/>
                      <w:sz w:val="24"/>
                      <w:szCs w:val="24"/>
                      <w:u w:val="single"/>
                      <w:vertAlign w:val="baseline"/>
                      <w:lang w:val="en-US" w:eastAsia="zh-CN"/>
                    </w:rPr>
                    <w:t>1440 m</w:t>
                  </w:r>
                  <w:r>
                    <w:rPr>
                      <w:rFonts w:hint="eastAsia" w:cs="Times New Roman"/>
                      <w:color w:val="auto"/>
                      <w:spacing w:val="9"/>
                      <w:sz w:val="24"/>
                      <w:szCs w:val="24"/>
                      <w:u w:val="single"/>
                      <w:vertAlign w:val="superscript"/>
                      <w:lang w:val="en-US" w:eastAsia="zh-CN"/>
                    </w:rPr>
                    <w:t>3</w:t>
                  </w:r>
                </w:p>
              </w:tc>
            </w:tr>
          </w:tbl>
          <w:p w14:paraId="10040D70">
            <w:pPr>
              <w:ind w:firstLine="0" w:firstLineChars="0"/>
              <w:rPr>
                <w:rFonts w:hint="default" w:eastAsia="宋体" w:cs="Times New Roman"/>
                <w:color w:val="auto"/>
                <w:spacing w:val="9"/>
                <w:sz w:val="24"/>
                <w:szCs w:val="24"/>
                <w:lang w:val="en-US" w:eastAsia="zh-CN"/>
              </w:rPr>
            </w:pPr>
          </w:p>
          <w:p w14:paraId="2484D806">
            <w:pPr>
              <w:bidi w:val="0"/>
              <w:ind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2.3.2 </w:t>
            </w:r>
            <w:r>
              <w:rPr>
                <w:rFonts w:hint="default" w:ascii="Times New Roman" w:hAnsi="Times New Roman" w:eastAsia="黑体" w:cs="Times New Roman"/>
                <w:b/>
                <w:bCs/>
                <w:color w:val="auto"/>
                <w:u w:val="none" w:color="auto"/>
                <w:lang w:val="en-US" w:eastAsia="zh-CN"/>
              </w:rPr>
              <w:t>营运期工艺流程及产污位置</w:t>
            </w:r>
          </w:p>
          <w:p w14:paraId="3DCD263D">
            <w:pPr>
              <w:pStyle w:val="9"/>
              <w:rPr>
                <w:rFonts w:hint="eastAsia" w:asciiTheme="minorEastAsia" w:hAnsiTheme="minorEastAsia" w:eastAsiaTheme="minorEastAsia" w:cstheme="minorEastAsia"/>
                <w:b w:val="0"/>
                <w:bCs w:val="0"/>
                <w:color w:val="auto"/>
                <w:lang w:val="en-US" w:eastAsia="zh-CN"/>
              </w:rPr>
            </w:pPr>
            <w:r>
              <w:rPr>
                <w:rFonts w:hint="eastAsia" w:cs="Times New Roman"/>
                <w:color w:val="auto"/>
                <w:u w:val="none" w:color="auto"/>
                <w:lang w:val="en-US" w:eastAsia="zh-CN"/>
              </w:rPr>
              <w:t>1、</w:t>
            </w:r>
            <w:r>
              <w:rPr>
                <w:rFonts w:hint="eastAsia" w:asciiTheme="minorEastAsia" w:hAnsiTheme="minorEastAsia" w:eastAsiaTheme="minorEastAsia" w:cstheme="minorEastAsia"/>
                <w:b w:val="0"/>
                <w:bCs w:val="0"/>
                <w:color w:val="auto"/>
                <w:u w:val="none" w:color="auto"/>
                <w:lang w:val="en-US" w:eastAsia="zh-CN"/>
              </w:rPr>
              <w:t>生猪屠宰工艺流程</w:t>
            </w:r>
          </w:p>
          <w:p w14:paraId="3A0F59D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pPr>
          </w:p>
          <w:p w14:paraId="5B449A7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pPr>
            <w:r>
              <w:object>
                <v:shape id="_x0000_i1026" o:spt="75" type="#_x0000_t75" style="height:362.35pt;width:361.55pt;" o:ole="t" filled="f" o:preferrelative="t" stroked="f" coordsize="21600,21600">
                  <v:path/>
                  <v:fill on="f" focussize="0,0"/>
                  <v:stroke on="f"/>
                  <v:imagedata r:id="rId20" o:title=""/>
                  <o:lock v:ext="edit" aspectratio="t"/>
                  <w10:wrap type="none"/>
                  <w10:anchorlock/>
                </v:shape>
                <o:OLEObject Type="Embed" ProgID="Visio.Drawing.11" ShapeID="_x0000_i1026" DrawAspect="Content" ObjectID="_1468075726" r:id="rId19">
                  <o:LockedField>false</o:LockedField>
                </o:OLEObject>
              </w:object>
            </w:r>
          </w:p>
          <w:p w14:paraId="2E7763A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图</w:t>
            </w:r>
            <w:r>
              <w:rPr>
                <w:rFonts w:hint="eastAsia" w:ascii="Times New Roman" w:hAnsi="Times New Roman" w:eastAsia="宋体" w:cs="Times New Roman"/>
                <w:b w:val="0"/>
                <w:bCs w:val="0"/>
                <w:color w:val="auto"/>
                <w:szCs w:val="21"/>
                <w:u w:val="none"/>
                <w:lang w:val="en-US" w:eastAsia="zh-CN"/>
              </w:rPr>
              <w:t>2.3-</w:t>
            </w:r>
            <w:r>
              <w:rPr>
                <w:rFonts w:hint="eastAsia" w:cs="Times New Roman"/>
                <w:b w:val="0"/>
                <w:bCs w:val="0"/>
                <w:color w:val="auto"/>
                <w:szCs w:val="21"/>
                <w:u w:val="none"/>
                <w:lang w:val="en-US" w:eastAsia="zh-CN"/>
              </w:rPr>
              <w:t>2</w:t>
            </w:r>
            <w:r>
              <w:rPr>
                <w:rFonts w:hint="eastAsia" w:ascii="Times New Roman" w:hAnsi="Times New Roman" w:eastAsia="宋体" w:cs="Times New Roman"/>
                <w:b w:val="0"/>
                <w:bCs w:val="0"/>
                <w:color w:val="auto"/>
                <w:szCs w:val="21"/>
                <w:u w:val="none"/>
                <w:lang w:val="en-US" w:eastAsia="zh-CN"/>
              </w:rPr>
              <w:t xml:space="preserve"> </w:t>
            </w:r>
            <w:r>
              <w:rPr>
                <w:rFonts w:hint="default" w:ascii="Times New Roman" w:hAnsi="Times New Roman" w:eastAsia="宋体" w:cs="Times New Roman"/>
                <w:b w:val="0"/>
                <w:bCs w:val="0"/>
                <w:color w:val="auto"/>
                <w:szCs w:val="21"/>
                <w:u w:val="none"/>
              </w:rPr>
              <w:t>营运期</w:t>
            </w:r>
            <w:r>
              <w:rPr>
                <w:rFonts w:hint="eastAsia" w:ascii="Times New Roman" w:hAnsi="Times New Roman" w:eastAsia="宋体" w:cs="Times New Roman"/>
                <w:b w:val="0"/>
                <w:bCs w:val="0"/>
                <w:color w:val="auto"/>
                <w:szCs w:val="21"/>
                <w:u w:val="none"/>
                <w:lang w:eastAsia="zh-CN"/>
              </w:rPr>
              <w:t>生猪屠宰</w:t>
            </w:r>
            <w:r>
              <w:rPr>
                <w:rFonts w:hint="default" w:ascii="Times New Roman" w:hAnsi="Times New Roman" w:eastAsia="宋体" w:cs="Times New Roman"/>
                <w:b w:val="0"/>
                <w:bCs w:val="0"/>
                <w:color w:val="auto"/>
                <w:szCs w:val="21"/>
                <w:u w:val="none"/>
              </w:rPr>
              <w:t>工艺流程及产污环节图</w:t>
            </w:r>
          </w:p>
          <w:p w14:paraId="4EE0ECBE">
            <w:pPr>
              <w:adjustRightInd w:val="0"/>
              <w:snapToGrid w:val="0"/>
              <w:spacing w:line="360" w:lineRule="auto"/>
              <w:rPr>
                <w:rFonts w:hint="default" w:ascii="Times New Roman" w:hAnsi="Times New Roman" w:eastAsia="宋体" w:cs="Times New Roman"/>
                <w:b w:val="0"/>
                <w:bCs w:val="0"/>
                <w:color w:val="auto"/>
                <w:sz w:val="24"/>
                <w:u w:val="none"/>
              </w:rPr>
            </w:pPr>
            <w:r>
              <w:rPr>
                <w:rFonts w:hint="eastAsia" w:ascii="Times New Roman" w:hAnsi="Times New Roman" w:eastAsia="宋体" w:cs="Times New Roman"/>
                <w:b w:val="0"/>
                <w:bCs w:val="0"/>
                <w:color w:val="auto"/>
                <w:sz w:val="24"/>
                <w:u w:val="none"/>
                <w:lang w:eastAsia="zh-CN"/>
              </w:rPr>
              <w:t>生猪屠宰</w:t>
            </w:r>
            <w:r>
              <w:rPr>
                <w:rFonts w:hint="default" w:ascii="Times New Roman" w:hAnsi="Times New Roman" w:eastAsia="宋体" w:cs="Times New Roman"/>
                <w:b w:val="0"/>
                <w:bCs w:val="0"/>
                <w:color w:val="auto"/>
                <w:sz w:val="24"/>
                <w:u w:val="none"/>
              </w:rPr>
              <w:t>生产工艺流程简述（吊挂提升等不涉及产污节点的生产工序适当简化或合并表述）：</w:t>
            </w:r>
          </w:p>
          <w:p w14:paraId="0573CDB5">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lang w:val="en-US" w:eastAsia="zh-CN"/>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1</w:t>
            </w:r>
            <w:r>
              <w:rPr>
                <w:rFonts w:hint="eastAsia" w:ascii="Times New Roman" w:hAnsi="Times New Roman" w:eastAsia="宋体" w:cs="Times New Roman"/>
                <w:color w:val="auto"/>
                <w:spacing w:val="9"/>
                <w:sz w:val="24"/>
                <w:szCs w:val="24"/>
                <w:lang w:eastAsia="zh-CN"/>
              </w:rPr>
              <w:t>）待宰、饮水</w:t>
            </w:r>
          </w:p>
          <w:p w14:paraId="5A6FAC0E">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lang w:val="en-US" w:eastAsia="zh-CN"/>
              </w:rPr>
              <w:t>购进合格生猪卸猪后，宰前在待宰</w:t>
            </w:r>
            <w:r>
              <w:rPr>
                <w:rFonts w:hint="eastAsia" w:ascii="Times New Roman" w:hAnsi="Times New Roman" w:eastAsia="宋体" w:cs="Times New Roman"/>
                <w:color w:val="auto"/>
                <w:spacing w:val="9"/>
                <w:sz w:val="24"/>
                <w:szCs w:val="24"/>
                <w:lang w:val="en-US" w:eastAsia="zh-CN"/>
              </w:rPr>
              <w:t>间</w:t>
            </w:r>
            <w:r>
              <w:rPr>
                <w:rFonts w:hint="default" w:ascii="Times New Roman" w:hAnsi="Times New Roman" w:eastAsia="宋体" w:cs="Times New Roman"/>
                <w:color w:val="auto"/>
                <w:spacing w:val="9"/>
                <w:sz w:val="24"/>
                <w:szCs w:val="24"/>
                <w:lang w:val="en-US" w:eastAsia="zh-CN"/>
              </w:rPr>
              <w:t>停食静养12-24小时，以便消除运输途中的疲劳，恢复正常的生理状态，排除积蓄在体内的代谢产物，提高肉品质量。宰前3</w:t>
            </w:r>
            <w:r>
              <w:rPr>
                <w:rFonts w:hint="eastAsia" w:ascii="Times New Roman" w:hAnsi="Times New Roman" w:eastAsia="宋体" w:cs="Times New Roman"/>
                <w:color w:val="auto"/>
                <w:spacing w:val="9"/>
                <w:sz w:val="24"/>
                <w:szCs w:val="24"/>
                <w:lang w:val="en-US" w:eastAsia="zh-CN"/>
              </w:rPr>
              <w:t xml:space="preserve"> </w:t>
            </w:r>
            <w:r>
              <w:rPr>
                <w:rFonts w:hint="default" w:ascii="Times New Roman" w:hAnsi="Times New Roman" w:eastAsia="宋体" w:cs="Times New Roman"/>
                <w:color w:val="auto"/>
                <w:spacing w:val="9"/>
                <w:sz w:val="24"/>
                <w:szCs w:val="24"/>
                <w:lang w:val="en-US" w:eastAsia="zh-CN"/>
              </w:rPr>
              <w:t>h充分喂水以利于宰后胴体达到尸僵时能降低pH值，抑制微生物的繁殖，防止胴体被污染。待宰间主要会产生恶臭、猪粪</w:t>
            </w:r>
            <w:r>
              <w:rPr>
                <w:rFonts w:hint="eastAsia" w:ascii="Times New Roman" w:hAnsi="Times New Roman" w:eastAsia="宋体" w:cs="Times New Roman"/>
                <w:color w:val="auto"/>
                <w:spacing w:val="9"/>
                <w:sz w:val="24"/>
                <w:szCs w:val="24"/>
                <w:lang w:val="en-US" w:eastAsia="zh-CN"/>
              </w:rPr>
              <w:t>、猪尿水、</w:t>
            </w:r>
            <w:r>
              <w:rPr>
                <w:rFonts w:hint="default" w:ascii="Times New Roman" w:hAnsi="Times New Roman" w:eastAsia="宋体" w:cs="Times New Roman"/>
                <w:color w:val="auto"/>
                <w:spacing w:val="9"/>
                <w:sz w:val="24"/>
                <w:szCs w:val="24"/>
                <w:lang w:val="en-US" w:eastAsia="zh-CN"/>
              </w:rPr>
              <w:t>猪叫声</w:t>
            </w:r>
            <w:r>
              <w:rPr>
                <w:rFonts w:hint="default" w:ascii="Times New Roman" w:hAnsi="Times New Roman" w:eastAsia="宋体" w:cs="Times New Roman"/>
                <w:color w:val="auto"/>
                <w:spacing w:val="9"/>
                <w:sz w:val="24"/>
                <w:szCs w:val="24"/>
              </w:rPr>
              <w:t>。</w:t>
            </w:r>
          </w:p>
          <w:p w14:paraId="5ED6121E">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2</w:t>
            </w:r>
            <w:r>
              <w:rPr>
                <w:rFonts w:hint="eastAsia" w:ascii="Times New Roman" w:hAnsi="Times New Roman" w:eastAsia="宋体" w:cs="Times New Roman"/>
                <w:color w:val="auto"/>
                <w:spacing w:val="9"/>
                <w:sz w:val="24"/>
                <w:szCs w:val="24"/>
                <w:lang w:eastAsia="zh-CN"/>
              </w:rPr>
              <w:t>）淋浴</w:t>
            </w:r>
          </w:p>
          <w:p w14:paraId="29DD41AA">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rPr>
              <w:t>宰前给猪进行淋浴，洗掉猪体上的污垢和微生物，水温以20</w:t>
            </w:r>
            <w:r>
              <w:rPr>
                <w:rFonts w:hint="eastAsia" w:ascii="Times New Roman" w:hAnsi="Times New Roman" w:eastAsia="宋体" w:cs="Times New Roman"/>
                <w:color w:val="auto"/>
                <w:spacing w:val="9"/>
                <w:sz w:val="24"/>
                <w:szCs w:val="24"/>
                <w:lang w:val="en-US" w:eastAsia="zh-CN"/>
              </w:rPr>
              <w:t xml:space="preserve"> </w:t>
            </w:r>
            <w:r>
              <w:rPr>
                <w:rFonts w:hint="default" w:ascii="Times New Roman" w:hAnsi="Times New Roman" w:eastAsia="宋体" w:cs="Times New Roman"/>
                <w:color w:val="auto"/>
                <w:spacing w:val="9"/>
                <w:sz w:val="24"/>
                <w:szCs w:val="24"/>
              </w:rPr>
              <w:t>℃为宜，这样可以减少污染，保证放血效果。该过程会产生冲淋废水。</w:t>
            </w:r>
          </w:p>
          <w:p w14:paraId="112EC2F3">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3</w:t>
            </w: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电麻、刺</w:t>
            </w:r>
            <w:r>
              <w:rPr>
                <w:rFonts w:hint="eastAsia" w:ascii="Times New Roman" w:hAnsi="Times New Roman" w:eastAsia="宋体" w:cs="Times New Roman"/>
                <w:color w:val="auto"/>
                <w:spacing w:val="9"/>
                <w:sz w:val="24"/>
                <w:szCs w:val="24"/>
                <w:lang w:eastAsia="zh-CN"/>
              </w:rPr>
              <w:t>杀</w:t>
            </w:r>
            <w:r>
              <w:rPr>
                <w:rFonts w:hint="default" w:ascii="Times New Roman" w:hAnsi="Times New Roman" w:eastAsia="宋体" w:cs="Times New Roman"/>
                <w:color w:val="auto"/>
                <w:spacing w:val="9"/>
                <w:sz w:val="24"/>
                <w:szCs w:val="24"/>
              </w:rPr>
              <w:t>、放血计血</w:t>
            </w:r>
          </w:p>
          <w:p w14:paraId="60AD6498">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lang w:eastAsia="zh-CN"/>
              </w:rPr>
            </w:pPr>
            <w:r>
              <w:rPr>
                <w:rFonts w:hint="default" w:ascii="Times New Roman" w:hAnsi="Times New Roman" w:eastAsia="宋体" w:cs="Times New Roman"/>
                <w:color w:val="auto"/>
                <w:spacing w:val="9"/>
                <w:sz w:val="24"/>
                <w:szCs w:val="24"/>
              </w:rPr>
              <w:t>将清洗好的生猪电击至晕，毛猪用扣脚链拴住一后腿，通过放血线的提升装置将毛猪提升进入毛猪放血自动输送线的轨道上再持刀刺杀放血。该过程有猪血产生，作为副产品外售。该过程电麻会产生短暂的猪叫声</w:t>
            </w:r>
            <w:r>
              <w:rPr>
                <w:rFonts w:hint="eastAsia" w:ascii="Times New Roman" w:hAnsi="Times New Roman" w:eastAsia="宋体" w:cs="Times New Roman"/>
                <w:color w:val="auto"/>
                <w:spacing w:val="9"/>
                <w:sz w:val="24"/>
                <w:szCs w:val="24"/>
                <w:lang w:eastAsia="zh-CN"/>
              </w:rPr>
              <w:t>。</w:t>
            </w:r>
          </w:p>
          <w:p w14:paraId="6BCC8369">
            <w:pPr>
              <w:spacing w:line="360" w:lineRule="auto"/>
              <w:ind w:firstLine="482"/>
              <w:rPr>
                <w:sz w:val="24"/>
                <w:szCs w:val="24"/>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4</w:t>
            </w:r>
            <w:r>
              <w:rPr>
                <w:rFonts w:hint="eastAsia" w:ascii="Times New Roman" w:hAnsi="Times New Roman" w:eastAsia="宋体" w:cs="Times New Roman"/>
                <w:color w:val="auto"/>
                <w:spacing w:val="9"/>
                <w:sz w:val="24"/>
                <w:szCs w:val="24"/>
                <w:lang w:eastAsia="zh-CN"/>
              </w:rPr>
              <w:t>）头部检验</w:t>
            </w:r>
          </w:p>
          <w:p w14:paraId="4ECD5045">
            <w:pPr>
              <w:spacing w:line="360" w:lineRule="auto"/>
              <w:ind w:firstLine="482"/>
              <w:rPr>
                <w:sz w:val="24"/>
                <w:szCs w:val="24"/>
              </w:rPr>
            </w:pPr>
            <w:r>
              <w:rPr>
                <w:sz w:val="24"/>
                <w:szCs w:val="24"/>
              </w:rPr>
              <w:t>宰杀过猪体沥血后，进行头部检验，以免患水泡病、口蹄疫、炭疽、结核等疾病的猪进入后续工序。</w:t>
            </w:r>
          </w:p>
          <w:p w14:paraId="050F3529">
            <w:pPr>
              <w:spacing w:line="360" w:lineRule="auto"/>
              <w:ind w:firstLine="482"/>
              <w:rPr>
                <w:rFonts w:hint="eastAsia"/>
                <w:sz w:val="24"/>
                <w:szCs w:val="24"/>
                <w:lang w:eastAsia="zh-CN"/>
              </w:rPr>
            </w:pPr>
            <w:r>
              <w:rPr>
                <w:rFonts w:hint="eastAsia"/>
                <w:sz w:val="24"/>
                <w:szCs w:val="24"/>
                <w:lang w:eastAsia="zh-CN"/>
              </w:rPr>
              <w:t>（</w:t>
            </w:r>
            <w:r>
              <w:rPr>
                <w:sz w:val="24"/>
                <w:szCs w:val="24"/>
              </w:rPr>
              <w:t>5）</w:t>
            </w:r>
            <w:r>
              <w:rPr>
                <w:rFonts w:hint="eastAsia"/>
                <w:sz w:val="24"/>
                <w:szCs w:val="24"/>
              </w:rPr>
              <w:t>热烫、拔鬃（刨毛）</w:t>
            </w:r>
            <w:r>
              <w:rPr>
                <w:rFonts w:hint="eastAsia"/>
                <w:sz w:val="24"/>
                <w:szCs w:val="24"/>
                <w:lang w:eastAsia="zh-CN"/>
              </w:rPr>
              <w:t>、</w:t>
            </w:r>
            <w:r>
              <w:rPr>
                <w:sz w:val="24"/>
                <w:szCs w:val="24"/>
              </w:rPr>
              <w:t>去蹄尾</w:t>
            </w:r>
          </w:p>
          <w:p w14:paraId="3F7CDDA5">
            <w:pPr>
              <w:spacing w:line="360" w:lineRule="auto"/>
              <w:ind w:firstLine="482"/>
              <w:rPr>
                <w:sz w:val="24"/>
                <w:szCs w:val="24"/>
              </w:rPr>
            </w:pPr>
            <w:r>
              <w:rPr>
                <w:rFonts w:hint="eastAsia"/>
                <w:sz w:val="24"/>
                <w:szCs w:val="24"/>
              </w:rPr>
              <w:t>通过头部检验的猪体置入烫池一定温度热水浸烫后，再通过</w:t>
            </w:r>
            <w:r>
              <w:rPr>
                <w:rFonts w:hint="eastAsia"/>
                <w:sz w:val="24"/>
                <w:szCs w:val="24"/>
                <w:lang w:eastAsia="zh-CN"/>
              </w:rPr>
              <w:t>畜类脱毛机</w:t>
            </w:r>
            <w:r>
              <w:rPr>
                <w:rFonts w:hint="eastAsia"/>
                <w:sz w:val="24"/>
                <w:szCs w:val="24"/>
              </w:rPr>
              <w:t>脱毛拔鬃，猪体去蹄尾等。该过程会产生废水</w:t>
            </w:r>
            <w:r>
              <w:rPr>
                <w:sz w:val="24"/>
                <w:szCs w:val="24"/>
              </w:rPr>
              <w:t>。</w:t>
            </w:r>
          </w:p>
          <w:p w14:paraId="75B1F209">
            <w:pPr>
              <w:spacing w:line="360" w:lineRule="auto"/>
              <w:ind w:firstLine="482"/>
              <w:rPr>
                <w:sz w:val="24"/>
                <w:szCs w:val="24"/>
              </w:rPr>
            </w:pPr>
            <w:r>
              <w:rPr>
                <w:rFonts w:hint="eastAsia"/>
                <w:sz w:val="24"/>
                <w:szCs w:val="24"/>
                <w:lang w:eastAsia="zh-CN"/>
              </w:rPr>
              <w:t>（</w:t>
            </w:r>
            <w:r>
              <w:rPr>
                <w:sz w:val="24"/>
                <w:szCs w:val="24"/>
              </w:rPr>
              <w:t>6）剖腹、取内脏</w:t>
            </w:r>
          </w:p>
          <w:p w14:paraId="2A4EF806">
            <w:pPr>
              <w:spacing w:line="360" w:lineRule="auto"/>
              <w:ind w:firstLine="482"/>
              <w:rPr>
                <w:sz w:val="24"/>
                <w:szCs w:val="24"/>
              </w:rPr>
            </w:pPr>
            <w:r>
              <w:rPr>
                <w:sz w:val="24"/>
                <w:szCs w:val="24"/>
              </w:rPr>
              <w:t>脱毛洗净后的猪体，吊挂后要尽快开膛取内脏。摘取的肠、胃、脾等内脏送下货整理间清洗，经检验不合格者投入废弃桶内。</w:t>
            </w:r>
            <w:r>
              <w:rPr>
                <w:rFonts w:hint="eastAsia"/>
                <w:sz w:val="24"/>
                <w:szCs w:val="24"/>
              </w:rPr>
              <w:t>解剖线的主要机械设备切割机将产生噪声。</w:t>
            </w:r>
          </w:p>
          <w:p w14:paraId="147685CD">
            <w:pPr>
              <w:spacing w:line="360" w:lineRule="auto"/>
              <w:ind w:firstLine="482"/>
              <w:rPr>
                <w:rFonts w:hint="eastAsia" w:eastAsia="宋体"/>
                <w:sz w:val="24"/>
                <w:szCs w:val="24"/>
                <w:lang w:eastAsia="zh-CN"/>
              </w:rPr>
            </w:pPr>
            <w:r>
              <w:rPr>
                <w:rFonts w:hint="eastAsia"/>
                <w:sz w:val="24"/>
                <w:szCs w:val="24"/>
                <w:lang w:eastAsia="zh-CN"/>
              </w:rPr>
              <w:t>（</w:t>
            </w:r>
            <w:r>
              <w:rPr>
                <w:sz w:val="24"/>
                <w:szCs w:val="24"/>
              </w:rPr>
              <w:t>7）锯半</w:t>
            </w:r>
            <w:r>
              <w:rPr>
                <w:rFonts w:hint="eastAsia"/>
                <w:sz w:val="24"/>
                <w:szCs w:val="24"/>
                <w:lang w:eastAsia="zh-CN"/>
              </w:rPr>
              <w:t>、去肾脏、板油、冲淋</w:t>
            </w:r>
          </w:p>
          <w:p w14:paraId="0FD4BDC5">
            <w:pPr>
              <w:spacing w:line="360" w:lineRule="auto"/>
              <w:ind w:firstLine="482"/>
              <w:rPr>
                <w:sz w:val="24"/>
                <w:szCs w:val="24"/>
              </w:rPr>
            </w:pPr>
            <w:r>
              <w:rPr>
                <w:rFonts w:hint="eastAsia"/>
                <w:sz w:val="24"/>
                <w:szCs w:val="24"/>
              </w:rPr>
              <w:t>用带式劈半锯沿猪的脊椎把猪平均分成两半，去肾脏、板油等整修将产生副产品，此处合并表述。加工的胴体应用水冲洗干净（将产生冲淋废水），以免增加微生物的污染。解剖线的主要机械设备切割机将产生噪声</w:t>
            </w:r>
            <w:r>
              <w:rPr>
                <w:sz w:val="24"/>
                <w:szCs w:val="24"/>
              </w:rPr>
              <w:t>。</w:t>
            </w:r>
          </w:p>
          <w:p w14:paraId="3047A9E8">
            <w:pPr>
              <w:numPr>
                <w:ilvl w:val="0"/>
                <w:numId w:val="5"/>
              </w:numPr>
              <w:spacing w:line="360" w:lineRule="auto"/>
              <w:ind w:firstLine="482"/>
              <w:rPr>
                <w:sz w:val="24"/>
                <w:szCs w:val="24"/>
              </w:rPr>
            </w:pPr>
            <w:r>
              <w:rPr>
                <w:sz w:val="24"/>
                <w:szCs w:val="24"/>
              </w:rPr>
              <w:t>复检</w:t>
            </w:r>
            <w:r>
              <w:rPr>
                <w:rFonts w:hint="eastAsia"/>
                <w:sz w:val="24"/>
                <w:szCs w:val="24"/>
                <w:lang w:eastAsia="zh-CN"/>
              </w:rPr>
              <w:t>、</w:t>
            </w:r>
            <w:r>
              <w:rPr>
                <w:rFonts w:hint="eastAsia"/>
                <w:sz w:val="24"/>
                <w:szCs w:val="24"/>
                <w:lang w:val="en-US" w:eastAsia="zh-CN"/>
              </w:rPr>
              <w:t>盖章</w:t>
            </w:r>
            <w:r>
              <w:rPr>
                <w:sz w:val="24"/>
                <w:szCs w:val="24"/>
              </w:rPr>
              <w:t>、出售</w:t>
            </w:r>
          </w:p>
          <w:p w14:paraId="43534EC9">
            <w:pPr>
              <w:numPr>
                <w:ilvl w:val="0"/>
                <w:numId w:val="0"/>
              </w:numPr>
              <w:spacing w:line="360" w:lineRule="auto"/>
              <w:ind w:firstLine="480" w:firstLineChars="200"/>
              <w:rPr>
                <w:rFonts w:hint="default" w:ascii="Times New Roman" w:hAnsi="Times New Roman" w:eastAsia="宋体" w:cs="Times New Roman"/>
                <w:color w:val="auto"/>
                <w:spacing w:val="9"/>
                <w:sz w:val="24"/>
                <w:szCs w:val="24"/>
                <w:lang w:val="en-US" w:eastAsia="zh-CN"/>
              </w:rPr>
            </w:pPr>
            <w:r>
              <w:rPr>
                <w:sz w:val="24"/>
                <w:szCs w:val="24"/>
              </w:rPr>
              <w:t>将冲洗干净后的胴体进行检验，一般检验采用以“目测观察”为主，以</w:t>
            </w:r>
            <w:r>
              <w:rPr>
                <w:rFonts w:ascii="Times New Roman" w:hAnsi="Times New Roman" w:eastAsia="宋体" w:cstheme="minorBidi"/>
                <w:spacing w:val="0"/>
                <w:sz w:val="24"/>
                <w:szCs w:val="24"/>
                <w:u w:val="none"/>
              </w:rPr>
              <w:t>非洲猪瘟病毒抗原胶体金测试卡</w:t>
            </w:r>
            <w:r>
              <w:rPr>
                <w:sz w:val="24"/>
                <w:szCs w:val="24"/>
              </w:rPr>
              <w:t>为辅的方式。检验盖章后</w:t>
            </w:r>
            <w:r>
              <w:rPr>
                <w:rFonts w:hint="default"/>
                <w:sz w:val="24"/>
                <w:szCs w:val="24"/>
                <w:lang w:eastAsia="zh-CN"/>
              </w:rPr>
              <w:t>称重</w:t>
            </w:r>
            <w:r>
              <w:rPr>
                <w:sz w:val="24"/>
                <w:szCs w:val="24"/>
              </w:rPr>
              <w:t>由购买者运出场出售。</w:t>
            </w:r>
            <w:r>
              <w:rPr>
                <w:rFonts w:hint="eastAsia" w:ascii="Times New Roman" w:hAnsi="Times New Roman" w:eastAsia="宋体" w:cs="Times New Roman"/>
                <w:color w:val="auto"/>
                <w:spacing w:val="9"/>
                <w:sz w:val="24"/>
                <w:szCs w:val="24"/>
                <w:lang w:eastAsia="zh-CN"/>
              </w:rPr>
              <w:t>多次检验过程产生的不合格品交由溆浦永福盛生物科技有限公司收集无害化处理。屠宰车间加工过程将产生臭气和猪胃内容物</w:t>
            </w:r>
            <w:r>
              <w:rPr>
                <w:rFonts w:hint="eastAsia" w:ascii="Times New Roman" w:hAnsi="Times New Roman" w:eastAsia="宋体" w:cs="Times New Roman"/>
                <w:color w:val="auto"/>
                <w:spacing w:val="9"/>
                <w:sz w:val="24"/>
                <w:szCs w:val="24"/>
                <w:lang w:val="en-US" w:eastAsia="zh-CN"/>
              </w:rPr>
              <w:t>。</w:t>
            </w:r>
          </w:p>
          <w:p w14:paraId="705EA7C0">
            <w:pPr>
              <w:numPr>
                <w:ilvl w:val="0"/>
                <w:numId w:val="0"/>
              </w:numPr>
              <w:spacing w:line="360" w:lineRule="auto"/>
              <w:ind w:firstLine="516" w:firstLineChars="200"/>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rPr>
              <w:t>本项目生猪屠宰过程中产生的内脏及分割产生的各个肢体部位直接外卖，项目内不进行剥皮和其他处理。浸烫脱毛及屠宰过程中所需热水由</w:t>
            </w:r>
            <w:r>
              <w:rPr>
                <w:rFonts w:hint="eastAsia" w:ascii="Times New Roman" w:hAnsi="Times New Roman" w:eastAsia="宋体" w:cs="Times New Roman"/>
                <w:color w:val="auto"/>
                <w:spacing w:val="9"/>
                <w:sz w:val="24"/>
                <w:szCs w:val="24"/>
                <w:lang w:val="en-US" w:eastAsia="zh-CN"/>
              </w:rPr>
              <w:t>电</w:t>
            </w:r>
            <w:r>
              <w:rPr>
                <w:rFonts w:hint="default" w:ascii="Times New Roman" w:hAnsi="Times New Roman" w:eastAsia="宋体" w:cs="Times New Roman"/>
                <w:color w:val="auto"/>
                <w:spacing w:val="9"/>
                <w:sz w:val="24"/>
                <w:szCs w:val="24"/>
              </w:rPr>
              <w:t>锅炉提供。</w:t>
            </w:r>
          </w:p>
          <w:p w14:paraId="672052AC">
            <w:pPr>
              <w:pStyle w:val="9"/>
              <w:rPr>
                <w:rFonts w:hint="default"/>
              </w:rPr>
            </w:pPr>
            <w:r>
              <w:rPr>
                <w:rFonts w:hint="eastAsia" w:cs="Times New Roman"/>
                <w:color w:val="auto"/>
                <w:u w:val="none" w:color="auto"/>
                <w:lang w:val="en-US" w:eastAsia="zh-CN"/>
              </w:rPr>
              <w:t>2、</w:t>
            </w:r>
            <w:r>
              <w:rPr>
                <w:rFonts w:hint="eastAsia" w:asciiTheme="minorEastAsia" w:hAnsiTheme="minorEastAsia" w:eastAsiaTheme="minorEastAsia" w:cstheme="minorEastAsia"/>
                <w:b w:val="0"/>
                <w:bCs w:val="0"/>
                <w:color w:val="auto"/>
                <w:u w:val="none" w:color="auto"/>
                <w:lang w:val="en-US" w:eastAsia="zh-CN"/>
              </w:rPr>
              <w:t>肉牛屠宰工艺流程</w:t>
            </w:r>
          </w:p>
          <w:p w14:paraId="08D58C3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Cs w:val="21"/>
                <w:u w:val="none"/>
              </w:rPr>
            </w:pPr>
            <w:r>
              <w:rPr>
                <w:rFonts w:hint="default" w:ascii="Times New Roman" w:hAnsi="Times New Roman" w:eastAsia="宋体" w:cs="Times New Roman"/>
                <w:b/>
                <w:bCs/>
                <w:color w:val="auto"/>
                <w:szCs w:val="21"/>
                <w:u w:val="none"/>
              </w:rPr>
              <w:object>
                <v:shape id="_x0000_i1027" o:spt="75" type="#_x0000_t75" style="height:425.85pt;width:361.7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14:paraId="2F2719C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szCs w:val="21"/>
                <w:u w:val="none"/>
              </w:rPr>
            </w:pPr>
            <w:r>
              <w:rPr>
                <w:rFonts w:hint="default" w:ascii="Times New Roman" w:hAnsi="Times New Roman" w:eastAsia="宋体" w:cs="Times New Roman"/>
                <w:b w:val="0"/>
                <w:bCs w:val="0"/>
                <w:color w:val="auto"/>
                <w:szCs w:val="21"/>
                <w:u w:val="none"/>
              </w:rPr>
              <w:t>图</w:t>
            </w:r>
            <w:r>
              <w:rPr>
                <w:rFonts w:hint="eastAsia" w:ascii="Times New Roman" w:hAnsi="Times New Roman" w:eastAsia="宋体" w:cs="Times New Roman"/>
                <w:b w:val="0"/>
                <w:bCs w:val="0"/>
                <w:color w:val="auto"/>
                <w:szCs w:val="21"/>
                <w:u w:val="none"/>
                <w:lang w:val="en-US" w:eastAsia="zh-CN"/>
              </w:rPr>
              <w:t>2.3-</w:t>
            </w:r>
            <w:r>
              <w:rPr>
                <w:rFonts w:hint="eastAsia" w:cs="Times New Roman"/>
                <w:b w:val="0"/>
                <w:bCs w:val="0"/>
                <w:color w:val="auto"/>
                <w:szCs w:val="21"/>
                <w:u w:val="none"/>
                <w:lang w:val="en-US" w:eastAsia="zh-CN"/>
              </w:rPr>
              <w:t>3</w:t>
            </w:r>
            <w:r>
              <w:rPr>
                <w:rFonts w:hint="eastAsia" w:ascii="Times New Roman" w:hAnsi="Times New Roman" w:eastAsia="宋体" w:cs="Times New Roman"/>
                <w:b w:val="0"/>
                <w:bCs w:val="0"/>
                <w:color w:val="auto"/>
                <w:szCs w:val="21"/>
                <w:u w:val="none"/>
                <w:lang w:val="en-US" w:eastAsia="zh-CN"/>
              </w:rPr>
              <w:t xml:space="preserve"> </w:t>
            </w:r>
            <w:r>
              <w:rPr>
                <w:rFonts w:hint="default" w:ascii="Times New Roman" w:hAnsi="Times New Roman" w:eastAsia="宋体" w:cs="Times New Roman"/>
                <w:b w:val="0"/>
                <w:bCs w:val="0"/>
                <w:color w:val="auto"/>
                <w:szCs w:val="21"/>
                <w:u w:val="none"/>
              </w:rPr>
              <w:t>营运期</w:t>
            </w:r>
            <w:r>
              <w:rPr>
                <w:rFonts w:hint="eastAsia" w:ascii="Times New Roman" w:hAnsi="Times New Roman" w:eastAsia="宋体" w:cs="Times New Roman"/>
                <w:b w:val="0"/>
                <w:bCs w:val="0"/>
                <w:color w:val="auto"/>
                <w:szCs w:val="21"/>
                <w:u w:val="none"/>
                <w:lang w:eastAsia="zh-CN"/>
              </w:rPr>
              <w:t>肉牛屠宰</w:t>
            </w:r>
            <w:r>
              <w:rPr>
                <w:rFonts w:hint="default" w:ascii="Times New Roman" w:hAnsi="Times New Roman" w:eastAsia="宋体" w:cs="Times New Roman"/>
                <w:b w:val="0"/>
                <w:bCs w:val="0"/>
                <w:color w:val="auto"/>
                <w:szCs w:val="21"/>
                <w:u w:val="none"/>
              </w:rPr>
              <w:t>工艺流程及产污环节图</w:t>
            </w:r>
          </w:p>
          <w:p w14:paraId="3D87E238">
            <w:pPr>
              <w:adjustRightInd w:val="0"/>
              <w:snapToGrid w:val="0"/>
              <w:spacing w:line="360" w:lineRule="auto"/>
              <w:rPr>
                <w:rFonts w:hint="default" w:ascii="Times New Roman" w:hAnsi="Times New Roman" w:eastAsia="宋体" w:cs="Times New Roman"/>
                <w:b w:val="0"/>
                <w:bCs w:val="0"/>
                <w:color w:val="auto"/>
                <w:sz w:val="24"/>
                <w:u w:val="none"/>
              </w:rPr>
            </w:pPr>
            <w:r>
              <w:rPr>
                <w:rFonts w:hint="eastAsia" w:ascii="Times New Roman" w:hAnsi="Times New Roman" w:eastAsia="宋体" w:cs="Times New Roman"/>
                <w:b w:val="0"/>
                <w:bCs w:val="0"/>
                <w:color w:val="auto"/>
                <w:sz w:val="24"/>
                <w:u w:val="none"/>
                <w:lang w:eastAsia="zh-CN"/>
              </w:rPr>
              <w:t>肉牛屠宰</w:t>
            </w:r>
            <w:r>
              <w:rPr>
                <w:rFonts w:hint="default" w:ascii="Times New Roman" w:hAnsi="Times New Roman" w:eastAsia="宋体" w:cs="Times New Roman"/>
                <w:b w:val="0"/>
                <w:bCs w:val="0"/>
                <w:color w:val="auto"/>
                <w:sz w:val="24"/>
                <w:u w:val="none"/>
              </w:rPr>
              <w:t>生产工艺流程简述（吊挂提升等不涉及产污节点的生产工序适当简化或合并表述）：</w:t>
            </w:r>
          </w:p>
          <w:p w14:paraId="4F506041">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lang w:val="en-US" w:eastAsia="zh-CN"/>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1</w:t>
            </w:r>
            <w:r>
              <w:rPr>
                <w:rFonts w:hint="eastAsia" w:ascii="Times New Roman" w:hAnsi="Times New Roman" w:eastAsia="宋体" w:cs="Times New Roman"/>
                <w:color w:val="auto"/>
                <w:spacing w:val="9"/>
                <w:sz w:val="24"/>
                <w:szCs w:val="24"/>
                <w:lang w:eastAsia="zh-CN"/>
              </w:rPr>
              <w:t>）待宰、静养</w:t>
            </w:r>
          </w:p>
          <w:p w14:paraId="3608836D">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lang w:val="en-US" w:eastAsia="zh-CN"/>
              </w:rPr>
              <w:t>购进合格</w:t>
            </w:r>
            <w:r>
              <w:rPr>
                <w:rFonts w:hint="eastAsia" w:ascii="Times New Roman" w:hAnsi="Times New Roman" w:eastAsia="宋体" w:cs="Times New Roman"/>
                <w:color w:val="auto"/>
                <w:spacing w:val="9"/>
                <w:sz w:val="24"/>
                <w:szCs w:val="24"/>
                <w:lang w:val="en-US" w:eastAsia="zh-CN"/>
              </w:rPr>
              <w:t>肉牛</w:t>
            </w:r>
            <w:r>
              <w:rPr>
                <w:rFonts w:hint="default" w:ascii="Times New Roman" w:hAnsi="Times New Roman" w:eastAsia="宋体" w:cs="Times New Roman"/>
                <w:color w:val="auto"/>
                <w:spacing w:val="9"/>
                <w:sz w:val="24"/>
                <w:szCs w:val="24"/>
                <w:lang w:val="en-US" w:eastAsia="zh-CN"/>
              </w:rPr>
              <w:t>卸</w:t>
            </w:r>
            <w:r>
              <w:rPr>
                <w:rFonts w:hint="eastAsia" w:ascii="Times New Roman" w:hAnsi="Times New Roman" w:eastAsia="宋体" w:cs="Times New Roman"/>
                <w:color w:val="auto"/>
                <w:spacing w:val="9"/>
                <w:sz w:val="24"/>
                <w:szCs w:val="24"/>
                <w:lang w:val="en-US" w:eastAsia="zh-CN"/>
              </w:rPr>
              <w:t>车</w:t>
            </w:r>
            <w:r>
              <w:rPr>
                <w:rFonts w:hint="default" w:ascii="Times New Roman" w:hAnsi="Times New Roman" w:eastAsia="宋体" w:cs="Times New Roman"/>
                <w:color w:val="auto"/>
                <w:spacing w:val="9"/>
                <w:sz w:val="24"/>
                <w:szCs w:val="24"/>
                <w:lang w:val="en-US" w:eastAsia="zh-CN"/>
              </w:rPr>
              <w:t>后，宰前在待宰</w:t>
            </w:r>
            <w:r>
              <w:rPr>
                <w:rFonts w:hint="eastAsia" w:ascii="Times New Roman" w:hAnsi="Times New Roman" w:eastAsia="宋体" w:cs="Times New Roman"/>
                <w:color w:val="auto"/>
                <w:spacing w:val="9"/>
                <w:sz w:val="24"/>
                <w:szCs w:val="24"/>
                <w:lang w:val="en-US" w:eastAsia="zh-CN"/>
              </w:rPr>
              <w:t>间</w:t>
            </w:r>
            <w:r>
              <w:rPr>
                <w:rFonts w:hint="default" w:ascii="Times New Roman" w:hAnsi="Times New Roman" w:eastAsia="宋体" w:cs="Times New Roman"/>
                <w:color w:val="auto"/>
                <w:spacing w:val="9"/>
                <w:sz w:val="24"/>
                <w:szCs w:val="24"/>
                <w:lang w:val="en-US" w:eastAsia="zh-CN"/>
              </w:rPr>
              <w:t>停食静养12-24小时，以便消除运输途中的疲劳，恢复正常的生理状态，宰前3小时停止饮水</w:t>
            </w:r>
            <w:r>
              <w:rPr>
                <w:rFonts w:hint="eastAsia" w:ascii="Times New Roman" w:hAnsi="Times New Roman" w:eastAsia="宋体" w:cs="Times New Roman"/>
                <w:color w:val="auto"/>
                <w:spacing w:val="9"/>
                <w:sz w:val="24"/>
                <w:szCs w:val="24"/>
                <w:lang w:val="en-US" w:eastAsia="zh-CN"/>
              </w:rPr>
              <w:t>，</w:t>
            </w:r>
            <w:r>
              <w:rPr>
                <w:rFonts w:hint="default" w:ascii="Times New Roman" w:hAnsi="Times New Roman" w:eastAsia="宋体" w:cs="Times New Roman"/>
                <w:color w:val="auto"/>
                <w:spacing w:val="9"/>
                <w:sz w:val="24"/>
                <w:szCs w:val="24"/>
                <w:lang w:val="en-US" w:eastAsia="zh-CN"/>
              </w:rPr>
              <w:t>排除积蓄在体内的代谢产物，提高肉品质量。待宰间主要会产生恶臭、</w:t>
            </w:r>
            <w:r>
              <w:rPr>
                <w:rFonts w:hint="eastAsia" w:ascii="Times New Roman" w:hAnsi="Times New Roman" w:eastAsia="宋体" w:cs="Times New Roman"/>
                <w:color w:val="auto"/>
                <w:spacing w:val="9"/>
                <w:sz w:val="24"/>
                <w:szCs w:val="24"/>
                <w:lang w:val="en-US" w:eastAsia="zh-CN"/>
              </w:rPr>
              <w:t>牛</w:t>
            </w:r>
            <w:r>
              <w:rPr>
                <w:rFonts w:hint="default" w:ascii="Times New Roman" w:hAnsi="Times New Roman" w:eastAsia="宋体" w:cs="Times New Roman"/>
                <w:color w:val="auto"/>
                <w:spacing w:val="9"/>
                <w:sz w:val="24"/>
                <w:szCs w:val="24"/>
                <w:lang w:val="en-US" w:eastAsia="zh-CN"/>
              </w:rPr>
              <w:t>粪</w:t>
            </w:r>
            <w:r>
              <w:rPr>
                <w:rFonts w:hint="eastAsia" w:ascii="Times New Roman" w:hAnsi="Times New Roman" w:eastAsia="宋体" w:cs="Times New Roman"/>
                <w:color w:val="auto"/>
                <w:spacing w:val="9"/>
                <w:sz w:val="24"/>
                <w:szCs w:val="24"/>
                <w:lang w:val="en-US" w:eastAsia="zh-CN"/>
              </w:rPr>
              <w:t>、牛尿水、牛</w:t>
            </w:r>
            <w:r>
              <w:rPr>
                <w:rFonts w:hint="default" w:ascii="Times New Roman" w:hAnsi="Times New Roman" w:eastAsia="宋体" w:cs="Times New Roman"/>
                <w:color w:val="auto"/>
                <w:spacing w:val="9"/>
                <w:sz w:val="24"/>
                <w:szCs w:val="24"/>
                <w:lang w:val="en-US" w:eastAsia="zh-CN"/>
              </w:rPr>
              <w:t>叫声</w:t>
            </w:r>
            <w:r>
              <w:rPr>
                <w:rFonts w:hint="default" w:ascii="Times New Roman" w:hAnsi="Times New Roman" w:eastAsia="宋体" w:cs="Times New Roman"/>
                <w:color w:val="auto"/>
                <w:spacing w:val="9"/>
                <w:sz w:val="24"/>
                <w:szCs w:val="24"/>
              </w:rPr>
              <w:t>。</w:t>
            </w:r>
          </w:p>
          <w:p w14:paraId="72A43072">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2</w:t>
            </w:r>
            <w:r>
              <w:rPr>
                <w:rFonts w:hint="eastAsia" w:ascii="Times New Roman" w:hAnsi="Times New Roman" w:eastAsia="宋体" w:cs="Times New Roman"/>
                <w:color w:val="auto"/>
                <w:spacing w:val="9"/>
                <w:sz w:val="24"/>
                <w:szCs w:val="24"/>
                <w:lang w:eastAsia="zh-CN"/>
              </w:rPr>
              <w:t>）淋浴</w:t>
            </w:r>
          </w:p>
          <w:p w14:paraId="0C98D52B">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rPr>
              <w:t>宰前给</w:t>
            </w:r>
            <w:r>
              <w:rPr>
                <w:rFonts w:hint="eastAsia" w:ascii="Times New Roman" w:hAnsi="Times New Roman" w:eastAsia="宋体" w:cs="Times New Roman"/>
                <w:color w:val="auto"/>
                <w:spacing w:val="9"/>
                <w:sz w:val="24"/>
                <w:szCs w:val="24"/>
                <w:lang w:eastAsia="zh-CN"/>
              </w:rPr>
              <w:t>肉牛</w:t>
            </w:r>
            <w:r>
              <w:rPr>
                <w:rFonts w:hint="default" w:ascii="Times New Roman" w:hAnsi="Times New Roman" w:eastAsia="宋体" w:cs="Times New Roman"/>
                <w:color w:val="auto"/>
                <w:spacing w:val="9"/>
                <w:sz w:val="24"/>
                <w:szCs w:val="24"/>
              </w:rPr>
              <w:t>进行淋浴，洗掉</w:t>
            </w:r>
            <w:r>
              <w:rPr>
                <w:rFonts w:hint="eastAsia" w:ascii="Times New Roman" w:hAnsi="Times New Roman" w:eastAsia="宋体" w:cs="Times New Roman"/>
                <w:color w:val="auto"/>
                <w:spacing w:val="9"/>
                <w:sz w:val="24"/>
                <w:szCs w:val="24"/>
                <w:lang w:eastAsia="zh-CN"/>
              </w:rPr>
              <w:t>牛</w:t>
            </w:r>
            <w:r>
              <w:rPr>
                <w:rFonts w:hint="default" w:ascii="Times New Roman" w:hAnsi="Times New Roman" w:eastAsia="宋体" w:cs="Times New Roman"/>
                <w:color w:val="auto"/>
                <w:spacing w:val="9"/>
                <w:sz w:val="24"/>
                <w:szCs w:val="24"/>
              </w:rPr>
              <w:t>体上的污垢和微生物，水温以20</w:t>
            </w:r>
            <w:r>
              <w:rPr>
                <w:rFonts w:hint="eastAsia" w:ascii="Times New Roman" w:hAnsi="Times New Roman" w:eastAsia="宋体" w:cs="Times New Roman"/>
                <w:color w:val="auto"/>
                <w:spacing w:val="9"/>
                <w:sz w:val="24"/>
                <w:szCs w:val="24"/>
                <w:lang w:val="en-US" w:eastAsia="zh-CN"/>
              </w:rPr>
              <w:t xml:space="preserve"> </w:t>
            </w:r>
            <w:r>
              <w:rPr>
                <w:rFonts w:hint="default" w:ascii="Times New Roman" w:hAnsi="Times New Roman" w:eastAsia="宋体" w:cs="Times New Roman"/>
                <w:color w:val="auto"/>
                <w:spacing w:val="9"/>
                <w:sz w:val="24"/>
                <w:szCs w:val="24"/>
              </w:rPr>
              <w:t>℃为宜，这样可以减少污染，保证放血效果。该过程会产生冲淋废水。</w:t>
            </w:r>
          </w:p>
          <w:p w14:paraId="13FCFAF4">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3</w:t>
            </w: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电麻、刺</w:t>
            </w:r>
            <w:r>
              <w:rPr>
                <w:rFonts w:hint="eastAsia" w:ascii="Times New Roman" w:hAnsi="Times New Roman" w:eastAsia="宋体" w:cs="Times New Roman"/>
                <w:color w:val="auto"/>
                <w:spacing w:val="9"/>
                <w:sz w:val="24"/>
                <w:szCs w:val="24"/>
                <w:lang w:eastAsia="zh-CN"/>
              </w:rPr>
              <w:t>杀</w:t>
            </w:r>
            <w:r>
              <w:rPr>
                <w:rFonts w:hint="default" w:ascii="Times New Roman" w:hAnsi="Times New Roman" w:eastAsia="宋体" w:cs="Times New Roman"/>
                <w:color w:val="auto"/>
                <w:spacing w:val="9"/>
                <w:sz w:val="24"/>
                <w:szCs w:val="24"/>
              </w:rPr>
              <w:t>、放血计血</w:t>
            </w:r>
          </w:p>
          <w:p w14:paraId="4D16A66B">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lang w:eastAsia="zh-CN"/>
              </w:rPr>
            </w:pPr>
            <w:r>
              <w:rPr>
                <w:rFonts w:hint="default" w:ascii="Times New Roman" w:hAnsi="Times New Roman" w:eastAsia="宋体" w:cs="Times New Roman"/>
                <w:color w:val="auto"/>
                <w:spacing w:val="9"/>
                <w:sz w:val="24"/>
                <w:szCs w:val="24"/>
              </w:rPr>
              <w:t>将清洗好的</w:t>
            </w:r>
            <w:r>
              <w:rPr>
                <w:rFonts w:hint="eastAsia" w:ascii="Times New Roman" w:hAnsi="Times New Roman" w:eastAsia="宋体" w:cs="Times New Roman"/>
                <w:color w:val="auto"/>
                <w:spacing w:val="9"/>
                <w:sz w:val="24"/>
                <w:szCs w:val="24"/>
                <w:lang w:eastAsia="zh-CN"/>
              </w:rPr>
              <w:t>肉牛</w:t>
            </w:r>
            <w:r>
              <w:rPr>
                <w:rFonts w:hint="default" w:ascii="Times New Roman" w:hAnsi="Times New Roman" w:eastAsia="宋体" w:cs="Times New Roman"/>
                <w:color w:val="auto"/>
                <w:spacing w:val="9"/>
                <w:sz w:val="24"/>
                <w:szCs w:val="24"/>
              </w:rPr>
              <w:t>电击至晕，</w:t>
            </w:r>
            <w:r>
              <w:rPr>
                <w:rFonts w:hint="eastAsia" w:ascii="Times New Roman" w:hAnsi="Times New Roman" w:eastAsia="宋体" w:cs="Times New Roman"/>
                <w:color w:val="auto"/>
                <w:spacing w:val="9"/>
                <w:sz w:val="24"/>
                <w:szCs w:val="24"/>
                <w:lang w:eastAsia="zh-CN"/>
              </w:rPr>
              <w:t>肉牛</w:t>
            </w:r>
            <w:r>
              <w:rPr>
                <w:rFonts w:hint="default" w:ascii="Times New Roman" w:hAnsi="Times New Roman" w:eastAsia="宋体" w:cs="Times New Roman"/>
                <w:color w:val="auto"/>
                <w:spacing w:val="9"/>
                <w:sz w:val="24"/>
                <w:szCs w:val="24"/>
              </w:rPr>
              <w:t>用扣脚链拴住一后腿，通过提升机或放血线的提升装置将</w:t>
            </w:r>
            <w:r>
              <w:rPr>
                <w:rFonts w:hint="eastAsia" w:ascii="Times New Roman" w:hAnsi="Times New Roman" w:eastAsia="宋体" w:cs="Times New Roman"/>
                <w:color w:val="auto"/>
                <w:spacing w:val="9"/>
                <w:sz w:val="24"/>
                <w:szCs w:val="24"/>
                <w:lang w:eastAsia="zh-CN"/>
              </w:rPr>
              <w:t>肉牛</w:t>
            </w:r>
            <w:r>
              <w:rPr>
                <w:rFonts w:hint="default" w:ascii="Times New Roman" w:hAnsi="Times New Roman" w:eastAsia="宋体" w:cs="Times New Roman"/>
                <w:color w:val="auto"/>
                <w:spacing w:val="9"/>
                <w:sz w:val="24"/>
                <w:szCs w:val="24"/>
              </w:rPr>
              <w:t>提升进入放血自动输送线的轨道上再持刀刺杀放血。该过程有</w:t>
            </w:r>
            <w:r>
              <w:rPr>
                <w:rFonts w:hint="eastAsia" w:ascii="Times New Roman" w:hAnsi="Times New Roman" w:eastAsia="宋体" w:cs="Times New Roman"/>
                <w:color w:val="auto"/>
                <w:spacing w:val="9"/>
                <w:sz w:val="24"/>
                <w:szCs w:val="24"/>
                <w:lang w:eastAsia="zh-CN"/>
              </w:rPr>
              <w:t>牛</w:t>
            </w:r>
            <w:r>
              <w:rPr>
                <w:rFonts w:hint="default" w:ascii="Times New Roman" w:hAnsi="Times New Roman" w:eastAsia="宋体" w:cs="Times New Roman"/>
                <w:color w:val="auto"/>
                <w:spacing w:val="9"/>
                <w:sz w:val="24"/>
                <w:szCs w:val="24"/>
              </w:rPr>
              <w:t>血产生，作为副产品外售。该过程电麻会产生短暂的</w:t>
            </w:r>
            <w:r>
              <w:rPr>
                <w:rFonts w:hint="eastAsia" w:ascii="Times New Roman" w:hAnsi="Times New Roman" w:eastAsia="宋体" w:cs="Times New Roman"/>
                <w:color w:val="auto"/>
                <w:spacing w:val="9"/>
                <w:sz w:val="24"/>
                <w:szCs w:val="24"/>
                <w:lang w:eastAsia="zh-CN"/>
              </w:rPr>
              <w:t>牛</w:t>
            </w:r>
            <w:r>
              <w:rPr>
                <w:rFonts w:hint="default" w:ascii="Times New Roman" w:hAnsi="Times New Roman" w:eastAsia="宋体" w:cs="Times New Roman"/>
                <w:color w:val="auto"/>
                <w:spacing w:val="9"/>
                <w:sz w:val="24"/>
                <w:szCs w:val="24"/>
              </w:rPr>
              <w:t>叫声</w:t>
            </w:r>
            <w:r>
              <w:rPr>
                <w:rFonts w:hint="eastAsia" w:ascii="Times New Roman" w:hAnsi="Times New Roman" w:eastAsia="宋体" w:cs="Times New Roman"/>
                <w:color w:val="auto"/>
                <w:spacing w:val="9"/>
                <w:sz w:val="24"/>
                <w:szCs w:val="24"/>
                <w:lang w:eastAsia="zh-CN"/>
              </w:rPr>
              <w:t>。</w:t>
            </w:r>
          </w:p>
          <w:p w14:paraId="36E4A395">
            <w:pPr>
              <w:spacing w:line="360" w:lineRule="auto"/>
              <w:ind w:firstLine="482"/>
              <w:rPr>
                <w:sz w:val="24"/>
                <w:szCs w:val="24"/>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4</w:t>
            </w:r>
            <w:r>
              <w:rPr>
                <w:rFonts w:hint="eastAsia" w:ascii="Times New Roman" w:hAnsi="Times New Roman" w:eastAsia="宋体" w:cs="Times New Roman"/>
                <w:color w:val="auto"/>
                <w:spacing w:val="9"/>
                <w:sz w:val="24"/>
                <w:szCs w:val="24"/>
                <w:lang w:eastAsia="zh-CN"/>
              </w:rPr>
              <w:t>）预剥头皮、去头</w:t>
            </w:r>
          </w:p>
          <w:p w14:paraId="1DF6A042">
            <w:pPr>
              <w:spacing w:line="360" w:lineRule="auto"/>
              <w:ind w:firstLine="482"/>
              <w:rPr>
                <w:sz w:val="24"/>
                <w:szCs w:val="24"/>
              </w:rPr>
            </w:pPr>
            <w:r>
              <w:rPr>
                <w:rFonts w:hint="eastAsia"/>
                <w:sz w:val="24"/>
                <w:szCs w:val="24"/>
                <w:lang w:eastAsia="zh-CN"/>
              </w:rPr>
              <w:t>由人工预剥肉牛头皮并去牛头，牛头</w:t>
            </w:r>
            <w:r>
              <w:rPr>
                <w:rFonts w:hint="default" w:ascii="Times New Roman" w:hAnsi="Times New Roman" w:eastAsia="宋体" w:cs="Times New Roman"/>
                <w:color w:val="auto"/>
                <w:spacing w:val="9"/>
                <w:sz w:val="24"/>
                <w:szCs w:val="24"/>
              </w:rPr>
              <w:t>作为副产品外售</w:t>
            </w:r>
            <w:r>
              <w:rPr>
                <w:sz w:val="24"/>
                <w:szCs w:val="24"/>
              </w:rPr>
              <w:t>。</w:t>
            </w:r>
          </w:p>
          <w:p w14:paraId="33ABA09C">
            <w:pPr>
              <w:spacing w:line="360" w:lineRule="auto"/>
              <w:ind w:firstLine="482"/>
              <w:rPr>
                <w:rFonts w:hint="eastAsia"/>
                <w:sz w:val="24"/>
                <w:szCs w:val="24"/>
                <w:lang w:eastAsia="zh-CN"/>
              </w:rPr>
            </w:pPr>
            <w:r>
              <w:rPr>
                <w:rFonts w:hint="eastAsia"/>
                <w:sz w:val="24"/>
                <w:szCs w:val="24"/>
                <w:lang w:eastAsia="zh-CN"/>
              </w:rPr>
              <w:t>（</w:t>
            </w:r>
            <w:r>
              <w:rPr>
                <w:sz w:val="24"/>
                <w:szCs w:val="24"/>
              </w:rPr>
              <w:t>5）</w:t>
            </w:r>
            <w:r>
              <w:rPr>
                <w:rFonts w:hint="eastAsia"/>
                <w:sz w:val="24"/>
                <w:szCs w:val="24"/>
                <w:lang w:eastAsia="zh-CN"/>
              </w:rPr>
              <w:t>低中高位预剥、扯皮</w:t>
            </w:r>
          </w:p>
          <w:p w14:paraId="113311E4">
            <w:pPr>
              <w:spacing w:line="360" w:lineRule="auto"/>
              <w:ind w:firstLine="482"/>
              <w:rPr>
                <w:rFonts w:hint="eastAsia" w:ascii="Times New Roman" w:hAnsi="Times New Roman" w:eastAsia="宋体" w:cs="Times New Roman"/>
                <w:sz w:val="24"/>
                <w:szCs w:val="24"/>
                <w:u w:val="none"/>
                <w:lang w:eastAsia="zh-CN"/>
              </w:rPr>
            </w:pPr>
            <w:r>
              <w:rPr>
                <w:rFonts w:hint="eastAsia"/>
                <w:color w:val="000000"/>
                <w:sz w:val="24"/>
                <w:u w:val="none"/>
                <w:lang w:eastAsia="zh-CN"/>
              </w:rPr>
              <w:t>低中高位</w:t>
            </w:r>
            <w:r>
              <w:rPr>
                <w:color w:val="000000"/>
                <w:sz w:val="24"/>
                <w:u w:val="none"/>
              </w:rPr>
              <w:t>预剥是由</w:t>
            </w:r>
            <w:r>
              <w:rPr>
                <w:rFonts w:hint="eastAsia"/>
                <w:color w:val="000000"/>
                <w:sz w:val="24"/>
                <w:u w:val="none"/>
                <w:lang w:eastAsia="zh-CN"/>
              </w:rPr>
              <w:t>人工</w:t>
            </w:r>
            <w:r>
              <w:rPr>
                <w:color w:val="000000"/>
                <w:sz w:val="24"/>
                <w:u w:val="none"/>
              </w:rPr>
              <w:t>剥前小腿皮、去前蹄。接着在高轨上剥悬空后腿的皮，并去蹄，再用电动</w:t>
            </w:r>
            <w:r>
              <w:rPr>
                <w:rFonts w:hint="eastAsia"/>
                <w:color w:val="000000"/>
                <w:sz w:val="24"/>
                <w:u w:val="none"/>
                <w:lang w:eastAsia="zh-CN"/>
              </w:rPr>
              <w:t>吊钩</w:t>
            </w:r>
            <w:r>
              <w:rPr>
                <w:color w:val="000000"/>
                <w:sz w:val="24"/>
                <w:u w:val="none"/>
              </w:rPr>
              <w:t>将牛从高轨</w:t>
            </w:r>
            <w:r>
              <w:rPr>
                <w:rFonts w:hint="eastAsia"/>
                <w:color w:val="000000"/>
                <w:sz w:val="24"/>
                <w:u w:val="none"/>
                <w:lang w:eastAsia="zh-CN"/>
              </w:rPr>
              <w:t>转挂到</w:t>
            </w:r>
            <w:r>
              <w:rPr>
                <w:color w:val="000000"/>
                <w:sz w:val="24"/>
                <w:u w:val="none"/>
              </w:rPr>
              <w:t>中轨</w:t>
            </w:r>
            <w:r>
              <w:rPr>
                <w:rFonts w:hint="eastAsia"/>
                <w:color w:val="000000"/>
                <w:sz w:val="24"/>
                <w:u w:val="none"/>
                <w:lang w:eastAsia="zh-CN"/>
              </w:rPr>
              <w:t>上</w:t>
            </w:r>
            <w:r>
              <w:rPr>
                <w:color w:val="000000"/>
                <w:sz w:val="24"/>
                <w:u w:val="none"/>
              </w:rPr>
              <w:t>，最后在中轨剥另一条小腿皮、去蹄；最后再剥臀皮、尾皮。</w:t>
            </w:r>
          </w:p>
          <w:p w14:paraId="1BAFCCAB">
            <w:pPr>
              <w:spacing w:line="360" w:lineRule="auto"/>
              <w:ind w:firstLine="482"/>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扯皮是用扯皮机滚筒上的链钩钩住牛的颈皮，启动扯皮机并不断地插刀，修整皮张，防止扯坏皮张或皮上带肉带脂肪。将牛背部的皮扯下后，再对牛屠体背部施加电刺激，使其背肌收缩复位</w:t>
            </w:r>
            <w:r>
              <w:rPr>
                <w:rFonts w:hint="eastAsia" w:ascii="Times New Roman" w:hAnsi="Times New Roman" w:eastAsia="宋体" w:cs="Times New Roman"/>
                <w:sz w:val="24"/>
                <w:szCs w:val="24"/>
                <w:u w:val="none"/>
                <w:lang w:eastAsia="zh-CN"/>
              </w:rPr>
              <w:t>。</w:t>
            </w:r>
            <w:r>
              <w:rPr>
                <w:color w:val="000000"/>
                <w:sz w:val="24"/>
                <w:u w:val="none"/>
              </w:rPr>
              <w:t>扯下来的牛皮</w:t>
            </w:r>
            <w:r>
              <w:rPr>
                <w:rFonts w:hint="default" w:ascii="Times New Roman" w:hAnsi="Times New Roman" w:eastAsia="宋体" w:cs="Times New Roman"/>
                <w:color w:val="auto"/>
                <w:spacing w:val="9"/>
                <w:sz w:val="24"/>
                <w:szCs w:val="24"/>
                <w:u w:val="none"/>
              </w:rPr>
              <w:t>作</w:t>
            </w:r>
            <w:r>
              <w:rPr>
                <w:rFonts w:hint="default" w:ascii="Times New Roman" w:hAnsi="Times New Roman" w:eastAsia="宋体" w:cs="Times New Roman"/>
                <w:color w:val="auto"/>
                <w:spacing w:val="9"/>
                <w:sz w:val="24"/>
                <w:szCs w:val="24"/>
              </w:rPr>
              <w:t>为副产品外售</w:t>
            </w:r>
            <w:r>
              <w:rPr>
                <w:rFonts w:hint="eastAsia" w:ascii="Times New Roman" w:hAnsi="Times New Roman" w:eastAsia="宋体" w:cs="Times New Roman"/>
                <w:color w:val="auto"/>
                <w:spacing w:val="9"/>
                <w:sz w:val="24"/>
                <w:szCs w:val="24"/>
                <w:lang w:eastAsia="zh-CN"/>
              </w:rPr>
              <w:t>该过程机械设备</w:t>
            </w:r>
            <w:r>
              <w:rPr>
                <w:rFonts w:hint="eastAsia"/>
                <w:sz w:val="24"/>
                <w:szCs w:val="24"/>
              </w:rPr>
              <w:t>切割机将产生噪声</w:t>
            </w:r>
            <w:r>
              <w:rPr>
                <w:rFonts w:hint="eastAsia" w:ascii="Times New Roman" w:hAnsi="Times New Roman" w:eastAsia="宋体" w:cs="Times New Roman"/>
                <w:sz w:val="24"/>
                <w:szCs w:val="24"/>
                <w:lang w:eastAsia="zh-CN"/>
              </w:rPr>
              <w:t>。</w:t>
            </w:r>
          </w:p>
          <w:p w14:paraId="6303620C">
            <w:pPr>
              <w:spacing w:line="360" w:lineRule="auto"/>
              <w:ind w:firstLine="482"/>
              <w:rPr>
                <w:sz w:val="24"/>
                <w:szCs w:val="24"/>
              </w:rPr>
            </w:pPr>
            <w:r>
              <w:rPr>
                <w:rFonts w:hint="eastAsia"/>
                <w:sz w:val="24"/>
                <w:szCs w:val="24"/>
                <w:lang w:eastAsia="zh-CN"/>
              </w:rPr>
              <w:t>（</w:t>
            </w:r>
            <w:r>
              <w:rPr>
                <w:sz w:val="24"/>
                <w:szCs w:val="24"/>
              </w:rPr>
              <w:t>6）剖腹、取内脏</w:t>
            </w:r>
          </w:p>
          <w:p w14:paraId="1611F599">
            <w:pPr>
              <w:spacing w:line="360" w:lineRule="auto"/>
              <w:ind w:firstLine="482"/>
              <w:rPr>
                <w:sz w:val="24"/>
                <w:szCs w:val="24"/>
              </w:rPr>
            </w:pPr>
            <w:r>
              <w:rPr>
                <w:rFonts w:hint="eastAsia"/>
                <w:sz w:val="24"/>
                <w:szCs w:val="24"/>
                <w:lang w:eastAsia="zh-CN"/>
              </w:rPr>
              <w:t>牛屠体</w:t>
            </w:r>
            <w:r>
              <w:rPr>
                <w:sz w:val="24"/>
                <w:szCs w:val="24"/>
              </w:rPr>
              <w:t>要尽快开膛取</w:t>
            </w:r>
            <w:r>
              <w:rPr>
                <w:rFonts w:hint="eastAsia"/>
                <w:sz w:val="24"/>
                <w:szCs w:val="24"/>
                <w:lang w:eastAsia="zh-CN"/>
              </w:rPr>
              <w:t>出红白</w:t>
            </w:r>
            <w:r>
              <w:rPr>
                <w:sz w:val="24"/>
                <w:szCs w:val="24"/>
              </w:rPr>
              <w:t>内脏。摘取的</w:t>
            </w:r>
            <w:r>
              <w:rPr>
                <w:rFonts w:hint="eastAsia"/>
                <w:sz w:val="24"/>
                <w:szCs w:val="24"/>
                <w:lang w:eastAsia="zh-CN"/>
              </w:rPr>
              <w:t>心、肝、肺</w:t>
            </w:r>
            <w:r>
              <w:rPr>
                <w:sz w:val="24"/>
                <w:szCs w:val="24"/>
              </w:rPr>
              <w:t>等内脏送下货整理间清洗，经检验不合格者投入废弃桶内。</w:t>
            </w:r>
            <w:r>
              <w:rPr>
                <w:rFonts w:hint="eastAsia"/>
                <w:sz w:val="24"/>
                <w:szCs w:val="24"/>
              </w:rPr>
              <w:t>解剖线的主要机械设备切割机将产生噪声。</w:t>
            </w:r>
          </w:p>
          <w:p w14:paraId="695D3CBF">
            <w:pPr>
              <w:spacing w:line="360" w:lineRule="auto"/>
              <w:ind w:firstLine="482"/>
              <w:rPr>
                <w:rFonts w:hint="eastAsia" w:eastAsia="宋体"/>
                <w:sz w:val="24"/>
                <w:szCs w:val="24"/>
                <w:lang w:eastAsia="zh-CN"/>
              </w:rPr>
            </w:pPr>
            <w:r>
              <w:rPr>
                <w:rFonts w:hint="eastAsia"/>
                <w:sz w:val="24"/>
                <w:szCs w:val="24"/>
                <w:lang w:eastAsia="zh-CN"/>
              </w:rPr>
              <w:t>（</w:t>
            </w:r>
            <w:r>
              <w:rPr>
                <w:sz w:val="24"/>
                <w:szCs w:val="24"/>
              </w:rPr>
              <w:t>7）</w:t>
            </w:r>
            <w:r>
              <w:rPr>
                <w:rFonts w:hint="eastAsia"/>
                <w:sz w:val="24"/>
                <w:szCs w:val="24"/>
                <w:lang w:eastAsia="zh-CN"/>
              </w:rPr>
              <w:t>胴体</w:t>
            </w:r>
            <w:r>
              <w:rPr>
                <w:sz w:val="24"/>
                <w:szCs w:val="24"/>
              </w:rPr>
              <w:t>锯半</w:t>
            </w:r>
            <w:r>
              <w:rPr>
                <w:rFonts w:hint="eastAsia"/>
                <w:sz w:val="24"/>
                <w:szCs w:val="24"/>
                <w:lang w:eastAsia="zh-CN"/>
              </w:rPr>
              <w:t>、修整、冲淋</w:t>
            </w:r>
          </w:p>
          <w:p w14:paraId="4B9E287F">
            <w:pPr>
              <w:spacing w:line="360" w:lineRule="auto"/>
              <w:ind w:firstLine="482"/>
              <w:rPr>
                <w:sz w:val="24"/>
                <w:szCs w:val="24"/>
              </w:rPr>
            </w:pPr>
            <w:r>
              <w:rPr>
                <w:rFonts w:hint="eastAsia"/>
                <w:sz w:val="24"/>
                <w:szCs w:val="24"/>
              </w:rPr>
              <w:t>用带式劈半锯沿</w:t>
            </w:r>
            <w:r>
              <w:rPr>
                <w:rFonts w:hint="eastAsia"/>
                <w:sz w:val="24"/>
                <w:szCs w:val="24"/>
                <w:lang w:eastAsia="zh-CN"/>
              </w:rPr>
              <w:t>牛屠体</w:t>
            </w:r>
            <w:r>
              <w:rPr>
                <w:rFonts w:hint="eastAsia"/>
                <w:sz w:val="24"/>
                <w:szCs w:val="24"/>
              </w:rPr>
              <w:t>的脊椎均分</w:t>
            </w:r>
            <w:r>
              <w:rPr>
                <w:rFonts w:hint="eastAsia" w:ascii="Times New Roman" w:hAnsi="Times New Roman" w:eastAsia="宋体" w:cs="Times New Roman"/>
                <w:sz w:val="24"/>
                <w:szCs w:val="24"/>
                <w:lang w:eastAsia="zh-CN"/>
              </w:rPr>
              <w:t>成两半，修整范围包括扒下肾脏周围脂肪、修伤痕、除淤血及血凝块、修整颈肉、割除体腔内残留的零碎块和脂肪，割除胴体表面污垢，然后经冲淋洗去残留血渍、骨渣、毛等污物。</w:t>
            </w:r>
            <w:r>
              <w:rPr>
                <w:rFonts w:hint="eastAsia"/>
                <w:sz w:val="24"/>
                <w:szCs w:val="24"/>
                <w:lang w:eastAsia="zh-CN"/>
              </w:rPr>
              <w:t>该阶段会产生冲淋废水</w:t>
            </w:r>
            <w:r>
              <w:rPr>
                <w:rFonts w:hint="eastAsia"/>
                <w:sz w:val="24"/>
                <w:szCs w:val="24"/>
                <w:lang w:val="en-US" w:eastAsia="zh-CN"/>
              </w:rPr>
              <w:t>，</w:t>
            </w:r>
            <w:r>
              <w:rPr>
                <w:rFonts w:hint="eastAsia"/>
                <w:sz w:val="24"/>
                <w:szCs w:val="24"/>
              </w:rPr>
              <w:t>解剖线的主要机械设备切割机将产生噪声</w:t>
            </w:r>
            <w:r>
              <w:rPr>
                <w:sz w:val="24"/>
                <w:szCs w:val="24"/>
              </w:rPr>
              <w:t>。</w:t>
            </w:r>
          </w:p>
          <w:p w14:paraId="5D9DFA7A">
            <w:pPr>
              <w:numPr>
                <w:ilvl w:val="0"/>
                <w:numId w:val="0"/>
              </w:numPr>
              <w:spacing w:line="360" w:lineRule="auto"/>
              <w:ind w:left="482" w:leftChars="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lang w:eastAsia="zh-CN"/>
              </w:rPr>
              <w:t>）宰后检疫</w:t>
            </w:r>
          </w:p>
          <w:p w14:paraId="7A4608D5">
            <w:pPr>
              <w:spacing w:line="360" w:lineRule="auto"/>
              <w:ind w:firstLine="482"/>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将牛的胴体、内脏等</w:t>
            </w:r>
            <w:r>
              <w:rPr>
                <w:rFonts w:hint="eastAsia" w:cs="Times New Roman"/>
                <w:sz w:val="24"/>
                <w:szCs w:val="24"/>
                <w:lang w:val="en-US" w:eastAsia="zh-CN"/>
              </w:rPr>
              <w:t>使用</w:t>
            </w:r>
            <w:r>
              <w:rPr>
                <w:rFonts w:hint="eastAsia" w:ascii="Times New Roman" w:hAnsi="Times New Roman" w:eastAsia="宋体" w:cs="Times New Roman"/>
                <w:spacing w:val="0"/>
                <w:sz w:val="24"/>
                <w:szCs w:val="24"/>
                <w:u w:val="none"/>
                <w:lang w:val="en-US" w:eastAsia="zh-CN"/>
              </w:rPr>
              <w:t>牛</w:t>
            </w:r>
            <w:r>
              <w:rPr>
                <w:rFonts w:hint="eastAsia" w:ascii="Times New Roman" w:hAnsi="Times New Roman" w:eastAsia="宋体" w:cs="Times New Roman"/>
                <w:spacing w:val="0"/>
                <w:sz w:val="24"/>
                <w:szCs w:val="24"/>
                <w:u w:val="none"/>
              </w:rPr>
              <w:t>病毒抗原胶体金测试卡</w:t>
            </w:r>
            <w:r>
              <w:rPr>
                <w:rFonts w:hint="eastAsia" w:ascii="Times New Roman" w:hAnsi="Times New Roman" w:eastAsia="宋体" w:cs="Times New Roman"/>
                <w:sz w:val="24"/>
                <w:szCs w:val="24"/>
                <w:lang w:eastAsia="zh-CN"/>
              </w:rPr>
              <w:t>实施同步卫生检验。根据有关规定，卫生检验合格作为食品的，其卫生检验、监督均依照《中华人民共和国食品卫生法》的规定办理；检出检疫部门公布的一类传染病、寄生虫病的其阳性动物及与其同群的其他动物全群扑杀，并销毁尸体；检出检疫部门公布的二类传染病、寄生虫病的其阳性动物应扑杀，同群其它动物在动物检疫隔离场和动植物检疫机关指定的地点继续隔离观察；检出一般性病害并超过规定标准的，可由专业技术人员按规程实施卫生无害化处理。</w:t>
            </w:r>
          </w:p>
          <w:p w14:paraId="59C9CD52">
            <w:pPr>
              <w:numPr>
                <w:ilvl w:val="0"/>
                <w:numId w:val="0"/>
              </w:numPr>
              <w:spacing w:line="360" w:lineRule="auto"/>
              <w:ind w:firstLine="480" w:firstLineChars="200"/>
              <w:rPr>
                <w:rFonts w:hint="eastAsia"/>
                <w:sz w:val="24"/>
                <w:szCs w:val="24"/>
                <w:lang w:eastAsia="zh-CN"/>
              </w:rPr>
            </w:pPr>
            <w:r>
              <w:rPr>
                <w:rFonts w:hint="eastAsia"/>
                <w:sz w:val="24"/>
                <w:szCs w:val="24"/>
                <w:lang w:eastAsia="zh-CN"/>
              </w:rPr>
              <w:t>（</w:t>
            </w:r>
            <w:r>
              <w:rPr>
                <w:rFonts w:hint="eastAsia"/>
                <w:sz w:val="24"/>
                <w:szCs w:val="24"/>
                <w:lang w:val="en-US" w:eastAsia="zh-CN"/>
              </w:rPr>
              <w:t>9</w:t>
            </w:r>
            <w:r>
              <w:rPr>
                <w:rFonts w:hint="eastAsia"/>
                <w:sz w:val="24"/>
                <w:szCs w:val="24"/>
                <w:lang w:eastAsia="zh-CN"/>
              </w:rPr>
              <w:t>）冷却排酸</w:t>
            </w:r>
          </w:p>
          <w:p w14:paraId="2116743D">
            <w:pPr>
              <w:spacing w:line="360" w:lineRule="auto"/>
              <w:ind w:firstLine="482"/>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符合鲜销和有条件食用的合格牛胴体盖章后送入冷库冷却，以抑制微生物的生长繁殖。高档牛肉其胴体需在冷库内停留3—6天，普通牛肉在冷库停留24</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h后，当胴体温度达到</w:t>
            </w:r>
            <w:r>
              <w:rPr>
                <w:rFonts w:hint="default" w:ascii="Times New Roman" w:hAnsi="Times New Roman" w:eastAsia="宋体" w:cs="Times New Roman"/>
                <w:sz w:val="24"/>
                <w:szCs w:val="24"/>
                <w:lang w:eastAsia="zh-CN"/>
              </w:rPr>
              <w:t>7</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时即可进入下一道工序了。</w:t>
            </w:r>
          </w:p>
          <w:p w14:paraId="40095747">
            <w:pPr>
              <w:numPr>
                <w:ilvl w:val="0"/>
                <w:numId w:val="0"/>
              </w:numPr>
              <w:spacing w:line="360" w:lineRule="auto"/>
              <w:ind w:firstLine="480" w:firstLineChars="200"/>
              <w:rPr>
                <w:rFonts w:hint="eastAsia" w:eastAsia="宋体"/>
                <w:sz w:val="24"/>
                <w:szCs w:val="24"/>
                <w:lang w:eastAsia="zh-CN"/>
              </w:rPr>
            </w:pPr>
            <w:r>
              <w:rPr>
                <w:rFonts w:hint="eastAsia"/>
                <w:sz w:val="24"/>
                <w:szCs w:val="24"/>
                <w:lang w:eastAsia="zh-CN"/>
              </w:rPr>
              <w:t>（</w:t>
            </w:r>
            <w:r>
              <w:rPr>
                <w:rFonts w:hint="eastAsia"/>
                <w:sz w:val="24"/>
                <w:szCs w:val="24"/>
                <w:lang w:val="en-US" w:eastAsia="zh-CN"/>
              </w:rPr>
              <w:t>10</w:t>
            </w:r>
            <w:r>
              <w:rPr>
                <w:rFonts w:hint="eastAsia"/>
                <w:sz w:val="24"/>
                <w:szCs w:val="24"/>
                <w:lang w:eastAsia="zh-CN"/>
              </w:rPr>
              <w:t>）锯为四分体、剔骨分割</w:t>
            </w:r>
            <w:r>
              <w:rPr>
                <w:sz w:val="24"/>
                <w:szCs w:val="24"/>
              </w:rPr>
              <w:t>、</w:t>
            </w:r>
            <w:r>
              <w:rPr>
                <w:rFonts w:hint="eastAsia"/>
                <w:sz w:val="24"/>
                <w:szCs w:val="24"/>
                <w:lang w:val="en-US" w:eastAsia="zh-CN"/>
              </w:rPr>
              <w:t>盖章、</w:t>
            </w:r>
            <w:r>
              <w:rPr>
                <w:sz w:val="24"/>
                <w:szCs w:val="24"/>
              </w:rPr>
              <w:t>出售</w:t>
            </w:r>
          </w:p>
          <w:p w14:paraId="5A4902EA">
            <w:pPr>
              <w:spacing w:line="360" w:lineRule="auto"/>
              <w:ind w:firstLine="480" w:firstLineChars="200"/>
              <w:rPr>
                <w:rFonts w:hint="default" w:ascii="Times New Roman" w:hAnsi="Times New Roman" w:eastAsia="宋体" w:cs="Times New Roman"/>
                <w:sz w:val="24"/>
                <w:szCs w:val="24"/>
                <w:lang w:val="en-US" w:eastAsia="zh-CN"/>
              </w:rPr>
            </w:pPr>
            <w:r>
              <w:rPr>
                <w:sz w:val="24"/>
                <w:szCs w:val="24"/>
              </w:rPr>
              <w:t>将</w:t>
            </w:r>
            <w:r>
              <w:rPr>
                <w:rFonts w:hint="eastAsia"/>
                <w:sz w:val="24"/>
                <w:szCs w:val="24"/>
                <w:lang w:eastAsia="zh-CN"/>
              </w:rPr>
              <w:t>合格牛胴体拦腰截</w:t>
            </w:r>
            <w:r>
              <w:rPr>
                <w:rFonts w:hint="eastAsia" w:ascii="Times New Roman" w:hAnsi="Times New Roman" w:eastAsia="宋体" w:cs="Times New Roman"/>
                <w:sz w:val="24"/>
                <w:szCs w:val="24"/>
                <w:lang w:eastAsia="zh-CN"/>
              </w:rPr>
              <w:t>断。剔骨是在</w:t>
            </w:r>
            <w:r>
              <w:rPr>
                <w:rFonts w:hint="default" w:ascii="Times New Roman" w:hAnsi="Times New Roman" w:eastAsia="宋体" w:cs="Times New Roman"/>
                <w:sz w:val="24"/>
                <w:szCs w:val="24"/>
                <w:lang w:eastAsia="zh-CN"/>
              </w:rPr>
              <w:t>1</w:t>
            </w:r>
            <w:r>
              <w:rPr>
                <w:rFonts w:hint="default" w:ascii="Times New Roman" w:hAnsi="Times New Roman" w:eastAsia="宋体" w:cs="Times New Roman"/>
                <w:sz w:val="24"/>
                <w:szCs w:val="24"/>
                <w:lang w:val="en-US" w:eastAsia="zh-CN"/>
              </w:rPr>
              <w:t xml:space="preserve">0 </w:t>
            </w:r>
            <w:r>
              <w:rPr>
                <w:rFonts w:hint="default" w:ascii="Times New Roman" w:hAnsi="Times New Roman" w:eastAsia="宋体" w:cs="Times New Roman"/>
                <w:sz w:val="24"/>
                <w:szCs w:val="24"/>
                <w:lang w:eastAsia="zh-CN"/>
              </w:rPr>
              <w:t>℃左</w:t>
            </w:r>
            <w:r>
              <w:rPr>
                <w:rFonts w:hint="eastAsia" w:ascii="Times New Roman" w:hAnsi="Times New Roman" w:eastAsia="宋体" w:cs="Times New Roman"/>
                <w:sz w:val="24"/>
                <w:szCs w:val="24"/>
                <w:lang w:eastAsia="zh-CN"/>
              </w:rPr>
              <w:t>右的操作间内对牛胴体进行剔骨分割，从而完成不同部位鲜肉的分类、定级、便于出售，剔除的牛骨作为副产品外售。该过程</w:t>
            </w:r>
            <w:r>
              <w:rPr>
                <w:rFonts w:hint="eastAsia"/>
                <w:sz w:val="24"/>
                <w:szCs w:val="24"/>
              </w:rPr>
              <w:t>机械设备切割机将产生噪声</w:t>
            </w:r>
            <w:r>
              <w:rPr>
                <w:rFonts w:hint="eastAsia"/>
                <w:sz w:val="24"/>
                <w:szCs w:val="24"/>
                <w:lang w:val="en-US" w:eastAsia="zh-CN"/>
              </w:rPr>
              <w:t>。</w:t>
            </w:r>
          </w:p>
          <w:p w14:paraId="12DD9750">
            <w:pPr>
              <w:numPr>
                <w:ilvl w:val="0"/>
                <w:numId w:val="0"/>
              </w:numPr>
              <w:spacing w:line="360" w:lineRule="auto"/>
              <w:ind w:firstLine="516" w:firstLineChars="200"/>
              <w:rPr>
                <w:rFonts w:hint="eastAsia" w:ascii="Times New Roman" w:hAnsi="Times New Roman" w:eastAsia="宋体" w:cs="Times New Roman"/>
                <w:color w:val="auto"/>
                <w:spacing w:val="9"/>
                <w:sz w:val="24"/>
                <w:szCs w:val="24"/>
                <w:lang w:val="en-US" w:eastAsia="zh-CN"/>
              </w:rPr>
            </w:pPr>
            <w:r>
              <w:rPr>
                <w:rFonts w:hint="eastAsia" w:ascii="Times New Roman" w:hAnsi="Times New Roman" w:eastAsia="宋体" w:cs="Times New Roman"/>
                <w:color w:val="auto"/>
                <w:spacing w:val="9"/>
                <w:sz w:val="24"/>
                <w:szCs w:val="24"/>
                <w:lang w:eastAsia="zh-CN"/>
              </w:rPr>
              <w:t>多次检验过程产生的不合格品交由溆浦永福盛生物科技有限公司收集无害化处理。屠宰车间加工过程将产生臭气和牛胃内容物</w:t>
            </w:r>
            <w:r>
              <w:rPr>
                <w:rFonts w:hint="eastAsia" w:ascii="Times New Roman" w:hAnsi="Times New Roman" w:eastAsia="宋体" w:cs="Times New Roman"/>
                <w:color w:val="auto"/>
                <w:spacing w:val="9"/>
                <w:sz w:val="24"/>
                <w:szCs w:val="24"/>
                <w:lang w:val="en-US" w:eastAsia="zh-CN"/>
              </w:rPr>
              <w:t>。</w:t>
            </w:r>
          </w:p>
          <w:p w14:paraId="22C07CA1">
            <w:pPr>
              <w:numPr>
                <w:ilvl w:val="0"/>
                <w:numId w:val="0"/>
              </w:numPr>
              <w:bidi w:val="0"/>
              <w:ind w:left="0" w:leftChars="0" w:firstLine="516" w:firstLineChars="200"/>
              <w:jc w:val="left"/>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rPr>
              <w:t>本项目</w:t>
            </w:r>
            <w:r>
              <w:rPr>
                <w:rFonts w:hint="eastAsia" w:ascii="Times New Roman" w:hAnsi="Times New Roman" w:eastAsia="宋体" w:cs="Times New Roman"/>
                <w:color w:val="auto"/>
                <w:spacing w:val="9"/>
                <w:sz w:val="24"/>
                <w:szCs w:val="24"/>
                <w:lang w:eastAsia="zh-CN"/>
              </w:rPr>
              <w:t>肉牛</w:t>
            </w:r>
            <w:r>
              <w:rPr>
                <w:rFonts w:hint="default" w:ascii="Times New Roman" w:hAnsi="Times New Roman" w:eastAsia="宋体" w:cs="Times New Roman"/>
                <w:color w:val="auto"/>
                <w:spacing w:val="9"/>
                <w:sz w:val="24"/>
                <w:szCs w:val="24"/>
              </w:rPr>
              <w:t>屠宰过程中产生的内脏及分割产生的各个肢体部位直接外卖，项目内不进行剥皮和其他处理。屠宰过程中所需热水由</w:t>
            </w:r>
            <w:r>
              <w:rPr>
                <w:rFonts w:hint="eastAsia" w:ascii="Times New Roman" w:hAnsi="Times New Roman" w:eastAsia="宋体" w:cs="Times New Roman"/>
                <w:color w:val="auto"/>
                <w:spacing w:val="9"/>
                <w:sz w:val="24"/>
                <w:szCs w:val="24"/>
                <w:lang w:val="en-US" w:eastAsia="zh-CN"/>
              </w:rPr>
              <w:t>电</w:t>
            </w:r>
            <w:r>
              <w:rPr>
                <w:rFonts w:hint="default" w:ascii="Times New Roman" w:hAnsi="Times New Roman" w:eastAsia="宋体" w:cs="Times New Roman"/>
                <w:color w:val="auto"/>
                <w:spacing w:val="9"/>
                <w:sz w:val="24"/>
                <w:szCs w:val="24"/>
              </w:rPr>
              <w:t>锅炉提供。</w:t>
            </w:r>
          </w:p>
          <w:p w14:paraId="566E0289">
            <w:pPr>
              <w:numPr>
                <w:ilvl w:val="0"/>
                <w:numId w:val="0"/>
              </w:numPr>
              <w:bidi w:val="0"/>
              <w:ind w:left="0" w:leftChars="0" w:firstLine="480" w:firstLineChars="200"/>
              <w:jc w:val="left"/>
              <w:rPr>
                <w:rFonts w:hint="eastAsia" w:asciiTheme="minorEastAsia" w:hAnsiTheme="minorEastAsia" w:eastAsiaTheme="minorEastAsia" w:cstheme="minorEastAsia"/>
                <w:b w:val="0"/>
                <w:bCs w:val="0"/>
                <w:color w:val="auto"/>
                <w:u w:val="none" w:color="auto"/>
                <w:lang w:val="en-US" w:eastAsia="zh-CN"/>
              </w:rPr>
            </w:pPr>
            <w:r>
              <w:rPr>
                <w:rFonts w:hint="eastAsia" w:cs="Times New Roman"/>
                <w:color w:val="auto"/>
                <w:u w:val="none" w:color="auto"/>
                <w:lang w:val="en-US" w:eastAsia="zh-CN"/>
              </w:rPr>
              <w:t>3、</w:t>
            </w:r>
            <w:r>
              <w:rPr>
                <w:rFonts w:hint="eastAsia" w:asciiTheme="minorEastAsia" w:hAnsiTheme="minorEastAsia" w:eastAsiaTheme="minorEastAsia" w:cstheme="minorEastAsia"/>
                <w:b w:val="0"/>
                <w:bCs w:val="0"/>
                <w:color w:val="auto"/>
                <w:u w:val="none" w:color="auto"/>
                <w:lang w:val="en-US" w:eastAsia="zh-CN"/>
              </w:rPr>
              <w:t>肉鸡/肉鸭/肉鹅屠宰工艺流程</w:t>
            </w:r>
          </w:p>
          <w:p w14:paraId="68870152">
            <w:pPr>
              <w:numPr>
                <w:ilvl w:val="0"/>
                <w:numId w:val="0"/>
              </w:numPr>
              <w:bidi w:val="0"/>
              <w:ind w:left="0" w:leftChars="0" w:firstLine="482" w:firstLineChars="200"/>
              <w:jc w:val="left"/>
              <w:rPr>
                <w:rFonts w:hint="default" w:asciiTheme="minorEastAsia" w:hAnsiTheme="minorEastAsia" w:eastAsiaTheme="minorEastAsia" w:cstheme="minorEastAsia"/>
                <w:b w:val="0"/>
                <w:bCs w:val="0"/>
                <w:color w:val="auto"/>
                <w:u w:val="none" w:color="auto"/>
                <w:lang w:val="en-US" w:eastAsia="zh-CN"/>
              </w:rPr>
            </w:pPr>
            <w:r>
              <w:rPr>
                <w:rFonts w:hint="eastAsia" w:asciiTheme="minorEastAsia" w:hAnsiTheme="minorEastAsia" w:eastAsiaTheme="minorEastAsia" w:cstheme="minorEastAsia"/>
                <w:b/>
                <w:bCs/>
                <w:color w:val="auto"/>
                <w:u w:val="none" w:color="auto"/>
                <w:lang w:val="en-US" w:eastAsia="zh-CN"/>
              </w:rPr>
              <w:t>肉鸡肉鸭肉鹅屠宰工艺一致，仅屠宰物种不一致</w:t>
            </w:r>
            <w:r>
              <w:rPr>
                <w:rFonts w:hint="eastAsia" w:asciiTheme="minorEastAsia" w:hAnsiTheme="minorEastAsia" w:eastAsiaTheme="minorEastAsia" w:cstheme="minorEastAsia"/>
                <w:b w:val="0"/>
                <w:bCs w:val="0"/>
                <w:color w:val="auto"/>
                <w:u w:val="none" w:color="auto"/>
                <w:lang w:val="en-US" w:eastAsia="zh-CN"/>
              </w:rPr>
              <w:t>，本项目以屠宰肉鸡工艺进行描述分析。</w:t>
            </w:r>
          </w:p>
          <w:p w14:paraId="7390B661">
            <w:pPr>
              <w:numPr>
                <w:ilvl w:val="0"/>
                <w:numId w:val="0"/>
              </w:numPr>
              <w:bidi w:val="0"/>
              <w:ind w:left="0" w:leftChars="0" w:firstLine="0" w:firstLineChars="0"/>
              <w:jc w:val="center"/>
            </w:pPr>
            <w:r>
              <w:object>
                <v:shape id="_x0000_i1028" o:spt="75" type="#_x0000_t75" style="height:381.15pt;width:380.25pt;" o:ole="t" filled="f" o:preferrelative="t" stroked="f" coordsize="21600,21600">
                  <v:path/>
                  <v:fill on="f" focussize="0,0"/>
                  <v:stroke on="f"/>
                  <v:imagedata r:id="rId24" o:title=""/>
                  <o:lock v:ext="edit" aspectratio="t"/>
                  <w10:wrap type="none"/>
                  <w10:anchorlock/>
                </v:shape>
                <o:OLEObject Type="Embed" ProgID="Visio.Drawing.11" ShapeID="_x0000_i1028" DrawAspect="Content" ObjectID="_1468075728" r:id="rId23">
                  <o:LockedField>false</o:LockedField>
                </o:OLEObject>
              </w:object>
            </w:r>
          </w:p>
          <w:p w14:paraId="29A439F0">
            <w:pPr>
              <w:numPr>
                <w:ilvl w:val="0"/>
                <w:numId w:val="0"/>
              </w:numPr>
              <w:bidi w:val="0"/>
              <w:ind w:left="0" w:leftChars="0" w:firstLine="0" w:firstLineChars="0"/>
              <w:jc w:val="center"/>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b w:val="0"/>
                <w:bCs w:val="0"/>
                <w:color w:val="auto"/>
                <w:szCs w:val="21"/>
                <w:u w:val="none"/>
              </w:rPr>
              <w:t>图</w:t>
            </w:r>
            <w:r>
              <w:rPr>
                <w:rFonts w:hint="eastAsia" w:ascii="Times New Roman" w:hAnsi="Times New Roman" w:eastAsia="宋体" w:cs="Times New Roman"/>
                <w:b w:val="0"/>
                <w:bCs w:val="0"/>
                <w:color w:val="auto"/>
                <w:szCs w:val="21"/>
                <w:u w:val="none"/>
                <w:lang w:val="en-US" w:eastAsia="zh-CN"/>
              </w:rPr>
              <w:t>2.3-</w:t>
            </w:r>
            <w:r>
              <w:rPr>
                <w:rFonts w:hint="eastAsia" w:cs="Times New Roman"/>
                <w:b w:val="0"/>
                <w:bCs w:val="0"/>
                <w:color w:val="auto"/>
                <w:szCs w:val="21"/>
                <w:u w:val="none"/>
                <w:lang w:val="en-US" w:eastAsia="zh-CN"/>
              </w:rPr>
              <w:t>4</w:t>
            </w:r>
            <w:r>
              <w:rPr>
                <w:rFonts w:hint="eastAsia" w:ascii="Times New Roman" w:hAnsi="Times New Roman" w:eastAsia="宋体" w:cs="Times New Roman"/>
                <w:b w:val="0"/>
                <w:bCs w:val="0"/>
                <w:color w:val="auto"/>
                <w:szCs w:val="21"/>
                <w:u w:val="none"/>
                <w:lang w:val="en-US" w:eastAsia="zh-CN"/>
              </w:rPr>
              <w:t xml:space="preserve"> </w:t>
            </w:r>
            <w:r>
              <w:rPr>
                <w:rFonts w:hint="default" w:ascii="Times New Roman" w:hAnsi="Times New Roman" w:eastAsia="宋体" w:cs="Times New Roman"/>
                <w:b w:val="0"/>
                <w:bCs w:val="0"/>
                <w:color w:val="auto"/>
                <w:szCs w:val="21"/>
                <w:u w:val="none"/>
              </w:rPr>
              <w:t>营运期</w:t>
            </w:r>
            <w:r>
              <w:rPr>
                <w:rFonts w:hint="eastAsia" w:cs="Times New Roman"/>
                <w:b w:val="0"/>
                <w:bCs w:val="0"/>
                <w:color w:val="auto"/>
                <w:szCs w:val="21"/>
                <w:u w:val="none"/>
                <w:lang w:val="en-US" w:eastAsia="zh-CN"/>
              </w:rPr>
              <w:t>肉鸡</w:t>
            </w:r>
            <w:r>
              <w:rPr>
                <w:rFonts w:hint="eastAsia" w:ascii="Times New Roman" w:hAnsi="Times New Roman" w:eastAsia="宋体" w:cs="Times New Roman"/>
                <w:b w:val="0"/>
                <w:bCs w:val="0"/>
                <w:color w:val="auto"/>
                <w:szCs w:val="21"/>
                <w:u w:val="none"/>
                <w:lang w:eastAsia="zh-CN"/>
              </w:rPr>
              <w:t>屠宰</w:t>
            </w:r>
            <w:r>
              <w:rPr>
                <w:rFonts w:hint="default" w:ascii="Times New Roman" w:hAnsi="Times New Roman" w:eastAsia="宋体" w:cs="Times New Roman"/>
                <w:b w:val="0"/>
                <w:bCs w:val="0"/>
                <w:color w:val="auto"/>
                <w:szCs w:val="21"/>
                <w:u w:val="none"/>
              </w:rPr>
              <w:t>工艺流程及产污环节图</w:t>
            </w:r>
          </w:p>
          <w:p w14:paraId="2D985DC2">
            <w:pPr>
              <w:adjustRightInd w:val="0"/>
              <w:snapToGrid w:val="0"/>
              <w:spacing w:line="360" w:lineRule="auto"/>
              <w:rPr>
                <w:rFonts w:hint="default" w:ascii="Times New Roman" w:hAnsi="Times New Roman" w:eastAsia="宋体" w:cs="Times New Roman"/>
                <w:b w:val="0"/>
                <w:bCs w:val="0"/>
                <w:color w:val="auto"/>
                <w:sz w:val="24"/>
                <w:u w:val="none"/>
              </w:rPr>
            </w:pPr>
            <w:r>
              <w:rPr>
                <w:rFonts w:hint="eastAsia" w:cs="Times New Roman"/>
                <w:b w:val="0"/>
                <w:bCs w:val="0"/>
                <w:color w:val="auto"/>
                <w:sz w:val="24"/>
                <w:u w:val="none"/>
                <w:lang w:val="en-US" w:eastAsia="zh-CN"/>
              </w:rPr>
              <w:t>肉鸡</w:t>
            </w:r>
            <w:r>
              <w:rPr>
                <w:rFonts w:hint="eastAsia" w:ascii="Times New Roman" w:hAnsi="Times New Roman" w:eastAsia="宋体" w:cs="Times New Roman"/>
                <w:b w:val="0"/>
                <w:bCs w:val="0"/>
                <w:color w:val="auto"/>
                <w:sz w:val="24"/>
                <w:u w:val="none"/>
                <w:lang w:eastAsia="zh-CN"/>
              </w:rPr>
              <w:t>屠宰</w:t>
            </w:r>
            <w:r>
              <w:rPr>
                <w:rFonts w:hint="default" w:ascii="Times New Roman" w:hAnsi="Times New Roman" w:eastAsia="宋体" w:cs="Times New Roman"/>
                <w:b w:val="0"/>
                <w:bCs w:val="0"/>
                <w:color w:val="auto"/>
                <w:sz w:val="24"/>
                <w:u w:val="none"/>
              </w:rPr>
              <w:t>生产工艺流程简述（吊挂提升等不涉及产污节点的生产工序适当简化或合并表述）：</w:t>
            </w:r>
          </w:p>
          <w:p w14:paraId="14E563F3">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lang w:val="en-US" w:eastAsia="zh-CN"/>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1</w:t>
            </w:r>
            <w:r>
              <w:rPr>
                <w:rFonts w:hint="eastAsia" w:ascii="Times New Roman" w:hAnsi="Times New Roman" w:eastAsia="宋体" w:cs="Times New Roman"/>
                <w:color w:val="auto"/>
                <w:spacing w:val="9"/>
                <w:sz w:val="24"/>
                <w:szCs w:val="24"/>
                <w:lang w:eastAsia="zh-CN"/>
              </w:rPr>
              <w:t>）待宰、饮水</w:t>
            </w:r>
          </w:p>
          <w:p w14:paraId="625F78D7">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lang w:val="en-US" w:eastAsia="zh-CN"/>
              </w:rPr>
              <w:t>购进合格</w:t>
            </w:r>
            <w:r>
              <w:rPr>
                <w:rFonts w:hint="eastAsia" w:cs="Times New Roman"/>
                <w:color w:val="auto"/>
                <w:spacing w:val="9"/>
                <w:sz w:val="24"/>
                <w:szCs w:val="24"/>
                <w:lang w:val="en-US" w:eastAsia="zh-CN"/>
              </w:rPr>
              <w:t>肉鸡</w:t>
            </w:r>
            <w:r>
              <w:rPr>
                <w:rFonts w:hint="default" w:ascii="Times New Roman" w:hAnsi="Times New Roman" w:eastAsia="宋体" w:cs="Times New Roman"/>
                <w:color w:val="auto"/>
                <w:spacing w:val="9"/>
                <w:sz w:val="24"/>
                <w:szCs w:val="24"/>
                <w:lang w:val="en-US" w:eastAsia="zh-CN"/>
              </w:rPr>
              <w:t>卸</w:t>
            </w:r>
            <w:r>
              <w:rPr>
                <w:rFonts w:hint="eastAsia" w:cs="Times New Roman"/>
                <w:color w:val="auto"/>
                <w:spacing w:val="9"/>
                <w:sz w:val="24"/>
                <w:szCs w:val="24"/>
                <w:lang w:val="en-US" w:eastAsia="zh-CN"/>
              </w:rPr>
              <w:t>车</w:t>
            </w:r>
            <w:r>
              <w:rPr>
                <w:rFonts w:hint="default" w:ascii="Times New Roman" w:hAnsi="Times New Roman" w:eastAsia="宋体" w:cs="Times New Roman"/>
                <w:color w:val="auto"/>
                <w:spacing w:val="9"/>
                <w:sz w:val="24"/>
                <w:szCs w:val="24"/>
                <w:lang w:val="en-US" w:eastAsia="zh-CN"/>
              </w:rPr>
              <w:t>后，宰前在待宰</w:t>
            </w:r>
            <w:r>
              <w:rPr>
                <w:rFonts w:hint="eastAsia" w:ascii="Times New Roman" w:hAnsi="Times New Roman" w:eastAsia="宋体" w:cs="Times New Roman"/>
                <w:color w:val="auto"/>
                <w:spacing w:val="9"/>
                <w:sz w:val="24"/>
                <w:szCs w:val="24"/>
                <w:lang w:val="en-US" w:eastAsia="zh-CN"/>
              </w:rPr>
              <w:t>间</w:t>
            </w:r>
            <w:r>
              <w:rPr>
                <w:rFonts w:hint="default" w:ascii="Times New Roman" w:hAnsi="Times New Roman" w:eastAsia="宋体" w:cs="Times New Roman"/>
                <w:color w:val="auto"/>
                <w:spacing w:val="9"/>
                <w:sz w:val="24"/>
                <w:szCs w:val="24"/>
                <w:lang w:val="en-US" w:eastAsia="zh-CN"/>
              </w:rPr>
              <w:t>停食静养12-24小时，以便消除运输途中的疲劳，恢复正常的生理状态，排除积蓄在体内的代谢产物，提高肉品质量。宰前3</w:t>
            </w:r>
            <w:r>
              <w:rPr>
                <w:rFonts w:hint="eastAsia" w:ascii="Times New Roman" w:hAnsi="Times New Roman" w:eastAsia="宋体" w:cs="Times New Roman"/>
                <w:color w:val="auto"/>
                <w:spacing w:val="9"/>
                <w:sz w:val="24"/>
                <w:szCs w:val="24"/>
                <w:lang w:val="en-US" w:eastAsia="zh-CN"/>
              </w:rPr>
              <w:t xml:space="preserve"> </w:t>
            </w:r>
            <w:r>
              <w:rPr>
                <w:rFonts w:hint="default" w:ascii="Times New Roman" w:hAnsi="Times New Roman" w:eastAsia="宋体" w:cs="Times New Roman"/>
                <w:color w:val="auto"/>
                <w:spacing w:val="9"/>
                <w:sz w:val="24"/>
                <w:szCs w:val="24"/>
                <w:lang w:val="en-US" w:eastAsia="zh-CN"/>
              </w:rPr>
              <w:t>h充分喂水以利于宰后胴体达到尸僵时能降低pH值，抑制微生物的繁殖，防止胴体被污染。待宰间主要会产生恶臭、</w:t>
            </w:r>
            <w:r>
              <w:rPr>
                <w:rFonts w:hint="eastAsia" w:cs="Times New Roman"/>
                <w:color w:val="auto"/>
                <w:spacing w:val="9"/>
                <w:sz w:val="24"/>
                <w:szCs w:val="24"/>
                <w:lang w:val="en-US" w:eastAsia="zh-CN"/>
              </w:rPr>
              <w:t>肉鸡</w:t>
            </w:r>
            <w:r>
              <w:rPr>
                <w:rFonts w:hint="default" w:ascii="Times New Roman" w:hAnsi="Times New Roman" w:eastAsia="宋体" w:cs="Times New Roman"/>
                <w:color w:val="auto"/>
                <w:spacing w:val="9"/>
                <w:sz w:val="24"/>
                <w:szCs w:val="24"/>
                <w:lang w:val="en-US" w:eastAsia="zh-CN"/>
              </w:rPr>
              <w:t>粪</w:t>
            </w:r>
            <w:r>
              <w:rPr>
                <w:rFonts w:hint="eastAsia" w:ascii="Times New Roman" w:hAnsi="Times New Roman" w:eastAsia="宋体" w:cs="Times New Roman"/>
                <w:color w:val="auto"/>
                <w:spacing w:val="9"/>
                <w:sz w:val="24"/>
                <w:szCs w:val="24"/>
                <w:lang w:val="en-US" w:eastAsia="zh-CN"/>
              </w:rPr>
              <w:t>、</w:t>
            </w:r>
            <w:r>
              <w:rPr>
                <w:rFonts w:hint="eastAsia" w:cs="Times New Roman"/>
                <w:color w:val="auto"/>
                <w:spacing w:val="9"/>
                <w:sz w:val="24"/>
                <w:szCs w:val="24"/>
                <w:lang w:val="en-US" w:eastAsia="zh-CN"/>
              </w:rPr>
              <w:t>肉鸡</w:t>
            </w:r>
            <w:r>
              <w:rPr>
                <w:rFonts w:hint="eastAsia" w:ascii="Times New Roman" w:hAnsi="Times New Roman" w:eastAsia="宋体" w:cs="Times New Roman"/>
                <w:color w:val="auto"/>
                <w:spacing w:val="9"/>
                <w:sz w:val="24"/>
                <w:szCs w:val="24"/>
                <w:lang w:val="en-US" w:eastAsia="zh-CN"/>
              </w:rPr>
              <w:t>尿水、</w:t>
            </w:r>
            <w:r>
              <w:rPr>
                <w:rFonts w:hint="eastAsia" w:cs="Times New Roman"/>
                <w:color w:val="auto"/>
                <w:spacing w:val="9"/>
                <w:sz w:val="24"/>
                <w:szCs w:val="24"/>
                <w:lang w:val="en-US" w:eastAsia="zh-CN"/>
              </w:rPr>
              <w:t>肉鸡</w:t>
            </w:r>
            <w:r>
              <w:rPr>
                <w:rFonts w:hint="default" w:ascii="Times New Roman" w:hAnsi="Times New Roman" w:eastAsia="宋体" w:cs="Times New Roman"/>
                <w:color w:val="auto"/>
                <w:spacing w:val="9"/>
                <w:sz w:val="24"/>
                <w:szCs w:val="24"/>
                <w:lang w:val="en-US" w:eastAsia="zh-CN"/>
              </w:rPr>
              <w:t>叫声</w:t>
            </w:r>
            <w:r>
              <w:rPr>
                <w:rFonts w:hint="default" w:ascii="Times New Roman" w:hAnsi="Times New Roman" w:eastAsia="宋体" w:cs="Times New Roman"/>
                <w:color w:val="auto"/>
                <w:spacing w:val="9"/>
                <w:sz w:val="24"/>
                <w:szCs w:val="24"/>
              </w:rPr>
              <w:t>。</w:t>
            </w:r>
          </w:p>
          <w:p w14:paraId="56A98B65">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2</w:t>
            </w:r>
            <w:r>
              <w:rPr>
                <w:rFonts w:hint="eastAsia" w:ascii="Times New Roman" w:hAnsi="Times New Roman" w:eastAsia="宋体" w:cs="Times New Roman"/>
                <w:color w:val="auto"/>
                <w:spacing w:val="9"/>
                <w:sz w:val="24"/>
                <w:szCs w:val="24"/>
                <w:lang w:eastAsia="zh-CN"/>
              </w:rPr>
              <w:t>）淋浴</w:t>
            </w:r>
          </w:p>
          <w:p w14:paraId="1094B230">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rPr>
              <w:t>宰前给</w:t>
            </w:r>
            <w:r>
              <w:rPr>
                <w:rFonts w:hint="eastAsia" w:cs="Times New Roman"/>
                <w:color w:val="auto"/>
                <w:spacing w:val="9"/>
                <w:sz w:val="24"/>
                <w:szCs w:val="24"/>
                <w:lang w:val="en-US" w:eastAsia="zh-CN"/>
              </w:rPr>
              <w:t>肉鸡</w:t>
            </w:r>
            <w:r>
              <w:rPr>
                <w:rFonts w:hint="default" w:ascii="Times New Roman" w:hAnsi="Times New Roman" w:eastAsia="宋体" w:cs="Times New Roman"/>
                <w:color w:val="auto"/>
                <w:spacing w:val="9"/>
                <w:sz w:val="24"/>
                <w:szCs w:val="24"/>
              </w:rPr>
              <w:t>进行淋浴，洗掉</w:t>
            </w:r>
            <w:r>
              <w:rPr>
                <w:rFonts w:hint="eastAsia" w:cs="Times New Roman"/>
                <w:color w:val="auto"/>
                <w:spacing w:val="9"/>
                <w:sz w:val="24"/>
                <w:szCs w:val="24"/>
                <w:lang w:val="en-US" w:eastAsia="zh-CN"/>
              </w:rPr>
              <w:t>肉鸡身</w:t>
            </w:r>
            <w:r>
              <w:rPr>
                <w:rFonts w:hint="default" w:ascii="Times New Roman" w:hAnsi="Times New Roman" w:eastAsia="宋体" w:cs="Times New Roman"/>
                <w:color w:val="auto"/>
                <w:spacing w:val="9"/>
                <w:sz w:val="24"/>
                <w:szCs w:val="24"/>
              </w:rPr>
              <w:t>上的污垢和微生物，水温以20</w:t>
            </w:r>
            <w:r>
              <w:rPr>
                <w:rFonts w:hint="eastAsia" w:ascii="Times New Roman" w:hAnsi="Times New Roman" w:eastAsia="宋体" w:cs="Times New Roman"/>
                <w:color w:val="auto"/>
                <w:spacing w:val="9"/>
                <w:sz w:val="24"/>
                <w:szCs w:val="24"/>
                <w:lang w:val="en-US" w:eastAsia="zh-CN"/>
              </w:rPr>
              <w:t xml:space="preserve"> </w:t>
            </w:r>
            <w:r>
              <w:rPr>
                <w:rFonts w:hint="default" w:ascii="Times New Roman" w:hAnsi="Times New Roman" w:eastAsia="宋体" w:cs="Times New Roman"/>
                <w:color w:val="auto"/>
                <w:spacing w:val="9"/>
                <w:sz w:val="24"/>
                <w:szCs w:val="24"/>
              </w:rPr>
              <w:t>℃为宜，这样可以减少污染，保证放血效果。该过程会产生冲淋废水。</w:t>
            </w:r>
          </w:p>
          <w:p w14:paraId="1D966F0C">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default" w:ascii="Times New Roman" w:hAnsi="Times New Roman" w:eastAsia="宋体" w:cs="Times New Roman"/>
                <w:color w:val="auto"/>
                <w:spacing w:val="9"/>
                <w:sz w:val="24"/>
                <w:szCs w:val="24"/>
              </w:rPr>
            </w:pP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3</w:t>
            </w: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刺</w:t>
            </w:r>
            <w:r>
              <w:rPr>
                <w:rFonts w:hint="eastAsia" w:ascii="Times New Roman" w:hAnsi="Times New Roman" w:eastAsia="宋体" w:cs="Times New Roman"/>
                <w:color w:val="auto"/>
                <w:spacing w:val="9"/>
                <w:sz w:val="24"/>
                <w:szCs w:val="24"/>
                <w:lang w:eastAsia="zh-CN"/>
              </w:rPr>
              <w:t>杀</w:t>
            </w:r>
            <w:r>
              <w:rPr>
                <w:rFonts w:hint="default" w:ascii="Times New Roman" w:hAnsi="Times New Roman" w:eastAsia="宋体" w:cs="Times New Roman"/>
                <w:color w:val="auto"/>
                <w:spacing w:val="9"/>
                <w:sz w:val="24"/>
                <w:szCs w:val="24"/>
              </w:rPr>
              <w:t>、放血计血</w:t>
            </w:r>
          </w:p>
          <w:p w14:paraId="0391C6F4">
            <w:pPr>
              <w:keepNext w:val="0"/>
              <w:keepLines w:val="0"/>
              <w:pageBreakBefore w:val="0"/>
              <w:widowControl w:val="0"/>
              <w:kinsoku/>
              <w:wordWrap/>
              <w:overflowPunct/>
              <w:topLinePunct w:val="0"/>
              <w:autoSpaceDE/>
              <w:autoSpaceDN/>
              <w:bidi w:val="0"/>
              <w:adjustRightInd/>
              <w:snapToGrid/>
              <w:spacing w:line="360" w:lineRule="auto"/>
              <w:ind w:left="0" w:right="0" w:firstLine="516" w:firstLineChars="200"/>
              <w:textAlignment w:val="auto"/>
              <w:rPr>
                <w:rFonts w:hint="eastAsia" w:ascii="Times New Roman" w:hAnsi="Times New Roman" w:eastAsia="宋体" w:cs="Times New Roman"/>
                <w:color w:val="auto"/>
                <w:spacing w:val="9"/>
                <w:sz w:val="24"/>
                <w:szCs w:val="24"/>
                <w:lang w:eastAsia="zh-CN"/>
              </w:rPr>
            </w:pPr>
            <w:r>
              <w:rPr>
                <w:rFonts w:hint="eastAsia" w:cs="Times New Roman"/>
                <w:color w:val="auto"/>
                <w:spacing w:val="9"/>
                <w:sz w:val="24"/>
                <w:szCs w:val="24"/>
                <w:lang w:val="en-US" w:eastAsia="zh-CN"/>
              </w:rPr>
              <w:t>人工</w:t>
            </w:r>
            <w:r>
              <w:rPr>
                <w:rFonts w:hint="default" w:ascii="Times New Roman" w:hAnsi="Times New Roman" w:eastAsia="宋体" w:cs="Times New Roman"/>
                <w:color w:val="auto"/>
                <w:spacing w:val="9"/>
                <w:sz w:val="24"/>
                <w:szCs w:val="24"/>
              </w:rPr>
              <w:t>将清洗好的</w:t>
            </w:r>
            <w:r>
              <w:rPr>
                <w:rFonts w:hint="eastAsia" w:cs="Times New Roman"/>
                <w:color w:val="auto"/>
                <w:spacing w:val="9"/>
                <w:sz w:val="24"/>
                <w:szCs w:val="24"/>
                <w:lang w:val="en-US" w:eastAsia="zh-CN"/>
              </w:rPr>
              <w:t>肉鸡进行</w:t>
            </w:r>
            <w:r>
              <w:rPr>
                <w:rFonts w:hint="default" w:ascii="Times New Roman" w:hAnsi="Times New Roman" w:eastAsia="宋体" w:cs="Times New Roman"/>
                <w:color w:val="auto"/>
                <w:spacing w:val="9"/>
                <w:sz w:val="24"/>
                <w:szCs w:val="24"/>
              </w:rPr>
              <w:t>持刀刺杀放血。该过程有</w:t>
            </w:r>
            <w:r>
              <w:rPr>
                <w:rFonts w:hint="eastAsia" w:cs="Times New Roman"/>
                <w:color w:val="auto"/>
                <w:spacing w:val="9"/>
                <w:sz w:val="24"/>
                <w:szCs w:val="24"/>
                <w:lang w:val="en-US" w:eastAsia="zh-CN"/>
              </w:rPr>
              <w:t>肉鸡</w:t>
            </w:r>
            <w:r>
              <w:rPr>
                <w:rFonts w:hint="default" w:ascii="Times New Roman" w:hAnsi="Times New Roman" w:eastAsia="宋体" w:cs="Times New Roman"/>
                <w:color w:val="auto"/>
                <w:spacing w:val="9"/>
                <w:sz w:val="24"/>
                <w:szCs w:val="24"/>
              </w:rPr>
              <w:t>血产生，作为副产品外售。该过程会产生短暂的</w:t>
            </w:r>
            <w:r>
              <w:rPr>
                <w:rFonts w:hint="eastAsia" w:cs="Times New Roman"/>
                <w:color w:val="auto"/>
                <w:spacing w:val="9"/>
                <w:sz w:val="24"/>
                <w:szCs w:val="24"/>
                <w:lang w:val="en-US" w:eastAsia="zh-CN"/>
              </w:rPr>
              <w:t>肉鸡</w:t>
            </w:r>
            <w:r>
              <w:rPr>
                <w:rFonts w:hint="default" w:ascii="Times New Roman" w:hAnsi="Times New Roman" w:eastAsia="宋体" w:cs="Times New Roman"/>
                <w:color w:val="auto"/>
                <w:spacing w:val="9"/>
                <w:sz w:val="24"/>
                <w:szCs w:val="24"/>
              </w:rPr>
              <w:t>叫声</w:t>
            </w:r>
            <w:r>
              <w:rPr>
                <w:rFonts w:hint="eastAsia" w:ascii="Times New Roman" w:hAnsi="Times New Roman" w:eastAsia="宋体" w:cs="Times New Roman"/>
                <w:color w:val="auto"/>
                <w:spacing w:val="9"/>
                <w:sz w:val="24"/>
                <w:szCs w:val="24"/>
                <w:lang w:eastAsia="zh-CN"/>
              </w:rPr>
              <w:t>。</w:t>
            </w:r>
          </w:p>
          <w:p w14:paraId="69D8FFEF">
            <w:pPr>
              <w:spacing w:line="360" w:lineRule="auto"/>
              <w:ind w:firstLine="482"/>
              <w:rPr>
                <w:sz w:val="24"/>
                <w:szCs w:val="24"/>
              </w:rPr>
            </w:pPr>
            <w:r>
              <w:rPr>
                <w:rFonts w:hint="eastAsia" w:ascii="Times New Roman" w:hAnsi="Times New Roman" w:eastAsia="宋体" w:cs="Times New Roman"/>
                <w:color w:val="auto"/>
                <w:spacing w:val="9"/>
                <w:sz w:val="24"/>
                <w:szCs w:val="24"/>
                <w:lang w:eastAsia="zh-CN"/>
              </w:rPr>
              <w:t>（</w:t>
            </w:r>
            <w:r>
              <w:rPr>
                <w:rFonts w:hint="eastAsia" w:ascii="Times New Roman" w:hAnsi="Times New Roman" w:eastAsia="宋体" w:cs="Times New Roman"/>
                <w:color w:val="auto"/>
                <w:spacing w:val="9"/>
                <w:sz w:val="24"/>
                <w:szCs w:val="24"/>
                <w:lang w:val="en-US" w:eastAsia="zh-CN"/>
              </w:rPr>
              <w:t>4</w:t>
            </w:r>
            <w:r>
              <w:rPr>
                <w:rFonts w:hint="eastAsia" w:ascii="Times New Roman" w:hAnsi="Times New Roman" w:eastAsia="宋体" w:cs="Times New Roman"/>
                <w:color w:val="auto"/>
                <w:spacing w:val="9"/>
                <w:sz w:val="24"/>
                <w:szCs w:val="24"/>
                <w:lang w:eastAsia="zh-CN"/>
              </w:rPr>
              <w:t>）头部检验</w:t>
            </w:r>
          </w:p>
          <w:p w14:paraId="4B852D8D">
            <w:pPr>
              <w:spacing w:line="360" w:lineRule="auto"/>
              <w:ind w:firstLine="482"/>
              <w:rPr>
                <w:sz w:val="24"/>
                <w:szCs w:val="24"/>
              </w:rPr>
            </w:pPr>
            <w:r>
              <w:rPr>
                <w:sz w:val="24"/>
                <w:szCs w:val="24"/>
              </w:rPr>
              <w:t>宰杀过</w:t>
            </w:r>
            <w:r>
              <w:rPr>
                <w:rFonts w:hint="eastAsia"/>
                <w:sz w:val="24"/>
                <w:szCs w:val="24"/>
                <w:lang w:val="en-US" w:eastAsia="zh-CN"/>
              </w:rPr>
              <w:t>肉鸡</w:t>
            </w:r>
            <w:r>
              <w:rPr>
                <w:sz w:val="24"/>
                <w:szCs w:val="24"/>
              </w:rPr>
              <w:t>沥血后，进行头部检验，以免患</w:t>
            </w:r>
            <w:r>
              <w:rPr>
                <w:rFonts w:hint="eastAsia"/>
                <w:sz w:val="24"/>
                <w:szCs w:val="24"/>
                <w:lang w:val="en-US" w:eastAsia="zh-CN"/>
              </w:rPr>
              <w:t>有</w:t>
            </w:r>
            <w:r>
              <w:rPr>
                <w:sz w:val="24"/>
                <w:szCs w:val="24"/>
              </w:rPr>
              <w:t>疾病的</w:t>
            </w:r>
            <w:r>
              <w:rPr>
                <w:rFonts w:hint="eastAsia"/>
                <w:sz w:val="24"/>
                <w:szCs w:val="24"/>
                <w:lang w:val="en-US" w:eastAsia="zh-CN"/>
              </w:rPr>
              <w:t>肉鸡</w:t>
            </w:r>
            <w:r>
              <w:rPr>
                <w:sz w:val="24"/>
                <w:szCs w:val="24"/>
              </w:rPr>
              <w:t>进入后续工序。</w:t>
            </w:r>
          </w:p>
          <w:p w14:paraId="7E8F33EF">
            <w:pPr>
              <w:spacing w:line="360" w:lineRule="auto"/>
              <w:ind w:firstLine="482"/>
              <w:rPr>
                <w:rFonts w:hint="eastAsia"/>
                <w:sz w:val="24"/>
                <w:szCs w:val="24"/>
                <w:lang w:eastAsia="zh-CN"/>
              </w:rPr>
            </w:pPr>
            <w:r>
              <w:rPr>
                <w:rFonts w:hint="eastAsia"/>
                <w:sz w:val="24"/>
                <w:szCs w:val="24"/>
                <w:lang w:eastAsia="zh-CN"/>
              </w:rPr>
              <w:t>（</w:t>
            </w:r>
            <w:r>
              <w:rPr>
                <w:sz w:val="24"/>
                <w:szCs w:val="24"/>
              </w:rPr>
              <w:t>5）</w:t>
            </w:r>
            <w:r>
              <w:rPr>
                <w:rFonts w:hint="eastAsia"/>
                <w:sz w:val="24"/>
                <w:szCs w:val="24"/>
              </w:rPr>
              <w:t>热烫、拔鬃（刨毛）</w:t>
            </w:r>
          </w:p>
          <w:p w14:paraId="65786DC6">
            <w:pPr>
              <w:spacing w:line="360" w:lineRule="auto"/>
              <w:ind w:firstLine="482"/>
              <w:rPr>
                <w:sz w:val="24"/>
                <w:szCs w:val="24"/>
              </w:rPr>
            </w:pPr>
            <w:r>
              <w:rPr>
                <w:rFonts w:hint="eastAsia"/>
                <w:sz w:val="24"/>
                <w:szCs w:val="24"/>
              </w:rPr>
              <w:t>通过头部检验的</w:t>
            </w:r>
            <w:r>
              <w:rPr>
                <w:rFonts w:hint="eastAsia"/>
                <w:sz w:val="24"/>
                <w:szCs w:val="24"/>
                <w:lang w:val="en-US" w:eastAsia="zh-CN"/>
              </w:rPr>
              <w:t>肉鸡</w:t>
            </w:r>
            <w:r>
              <w:rPr>
                <w:rFonts w:hint="eastAsia"/>
                <w:sz w:val="24"/>
                <w:szCs w:val="24"/>
              </w:rPr>
              <w:t>体置入烫池一定温度热水浸烫后，再通过</w:t>
            </w:r>
            <w:r>
              <w:rPr>
                <w:rFonts w:hint="eastAsia"/>
                <w:sz w:val="24"/>
                <w:szCs w:val="24"/>
                <w:lang w:val="en-US" w:eastAsia="zh-CN"/>
              </w:rPr>
              <w:t>禽类脱毛机</w:t>
            </w:r>
            <w:r>
              <w:rPr>
                <w:rFonts w:hint="eastAsia"/>
                <w:sz w:val="24"/>
                <w:szCs w:val="24"/>
              </w:rPr>
              <w:t>脱毛拔鬃等。该过程会产生废水</w:t>
            </w:r>
            <w:r>
              <w:rPr>
                <w:sz w:val="24"/>
                <w:szCs w:val="24"/>
              </w:rPr>
              <w:t>。</w:t>
            </w:r>
          </w:p>
          <w:p w14:paraId="3E409F8A">
            <w:pPr>
              <w:spacing w:line="360" w:lineRule="auto"/>
              <w:ind w:firstLine="482"/>
              <w:rPr>
                <w:sz w:val="24"/>
                <w:szCs w:val="24"/>
              </w:rPr>
            </w:pPr>
            <w:r>
              <w:rPr>
                <w:rFonts w:hint="eastAsia"/>
                <w:sz w:val="24"/>
                <w:szCs w:val="24"/>
                <w:lang w:eastAsia="zh-CN"/>
              </w:rPr>
              <w:t>（</w:t>
            </w:r>
            <w:r>
              <w:rPr>
                <w:sz w:val="24"/>
                <w:szCs w:val="24"/>
              </w:rPr>
              <w:t>6）剖腹、取内脏</w:t>
            </w:r>
          </w:p>
          <w:p w14:paraId="648FB86F">
            <w:pPr>
              <w:spacing w:line="360" w:lineRule="auto"/>
              <w:ind w:firstLine="482"/>
              <w:rPr>
                <w:sz w:val="24"/>
                <w:szCs w:val="24"/>
              </w:rPr>
            </w:pPr>
            <w:r>
              <w:rPr>
                <w:sz w:val="24"/>
                <w:szCs w:val="24"/>
              </w:rPr>
              <w:t>脱毛洗净后的</w:t>
            </w:r>
            <w:r>
              <w:rPr>
                <w:rFonts w:hint="eastAsia"/>
                <w:sz w:val="24"/>
                <w:szCs w:val="24"/>
                <w:lang w:val="en-US" w:eastAsia="zh-CN"/>
              </w:rPr>
              <w:t>肉鸡</w:t>
            </w:r>
            <w:r>
              <w:rPr>
                <w:sz w:val="24"/>
                <w:szCs w:val="24"/>
              </w:rPr>
              <w:t>，</w:t>
            </w:r>
            <w:r>
              <w:rPr>
                <w:rFonts w:hint="eastAsia"/>
                <w:sz w:val="24"/>
                <w:szCs w:val="24"/>
                <w:lang w:val="en-US" w:eastAsia="zh-CN"/>
              </w:rPr>
              <w:t>进行人工</w:t>
            </w:r>
            <w:r>
              <w:rPr>
                <w:sz w:val="24"/>
                <w:szCs w:val="24"/>
              </w:rPr>
              <w:t>开膛取内脏。摘取的肠、胃、脾等内脏送下货整理间清洗，经检验不合格者投入废弃桶内。</w:t>
            </w:r>
          </w:p>
          <w:p w14:paraId="2B3B04F4">
            <w:pPr>
              <w:spacing w:line="360" w:lineRule="auto"/>
              <w:ind w:firstLine="482"/>
              <w:rPr>
                <w:rFonts w:hint="eastAsia" w:eastAsia="宋体"/>
                <w:sz w:val="24"/>
                <w:szCs w:val="24"/>
                <w:lang w:eastAsia="zh-CN"/>
              </w:rPr>
            </w:pPr>
            <w:r>
              <w:rPr>
                <w:rFonts w:hint="eastAsia"/>
                <w:sz w:val="24"/>
                <w:szCs w:val="24"/>
                <w:lang w:eastAsia="zh-CN"/>
              </w:rPr>
              <w:t>（</w:t>
            </w:r>
            <w:r>
              <w:rPr>
                <w:sz w:val="24"/>
                <w:szCs w:val="24"/>
              </w:rPr>
              <w:t>7）锯半</w:t>
            </w:r>
            <w:r>
              <w:rPr>
                <w:rFonts w:hint="eastAsia"/>
                <w:sz w:val="24"/>
                <w:szCs w:val="24"/>
                <w:lang w:eastAsia="zh-CN"/>
              </w:rPr>
              <w:t>、去肾脏、冲淋</w:t>
            </w:r>
          </w:p>
          <w:p w14:paraId="2FACEE41">
            <w:pPr>
              <w:spacing w:line="360" w:lineRule="auto"/>
              <w:ind w:firstLine="482"/>
              <w:rPr>
                <w:sz w:val="24"/>
                <w:szCs w:val="24"/>
              </w:rPr>
            </w:pPr>
            <w:r>
              <w:rPr>
                <w:rFonts w:hint="eastAsia"/>
                <w:sz w:val="24"/>
                <w:szCs w:val="24"/>
                <w:lang w:val="en-US" w:eastAsia="zh-CN"/>
              </w:rPr>
              <w:t>人工用屠刀将肉鸡</w:t>
            </w:r>
            <w:r>
              <w:rPr>
                <w:rFonts w:hint="eastAsia"/>
                <w:sz w:val="24"/>
                <w:szCs w:val="24"/>
              </w:rPr>
              <w:t>平均分成两半，去肾脏、板油等整修将产生副产品，此处合并表述。加工的胴体应用水冲洗干净（将产生冲淋废水），以免增加微生物的污染。</w:t>
            </w:r>
          </w:p>
          <w:p w14:paraId="5955BA6B">
            <w:pPr>
              <w:numPr>
                <w:ilvl w:val="0"/>
                <w:numId w:val="5"/>
              </w:numPr>
              <w:spacing w:line="360" w:lineRule="auto"/>
              <w:ind w:firstLine="482"/>
              <w:rPr>
                <w:sz w:val="24"/>
                <w:szCs w:val="24"/>
              </w:rPr>
            </w:pPr>
            <w:r>
              <w:rPr>
                <w:sz w:val="24"/>
                <w:szCs w:val="24"/>
              </w:rPr>
              <w:t>复检</w:t>
            </w:r>
            <w:r>
              <w:rPr>
                <w:rFonts w:hint="eastAsia"/>
                <w:sz w:val="24"/>
                <w:szCs w:val="24"/>
                <w:lang w:eastAsia="zh-CN"/>
              </w:rPr>
              <w:t>、</w:t>
            </w:r>
            <w:r>
              <w:rPr>
                <w:rFonts w:hint="eastAsia"/>
                <w:sz w:val="24"/>
                <w:szCs w:val="24"/>
                <w:lang w:val="en-US" w:eastAsia="zh-CN"/>
              </w:rPr>
              <w:t>盖章</w:t>
            </w:r>
            <w:r>
              <w:rPr>
                <w:sz w:val="24"/>
                <w:szCs w:val="24"/>
              </w:rPr>
              <w:t>、出售</w:t>
            </w:r>
          </w:p>
          <w:p w14:paraId="1C627F01">
            <w:pPr>
              <w:numPr>
                <w:ilvl w:val="0"/>
                <w:numId w:val="0"/>
              </w:numPr>
              <w:spacing w:line="360" w:lineRule="auto"/>
              <w:ind w:firstLine="480" w:firstLineChars="200"/>
              <w:rPr>
                <w:rFonts w:hint="default" w:ascii="Times New Roman" w:hAnsi="Times New Roman" w:eastAsia="宋体" w:cs="Times New Roman"/>
                <w:color w:val="auto"/>
                <w:spacing w:val="9"/>
                <w:sz w:val="24"/>
                <w:szCs w:val="24"/>
                <w:lang w:val="en-US" w:eastAsia="zh-CN"/>
              </w:rPr>
            </w:pPr>
            <w:r>
              <w:rPr>
                <w:sz w:val="24"/>
                <w:szCs w:val="24"/>
              </w:rPr>
              <w:t>将冲洗干净后的胴体进行检验，一般检验采用以“目测观察”为主。检验盖章后</w:t>
            </w:r>
            <w:r>
              <w:rPr>
                <w:rFonts w:hint="eastAsia"/>
                <w:sz w:val="24"/>
                <w:szCs w:val="24"/>
                <w:lang w:eastAsia="zh-CN"/>
              </w:rPr>
              <w:t>称重</w:t>
            </w:r>
            <w:r>
              <w:rPr>
                <w:sz w:val="24"/>
                <w:szCs w:val="24"/>
              </w:rPr>
              <w:t>由购买者运出场出售。</w:t>
            </w:r>
            <w:r>
              <w:rPr>
                <w:rFonts w:hint="eastAsia" w:ascii="Times New Roman" w:hAnsi="Times New Roman" w:eastAsia="宋体" w:cs="Times New Roman"/>
                <w:color w:val="auto"/>
                <w:spacing w:val="9"/>
                <w:sz w:val="24"/>
                <w:szCs w:val="24"/>
                <w:lang w:eastAsia="zh-CN"/>
              </w:rPr>
              <w:t>多次检验过程产生的不合格品交由溆浦永福盛生物科技有限公司收集无害化处理。屠宰车间加工过程将产生臭气和</w:t>
            </w:r>
            <w:r>
              <w:rPr>
                <w:rFonts w:hint="eastAsia" w:cs="Times New Roman"/>
                <w:color w:val="auto"/>
                <w:spacing w:val="9"/>
                <w:sz w:val="24"/>
                <w:szCs w:val="24"/>
                <w:lang w:val="en-US" w:eastAsia="zh-CN"/>
              </w:rPr>
              <w:t>肉鸡</w:t>
            </w:r>
            <w:r>
              <w:rPr>
                <w:rFonts w:hint="eastAsia" w:ascii="Times New Roman" w:hAnsi="Times New Roman" w:eastAsia="宋体" w:cs="Times New Roman"/>
                <w:color w:val="auto"/>
                <w:spacing w:val="9"/>
                <w:sz w:val="24"/>
                <w:szCs w:val="24"/>
                <w:lang w:eastAsia="zh-CN"/>
              </w:rPr>
              <w:t>胃内容物</w:t>
            </w:r>
            <w:r>
              <w:rPr>
                <w:rFonts w:hint="eastAsia" w:ascii="Times New Roman" w:hAnsi="Times New Roman" w:eastAsia="宋体" w:cs="Times New Roman"/>
                <w:color w:val="auto"/>
                <w:spacing w:val="9"/>
                <w:sz w:val="24"/>
                <w:szCs w:val="24"/>
                <w:lang w:val="en-US" w:eastAsia="zh-CN"/>
              </w:rPr>
              <w:t>。</w:t>
            </w:r>
          </w:p>
          <w:p w14:paraId="37F5BCE2">
            <w:pPr>
              <w:numPr>
                <w:ilvl w:val="0"/>
                <w:numId w:val="0"/>
              </w:numPr>
              <w:bidi w:val="0"/>
              <w:ind w:left="0" w:leftChars="0" w:firstLine="516" w:firstLineChars="200"/>
              <w:jc w:val="left"/>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rPr>
              <w:t>本项目</w:t>
            </w:r>
            <w:r>
              <w:rPr>
                <w:rFonts w:hint="eastAsia" w:cs="Times New Roman"/>
                <w:color w:val="auto"/>
                <w:spacing w:val="9"/>
                <w:sz w:val="24"/>
                <w:szCs w:val="24"/>
                <w:lang w:val="en-US" w:eastAsia="zh-CN"/>
              </w:rPr>
              <w:t>肉鸡</w:t>
            </w:r>
            <w:r>
              <w:rPr>
                <w:rFonts w:hint="default" w:ascii="Times New Roman" w:hAnsi="Times New Roman" w:eastAsia="宋体" w:cs="Times New Roman"/>
                <w:color w:val="auto"/>
                <w:spacing w:val="9"/>
                <w:sz w:val="24"/>
                <w:szCs w:val="24"/>
              </w:rPr>
              <w:t>屠宰过程中产生的内脏及分割产生的各个肢体部位直接外卖，项目内不进行剥皮和其他处理。浸烫脱毛及屠宰过程中所需热水由</w:t>
            </w:r>
            <w:r>
              <w:rPr>
                <w:rFonts w:hint="eastAsia" w:ascii="Times New Roman" w:hAnsi="Times New Roman" w:eastAsia="宋体" w:cs="Times New Roman"/>
                <w:color w:val="auto"/>
                <w:spacing w:val="9"/>
                <w:sz w:val="24"/>
                <w:szCs w:val="24"/>
                <w:lang w:val="en-US" w:eastAsia="zh-CN"/>
              </w:rPr>
              <w:t>电</w:t>
            </w:r>
            <w:r>
              <w:rPr>
                <w:rFonts w:hint="default" w:ascii="Times New Roman" w:hAnsi="Times New Roman" w:eastAsia="宋体" w:cs="Times New Roman"/>
                <w:color w:val="auto"/>
                <w:spacing w:val="9"/>
                <w:sz w:val="24"/>
                <w:szCs w:val="24"/>
              </w:rPr>
              <w:t>锅炉提供。</w:t>
            </w:r>
          </w:p>
          <w:p w14:paraId="51CEF49F">
            <w:pPr>
              <w:pStyle w:val="11"/>
              <w:rPr>
                <w:rFonts w:hint="default" w:cs="Times New Roman"/>
                <w:color w:val="auto"/>
                <w:spacing w:val="9"/>
                <w:kern w:val="2"/>
                <w:sz w:val="24"/>
                <w:szCs w:val="24"/>
                <w:lang w:val="en-US" w:eastAsia="zh-CN"/>
              </w:rPr>
            </w:pPr>
            <w:r>
              <w:rPr>
                <w:rFonts w:hint="eastAsia"/>
                <w:lang w:val="en-US" w:eastAsia="zh-CN"/>
              </w:rPr>
              <w:t>4、</w:t>
            </w:r>
            <w:r>
              <w:rPr>
                <w:rFonts w:hint="default" w:cs="Times New Roman"/>
                <w:color w:val="auto"/>
                <w:spacing w:val="9"/>
                <w:kern w:val="2"/>
                <w:sz w:val="24"/>
                <w:szCs w:val="24"/>
                <w:lang w:val="en-US" w:eastAsia="zh-CN"/>
              </w:rPr>
              <w:t>检疫室及实验室工作内容</w:t>
            </w:r>
          </w:p>
          <w:p w14:paraId="6D144016">
            <w:pPr>
              <w:numPr>
                <w:ilvl w:val="0"/>
                <w:numId w:val="0"/>
              </w:numPr>
              <w:ind w:firstLine="516"/>
              <w:jc w:val="left"/>
              <w:rPr>
                <w:rFonts w:hint="default" w:cs="Times New Roman"/>
                <w:color w:val="auto"/>
                <w:spacing w:val="9"/>
                <w:lang w:val="en-US" w:eastAsia="zh-CN"/>
              </w:rPr>
            </w:pPr>
            <w:r>
              <w:rPr>
                <w:rFonts w:hint="default" w:cs="Times New Roman"/>
                <w:color w:val="auto"/>
                <w:spacing w:val="9"/>
                <w:lang w:val="en-US" w:eastAsia="zh-CN"/>
              </w:rPr>
              <w:t>（1）检疫室：工作人员使用“</w:t>
            </w:r>
            <w:r>
              <w:rPr>
                <w:rFonts w:ascii="Times New Roman" w:hAnsi="Times New Roman" w:eastAsia="宋体" w:cs="Times New Roman"/>
                <w:color w:val="auto"/>
                <w:spacing w:val="9"/>
                <w:sz w:val="24"/>
                <w:szCs w:val="24"/>
                <w:u w:val="none"/>
              </w:rPr>
              <w:t>非洲猪瘟病毒抗原胶体金测试卡</w:t>
            </w:r>
            <w:r>
              <w:rPr>
                <w:rFonts w:hint="default" w:cs="Times New Roman"/>
                <w:color w:val="auto"/>
                <w:spacing w:val="9"/>
                <w:lang w:val="en-US" w:eastAsia="zh-CN"/>
              </w:rPr>
              <w:t>”、“</w:t>
            </w:r>
            <w:r>
              <w:rPr>
                <w:rFonts w:hint="default" w:ascii="Times New Roman" w:hAnsi="Times New Roman" w:eastAsia="宋体" w:cs="Times New Roman"/>
                <w:color w:val="auto"/>
                <w:spacing w:val="9"/>
                <w:sz w:val="24"/>
                <w:szCs w:val="24"/>
                <w:u w:val="none"/>
                <w:lang w:val="en-US" w:eastAsia="zh-CN"/>
              </w:rPr>
              <w:t>牛</w:t>
            </w:r>
            <w:r>
              <w:rPr>
                <w:rFonts w:ascii="Times New Roman" w:hAnsi="Times New Roman" w:eastAsia="宋体" w:cs="Times New Roman"/>
                <w:color w:val="auto"/>
                <w:spacing w:val="9"/>
                <w:sz w:val="24"/>
                <w:szCs w:val="24"/>
                <w:u w:val="none"/>
              </w:rPr>
              <w:t>病毒抗原胶体金测试卡</w:t>
            </w:r>
            <w:r>
              <w:rPr>
                <w:rFonts w:hint="default" w:cs="Times New Roman"/>
                <w:color w:val="auto"/>
                <w:spacing w:val="9"/>
                <w:lang w:val="en-US" w:eastAsia="zh-CN"/>
              </w:rPr>
              <w:t>”、“</w:t>
            </w:r>
            <w:r>
              <w:rPr>
                <w:rFonts w:ascii="Times New Roman" w:hAnsi="Times New Roman" w:eastAsia="宋体" w:cs="Times New Roman"/>
                <w:color w:val="auto"/>
                <w:spacing w:val="9"/>
                <w:sz w:val="24"/>
                <w:szCs w:val="24"/>
                <w:u w:val="none"/>
              </w:rPr>
              <w:t>三联快速检测卡（尿液）</w:t>
            </w:r>
            <w:r>
              <w:rPr>
                <w:rFonts w:hint="default" w:cs="Times New Roman"/>
                <w:color w:val="auto"/>
                <w:spacing w:val="9"/>
                <w:lang w:val="en-US" w:eastAsia="zh-CN"/>
              </w:rPr>
              <w:t>”等对待宰的猪牛鸡鸭鹅进行检疫，确保其健康。</w:t>
            </w:r>
          </w:p>
          <w:p w14:paraId="1F761832">
            <w:pPr>
              <w:numPr>
                <w:ilvl w:val="0"/>
                <w:numId w:val="0"/>
              </w:numPr>
              <w:ind w:firstLine="516"/>
              <w:jc w:val="left"/>
              <w:rPr>
                <w:rFonts w:hint="default" w:cs="Times New Roman"/>
                <w:color w:val="auto"/>
                <w:spacing w:val="9"/>
                <w:lang w:val="en-US" w:eastAsia="zh-CN"/>
              </w:rPr>
            </w:pPr>
            <w:r>
              <w:rPr>
                <w:rFonts w:hint="default" w:cs="Times New Roman"/>
                <w:color w:val="auto"/>
                <w:spacing w:val="9"/>
                <w:lang w:val="en-US" w:eastAsia="zh-CN"/>
              </w:rPr>
              <w:t>（2）实验室：工作人员使用“</w:t>
            </w:r>
            <w:r>
              <w:rPr>
                <w:rFonts w:hint="default" w:cs="Times New Roman"/>
                <w:color w:val="auto"/>
                <w:spacing w:val="9"/>
                <w:sz w:val="24"/>
                <w:szCs w:val="24"/>
                <w:u w:val="none"/>
                <w:lang w:val="en-US" w:eastAsia="zh-CN"/>
              </w:rPr>
              <w:t>动物源性快速检测卡</w:t>
            </w:r>
            <w:r>
              <w:rPr>
                <w:rFonts w:hint="default" w:cs="Times New Roman"/>
                <w:color w:val="auto"/>
                <w:spacing w:val="9"/>
                <w:lang w:val="en-US" w:eastAsia="zh-CN"/>
              </w:rPr>
              <w:t>”检测已宰的猪牛鸡鸭鹅肉质，确保流入市场前肉质优良。</w:t>
            </w:r>
          </w:p>
          <w:p w14:paraId="609EC185">
            <w:pPr>
              <w:pStyle w:val="11"/>
              <w:rPr>
                <w:rFonts w:hint="default" w:cs="Times New Roman"/>
                <w:color w:val="auto"/>
                <w:spacing w:val="9"/>
                <w:kern w:val="2"/>
                <w:sz w:val="24"/>
                <w:szCs w:val="24"/>
                <w:lang w:val="en-US" w:eastAsia="zh-CN"/>
              </w:rPr>
            </w:pPr>
            <w:r>
              <w:rPr>
                <w:rFonts w:hint="default" w:cs="Times New Roman"/>
                <w:color w:val="auto"/>
                <w:spacing w:val="9"/>
                <w:kern w:val="2"/>
                <w:sz w:val="24"/>
                <w:szCs w:val="24"/>
                <w:lang w:val="en-US" w:eastAsia="zh-CN"/>
              </w:rPr>
              <w:t>检疫室和试验室运行过程中，会产生</w:t>
            </w:r>
            <w:r>
              <w:rPr>
                <w:rFonts w:hint="default" w:cs="Times New Roman"/>
                <w:color w:val="auto"/>
                <w:spacing w:val="9"/>
                <w:kern w:val="2"/>
                <w:sz w:val="24"/>
                <w:szCs w:val="24"/>
                <w:u w:val="none"/>
                <w:vertAlign w:val="baseline"/>
                <w:lang w:val="en-US" w:eastAsia="zh-CN"/>
              </w:rPr>
              <w:t>实验室、检疫室废弃物，产生后暂存于危废暂存间，交由有资质的单位处置。</w:t>
            </w:r>
          </w:p>
          <w:p w14:paraId="78BE50B8">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2.4 </w:t>
            </w:r>
            <w:r>
              <w:rPr>
                <w:rFonts w:hint="default" w:ascii="Times New Roman" w:hAnsi="Times New Roman" w:eastAsia="黑体" w:cs="Times New Roman"/>
                <w:color w:val="auto"/>
                <w:u w:val="none" w:color="auto"/>
                <w:lang w:val="en-US" w:eastAsia="zh-CN"/>
              </w:rPr>
              <w:t>产排污环节分析</w:t>
            </w:r>
          </w:p>
          <w:p w14:paraId="29A42860">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本项目产排污情况详见下表。</w:t>
            </w:r>
          </w:p>
          <w:p w14:paraId="2E680495">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表2.4-1 本项目产排污情况一览表</w:t>
            </w:r>
          </w:p>
          <w:tbl>
            <w:tblPr>
              <w:tblStyle w:val="23"/>
              <w:tblW w:w="4998"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2006"/>
              <w:gridCol w:w="2206"/>
              <w:gridCol w:w="2933"/>
            </w:tblGrid>
            <w:tr w14:paraId="5367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75" w:type="pct"/>
                  <w:vAlign w:val="center"/>
                </w:tcPr>
                <w:p w14:paraId="34BF2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内容类型</w:t>
                  </w:r>
                </w:p>
              </w:tc>
              <w:tc>
                <w:tcPr>
                  <w:tcW w:w="1186" w:type="pct"/>
                  <w:vAlign w:val="center"/>
                </w:tcPr>
                <w:p w14:paraId="572DDD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排放源</w:t>
                  </w:r>
                </w:p>
              </w:tc>
              <w:tc>
                <w:tcPr>
                  <w:tcW w:w="1304" w:type="pct"/>
                  <w:vAlign w:val="center"/>
                </w:tcPr>
                <w:p w14:paraId="122733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污染物名称</w:t>
                  </w:r>
                </w:p>
              </w:tc>
              <w:tc>
                <w:tcPr>
                  <w:tcW w:w="1733" w:type="pct"/>
                  <w:vAlign w:val="center"/>
                </w:tcPr>
                <w:p w14:paraId="65128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污染物防治措施</w:t>
                  </w:r>
                </w:p>
              </w:tc>
            </w:tr>
            <w:tr w14:paraId="7DAC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75" w:type="pct"/>
                  <w:vMerge w:val="restart"/>
                  <w:vAlign w:val="center"/>
                </w:tcPr>
                <w:p w14:paraId="6B8E8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大气污染物</w:t>
                  </w:r>
                </w:p>
              </w:tc>
              <w:tc>
                <w:tcPr>
                  <w:tcW w:w="1186" w:type="pct"/>
                  <w:vAlign w:val="center"/>
                </w:tcPr>
                <w:p w14:paraId="38B350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待宰间恶臭</w:t>
                  </w:r>
                </w:p>
              </w:tc>
              <w:tc>
                <w:tcPr>
                  <w:tcW w:w="1304" w:type="pct"/>
                  <w:vAlign w:val="center"/>
                </w:tcPr>
                <w:p w14:paraId="0927A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硫化氢、氨、臭气浓度</w:t>
                  </w:r>
                </w:p>
              </w:tc>
              <w:tc>
                <w:tcPr>
                  <w:tcW w:w="1733" w:type="pct"/>
                  <w:vAlign w:val="center"/>
                </w:tcPr>
                <w:p w14:paraId="0D34D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喷洒除臭剂后无组织排放</w:t>
                  </w:r>
                </w:p>
              </w:tc>
            </w:tr>
            <w:tr w14:paraId="377E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75" w:type="pct"/>
                  <w:vMerge w:val="continue"/>
                  <w:vAlign w:val="center"/>
                </w:tcPr>
                <w:p w14:paraId="474324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186" w:type="pct"/>
                  <w:vAlign w:val="center"/>
                </w:tcPr>
                <w:p w14:paraId="35875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屠宰间、急宰间恶臭</w:t>
                  </w:r>
                </w:p>
              </w:tc>
              <w:tc>
                <w:tcPr>
                  <w:tcW w:w="1304" w:type="pct"/>
                  <w:vAlign w:val="center"/>
                </w:tcPr>
                <w:p w14:paraId="18208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硫化氢、氨、臭气浓度</w:t>
                  </w:r>
                </w:p>
              </w:tc>
              <w:tc>
                <w:tcPr>
                  <w:tcW w:w="1733" w:type="pct"/>
                  <w:shd w:val="clear" w:color="auto" w:fill="auto"/>
                  <w:vAlign w:val="center"/>
                </w:tcPr>
                <w:p w14:paraId="5F9402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喷洒除臭剂后无组织排放</w:t>
                  </w:r>
                </w:p>
              </w:tc>
            </w:tr>
            <w:tr w14:paraId="61E2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75" w:type="pct"/>
                  <w:vMerge w:val="continue"/>
                  <w:vAlign w:val="center"/>
                </w:tcPr>
                <w:p w14:paraId="235CA9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186" w:type="pct"/>
                  <w:vAlign w:val="center"/>
                </w:tcPr>
                <w:p w14:paraId="4DD82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危废暂存间废气</w:t>
                  </w:r>
                </w:p>
              </w:tc>
              <w:tc>
                <w:tcPr>
                  <w:tcW w:w="2229" w:type="dxa"/>
                  <w:shd w:val="clear" w:color="auto" w:fill="auto"/>
                  <w:vAlign w:val="center"/>
                </w:tcPr>
                <w:p w14:paraId="27C0AA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硫化氢、氨、臭气浓度</w:t>
                  </w:r>
                </w:p>
              </w:tc>
              <w:tc>
                <w:tcPr>
                  <w:tcW w:w="1733" w:type="pct"/>
                  <w:shd w:val="clear" w:color="auto" w:fill="auto"/>
                  <w:vAlign w:val="center"/>
                </w:tcPr>
                <w:p w14:paraId="57A0E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无组织排放</w:t>
                  </w:r>
                </w:p>
              </w:tc>
            </w:tr>
            <w:tr w14:paraId="22B9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75" w:type="pct"/>
                  <w:vMerge w:val="continue"/>
                  <w:vAlign w:val="center"/>
                </w:tcPr>
                <w:p w14:paraId="6257B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c>
                <w:tcPr>
                  <w:tcW w:w="1186" w:type="pct"/>
                  <w:vAlign w:val="center"/>
                </w:tcPr>
                <w:p w14:paraId="7B1EB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污水处理站恶臭</w:t>
                  </w:r>
                </w:p>
              </w:tc>
              <w:tc>
                <w:tcPr>
                  <w:tcW w:w="1304" w:type="pct"/>
                  <w:vAlign w:val="center"/>
                </w:tcPr>
                <w:p w14:paraId="47DBC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硫化氢、氨、臭气浓度</w:t>
                  </w:r>
                </w:p>
              </w:tc>
              <w:tc>
                <w:tcPr>
                  <w:tcW w:w="1733" w:type="pct"/>
                  <w:vAlign w:val="center"/>
                </w:tcPr>
                <w:p w14:paraId="446AC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无组织排放</w:t>
                  </w:r>
                </w:p>
              </w:tc>
            </w:tr>
            <w:tr w14:paraId="5D26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75" w:type="pct"/>
                  <w:vMerge w:val="restart"/>
                  <w:vAlign w:val="center"/>
                </w:tcPr>
                <w:p w14:paraId="69EF9F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水污染物</w:t>
                  </w:r>
                </w:p>
              </w:tc>
              <w:tc>
                <w:tcPr>
                  <w:tcW w:w="1186" w:type="pct"/>
                  <w:vAlign w:val="center"/>
                </w:tcPr>
                <w:p w14:paraId="18272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屠宰生产废水</w:t>
                  </w:r>
                </w:p>
              </w:tc>
              <w:tc>
                <w:tcPr>
                  <w:tcW w:w="1304" w:type="pct"/>
                  <w:vAlign w:val="center"/>
                </w:tcPr>
                <w:p w14:paraId="6D145F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pH、COD、BOD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vertAlign w:val="baseline"/>
                      <w:lang w:val="en-US" w:eastAsia="zh-CN"/>
                    </w:rPr>
                    <w:t>、NH</w:t>
                  </w:r>
                  <w:r>
                    <w:rPr>
                      <w:rFonts w:hint="eastAsia" w:cs="Times New Roman"/>
                      <w:color w:val="auto"/>
                      <w:sz w:val="21"/>
                      <w:szCs w:val="21"/>
                      <w:highlight w:val="none"/>
                      <w:u w:val="none" w:color="auto"/>
                      <w:vertAlign w:val="subscript"/>
                      <w:lang w:val="en-US" w:eastAsia="zh-CN"/>
                    </w:rPr>
                    <w:t>3</w:t>
                  </w:r>
                  <w:r>
                    <w:rPr>
                      <w:rFonts w:hint="eastAsia" w:cs="Times New Roman"/>
                      <w:color w:val="auto"/>
                      <w:sz w:val="21"/>
                      <w:szCs w:val="21"/>
                      <w:highlight w:val="none"/>
                      <w:u w:val="none" w:color="auto"/>
                      <w:vertAlign w:val="baseline"/>
                      <w:lang w:val="en-US" w:eastAsia="zh-CN"/>
                    </w:rPr>
                    <w:t>-N、TP、TN、SS、动植物油</w:t>
                  </w:r>
                </w:p>
              </w:tc>
              <w:tc>
                <w:tcPr>
                  <w:tcW w:w="1733" w:type="pct"/>
                  <w:vMerge w:val="restart"/>
                  <w:vAlign w:val="center"/>
                </w:tcPr>
                <w:p w14:paraId="13A80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污水处理站（</w:t>
                  </w:r>
                  <w:r>
                    <w:rPr>
                      <w:rFonts w:hint="eastAsia" w:cs="Times New Roman"/>
                      <w:color w:val="auto"/>
                      <w:sz w:val="21"/>
                      <w:szCs w:val="21"/>
                      <w:u w:val="none" w:color="auto"/>
                      <w:lang w:val="en-US" w:eastAsia="zh-CN"/>
                    </w:rPr>
                    <w:t>格栅+隔油+曝气+气浮+厌氧+好氧+沉淀+消毒池</w:t>
                  </w:r>
                  <w:r>
                    <w:rPr>
                      <w:rFonts w:hint="eastAsia" w:cs="Times New Roman"/>
                      <w:color w:val="auto"/>
                      <w:sz w:val="21"/>
                      <w:szCs w:val="21"/>
                      <w:u w:val="none" w:color="auto"/>
                      <w:vertAlign w:val="baseline"/>
                      <w:lang w:val="en-US" w:eastAsia="zh-CN"/>
                    </w:rPr>
                    <w:t>）处理后通过市政污水管网排入卢峰镇污水处理厂</w:t>
                  </w:r>
                </w:p>
              </w:tc>
            </w:tr>
            <w:tr w14:paraId="61AA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75" w:type="pct"/>
                  <w:vMerge w:val="continue"/>
                  <w:vAlign w:val="center"/>
                </w:tcPr>
                <w:p w14:paraId="6631A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186" w:type="pct"/>
                  <w:vAlign w:val="center"/>
                </w:tcPr>
                <w:p w14:paraId="55CB9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车辆清洗废水</w:t>
                  </w:r>
                </w:p>
              </w:tc>
              <w:tc>
                <w:tcPr>
                  <w:tcW w:w="1304" w:type="pct"/>
                  <w:vAlign w:val="center"/>
                </w:tcPr>
                <w:p w14:paraId="2959F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highlight w:val="none"/>
                      <w:u w:val="none" w:color="auto"/>
                      <w:vertAlign w:val="baseline"/>
                      <w:lang w:val="en-US" w:eastAsia="zh-CN"/>
                    </w:rPr>
                    <w:t>pH、COD、BOD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vertAlign w:val="baseline"/>
                      <w:lang w:val="en-US" w:eastAsia="zh-CN"/>
                    </w:rPr>
                    <w:t>、NH</w:t>
                  </w:r>
                  <w:r>
                    <w:rPr>
                      <w:rFonts w:hint="eastAsia" w:cs="Times New Roman"/>
                      <w:color w:val="auto"/>
                      <w:sz w:val="21"/>
                      <w:szCs w:val="21"/>
                      <w:highlight w:val="none"/>
                      <w:u w:val="none" w:color="auto"/>
                      <w:vertAlign w:val="subscript"/>
                      <w:lang w:val="en-US" w:eastAsia="zh-CN"/>
                    </w:rPr>
                    <w:t>3</w:t>
                  </w:r>
                  <w:r>
                    <w:rPr>
                      <w:rFonts w:hint="eastAsia" w:cs="Times New Roman"/>
                      <w:color w:val="auto"/>
                      <w:sz w:val="21"/>
                      <w:szCs w:val="21"/>
                      <w:highlight w:val="none"/>
                      <w:u w:val="none" w:color="auto"/>
                      <w:vertAlign w:val="baseline"/>
                      <w:lang w:val="en-US" w:eastAsia="zh-CN"/>
                    </w:rPr>
                    <w:t>-N、SS、石油类</w:t>
                  </w:r>
                </w:p>
              </w:tc>
              <w:tc>
                <w:tcPr>
                  <w:tcW w:w="1733" w:type="pct"/>
                  <w:vMerge w:val="continue"/>
                  <w:vAlign w:val="center"/>
                </w:tcPr>
                <w:p w14:paraId="44E2D6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p>
              </w:tc>
            </w:tr>
            <w:tr w14:paraId="1128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5" w:type="pct"/>
                  <w:vAlign w:val="center"/>
                </w:tcPr>
                <w:p w14:paraId="71CA04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噪声</w:t>
                  </w:r>
                </w:p>
              </w:tc>
              <w:tc>
                <w:tcPr>
                  <w:tcW w:w="1186" w:type="pct"/>
                  <w:vAlign w:val="center"/>
                </w:tcPr>
                <w:p w14:paraId="063001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牛、猪以及设备等</w:t>
                  </w:r>
                </w:p>
              </w:tc>
              <w:tc>
                <w:tcPr>
                  <w:tcW w:w="1304" w:type="pct"/>
                  <w:vAlign w:val="center"/>
                </w:tcPr>
                <w:p w14:paraId="547A2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u w:val="none" w:color="auto"/>
                      <w:vertAlign w:val="baseline"/>
                      <w:lang w:val="en-US" w:eastAsia="zh-CN"/>
                    </w:rPr>
                    <w:t>牛叫、猪叫、肉鸡叫、肉鸭叫、肉鹅叫以及设备噪声等</w:t>
                  </w:r>
                </w:p>
              </w:tc>
              <w:tc>
                <w:tcPr>
                  <w:tcW w:w="1733" w:type="pct"/>
                  <w:vAlign w:val="center"/>
                </w:tcPr>
                <w:p w14:paraId="20C00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隔声减震</w:t>
                  </w:r>
                  <w:r>
                    <w:rPr>
                      <w:rFonts w:hint="eastAsia" w:cs="Times New Roman"/>
                      <w:color w:val="auto"/>
                      <w:sz w:val="21"/>
                      <w:szCs w:val="21"/>
                      <w:u w:val="none" w:color="auto"/>
                      <w:vertAlign w:val="baseline"/>
                      <w:lang w:val="en-US" w:eastAsia="zh-CN"/>
                    </w:rPr>
                    <w:t>、距离衰减</w:t>
                  </w:r>
                </w:p>
              </w:tc>
            </w:tr>
            <w:tr w14:paraId="1940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5" w:type="pct"/>
                  <w:vMerge w:val="restart"/>
                  <w:vAlign w:val="center"/>
                </w:tcPr>
                <w:p w14:paraId="4AA8FE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固体废物</w:t>
                  </w:r>
                </w:p>
              </w:tc>
              <w:tc>
                <w:tcPr>
                  <w:tcW w:w="1186" w:type="pct"/>
                  <w:vMerge w:val="restart"/>
                  <w:vAlign w:val="center"/>
                </w:tcPr>
                <w:p w14:paraId="73A77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一般工业固废</w:t>
                  </w:r>
                </w:p>
              </w:tc>
              <w:tc>
                <w:tcPr>
                  <w:tcW w:w="1304" w:type="pct"/>
                  <w:vAlign w:val="center"/>
                </w:tcPr>
                <w:p w14:paraId="7B2461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猪牛肉鸡肉鸭肉鹅胃内容物、碎肉渣</w:t>
                  </w:r>
                </w:p>
              </w:tc>
              <w:tc>
                <w:tcPr>
                  <w:tcW w:w="1733" w:type="pct"/>
                  <w:vMerge w:val="restart"/>
                  <w:vAlign w:val="center"/>
                </w:tcPr>
                <w:p w14:paraId="175768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外售化肥厂综合利用</w:t>
                  </w:r>
                </w:p>
              </w:tc>
            </w:tr>
            <w:tr w14:paraId="5AF3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5" w:type="pct"/>
                  <w:vMerge w:val="continue"/>
                  <w:vAlign w:val="center"/>
                </w:tcPr>
                <w:p w14:paraId="056F2A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86" w:type="pct"/>
                  <w:vMerge w:val="continue"/>
                  <w:vAlign w:val="center"/>
                </w:tcPr>
                <w:p w14:paraId="40541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304" w:type="pct"/>
                  <w:vAlign w:val="center"/>
                </w:tcPr>
                <w:p w14:paraId="38D60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猪牛肉鸡肉鸭肉鹅待宰期间产生的粪便</w:t>
                  </w:r>
                </w:p>
              </w:tc>
              <w:tc>
                <w:tcPr>
                  <w:tcW w:w="1733" w:type="pct"/>
                  <w:vMerge w:val="continue"/>
                  <w:vAlign w:val="center"/>
                </w:tcPr>
                <w:p w14:paraId="3EE5C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14:paraId="0036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5" w:type="pct"/>
                  <w:vMerge w:val="continue"/>
                  <w:vAlign w:val="center"/>
                </w:tcPr>
                <w:p w14:paraId="75DB9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86" w:type="pct"/>
                  <w:vMerge w:val="continue"/>
                  <w:vAlign w:val="center"/>
                </w:tcPr>
                <w:p w14:paraId="61DAB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304" w:type="pct"/>
                  <w:vAlign w:val="center"/>
                </w:tcPr>
                <w:p w14:paraId="4A22F5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污水处理站污泥</w:t>
                  </w:r>
                </w:p>
              </w:tc>
              <w:tc>
                <w:tcPr>
                  <w:tcW w:w="1733" w:type="pct"/>
                  <w:vMerge w:val="continue"/>
                  <w:vAlign w:val="center"/>
                </w:tcPr>
                <w:p w14:paraId="462B0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r>
            <w:tr w14:paraId="7CF2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5" w:type="pct"/>
                  <w:vMerge w:val="continue"/>
                  <w:vAlign w:val="center"/>
                </w:tcPr>
                <w:p w14:paraId="05075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86" w:type="pct"/>
                  <w:vMerge w:val="continue"/>
                  <w:vAlign w:val="center"/>
                </w:tcPr>
                <w:p w14:paraId="58464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304" w:type="pct"/>
                  <w:vAlign w:val="center"/>
                </w:tcPr>
                <w:p w14:paraId="09BBA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不合格品</w:t>
                  </w:r>
                </w:p>
              </w:tc>
              <w:tc>
                <w:tcPr>
                  <w:tcW w:w="1733" w:type="pct"/>
                  <w:vMerge w:val="restart"/>
                  <w:vAlign w:val="center"/>
                </w:tcPr>
                <w:p w14:paraId="44EC6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交由溆浦县永福生物科技有限公司进行无害化处理</w:t>
                  </w:r>
                </w:p>
              </w:tc>
            </w:tr>
            <w:tr w14:paraId="2010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5" w:type="pct"/>
                  <w:vMerge w:val="continue"/>
                  <w:vAlign w:val="center"/>
                </w:tcPr>
                <w:p w14:paraId="6C1EC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186" w:type="pct"/>
                  <w:vMerge w:val="continue"/>
                  <w:vAlign w:val="center"/>
                </w:tcPr>
                <w:p w14:paraId="34F74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304" w:type="pct"/>
                  <w:vAlign w:val="center"/>
                </w:tcPr>
                <w:p w14:paraId="2BB3B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不可食用部分（除胃内容物外）</w:t>
                  </w:r>
                </w:p>
              </w:tc>
              <w:tc>
                <w:tcPr>
                  <w:tcW w:w="1733" w:type="pct"/>
                  <w:vMerge w:val="continue"/>
                  <w:vAlign w:val="center"/>
                </w:tcPr>
                <w:p w14:paraId="4689C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14:paraId="273E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5" w:type="pct"/>
                  <w:vMerge w:val="continue"/>
                  <w:vAlign w:val="center"/>
                </w:tcPr>
                <w:p w14:paraId="4D9CBC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86" w:type="pct"/>
                  <w:vMerge w:val="continue"/>
                  <w:vAlign w:val="center"/>
                </w:tcPr>
                <w:p w14:paraId="3EE46E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304" w:type="pct"/>
                  <w:vAlign w:val="center"/>
                </w:tcPr>
                <w:p w14:paraId="6A4C0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格栅处理的废物</w:t>
                  </w:r>
                </w:p>
              </w:tc>
              <w:tc>
                <w:tcPr>
                  <w:tcW w:w="1733" w:type="pct"/>
                  <w:vAlign w:val="center"/>
                </w:tcPr>
                <w:p w14:paraId="7E031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交由物资回收部门综合利用</w:t>
                  </w:r>
                </w:p>
              </w:tc>
            </w:tr>
            <w:tr w14:paraId="3519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75" w:type="pct"/>
                  <w:vMerge w:val="continue"/>
                  <w:vAlign w:val="center"/>
                </w:tcPr>
                <w:p w14:paraId="725438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86" w:type="pct"/>
                  <w:vMerge w:val="restart"/>
                  <w:vAlign w:val="center"/>
                </w:tcPr>
                <w:p w14:paraId="5A918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危险废物</w:t>
                  </w:r>
                </w:p>
              </w:tc>
              <w:tc>
                <w:tcPr>
                  <w:tcW w:w="1304" w:type="pct"/>
                  <w:vAlign w:val="center"/>
                </w:tcPr>
                <w:p w14:paraId="5858E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实验室、检疫室废弃物</w:t>
                  </w:r>
                </w:p>
              </w:tc>
              <w:tc>
                <w:tcPr>
                  <w:tcW w:w="1733" w:type="pct"/>
                  <w:vMerge w:val="restart"/>
                  <w:vAlign w:val="center"/>
                </w:tcPr>
                <w:p w14:paraId="74D291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暂存在危险废物暂存间，委托有资质单位处置</w:t>
                  </w:r>
                </w:p>
              </w:tc>
            </w:tr>
            <w:tr w14:paraId="716A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75" w:type="pct"/>
                  <w:vMerge w:val="continue"/>
                  <w:vAlign w:val="center"/>
                </w:tcPr>
                <w:p w14:paraId="417FC3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86" w:type="pct"/>
                  <w:vMerge w:val="continue"/>
                  <w:vAlign w:val="center"/>
                </w:tcPr>
                <w:p w14:paraId="56C24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04" w:type="pct"/>
                  <w:vAlign w:val="center"/>
                </w:tcPr>
                <w:p w14:paraId="6A102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沾染有毒有害物质的废包装材料</w:t>
                  </w:r>
                </w:p>
              </w:tc>
              <w:tc>
                <w:tcPr>
                  <w:tcW w:w="1733" w:type="pct"/>
                  <w:vMerge w:val="continue"/>
                  <w:vAlign w:val="center"/>
                </w:tcPr>
                <w:p w14:paraId="61176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bl>
          <w:p w14:paraId="4F3BFC60">
            <w:pPr>
              <w:bidi w:val="0"/>
              <w:ind w:left="0" w:leftChars="0" w:firstLine="0" w:firstLineChars="0"/>
              <w:rPr>
                <w:rFonts w:hint="default" w:ascii="Times New Roman" w:hAnsi="Times New Roman" w:cs="Times New Roman"/>
                <w:color w:val="FF0000"/>
                <w:u w:val="none" w:color="auto"/>
                <w:lang w:val="en-US" w:eastAsia="zh-CN"/>
              </w:rPr>
            </w:pPr>
          </w:p>
        </w:tc>
      </w:tr>
      <w:tr w14:paraId="771A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57F0BB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与项目有关的原有环境污染问题</w:t>
            </w:r>
          </w:p>
        </w:tc>
        <w:tc>
          <w:tcPr>
            <w:tcW w:w="8685" w:type="dxa"/>
            <w:vAlign w:val="center"/>
          </w:tcPr>
          <w:p w14:paraId="1C3EF016">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2.5 </w:t>
            </w:r>
            <w:r>
              <w:rPr>
                <w:rFonts w:hint="default" w:ascii="Times New Roman" w:hAnsi="Times New Roman" w:eastAsia="黑体" w:cs="Times New Roman"/>
                <w:b/>
                <w:bCs/>
                <w:color w:val="auto"/>
                <w:u w:val="none" w:color="auto"/>
                <w:lang w:val="en-US" w:eastAsia="zh-CN"/>
              </w:rPr>
              <w:t>企业现有项目概况</w:t>
            </w:r>
          </w:p>
          <w:p w14:paraId="69C052D3">
            <w:pPr>
              <w:pStyle w:val="11"/>
              <w:rPr>
                <w:rFonts w:hint="eastAsia" w:cs="Times New Roman"/>
                <w:color w:val="auto"/>
                <w:spacing w:val="9"/>
                <w:kern w:val="2"/>
                <w:sz w:val="24"/>
                <w:szCs w:val="24"/>
                <w:lang w:val="en-US" w:eastAsia="zh-CN"/>
              </w:rPr>
            </w:pPr>
            <w:r>
              <w:rPr>
                <w:rFonts w:hint="eastAsia" w:cs="Times New Roman"/>
                <w:color w:val="auto"/>
                <w:spacing w:val="9"/>
                <w:kern w:val="2"/>
                <w:sz w:val="24"/>
                <w:szCs w:val="24"/>
                <w:lang w:val="en-US" w:eastAsia="zh-CN"/>
              </w:rPr>
              <w:t>溆浦县金中定点屠宰场原名“溆浦县扬立屠宰场”，溆浦县扬立屠宰场于2008年租赁溆浦县再生资源公司已建厂房，投资100万元建设了日屠宰200头牲猪项目（年屠宰7.3万头）。2008年8月22日，该项目办理了环评登记手续，取得环评登记表审批意见，无竣工环境保护验收报告，未办理突发环境事件应急预案手续。企业于2021年10月29日取得项目排污许可证（详见附件6），未办理排污权证。企业建设至今，尚未未接到周边居民投诉及上级环境主管部门的环保督察。</w:t>
            </w:r>
          </w:p>
          <w:p w14:paraId="785990E2">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2.5.1 </w:t>
            </w:r>
            <w:r>
              <w:rPr>
                <w:rFonts w:hint="default" w:ascii="Times New Roman" w:hAnsi="Times New Roman" w:eastAsia="黑体" w:cs="Times New Roman"/>
                <w:b/>
                <w:bCs/>
                <w:color w:val="auto"/>
                <w:u w:val="none" w:color="auto"/>
                <w:lang w:val="en-US" w:eastAsia="zh-CN"/>
              </w:rPr>
              <w:t>企业现有工程建设内容</w:t>
            </w:r>
          </w:p>
          <w:p w14:paraId="4635999D">
            <w:pPr>
              <w:bidi w:val="0"/>
              <w:ind w:left="0" w:leftChars="0" w:firstLine="480" w:firstLineChars="20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详见表2.2-1中技改前建设内容。</w:t>
            </w:r>
          </w:p>
          <w:p w14:paraId="723A22A3">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2.5.2 </w:t>
            </w:r>
            <w:r>
              <w:rPr>
                <w:rFonts w:hint="default" w:ascii="Times New Roman" w:hAnsi="Times New Roman" w:eastAsia="黑体" w:cs="Times New Roman"/>
                <w:b/>
                <w:bCs/>
                <w:color w:val="auto"/>
                <w:u w:val="none" w:color="auto"/>
                <w:lang w:val="en-US" w:eastAsia="zh-CN"/>
              </w:rPr>
              <w:t>企业现有项目产品方案</w:t>
            </w:r>
          </w:p>
          <w:p w14:paraId="60EFFCD4">
            <w:pPr>
              <w:bidi w:val="0"/>
              <w:ind w:left="0" w:leftChars="0" w:firstLine="480" w:firstLineChars="200"/>
              <w:rPr>
                <w:rFonts w:hint="eastAsia" w:ascii="Times New Roman" w:hAnsi="Times New Roman" w:eastAsia="宋体" w:cs="Times New Roman"/>
                <w:color w:val="auto"/>
                <w:u w:val="none" w:color="auto"/>
                <w:lang w:val="en-US" w:eastAsia="zh-CN"/>
              </w:rPr>
            </w:pPr>
            <w:r>
              <w:rPr>
                <w:rFonts w:hint="eastAsia" w:eastAsia="宋体" w:cs="Times New Roman"/>
                <w:color w:val="auto"/>
                <w:u w:val="none" w:color="auto"/>
                <w:lang w:val="en-US" w:eastAsia="zh-CN"/>
              </w:rPr>
              <w:t>详见表2.2-2</w:t>
            </w:r>
            <w:r>
              <w:rPr>
                <w:rFonts w:hint="eastAsia" w:cs="Times New Roman"/>
                <w:color w:val="auto"/>
                <w:u w:val="none" w:color="auto"/>
                <w:lang w:val="en-US" w:eastAsia="zh-CN"/>
              </w:rPr>
              <w:t>中技改前产品方案。</w:t>
            </w:r>
          </w:p>
          <w:p w14:paraId="613869F8">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eastAsia="黑体" w:cs="Times New Roman"/>
                <w:b/>
                <w:bCs/>
                <w:color w:val="auto"/>
                <w:u w:val="none" w:color="auto"/>
                <w:lang w:val="en-US" w:eastAsia="zh-CN"/>
              </w:rPr>
              <w:t>2.5.</w:t>
            </w:r>
            <w:r>
              <w:rPr>
                <w:rFonts w:hint="default" w:eastAsia="黑体" w:cs="Times New Roman"/>
                <w:b/>
                <w:bCs/>
                <w:color w:val="auto"/>
                <w:u w:val="none" w:color="auto"/>
                <w:lang w:val="en-US" w:eastAsia="zh-CN"/>
              </w:rPr>
              <w:t>3</w:t>
            </w:r>
            <w:r>
              <w:rPr>
                <w:rFonts w:hint="default" w:ascii="Times New Roman" w:hAnsi="Times New Roman" w:eastAsia="黑体" w:cs="Times New Roman"/>
                <w:b/>
                <w:bCs/>
                <w:color w:val="auto"/>
                <w:u w:val="none" w:color="auto"/>
                <w:lang w:val="en-US" w:eastAsia="zh-CN"/>
              </w:rPr>
              <w:t xml:space="preserve"> </w:t>
            </w:r>
            <w:r>
              <w:rPr>
                <w:rFonts w:hint="eastAsia" w:eastAsia="黑体" w:cs="Times New Roman"/>
                <w:b/>
                <w:bCs/>
                <w:color w:val="auto"/>
                <w:u w:val="none" w:color="auto"/>
                <w:lang w:val="en-US" w:eastAsia="zh-CN"/>
              </w:rPr>
              <w:t>企业</w:t>
            </w:r>
            <w:r>
              <w:rPr>
                <w:rFonts w:hint="default" w:eastAsia="黑体" w:cs="Times New Roman"/>
                <w:b/>
                <w:bCs/>
                <w:color w:val="auto"/>
                <w:u w:val="none" w:color="auto"/>
                <w:lang w:val="en-US" w:eastAsia="zh-CN"/>
              </w:rPr>
              <w:t>现有工程主要生产设备</w:t>
            </w:r>
          </w:p>
          <w:p w14:paraId="067491D3">
            <w:pPr>
              <w:bidi w:val="0"/>
              <w:ind w:left="0" w:leftChars="0" w:firstLine="480" w:firstLineChars="200"/>
              <w:rPr>
                <w:rFonts w:hint="eastAsia" w:ascii="Times New Roman" w:hAnsi="Times New Roman" w:eastAsia="宋体" w:cs="Times New Roman"/>
                <w:color w:val="auto"/>
                <w:u w:val="none" w:color="auto"/>
                <w:lang w:val="en-US" w:eastAsia="zh-CN"/>
              </w:rPr>
            </w:pPr>
            <w:r>
              <w:rPr>
                <w:rFonts w:hint="eastAsia" w:eastAsia="宋体" w:cs="Times New Roman"/>
                <w:color w:val="auto"/>
                <w:u w:val="none" w:color="auto"/>
                <w:lang w:val="en-US" w:eastAsia="zh-CN"/>
              </w:rPr>
              <w:t>详见表2.2-</w:t>
            </w:r>
            <w:r>
              <w:rPr>
                <w:rFonts w:hint="eastAsia" w:cs="Times New Roman"/>
                <w:color w:val="auto"/>
                <w:u w:val="none" w:color="auto"/>
                <w:lang w:val="en-US" w:eastAsia="zh-CN"/>
              </w:rPr>
              <w:t>3中技改前主要设备。</w:t>
            </w:r>
          </w:p>
          <w:p w14:paraId="3B3008CD">
            <w:pPr>
              <w:bidi w:val="0"/>
              <w:ind w:left="0" w:leftChars="0" w:firstLine="0" w:firstLineChars="0"/>
              <w:rPr>
                <w:rFonts w:hint="default" w:eastAsia="黑体" w:cs="Times New Roman"/>
                <w:b/>
                <w:bCs/>
                <w:color w:val="auto"/>
                <w:u w:val="none" w:color="auto"/>
                <w:lang w:val="en-US" w:eastAsia="zh-CN"/>
              </w:rPr>
            </w:pPr>
            <w:r>
              <w:rPr>
                <w:rFonts w:hint="default" w:eastAsia="黑体" w:cs="Times New Roman"/>
                <w:b/>
                <w:bCs/>
                <w:color w:val="auto"/>
                <w:u w:val="none" w:color="auto"/>
                <w:lang w:val="en-US" w:eastAsia="zh-CN"/>
              </w:rPr>
              <w:t xml:space="preserve">2.5.4 </w:t>
            </w:r>
            <w:r>
              <w:rPr>
                <w:rFonts w:hint="eastAsia" w:eastAsia="黑体" w:cs="Times New Roman"/>
                <w:b/>
                <w:bCs/>
                <w:color w:val="auto"/>
                <w:u w:val="none" w:color="auto"/>
                <w:lang w:val="en-US" w:eastAsia="zh-CN"/>
              </w:rPr>
              <w:t>企业</w:t>
            </w:r>
            <w:r>
              <w:rPr>
                <w:rFonts w:hint="default" w:eastAsia="黑体" w:cs="Times New Roman"/>
                <w:b/>
                <w:bCs/>
                <w:color w:val="auto"/>
                <w:u w:val="none" w:color="auto"/>
                <w:lang w:val="en-US" w:eastAsia="zh-CN"/>
              </w:rPr>
              <w:t>现有工程主要原辅材料</w:t>
            </w:r>
          </w:p>
          <w:p w14:paraId="240CB175">
            <w:pPr>
              <w:bidi w:val="0"/>
              <w:ind w:left="0" w:leftChars="0" w:firstLine="480" w:firstLineChars="200"/>
              <w:rPr>
                <w:rFonts w:hint="eastAsia" w:ascii="Times New Roman" w:hAnsi="Times New Roman" w:eastAsia="宋体" w:cs="Times New Roman"/>
                <w:color w:val="auto"/>
                <w:u w:val="none" w:color="auto"/>
                <w:lang w:val="en-US" w:eastAsia="zh-CN"/>
              </w:rPr>
            </w:pPr>
            <w:r>
              <w:rPr>
                <w:rFonts w:hint="eastAsia" w:eastAsia="宋体" w:cs="Times New Roman"/>
                <w:color w:val="auto"/>
                <w:u w:val="none" w:color="auto"/>
                <w:lang w:val="en-US" w:eastAsia="zh-CN"/>
              </w:rPr>
              <w:t>详见表2.2-</w:t>
            </w:r>
            <w:r>
              <w:rPr>
                <w:rFonts w:hint="eastAsia" w:cs="Times New Roman"/>
                <w:color w:val="auto"/>
                <w:u w:val="none" w:color="auto"/>
                <w:lang w:val="en-US" w:eastAsia="zh-CN"/>
              </w:rPr>
              <w:t>4中技改前原辅材料及其年用量。</w:t>
            </w:r>
          </w:p>
          <w:p w14:paraId="347CA011">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eastAsia" w:cs="Times New Roman"/>
                <w:b/>
                <w:bCs/>
                <w:color w:val="auto"/>
                <w:u w:val="none" w:color="auto"/>
                <w:lang w:val="en-US" w:eastAsia="zh-CN"/>
              </w:rPr>
              <w:t xml:space="preserve">2.5.5 </w:t>
            </w:r>
            <w:r>
              <w:rPr>
                <w:rFonts w:hint="default" w:ascii="Times New Roman" w:hAnsi="Times New Roman" w:eastAsia="黑体" w:cs="Times New Roman"/>
                <w:b/>
                <w:bCs/>
                <w:color w:val="auto"/>
                <w:u w:val="none" w:color="auto"/>
                <w:lang w:val="en-US" w:eastAsia="zh-CN"/>
              </w:rPr>
              <w:t>企业现有工程公用工程</w:t>
            </w:r>
          </w:p>
          <w:p w14:paraId="35CF0EB4">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因企业之前仅办理环评登记表，未进行验收，故本评价对企业现有工程用水量及排水量进行理论计算。</w:t>
            </w:r>
          </w:p>
          <w:p w14:paraId="501ABC86">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（1）给水</w:t>
            </w:r>
          </w:p>
          <w:p w14:paraId="7800D6CC">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企业现有工程</w:t>
            </w:r>
            <w:r>
              <w:rPr>
                <w:rFonts w:hint="default" w:ascii="Times New Roman" w:hAnsi="Times New Roman" w:cs="Times New Roman"/>
                <w:color w:val="auto"/>
                <w:u w:val="none" w:color="auto"/>
                <w:lang w:val="en-US" w:eastAsia="zh-CN"/>
              </w:rPr>
              <w:t>用水主要为生活用水、</w:t>
            </w:r>
            <w:r>
              <w:rPr>
                <w:rFonts w:hint="eastAsia"/>
                <w:color w:val="auto"/>
                <w:u w:val="none" w:color="auto"/>
                <w:lang w:val="en-US" w:eastAsia="zh-CN"/>
              </w:rPr>
              <w:t>车辆清洗用水</w:t>
            </w:r>
            <w:r>
              <w:rPr>
                <w:rFonts w:hint="eastAsia" w:cs="Times New Roman"/>
                <w:color w:val="auto"/>
                <w:u w:val="none" w:color="auto"/>
                <w:lang w:val="en-US" w:eastAsia="zh-CN"/>
              </w:rPr>
              <w:t>、</w:t>
            </w:r>
            <w:r>
              <w:rPr>
                <w:rFonts w:hint="eastAsia" w:cs="Times New Roman"/>
                <w:color w:val="auto"/>
                <w:sz w:val="24"/>
                <w:szCs w:val="24"/>
                <w:highlight w:val="none"/>
                <w:u w:val="none" w:color="auto"/>
                <w:lang w:val="en-US" w:eastAsia="zh-CN"/>
              </w:rPr>
              <w:t>屠宰生产用水</w:t>
            </w:r>
            <w:r>
              <w:rPr>
                <w:rFonts w:hint="default" w:ascii="Times New Roman" w:hAnsi="Times New Roman" w:cs="Times New Roman"/>
                <w:color w:val="auto"/>
                <w:u w:val="none" w:color="auto"/>
                <w:lang w:val="en-US" w:eastAsia="zh-CN"/>
              </w:rPr>
              <w:t>等，水源来自市政自来水管网供给。</w:t>
            </w:r>
          </w:p>
          <w:p w14:paraId="0E4DBBB2">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①生活用水</w:t>
            </w:r>
          </w:p>
          <w:p w14:paraId="7C95AC1C">
            <w:pPr>
              <w:widowControl/>
              <w:bidi w:val="0"/>
              <w:jc w:val="left"/>
              <w:rPr>
                <w:rFonts w:hint="default" w:ascii="Times New Roman" w:hAnsi="Times New Roman" w:eastAsia="宋体" w:cs="Times New Roman"/>
                <w:color w:val="auto"/>
                <w:sz w:val="24"/>
                <w:u w:val="none" w:color="auto"/>
                <w:lang w:val="en-US" w:eastAsia="zh-CN"/>
              </w:rPr>
            </w:pPr>
            <w:bookmarkStart w:id="80" w:name="OLE_LINK116"/>
            <w:r>
              <w:rPr>
                <w:rFonts w:hint="default" w:ascii="Times New Roman" w:hAnsi="Times New Roman" w:cs="Times New Roman"/>
                <w:color w:val="auto"/>
                <w:sz w:val="24"/>
                <w:u w:val="none" w:color="auto"/>
                <w:lang w:val="en-US" w:eastAsia="zh-CN"/>
              </w:rPr>
              <w:t>根据</w:t>
            </w:r>
            <w:bookmarkEnd w:id="80"/>
            <w:r>
              <w:rPr>
                <w:rFonts w:hint="eastAsia" w:cs="Times New Roman"/>
                <w:color w:val="auto"/>
                <w:u w:val="none" w:color="auto"/>
                <w:lang w:val="en-US" w:eastAsia="zh-CN"/>
              </w:rPr>
              <w:t>溆浦县金中定点屠宰场实际情况，企业现有员工约35人，其中10人在厂内食宿、25人不在厂内食宿，企业年工作365天</w:t>
            </w:r>
            <w:r>
              <w:rPr>
                <w:rFonts w:hint="default" w:ascii="Times New Roman" w:hAnsi="Times New Roman" w:cs="Times New Roman"/>
                <w:color w:val="auto"/>
                <w:sz w:val="24"/>
                <w:u w:val="none" w:color="auto"/>
                <w:lang w:val="en-US" w:eastAsia="zh-CN"/>
              </w:rPr>
              <w:t>，</w:t>
            </w:r>
            <w:r>
              <w:rPr>
                <w:color w:val="auto"/>
                <w:sz w:val="24"/>
                <w:u w:val="none" w:color="auto"/>
              </w:rPr>
              <w:t>依照湖南省地方标准《用水定额》（DB43/T</w:t>
            </w:r>
            <w:r>
              <w:rPr>
                <w:rFonts w:hint="eastAsia"/>
                <w:color w:val="auto"/>
                <w:sz w:val="24"/>
                <w:u w:val="none" w:color="auto"/>
                <w:lang w:val="en-US" w:eastAsia="zh-CN"/>
              </w:rPr>
              <w:t xml:space="preserve"> </w:t>
            </w:r>
            <w:r>
              <w:rPr>
                <w:color w:val="auto"/>
                <w:sz w:val="24"/>
                <w:u w:val="none" w:color="auto"/>
              </w:rPr>
              <w:t>388</w:t>
            </w:r>
            <w:r>
              <w:rPr>
                <w:rFonts w:hint="eastAsia"/>
                <w:color w:val="auto"/>
                <w:sz w:val="24"/>
                <w:u w:val="none" w:color="auto"/>
                <w:lang w:val="en-US" w:eastAsia="zh-CN"/>
              </w:rPr>
              <w:t>.3</w:t>
            </w:r>
            <w:r>
              <w:rPr>
                <w:color w:val="auto"/>
                <w:sz w:val="24"/>
                <w:u w:val="none" w:color="auto"/>
              </w:rPr>
              <w:t>-202</w:t>
            </w:r>
            <w:r>
              <w:rPr>
                <w:rFonts w:hint="eastAsia"/>
                <w:color w:val="auto"/>
                <w:sz w:val="24"/>
                <w:u w:val="none" w:color="auto"/>
                <w:lang w:val="en-US" w:eastAsia="zh-CN"/>
              </w:rPr>
              <w:t>5</w:t>
            </w:r>
            <w:r>
              <w:rPr>
                <w:color w:val="auto"/>
                <w:sz w:val="24"/>
                <w:u w:val="none" w:color="auto"/>
              </w:rPr>
              <w:t>）</w:t>
            </w:r>
            <w:r>
              <w:rPr>
                <w:rFonts w:hint="eastAsia"/>
                <w:color w:val="auto"/>
                <w:sz w:val="24"/>
                <w:u w:val="none" w:color="auto"/>
              </w:rPr>
              <w:t>及类比同类型项目</w:t>
            </w:r>
            <w:r>
              <w:rPr>
                <w:color w:val="auto"/>
                <w:sz w:val="24"/>
                <w:u w:val="none" w:color="auto"/>
              </w:rPr>
              <w:t>，</w:t>
            </w:r>
            <w:r>
              <w:rPr>
                <w:rFonts w:hint="eastAsia"/>
                <w:color w:val="auto"/>
                <w:sz w:val="24"/>
                <w:u w:val="none" w:color="auto"/>
                <w:lang w:val="en-US" w:eastAsia="zh-CN"/>
              </w:rPr>
              <w:t>住宿</w:t>
            </w:r>
            <w:r>
              <w:rPr>
                <w:bCs/>
                <w:color w:val="auto"/>
                <w:sz w:val="24"/>
                <w:u w:val="none" w:color="auto"/>
              </w:rPr>
              <w:t>员工生活用水</w:t>
            </w:r>
            <w:r>
              <w:rPr>
                <w:rFonts w:hint="eastAsia"/>
                <w:bCs/>
                <w:color w:val="auto"/>
                <w:sz w:val="24"/>
                <w:u w:val="none" w:color="auto"/>
                <w:lang w:val="en-US" w:eastAsia="zh-CN"/>
              </w:rPr>
              <w:t>系数参考大城市城镇居民生活用水定额，</w:t>
            </w:r>
            <w:r>
              <w:rPr>
                <w:bCs/>
                <w:color w:val="auto"/>
                <w:sz w:val="24"/>
                <w:u w:val="none" w:color="auto"/>
              </w:rPr>
              <w:t>按</w:t>
            </w:r>
            <w:r>
              <w:rPr>
                <w:rFonts w:hint="eastAsia"/>
                <w:bCs/>
                <w:color w:val="auto"/>
                <w:sz w:val="24"/>
                <w:u w:val="none" w:color="auto"/>
                <w:lang w:val="en-US" w:eastAsia="zh-CN"/>
              </w:rPr>
              <w:t xml:space="preserve">155 </w:t>
            </w:r>
            <w:r>
              <w:rPr>
                <w:bCs/>
                <w:color w:val="auto"/>
                <w:sz w:val="24"/>
                <w:u w:val="none" w:color="auto"/>
              </w:rPr>
              <w:t>L/</w:t>
            </w:r>
            <w:r>
              <w:rPr>
                <w:rFonts w:hint="eastAsia"/>
                <w:bCs/>
                <w:color w:val="auto"/>
                <w:sz w:val="24"/>
                <w:u w:val="none" w:color="auto"/>
                <w:lang w:eastAsia="zh-CN"/>
              </w:rPr>
              <w:t>（</w:t>
            </w:r>
            <w:r>
              <w:rPr>
                <w:bCs/>
                <w:color w:val="auto"/>
                <w:sz w:val="24"/>
                <w:u w:val="none" w:color="auto"/>
              </w:rPr>
              <w:t>人•d</w:t>
            </w:r>
            <w:r>
              <w:rPr>
                <w:rFonts w:hint="eastAsia"/>
                <w:bCs/>
                <w:color w:val="auto"/>
                <w:sz w:val="24"/>
                <w:u w:val="none" w:color="auto"/>
                <w:lang w:eastAsia="zh-CN"/>
              </w:rPr>
              <w:t>）</w:t>
            </w:r>
            <w:r>
              <w:rPr>
                <w:bCs/>
                <w:color w:val="auto"/>
                <w:sz w:val="24"/>
                <w:u w:val="none" w:color="auto"/>
              </w:rPr>
              <w:t>计</w:t>
            </w:r>
            <w:r>
              <w:rPr>
                <w:rFonts w:hint="eastAsia"/>
                <w:bCs/>
                <w:color w:val="auto"/>
                <w:sz w:val="24"/>
                <w:u w:val="none" w:color="auto"/>
                <w:lang w:eastAsia="zh-CN"/>
              </w:rPr>
              <w:t>，</w:t>
            </w:r>
            <w:r>
              <w:rPr>
                <w:rFonts w:hint="eastAsia"/>
                <w:bCs/>
                <w:color w:val="auto"/>
                <w:sz w:val="24"/>
                <w:u w:val="none" w:color="auto"/>
                <w:lang w:val="en-US" w:eastAsia="zh-CN"/>
              </w:rPr>
              <w:t>根据专家意见，非住宿员工</w:t>
            </w:r>
            <w:r>
              <w:rPr>
                <w:bCs/>
                <w:color w:val="auto"/>
                <w:sz w:val="24"/>
                <w:u w:val="none" w:color="auto"/>
              </w:rPr>
              <w:t>生活用水</w:t>
            </w:r>
            <w:r>
              <w:rPr>
                <w:rFonts w:hint="eastAsia"/>
                <w:bCs/>
                <w:color w:val="auto"/>
                <w:sz w:val="24"/>
                <w:u w:val="none" w:color="auto"/>
                <w:lang w:val="en-US" w:eastAsia="zh-CN"/>
              </w:rPr>
              <w:t>系数按50 L</w:t>
            </w:r>
            <w:r>
              <w:rPr>
                <w:bCs/>
                <w:color w:val="auto"/>
                <w:sz w:val="24"/>
                <w:u w:val="none" w:color="auto"/>
              </w:rPr>
              <w:t>/</w:t>
            </w:r>
            <w:r>
              <w:rPr>
                <w:rFonts w:hint="eastAsia"/>
                <w:bCs/>
                <w:color w:val="auto"/>
                <w:sz w:val="24"/>
                <w:u w:val="none" w:color="auto"/>
                <w:lang w:eastAsia="zh-CN"/>
              </w:rPr>
              <w:t>（</w:t>
            </w:r>
            <w:r>
              <w:rPr>
                <w:bCs/>
                <w:color w:val="auto"/>
                <w:sz w:val="24"/>
                <w:u w:val="none" w:color="auto"/>
              </w:rPr>
              <w:t>人•d</w:t>
            </w:r>
            <w:r>
              <w:rPr>
                <w:rFonts w:hint="eastAsia"/>
                <w:bCs/>
                <w:color w:val="auto"/>
                <w:sz w:val="24"/>
                <w:u w:val="none" w:color="auto"/>
                <w:lang w:eastAsia="zh-CN"/>
              </w:rPr>
              <w:t>）</w:t>
            </w:r>
            <w:r>
              <w:rPr>
                <w:bCs/>
                <w:color w:val="auto"/>
                <w:sz w:val="24"/>
                <w:u w:val="none" w:color="auto"/>
              </w:rPr>
              <w:t>计</w:t>
            </w:r>
            <w:r>
              <w:rPr>
                <w:rFonts w:hint="eastAsia"/>
                <w:bCs/>
                <w:color w:val="auto"/>
                <w:sz w:val="24"/>
                <w:u w:val="none" w:color="auto"/>
                <w:lang w:eastAsia="zh-CN"/>
              </w:rPr>
              <w:t>，</w:t>
            </w:r>
            <w:r>
              <w:rPr>
                <w:color w:val="auto"/>
                <w:sz w:val="24"/>
                <w:u w:val="none" w:color="auto"/>
              </w:rPr>
              <w:t>，则</w:t>
            </w:r>
            <w:r>
              <w:rPr>
                <w:rFonts w:hint="eastAsia"/>
                <w:color w:val="auto"/>
                <w:sz w:val="24"/>
                <w:u w:val="none" w:color="auto"/>
                <w:lang w:val="en-US" w:eastAsia="zh-CN"/>
              </w:rPr>
              <w:t>本项目</w:t>
            </w:r>
            <w:r>
              <w:rPr>
                <w:color w:val="auto"/>
                <w:sz w:val="24"/>
                <w:u w:val="none" w:color="auto"/>
              </w:rPr>
              <w:t>员工生活用水量为</w:t>
            </w:r>
            <w:r>
              <w:rPr>
                <w:rFonts w:hint="eastAsia"/>
                <w:color w:val="auto"/>
                <w:sz w:val="24"/>
                <w:u w:val="none" w:color="auto"/>
                <w:lang w:val="en-US" w:eastAsia="zh-CN"/>
              </w:rPr>
              <w:t>155*10*10</w:t>
            </w:r>
            <w:r>
              <w:rPr>
                <w:rFonts w:hint="eastAsia"/>
                <w:color w:val="auto"/>
                <w:sz w:val="24"/>
                <w:u w:val="none" w:color="auto"/>
                <w:vertAlign w:val="superscript"/>
                <w:lang w:val="en-US" w:eastAsia="zh-CN"/>
              </w:rPr>
              <w:t>-3</w:t>
            </w:r>
            <w:r>
              <w:rPr>
                <w:rFonts w:hint="eastAsia"/>
                <w:color w:val="auto"/>
                <w:sz w:val="24"/>
                <w:u w:val="none" w:color="auto"/>
                <w:lang w:val="en-US" w:eastAsia="zh-CN"/>
              </w:rPr>
              <w:t>+50*25*10</w:t>
            </w:r>
            <w:r>
              <w:rPr>
                <w:rFonts w:hint="eastAsia"/>
                <w:color w:val="auto"/>
                <w:sz w:val="24"/>
                <w:u w:val="none" w:color="auto"/>
                <w:vertAlign w:val="superscript"/>
                <w:lang w:val="en-US" w:eastAsia="zh-CN"/>
              </w:rPr>
              <w:t>-3</w:t>
            </w:r>
            <w:r>
              <w:rPr>
                <w:rFonts w:hint="eastAsia"/>
                <w:color w:val="auto"/>
                <w:sz w:val="24"/>
                <w:u w:val="none" w:color="auto"/>
                <w:lang w:val="en-US" w:eastAsia="zh-CN"/>
              </w:rPr>
              <w:t>=2.8 t/d（1022 t/a）</w:t>
            </w:r>
            <w:r>
              <w:rPr>
                <w:rFonts w:hint="eastAsia" w:ascii="Times New Roman" w:hAnsi="Times New Roman" w:eastAsia="宋体" w:cs="Times New Roman"/>
                <w:color w:val="auto"/>
                <w:sz w:val="24"/>
                <w:u w:val="none" w:color="auto"/>
              </w:rPr>
              <w:t>。</w:t>
            </w:r>
          </w:p>
          <w:p w14:paraId="66D57BE4">
            <w:pPr>
              <w:pStyle w:val="9"/>
              <w:rPr>
                <w:rFonts w:hint="default" w:cs="Times New Roman"/>
                <w:color w:val="auto"/>
                <w:sz w:val="24"/>
                <w:szCs w:val="24"/>
                <w:highlight w:val="none"/>
                <w:u w:val="none" w:color="auto"/>
                <w:lang w:val="en-US" w:eastAsia="zh-CN"/>
              </w:rPr>
            </w:pPr>
            <w:r>
              <w:rPr>
                <w:rFonts w:hint="default" w:ascii="Times New Roman" w:hAnsi="Times New Roman" w:eastAsia="宋体" w:cs="Times New Roman"/>
                <w:color w:val="auto"/>
                <w:sz w:val="24"/>
                <w:u w:val="none" w:color="auto"/>
                <w:lang w:val="en-US" w:eastAsia="zh-CN"/>
              </w:rPr>
              <w:t>②</w:t>
            </w:r>
            <w:r>
              <w:rPr>
                <w:rFonts w:hint="eastAsia" w:cs="Times New Roman"/>
                <w:color w:val="auto"/>
                <w:sz w:val="24"/>
                <w:szCs w:val="24"/>
                <w:highlight w:val="none"/>
                <w:u w:val="none" w:color="auto"/>
                <w:lang w:val="en-US" w:eastAsia="zh-CN"/>
              </w:rPr>
              <w:t>屠宰生产用水</w:t>
            </w:r>
          </w:p>
          <w:p w14:paraId="65E93EB5">
            <w:pPr>
              <w:ind w:firstLine="480" w:firstLineChars="200"/>
              <w:rPr>
                <w:rFonts w:hint="default"/>
                <w:color w:val="000000"/>
                <w:sz w:val="24"/>
                <w:szCs w:val="24"/>
                <w:lang w:val="en-US" w:eastAsia="zh-CN"/>
              </w:rPr>
            </w:pPr>
            <w:r>
              <w:rPr>
                <w:rFonts w:hint="eastAsia" w:cstheme="minorBidi"/>
                <w:b w:val="0"/>
                <w:bCs w:val="0"/>
                <w:color w:val="000000"/>
                <w:sz w:val="24"/>
                <w:szCs w:val="24"/>
                <w:u w:val="none"/>
                <w:lang w:val="en-US" w:eastAsia="zh-CN"/>
              </w:rPr>
              <w:t>根</w:t>
            </w:r>
            <w:r>
              <w:rPr>
                <w:rFonts w:hint="eastAsia" w:cstheme="minorBidi"/>
                <w:b w:val="0"/>
                <w:bCs w:val="0"/>
                <w:color w:val="000000"/>
                <w:spacing w:val="0"/>
                <w:sz w:val="24"/>
                <w:szCs w:val="24"/>
                <w:u w:val="none"/>
                <w:lang w:val="en-US" w:eastAsia="zh-CN"/>
              </w:rPr>
              <w:t>据</w:t>
            </w:r>
            <w:r>
              <w:rPr>
                <w:rFonts w:hint="eastAsia" w:ascii="Times New Roman" w:hAnsi="Times New Roman" w:eastAsia="宋体" w:cstheme="minorBidi"/>
                <w:color w:val="000000"/>
                <w:spacing w:val="0"/>
                <w:kern w:val="2"/>
                <w:sz w:val="24"/>
                <w:szCs w:val="24"/>
                <w:u w:val="none"/>
                <w:lang w:val="en-US" w:eastAsia="zh-CN" w:bidi="ar"/>
              </w:rPr>
              <w:t>《排放源统计调查产排污核算方法和系数手册》中的</w:t>
            </w:r>
            <w:r>
              <w:rPr>
                <w:rFonts w:hint="eastAsia" w:cstheme="minorBidi"/>
                <w:color w:val="000000"/>
                <w:spacing w:val="0"/>
                <w:kern w:val="2"/>
                <w:sz w:val="24"/>
                <w:szCs w:val="24"/>
                <w:u w:val="none"/>
                <w:lang w:val="en-US" w:eastAsia="zh-CN" w:bidi="ar"/>
              </w:rPr>
              <w:t>屠宰及肉类加工</w:t>
            </w:r>
            <w:r>
              <w:rPr>
                <w:rFonts w:hint="eastAsia" w:ascii="Times New Roman" w:hAnsi="Times New Roman" w:cstheme="minorBidi"/>
                <w:color w:val="000000"/>
                <w:spacing w:val="0"/>
                <w:kern w:val="2"/>
                <w:sz w:val="24"/>
                <w:szCs w:val="24"/>
                <w:u w:val="none"/>
                <w:lang w:val="en-US" w:eastAsia="zh-CN" w:bidi="ar"/>
              </w:rPr>
              <w:t>行业</w:t>
            </w:r>
            <w:r>
              <w:rPr>
                <w:rFonts w:hint="eastAsia" w:ascii="Times New Roman" w:hAnsi="Times New Roman" w:eastAsia="宋体" w:cstheme="minorBidi"/>
                <w:color w:val="000000"/>
                <w:spacing w:val="0"/>
                <w:kern w:val="2"/>
                <w:sz w:val="24"/>
                <w:szCs w:val="24"/>
                <w:u w:val="none"/>
                <w:lang w:val="en-US" w:eastAsia="zh-CN" w:bidi="ar"/>
              </w:rPr>
              <w:t>系数手册，“</w:t>
            </w:r>
            <w:r>
              <w:rPr>
                <w:rFonts w:hint="eastAsia" w:ascii="Times New Roman" w:hAnsi="Times New Roman" w:eastAsia="宋体" w:cstheme="minorBidi"/>
                <w:color w:val="000000"/>
                <w:sz w:val="24"/>
                <w:szCs w:val="24"/>
              </w:rPr>
              <w:t>1351牲畜屠宰行业产污系数表</w:t>
            </w:r>
            <w:r>
              <w:rPr>
                <w:rFonts w:hint="eastAsia" w:ascii="Times New Roman" w:hAnsi="Times New Roman" w:eastAsia="宋体" w:cstheme="minorBidi"/>
                <w:color w:val="000000"/>
                <w:spacing w:val="0"/>
                <w:kern w:val="2"/>
                <w:sz w:val="24"/>
                <w:szCs w:val="24"/>
                <w:u w:val="none"/>
                <w:lang w:val="en-US" w:eastAsia="zh-CN" w:bidi="ar"/>
              </w:rPr>
              <w:t>”</w:t>
            </w:r>
            <w:r>
              <w:rPr>
                <w:rFonts w:hint="eastAsia" w:cstheme="minorBidi"/>
                <w:color w:val="000000"/>
                <w:spacing w:val="0"/>
                <w:kern w:val="2"/>
                <w:sz w:val="24"/>
                <w:szCs w:val="24"/>
                <w:u w:val="none"/>
                <w:lang w:val="en-US" w:eastAsia="zh-CN" w:bidi="ar"/>
              </w:rPr>
              <w:t>及“</w:t>
            </w:r>
            <w:r>
              <w:rPr>
                <w:rFonts w:hint="eastAsia" w:ascii="Times New Roman" w:hAnsi="Times New Roman" w:eastAsia="宋体" w:cstheme="minorBidi"/>
                <w:color w:val="000000"/>
                <w:sz w:val="24"/>
                <w:szCs w:val="24"/>
              </w:rPr>
              <w:t>1352禽类屠宰行业产污系数表</w:t>
            </w:r>
            <w:r>
              <w:rPr>
                <w:rFonts w:hint="eastAsia" w:cstheme="minorBidi"/>
                <w:color w:val="000000"/>
                <w:spacing w:val="0"/>
                <w:kern w:val="2"/>
                <w:sz w:val="24"/>
                <w:szCs w:val="24"/>
                <w:u w:val="none"/>
                <w:lang w:val="en-US" w:eastAsia="zh-CN" w:bidi="ar"/>
              </w:rPr>
              <w:t>”</w:t>
            </w:r>
            <w:r>
              <w:rPr>
                <w:rFonts w:hint="eastAsia"/>
                <w:color w:val="000000"/>
                <w:sz w:val="24"/>
                <w:szCs w:val="24"/>
                <w:lang w:val="en-US" w:eastAsia="zh-CN"/>
              </w:rPr>
              <w:t>计算</w:t>
            </w:r>
            <w:r>
              <w:rPr>
                <w:rFonts w:hint="eastAsia" w:cs="Times New Roman"/>
                <w:bCs/>
                <w:snapToGrid w:val="0"/>
                <w:color w:val="auto"/>
                <w:sz w:val="24"/>
                <w:u w:val="none"/>
                <w:lang w:val="en-US" w:eastAsia="zh-CN"/>
              </w:rPr>
              <w:t>；屠宰生猪的废水产生系数为0.535 t/只+1.59 t/（t-产品）。</w:t>
            </w:r>
          </w:p>
          <w:p w14:paraId="7244063B">
            <w:pPr>
              <w:ind w:firstLine="480" w:firstLineChars="200"/>
              <w:rPr>
                <w:rFonts w:hint="default"/>
                <w:color w:val="000000"/>
                <w:sz w:val="24"/>
                <w:szCs w:val="24"/>
                <w:lang w:val="en-US" w:eastAsia="zh-CN"/>
              </w:rPr>
            </w:pPr>
            <w:r>
              <w:rPr>
                <w:rFonts w:hint="eastAsia"/>
                <w:color w:val="000000"/>
                <w:sz w:val="24"/>
                <w:szCs w:val="24"/>
                <w:lang w:val="en-US" w:eastAsia="zh-CN"/>
              </w:rPr>
              <w:t>故本项目废水产生量为73000*0.535+7794*1.59</w:t>
            </w:r>
            <w:r>
              <w:rPr>
                <w:rFonts w:hint="eastAsia" w:cs="Times New Roman"/>
                <w:bCs/>
                <w:snapToGrid w:val="0"/>
                <w:color w:val="auto"/>
                <w:sz w:val="24"/>
                <w:u w:val="none"/>
                <w:lang w:val="en-US" w:eastAsia="zh-CN"/>
              </w:rPr>
              <w:t>=51447.46 t/a。</w:t>
            </w:r>
          </w:p>
          <w:p w14:paraId="7BF97AC8">
            <w:pPr>
              <w:rPr>
                <w:rFonts w:hint="eastAsia" w:cs="Times New Roman"/>
                <w:color w:val="auto"/>
                <w:sz w:val="24"/>
                <w:szCs w:val="24"/>
                <w:highlight w:val="none"/>
                <w:u w:val="none" w:color="auto"/>
                <w:lang w:val="en-US" w:eastAsia="zh-CN"/>
              </w:rPr>
            </w:pPr>
            <w:r>
              <w:rPr>
                <w:rFonts w:hint="eastAsia"/>
                <w:color w:val="000000"/>
                <w:szCs w:val="24"/>
                <w:u w:val="none"/>
                <w:lang w:val="en-US" w:eastAsia="zh-CN"/>
              </w:rPr>
              <w:t>产污系数按0.8计，</w:t>
            </w:r>
            <w:r>
              <w:rPr>
                <w:rFonts w:hint="eastAsia"/>
                <w:color w:val="auto"/>
                <w:szCs w:val="24"/>
                <w:u w:val="none"/>
                <w:lang w:eastAsia="zh-CN"/>
              </w:rPr>
              <w:t>则</w:t>
            </w:r>
            <w:r>
              <w:rPr>
                <w:rFonts w:hint="eastAsia"/>
                <w:color w:val="auto"/>
                <w:szCs w:val="24"/>
                <w:u w:val="none"/>
                <w:lang w:val="en-US" w:eastAsia="zh-CN"/>
              </w:rPr>
              <w:t>本</w:t>
            </w:r>
            <w:r>
              <w:rPr>
                <w:rFonts w:hint="eastAsia"/>
                <w:color w:val="000000"/>
                <w:szCs w:val="24"/>
                <w:u w:val="none"/>
                <w:lang w:val="en-US" w:eastAsia="zh-CN"/>
              </w:rPr>
              <w:t>项目生产</w:t>
            </w:r>
            <w:r>
              <w:rPr>
                <w:rFonts w:hint="eastAsia"/>
                <w:color w:val="000000"/>
                <w:szCs w:val="24"/>
                <w:u w:val="none"/>
              </w:rPr>
              <w:t>用水量</w:t>
            </w:r>
            <w:r>
              <w:rPr>
                <w:rFonts w:hint="eastAsia"/>
                <w:color w:val="000000"/>
                <w:szCs w:val="24"/>
                <w:u w:val="none"/>
                <w:lang w:eastAsia="zh-CN"/>
              </w:rPr>
              <w:t>（</w:t>
            </w:r>
            <w:r>
              <w:rPr>
                <w:rFonts w:hint="eastAsia"/>
                <w:color w:val="000000"/>
                <w:szCs w:val="24"/>
                <w:u w:val="none"/>
              </w:rPr>
              <w:t>含</w:t>
            </w:r>
            <w:r>
              <w:rPr>
                <w:rFonts w:hint="eastAsia"/>
                <w:color w:val="000000"/>
                <w:szCs w:val="24"/>
                <w:u w:val="none"/>
                <w:lang w:val="en-US" w:eastAsia="zh-CN"/>
              </w:rPr>
              <w:t>消毒剂配制用水、</w:t>
            </w:r>
            <w:r>
              <w:rPr>
                <w:rFonts w:hint="eastAsia"/>
                <w:color w:val="000000"/>
                <w:szCs w:val="24"/>
                <w:u w:val="none"/>
              </w:rPr>
              <w:t>地面和设备清洗用水</w:t>
            </w:r>
            <w:r>
              <w:rPr>
                <w:rFonts w:hint="eastAsia"/>
                <w:color w:val="000000"/>
                <w:szCs w:val="24"/>
                <w:u w:val="none"/>
                <w:lang w:val="en-US" w:eastAsia="zh-CN"/>
              </w:rPr>
              <w:t>等</w:t>
            </w:r>
            <w:r>
              <w:rPr>
                <w:rFonts w:hint="eastAsia"/>
                <w:color w:val="000000"/>
                <w:szCs w:val="24"/>
                <w:u w:val="none"/>
                <w:lang w:eastAsia="zh-CN"/>
              </w:rPr>
              <w:t>）</w:t>
            </w:r>
            <w:r>
              <w:rPr>
                <w:rFonts w:hint="eastAsia"/>
                <w:color w:val="000000"/>
                <w:szCs w:val="24"/>
                <w:u w:val="none"/>
              </w:rPr>
              <w:t>约为</w:t>
            </w:r>
            <w:r>
              <w:rPr>
                <w:rFonts w:hint="eastAsia" w:cs="Times New Roman"/>
                <w:bCs/>
                <w:snapToGrid w:val="0"/>
                <w:color w:val="auto"/>
                <w:sz w:val="24"/>
                <w:u w:val="none"/>
                <w:lang w:val="en-US" w:eastAsia="zh-CN"/>
              </w:rPr>
              <w:t>51447.46</w:t>
            </w:r>
            <w:r>
              <w:rPr>
                <w:rFonts w:hint="eastAsia"/>
                <w:color w:val="000000"/>
                <w:szCs w:val="24"/>
                <w:u w:val="none"/>
                <w:lang w:val="en-US" w:eastAsia="zh-CN"/>
              </w:rPr>
              <w:t xml:space="preserve">/0.8=64309.325 </w:t>
            </w:r>
            <w:r>
              <w:rPr>
                <w:rFonts w:hint="eastAsia"/>
                <w:color w:val="000000"/>
                <w:szCs w:val="24"/>
                <w:u w:val="none"/>
              </w:rPr>
              <w:t>m</w:t>
            </w:r>
            <w:r>
              <w:rPr>
                <w:rFonts w:hint="eastAsia"/>
                <w:color w:val="000000"/>
                <w:szCs w:val="24"/>
                <w:u w:val="none"/>
                <w:vertAlign w:val="superscript"/>
              </w:rPr>
              <w:t>3</w:t>
            </w:r>
            <w:r>
              <w:rPr>
                <w:rFonts w:hint="eastAsia"/>
                <w:color w:val="000000"/>
                <w:szCs w:val="24"/>
                <w:u w:val="none"/>
              </w:rPr>
              <w:t>/a</w:t>
            </w:r>
            <w:r>
              <w:rPr>
                <w:rFonts w:hint="eastAsia"/>
                <w:color w:val="000000"/>
                <w:szCs w:val="24"/>
              </w:rPr>
              <w:t>。其中屠宰使用的蒸汽用水已包括在屠宰用水中，</w:t>
            </w:r>
            <w:r>
              <w:rPr>
                <w:rFonts w:hint="eastAsia"/>
                <w:color w:val="000000"/>
                <w:szCs w:val="24"/>
                <w:lang w:val="en-US" w:eastAsia="zh-CN"/>
              </w:rPr>
              <w:t>故本评价</w:t>
            </w:r>
            <w:r>
              <w:rPr>
                <w:rFonts w:hint="eastAsia"/>
                <w:color w:val="000000"/>
                <w:szCs w:val="24"/>
              </w:rPr>
              <w:t>不再</w:t>
            </w:r>
            <w:r>
              <w:rPr>
                <w:rFonts w:hint="eastAsia"/>
                <w:color w:val="000000"/>
                <w:szCs w:val="24"/>
                <w:lang w:val="en-US" w:eastAsia="zh-CN"/>
              </w:rPr>
              <w:t>重</w:t>
            </w:r>
            <w:r>
              <w:rPr>
                <w:rFonts w:hint="eastAsia"/>
                <w:color w:val="auto"/>
                <w:szCs w:val="24"/>
                <w:lang w:val="en-US" w:eastAsia="zh-CN"/>
              </w:rPr>
              <w:t>复</w:t>
            </w:r>
            <w:r>
              <w:rPr>
                <w:rFonts w:hint="eastAsia"/>
                <w:color w:val="auto"/>
                <w:szCs w:val="24"/>
              </w:rPr>
              <w:t>计算电</w:t>
            </w:r>
            <w:r>
              <w:rPr>
                <w:rFonts w:hint="eastAsia"/>
                <w:color w:val="auto"/>
                <w:szCs w:val="24"/>
                <w:lang w:val="en-US" w:eastAsia="zh-CN"/>
              </w:rPr>
              <w:t>锅炉</w:t>
            </w:r>
            <w:r>
              <w:rPr>
                <w:rFonts w:hint="eastAsia"/>
                <w:color w:val="auto"/>
                <w:szCs w:val="24"/>
              </w:rPr>
              <w:t>补充水。</w:t>
            </w:r>
          </w:p>
          <w:p w14:paraId="1DB644C5">
            <w:pPr>
              <w:rPr>
                <w:rFonts w:hint="default" w:ascii="Times New Roman" w:hAnsi="Times New Roman" w:cs="Times New Roman"/>
                <w:color w:val="auto"/>
                <w:u w:val="none" w:color="auto"/>
                <w:lang w:val="en-US" w:eastAsia="zh-CN"/>
              </w:rPr>
            </w:pPr>
            <w:r>
              <w:rPr>
                <w:rFonts w:hint="default" w:ascii="Times New Roman" w:hAnsi="Times New Roman" w:eastAsia="宋体" w:cs="Times New Roman"/>
                <w:color w:val="auto"/>
                <w:sz w:val="24"/>
                <w:u w:val="none" w:color="auto"/>
                <w:lang w:val="en-US" w:eastAsia="zh-CN"/>
              </w:rPr>
              <w:t>③</w:t>
            </w:r>
            <w:r>
              <w:rPr>
                <w:rFonts w:hint="eastAsia"/>
                <w:color w:val="auto"/>
                <w:u w:val="none" w:color="auto"/>
                <w:lang w:val="en-US" w:eastAsia="zh-CN"/>
              </w:rPr>
              <w:t>车辆清洗用水</w:t>
            </w:r>
          </w:p>
          <w:p w14:paraId="04FC9E7E">
            <w:pPr>
              <w:bidi w:val="0"/>
              <w:rPr>
                <w:rFonts w:hint="eastAsia" w:cs="Times New Roman"/>
                <w:color w:val="auto"/>
                <w:sz w:val="24"/>
                <w:szCs w:val="24"/>
                <w:highlight w:val="none"/>
                <w:u w:val="none" w:color="auto"/>
                <w:lang w:val="en-US" w:eastAsia="zh-CN"/>
              </w:rPr>
            </w:pPr>
            <w:bookmarkStart w:id="81" w:name="OLE_LINK114"/>
            <w:r>
              <w:rPr>
                <w:rFonts w:hint="eastAsia"/>
                <w:color w:val="auto"/>
                <w:szCs w:val="24"/>
                <w:lang w:val="en-US" w:eastAsia="zh-CN"/>
              </w:rPr>
              <w:t>运输</w:t>
            </w:r>
            <w:r>
              <w:rPr>
                <w:rFonts w:hint="eastAsia"/>
                <w:color w:val="auto"/>
                <w:szCs w:val="24"/>
              </w:rPr>
              <w:t>车辆进厂后要进行轮胎清洗，以保证卫生条件；生猪卸下车后运</w:t>
            </w:r>
            <w:r>
              <w:rPr>
                <w:rFonts w:hint="eastAsia"/>
                <w:color w:val="auto"/>
                <w:szCs w:val="24"/>
                <w:lang w:val="en-US" w:eastAsia="zh-CN"/>
              </w:rPr>
              <w:t>输</w:t>
            </w:r>
            <w:r>
              <w:rPr>
                <w:rFonts w:hint="eastAsia"/>
                <w:color w:val="auto"/>
                <w:szCs w:val="24"/>
              </w:rPr>
              <w:t>空车到清洗点对车辆进行整车清洗，按2</w:t>
            </w:r>
            <w:r>
              <w:rPr>
                <w:color w:val="auto"/>
                <w:szCs w:val="24"/>
              </w:rPr>
              <w:t>5</w:t>
            </w:r>
            <w:r>
              <w:rPr>
                <w:rFonts w:hint="eastAsia"/>
                <w:color w:val="auto"/>
                <w:szCs w:val="24"/>
              </w:rPr>
              <w:t>头每车次核算，则平均每</w:t>
            </w:r>
            <w:r>
              <w:rPr>
                <w:rFonts w:hint="eastAsia"/>
                <w:color w:val="auto"/>
                <w:szCs w:val="24"/>
                <w:lang w:val="en-US" w:eastAsia="zh-CN"/>
              </w:rPr>
              <w:t>年</w:t>
            </w:r>
            <w:r>
              <w:rPr>
                <w:rFonts w:hint="eastAsia"/>
                <w:color w:val="auto"/>
                <w:szCs w:val="24"/>
              </w:rPr>
              <w:t>运输</w:t>
            </w:r>
            <w:r>
              <w:rPr>
                <w:rFonts w:hint="eastAsia"/>
                <w:color w:val="auto"/>
                <w:szCs w:val="24"/>
                <w:lang w:val="en-US" w:eastAsia="zh-CN"/>
              </w:rPr>
              <w:t>2920</w:t>
            </w:r>
            <w:r>
              <w:rPr>
                <w:rFonts w:hint="eastAsia"/>
                <w:color w:val="auto"/>
                <w:szCs w:val="24"/>
              </w:rPr>
              <w:t>车次，根据建设单位提供的资料，每车次冲洗水量取0.5</w:t>
            </w:r>
            <w:r>
              <w:rPr>
                <w:rFonts w:hint="eastAsia"/>
                <w:color w:val="auto"/>
                <w:szCs w:val="24"/>
                <w:lang w:val="en-US" w:eastAsia="zh-CN"/>
              </w:rPr>
              <w:t xml:space="preserve"> </w:t>
            </w:r>
            <w:r>
              <w:rPr>
                <w:rFonts w:hint="eastAsia"/>
                <w:color w:val="auto"/>
                <w:szCs w:val="24"/>
              </w:rPr>
              <w:t>m</w:t>
            </w:r>
            <w:r>
              <w:rPr>
                <w:rFonts w:hint="eastAsia"/>
                <w:color w:val="auto"/>
                <w:szCs w:val="24"/>
                <w:vertAlign w:val="superscript"/>
              </w:rPr>
              <w:t>3</w:t>
            </w:r>
            <w:r>
              <w:rPr>
                <w:rFonts w:hint="eastAsia"/>
                <w:color w:val="auto"/>
                <w:szCs w:val="24"/>
              </w:rPr>
              <w:t>/辆，用水量预计为</w:t>
            </w:r>
            <w:r>
              <w:rPr>
                <w:rFonts w:hint="eastAsia"/>
                <w:color w:val="auto"/>
                <w:szCs w:val="24"/>
                <w:lang w:val="en-US" w:eastAsia="zh-CN"/>
              </w:rPr>
              <w:t xml:space="preserve">1460 </w:t>
            </w:r>
            <w:r>
              <w:rPr>
                <w:rFonts w:hint="eastAsia"/>
                <w:color w:val="auto"/>
                <w:szCs w:val="24"/>
              </w:rPr>
              <w:t>m</w:t>
            </w:r>
            <w:r>
              <w:rPr>
                <w:rFonts w:hint="eastAsia"/>
                <w:color w:val="auto"/>
                <w:szCs w:val="24"/>
                <w:vertAlign w:val="superscript"/>
              </w:rPr>
              <w:t>3</w:t>
            </w:r>
            <w:r>
              <w:rPr>
                <w:rFonts w:hint="eastAsia"/>
                <w:color w:val="auto"/>
                <w:szCs w:val="24"/>
              </w:rPr>
              <w:t>/a</w:t>
            </w:r>
            <w:r>
              <w:rPr>
                <w:rFonts w:hint="eastAsia" w:cs="Times New Roman"/>
                <w:color w:val="auto"/>
                <w:sz w:val="24"/>
                <w:szCs w:val="24"/>
                <w:highlight w:val="none"/>
                <w:u w:val="none" w:color="auto"/>
                <w:lang w:val="en-US" w:eastAsia="zh-CN"/>
              </w:rPr>
              <w:t>。</w:t>
            </w:r>
            <w:bookmarkEnd w:id="81"/>
          </w:p>
          <w:p w14:paraId="5E9C7EBE">
            <w:pPr>
              <w:numPr>
                <w:ilvl w:val="-1"/>
                <w:numId w:val="0"/>
              </w:numPr>
              <w:bidi w:val="0"/>
              <w:ind w:left="0" w:leftChars="0"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（2）排水系统</w:t>
            </w:r>
          </w:p>
          <w:p w14:paraId="5EBCFB63">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排水方式采用雨水、污水分流制。</w:t>
            </w:r>
          </w:p>
          <w:p w14:paraId="43C3CE36">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①雨水</w:t>
            </w:r>
          </w:p>
          <w:p w14:paraId="3C8F70BE">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雨水经市政雨水管网排入</w:t>
            </w:r>
            <w:r>
              <w:rPr>
                <w:rFonts w:hint="eastAsia" w:cs="Times New Roman"/>
                <w:color w:val="auto"/>
                <w:u w:val="none" w:color="auto"/>
                <w:lang w:val="en-US" w:eastAsia="zh-CN"/>
              </w:rPr>
              <w:t>溆</w:t>
            </w:r>
            <w:r>
              <w:rPr>
                <w:rFonts w:hint="default" w:ascii="Times New Roman" w:hAnsi="Times New Roman" w:cs="Times New Roman"/>
                <w:color w:val="auto"/>
                <w:u w:val="none" w:color="auto"/>
                <w:lang w:val="en-US" w:eastAsia="zh-CN"/>
              </w:rPr>
              <w:t>水。</w:t>
            </w:r>
          </w:p>
          <w:p w14:paraId="4BCA800F">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②废水</w:t>
            </w:r>
          </w:p>
          <w:p w14:paraId="3EE5DF22">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项目现有废水主要为生活污水、</w:t>
            </w:r>
            <w:r>
              <w:rPr>
                <w:rFonts w:hint="eastAsia" w:cs="Times New Roman"/>
                <w:color w:val="auto"/>
                <w:u w:val="none" w:color="auto"/>
                <w:lang w:val="en-US" w:eastAsia="zh-CN"/>
              </w:rPr>
              <w:t>屠宰生产废水</w:t>
            </w:r>
            <w:r>
              <w:rPr>
                <w:rFonts w:hint="default" w:ascii="Times New Roman" w:hAnsi="Times New Roman" w:cs="Times New Roman"/>
                <w:color w:val="auto"/>
                <w:u w:val="none" w:color="auto"/>
                <w:lang w:val="en-US" w:eastAsia="zh-CN"/>
              </w:rPr>
              <w:t>、</w:t>
            </w:r>
            <w:r>
              <w:rPr>
                <w:rFonts w:hint="eastAsia"/>
                <w:color w:val="auto"/>
                <w:szCs w:val="21"/>
                <w:u w:val="none" w:color="auto"/>
                <w:lang w:val="en-US" w:eastAsia="zh-CN"/>
              </w:rPr>
              <w:t>车辆清洗废水</w:t>
            </w:r>
            <w:r>
              <w:rPr>
                <w:rFonts w:hint="default" w:ascii="Times New Roman" w:hAnsi="Times New Roman" w:cs="Times New Roman"/>
                <w:color w:val="auto"/>
                <w:u w:val="none" w:color="auto"/>
                <w:lang w:val="en-US" w:eastAsia="zh-CN"/>
              </w:rPr>
              <w:t>等。</w:t>
            </w:r>
          </w:p>
          <w:p w14:paraId="625260DB">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生活污水：</w:t>
            </w:r>
          </w:p>
          <w:p w14:paraId="5B812960">
            <w:pPr>
              <w:bidi w:val="0"/>
              <w:rPr>
                <w:rFonts w:hint="default" w:ascii="Times New Roman" w:hAnsi="Times New Roman" w:eastAsia="宋体" w:cs="Times New Roman"/>
                <w:color w:val="auto"/>
                <w:sz w:val="24"/>
                <w:u w:val="none" w:color="auto"/>
                <w:lang w:val="en-US" w:eastAsia="zh-CN"/>
              </w:rPr>
            </w:pPr>
            <w:bookmarkStart w:id="82" w:name="OLE_LINK186"/>
            <w:r>
              <w:rPr>
                <w:rFonts w:hint="default" w:ascii="Times New Roman" w:hAnsi="Times New Roman" w:cs="Times New Roman"/>
                <w:color w:val="auto"/>
                <w:u w:val="none" w:color="auto"/>
                <w:lang w:val="en-US" w:eastAsia="zh-CN"/>
              </w:rPr>
              <w:t>生活污水排放系数取0.8计，则生活污水排放量约为</w:t>
            </w:r>
            <w:r>
              <w:rPr>
                <w:rFonts w:hint="eastAsia" w:cs="Times New Roman"/>
                <w:color w:val="auto"/>
                <w:u w:val="none" w:color="auto"/>
                <w:lang w:val="en-US" w:eastAsia="zh-CN"/>
              </w:rPr>
              <w:t>2.8*0.8=2.24</w:t>
            </w:r>
            <w:r>
              <w:rPr>
                <w:rFonts w:hint="default" w:ascii="Times New Roman" w:hAnsi="Times New Roman" w:cs="Times New Roman"/>
                <w:color w:val="auto"/>
                <w:u w:val="none" w:color="auto"/>
                <w:lang w:val="en-US" w:eastAsia="zh-CN"/>
              </w:rPr>
              <w:t xml:space="preserve"> t/d（</w:t>
            </w:r>
            <w:r>
              <w:rPr>
                <w:rFonts w:hint="eastAsia" w:cs="Times New Roman"/>
                <w:color w:val="auto"/>
                <w:u w:val="none" w:color="auto"/>
                <w:lang w:val="en-US" w:eastAsia="zh-CN"/>
              </w:rPr>
              <w:t>817.6</w:t>
            </w:r>
            <w:r>
              <w:rPr>
                <w:rFonts w:hint="default" w:ascii="Times New Roman" w:hAnsi="Times New Roman" w:cs="Times New Roman"/>
                <w:color w:val="auto"/>
                <w:u w:val="none" w:color="auto"/>
                <w:lang w:val="en-US" w:eastAsia="zh-CN"/>
              </w:rPr>
              <w:t xml:space="preserve"> t/a）。</w:t>
            </w:r>
            <w:r>
              <w:rPr>
                <w:rFonts w:hint="eastAsia" w:cs="Times New Roman"/>
                <w:color w:val="auto"/>
                <w:u w:val="none" w:color="auto"/>
                <w:lang w:val="en-US" w:eastAsia="zh-CN"/>
              </w:rPr>
              <w:t>企业</w:t>
            </w:r>
            <w:r>
              <w:rPr>
                <w:rFonts w:hint="default" w:ascii="Times New Roman" w:hAnsi="Times New Roman" w:cs="Times New Roman"/>
                <w:color w:val="auto"/>
                <w:u w:val="none" w:color="auto"/>
                <w:lang w:val="en-US" w:eastAsia="zh-CN"/>
              </w:rPr>
              <w:t>生活污水经</w:t>
            </w:r>
            <w:r>
              <w:rPr>
                <w:rFonts w:hint="eastAsia" w:cs="Times New Roman"/>
                <w:color w:val="auto"/>
                <w:u w:val="none" w:color="auto"/>
                <w:lang w:val="en-US" w:eastAsia="zh-CN"/>
              </w:rPr>
              <w:t>化粪池、隔油池</w:t>
            </w:r>
            <w:r>
              <w:rPr>
                <w:rFonts w:hint="default" w:ascii="Times New Roman" w:hAnsi="Times New Roman" w:cs="Times New Roman"/>
                <w:color w:val="auto"/>
                <w:u w:val="none" w:color="auto"/>
                <w:lang w:val="en-US" w:eastAsia="zh-CN"/>
              </w:rPr>
              <w:t>处理后</w:t>
            </w:r>
            <w:bookmarkEnd w:id="82"/>
            <w:r>
              <w:rPr>
                <w:rFonts w:hint="eastAsia" w:cs="Times New Roman"/>
                <w:color w:val="auto"/>
                <w:u w:val="none" w:color="auto"/>
                <w:lang w:val="en-US" w:eastAsia="zh-CN"/>
              </w:rPr>
              <w:t>排入卢峰镇污水处理厂。</w:t>
            </w:r>
          </w:p>
          <w:p w14:paraId="5109A3C5">
            <w:pP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车辆清洗</w:t>
            </w:r>
            <w:r>
              <w:rPr>
                <w:rFonts w:hint="default" w:ascii="Times New Roman" w:hAnsi="Times New Roman" w:cs="Times New Roman"/>
                <w:color w:val="auto"/>
                <w:u w:val="none" w:color="auto"/>
                <w:lang w:val="en-US" w:eastAsia="zh-CN"/>
              </w:rPr>
              <w:t>废水：</w:t>
            </w:r>
          </w:p>
          <w:p w14:paraId="20572F4E">
            <w:pP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车辆清洗</w:t>
            </w:r>
            <w:r>
              <w:rPr>
                <w:rFonts w:hint="default" w:ascii="Times New Roman" w:hAnsi="Times New Roman" w:cs="Times New Roman"/>
                <w:color w:val="auto"/>
                <w:u w:val="none" w:color="auto"/>
                <w:lang w:val="en-US" w:eastAsia="zh-CN"/>
              </w:rPr>
              <w:t>废水排放系数取0.8计，则</w:t>
            </w:r>
            <w:r>
              <w:rPr>
                <w:rFonts w:hint="eastAsia" w:cs="Times New Roman"/>
                <w:color w:val="auto"/>
                <w:u w:val="none" w:color="auto"/>
                <w:lang w:val="en-US" w:eastAsia="zh-CN"/>
              </w:rPr>
              <w:t>车辆清洗</w:t>
            </w:r>
            <w:r>
              <w:rPr>
                <w:rFonts w:hint="default" w:ascii="Times New Roman" w:hAnsi="Times New Roman" w:cs="Times New Roman"/>
                <w:color w:val="auto"/>
                <w:u w:val="none" w:color="auto"/>
                <w:lang w:val="en-US" w:eastAsia="zh-CN"/>
              </w:rPr>
              <w:t>排放量约为</w:t>
            </w:r>
            <w:r>
              <w:rPr>
                <w:rFonts w:hint="eastAsia"/>
                <w:color w:val="auto"/>
                <w:szCs w:val="24"/>
                <w:lang w:val="en-US" w:eastAsia="zh-CN"/>
              </w:rPr>
              <w:t>1460</w:t>
            </w:r>
            <w:r>
              <w:rPr>
                <w:rFonts w:hint="eastAsia" w:cs="Times New Roman"/>
                <w:color w:val="auto"/>
                <w:u w:val="none" w:color="auto"/>
                <w:lang w:val="en-US" w:eastAsia="zh-CN"/>
              </w:rPr>
              <w:t>*0.8=1168</w:t>
            </w:r>
            <w:r>
              <w:rPr>
                <w:rFonts w:hint="default" w:ascii="Times New Roman" w:hAnsi="Times New Roman" w:cs="Times New Roman"/>
                <w:color w:val="auto"/>
                <w:u w:val="none" w:color="auto"/>
                <w:lang w:val="en-US" w:eastAsia="zh-CN"/>
              </w:rPr>
              <w:t xml:space="preserve"> t/a，</w:t>
            </w:r>
            <w:r>
              <w:rPr>
                <w:rFonts w:hint="eastAsia" w:cs="Times New Roman"/>
                <w:color w:val="auto"/>
                <w:u w:val="none" w:color="auto"/>
                <w:lang w:val="en-US" w:eastAsia="zh-CN"/>
              </w:rPr>
              <w:t>车辆清洗</w:t>
            </w:r>
            <w:r>
              <w:rPr>
                <w:rFonts w:hint="default" w:ascii="Times New Roman" w:hAnsi="Times New Roman" w:cs="Times New Roman"/>
                <w:color w:val="auto"/>
                <w:u w:val="none" w:color="auto"/>
                <w:lang w:val="en-US" w:eastAsia="zh-CN"/>
              </w:rPr>
              <w:t>废水经厂区污水处理站</w:t>
            </w:r>
            <w:r>
              <w:rPr>
                <w:rFonts w:hint="eastAsia" w:cs="Times New Roman"/>
                <w:color w:val="auto"/>
                <w:u w:val="none" w:color="auto"/>
                <w:lang w:val="en-US" w:eastAsia="zh-CN"/>
              </w:rPr>
              <w:t>处理后排入卢峰镇污水处理厂。</w:t>
            </w:r>
          </w:p>
          <w:p w14:paraId="5B59BFB1">
            <w:pPr>
              <w:rPr>
                <w:rFonts w:hint="default" w:ascii="Times New Roman" w:hAnsi="Times New Roman" w:cs="Times New Roman"/>
                <w:color w:val="auto"/>
                <w:u w:val="none" w:color="auto"/>
                <w:lang w:val="en-US" w:eastAsia="zh-CN"/>
              </w:rPr>
            </w:pPr>
            <w:r>
              <w:rPr>
                <w:rFonts w:hint="eastAsia"/>
                <w:color w:val="auto"/>
                <w:szCs w:val="21"/>
                <w:u w:val="none" w:color="auto"/>
                <w:lang w:val="en-US" w:eastAsia="zh-CN"/>
              </w:rPr>
              <w:t>屠宰生产废水</w:t>
            </w:r>
            <w:r>
              <w:rPr>
                <w:rFonts w:hint="default" w:ascii="Times New Roman" w:hAnsi="Times New Roman" w:cs="Times New Roman"/>
                <w:color w:val="auto"/>
                <w:u w:val="none" w:color="auto"/>
                <w:lang w:val="en-US" w:eastAsia="zh-CN"/>
              </w:rPr>
              <w:t>：</w:t>
            </w:r>
          </w:p>
          <w:p w14:paraId="2CF81171">
            <w:pPr>
              <w:ind w:firstLine="480" w:firstLineChars="200"/>
              <w:rPr>
                <w:rFonts w:hint="default"/>
                <w:color w:val="000000"/>
                <w:sz w:val="24"/>
                <w:szCs w:val="24"/>
                <w:lang w:val="en-US" w:eastAsia="zh-CN"/>
              </w:rPr>
            </w:pPr>
            <w:bookmarkStart w:id="83" w:name="OLE_LINK188"/>
            <w:r>
              <w:rPr>
                <w:rFonts w:hint="eastAsia" w:cstheme="minorBidi"/>
                <w:b w:val="0"/>
                <w:bCs w:val="0"/>
                <w:color w:val="000000"/>
                <w:sz w:val="24"/>
                <w:szCs w:val="24"/>
                <w:u w:val="none"/>
                <w:lang w:val="en-US" w:eastAsia="zh-CN"/>
              </w:rPr>
              <w:t>根</w:t>
            </w:r>
            <w:r>
              <w:rPr>
                <w:rFonts w:hint="eastAsia" w:cstheme="minorBidi"/>
                <w:b w:val="0"/>
                <w:bCs w:val="0"/>
                <w:color w:val="000000"/>
                <w:spacing w:val="0"/>
                <w:sz w:val="24"/>
                <w:szCs w:val="24"/>
                <w:u w:val="none"/>
                <w:lang w:val="en-US" w:eastAsia="zh-CN"/>
              </w:rPr>
              <w:t>据</w:t>
            </w:r>
            <w:r>
              <w:rPr>
                <w:rFonts w:hint="eastAsia" w:ascii="Times New Roman" w:hAnsi="Times New Roman" w:eastAsia="宋体" w:cstheme="minorBidi"/>
                <w:color w:val="000000"/>
                <w:spacing w:val="0"/>
                <w:kern w:val="2"/>
                <w:sz w:val="24"/>
                <w:szCs w:val="24"/>
                <w:u w:val="none"/>
                <w:lang w:val="en-US" w:eastAsia="zh-CN" w:bidi="ar"/>
              </w:rPr>
              <w:t>《排放源统计调查产排污核算方法和系数手册》中的</w:t>
            </w:r>
            <w:r>
              <w:rPr>
                <w:rFonts w:hint="eastAsia" w:cstheme="minorBidi"/>
                <w:color w:val="000000"/>
                <w:spacing w:val="0"/>
                <w:kern w:val="2"/>
                <w:sz w:val="24"/>
                <w:szCs w:val="24"/>
                <w:u w:val="none"/>
                <w:lang w:val="en-US" w:eastAsia="zh-CN" w:bidi="ar"/>
              </w:rPr>
              <w:t>屠宰及肉类加工</w:t>
            </w:r>
            <w:r>
              <w:rPr>
                <w:rFonts w:hint="eastAsia" w:ascii="Times New Roman" w:hAnsi="Times New Roman" w:cstheme="minorBidi"/>
                <w:color w:val="000000"/>
                <w:spacing w:val="0"/>
                <w:kern w:val="2"/>
                <w:sz w:val="24"/>
                <w:szCs w:val="24"/>
                <w:u w:val="none"/>
                <w:lang w:val="en-US" w:eastAsia="zh-CN" w:bidi="ar"/>
              </w:rPr>
              <w:t>行业</w:t>
            </w:r>
            <w:r>
              <w:rPr>
                <w:rFonts w:hint="eastAsia" w:ascii="Times New Roman" w:hAnsi="Times New Roman" w:eastAsia="宋体" w:cstheme="minorBidi"/>
                <w:color w:val="000000"/>
                <w:spacing w:val="0"/>
                <w:kern w:val="2"/>
                <w:sz w:val="24"/>
                <w:szCs w:val="24"/>
                <w:u w:val="none"/>
                <w:lang w:val="en-US" w:eastAsia="zh-CN" w:bidi="ar"/>
              </w:rPr>
              <w:t>系数手册，“</w:t>
            </w:r>
            <w:r>
              <w:rPr>
                <w:rFonts w:hint="eastAsia" w:ascii="Times New Roman" w:hAnsi="Times New Roman" w:eastAsia="宋体" w:cstheme="minorBidi"/>
                <w:color w:val="000000"/>
                <w:sz w:val="24"/>
                <w:szCs w:val="24"/>
              </w:rPr>
              <w:t>1351牲畜屠宰行业产污系数表</w:t>
            </w:r>
            <w:r>
              <w:rPr>
                <w:rFonts w:hint="eastAsia" w:ascii="Times New Roman" w:hAnsi="Times New Roman" w:eastAsia="宋体" w:cstheme="minorBidi"/>
                <w:color w:val="000000"/>
                <w:spacing w:val="0"/>
                <w:kern w:val="2"/>
                <w:sz w:val="24"/>
                <w:szCs w:val="24"/>
                <w:u w:val="none"/>
                <w:lang w:val="en-US" w:eastAsia="zh-CN" w:bidi="ar"/>
              </w:rPr>
              <w:t>”</w:t>
            </w:r>
            <w:r>
              <w:rPr>
                <w:rFonts w:hint="eastAsia" w:cstheme="minorBidi"/>
                <w:color w:val="000000"/>
                <w:spacing w:val="0"/>
                <w:kern w:val="2"/>
                <w:sz w:val="24"/>
                <w:szCs w:val="24"/>
                <w:u w:val="none"/>
                <w:lang w:val="en-US" w:eastAsia="zh-CN" w:bidi="ar"/>
              </w:rPr>
              <w:t>及“</w:t>
            </w:r>
            <w:r>
              <w:rPr>
                <w:rFonts w:hint="eastAsia" w:ascii="Times New Roman" w:hAnsi="Times New Roman" w:eastAsia="宋体" w:cstheme="minorBidi"/>
                <w:color w:val="000000"/>
                <w:sz w:val="24"/>
                <w:szCs w:val="24"/>
              </w:rPr>
              <w:t>1352禽类屠宰行业产污系数表</w:t>
            </w:r>
            <w:r>
              <w:rPr>
                <w:rFonts w:hint="eastAsia" w:cstheme="minorBidi"/>
                <w:color w:val="000000"/>
                <w:spacing w:val="0"/>
                <w:kern w:val="2"/>
                <w:sz w:val="24"/>
                <w:szCs w:val="24"/>
                <w:u w:val="none"/>
                <w:lang w:val="en-US" w:eastAsia="zh-CN" w:bidi="ar"/>
              </w:rPr>
              <w:t>”</w:t>
            </w:r>
            <w:r>
              <w:rPr>
                <w:rFonts w:hint="eastAsia"/>
                <w:color w:val="000000"/>
                <w:sz w:val="24"/>
                <w:szCs w:val="24"/>
                <w:lang w:val="en-US" w:eastAsia="zh-CN"/>
              </w:rPr>
              <w:t>计算</w:t>
            </w:r>
            <w:r>
              <w:rPr>
                <w:rFonts w:hint="eastAsia" w:cs="Times New Roman"/>
                <w:bCs/>
                <w:snapToGrid w:val="0"/>
                <w:color w:val="auto"/>
                <w:sz w:val="24"/>
                <w:u w:val="none"/>
                <w:lang w:val="en-US" w:eastAsia="zh-CN"/>
              </w:rPr>
              <w:t>；屠宰生猪的废水产生系数为0.535 t/只+1.59 t/（t-产品）。</w:t>
            </w:r>
          </w:p>
          <w:p w14:paraId="6720BD1B">
            <w:pPr>
              <w:rPr>
                <w:rFonts w:hint="default" w:ascii="Times New Roman" w:hAnsi="Times New Roman" w:eastAsia="宋体" w:cs="Times New Roman"/>
                <w:color w:val="auto"/>
                <w:u w:val="none" w:color="auto"/>
                <w:lang w:val="en-US" w:eastAsia="zh-CN"/>
              </w:rPr>
            </w:pPr>
            <w:r>
              <w:rPr>
                <w:rFonts w:hint="eastAsia"/>
                <w:color w:val="000000"/>
                <w:sz w:val="24"/>
                <w:szCs w:val="24"/>
                <w:lang w:val="en-US" w:eastAsia="zh-CN"/>
              </w:rPr>
              <w:t>故本项目废水产生量为73000*0.535+7794*1.59</w:t>
            </w:r>
            <w:r>
              <w:rPr>
                <w:rFonts w:hint="eastAsia" w:cs="Times New Roman"/>
                <w:bCs/>
                <w:snapToGrid w:val="0"/>
                <w:color w:val="auto"/>
                <w:sz w:val="24"/>
                <w:u w:val="none"/>
                <w:lang w:val="en-US" w:eastAsia="zh-CN"/>
              </w:rPr>
              <w:t>=51447.46 t/a。产生后</w:t>
            </w:r>
            <w:r>
              <w:rPr>
                <w:rFonts w:hint="default" w:ascii="Times New Roman" w:hAnsi="Times New Roman" w:cs="Times New Roman"/>
                <w:color w:val="auto"/>
                <w:u w:val="none" w:color="auto"/>
                <w:lang w:val="en-US" w:eastAsia="zh-CN"/>
              </w:rPr>
              <w:t>经厂区污水处理站</w:t>
            </w:r>
            <w:r>
              <w:rPr>
                <w:rFonts w:hint="eastAsia" w:cs="Times New Roman"/>
                <w:color w:val="auto"/>
                <w:u w:val="none" w:color="auto"/>
                <w:lang w:val="en-US" w:eastAsia="zh-CN"/>
              </w:rPr>
              <w:t>处理后排入卢峰镇污水处理厂。</w:t>
            </w:r>
            <w:bookmarkEnd w:id="83"/>
          </w:p>
          <w:p w14:paraId="6BCE9B7B">
            <w:pPr>
              <w:pStyle w:val="11"/>
              <w:ind w:firstLine="0" w:firstLineChars="0"/>
              <w:rPr>
                <w:rFonts w:hint="default"/>
                <w:color w:val="FF0000"/>
                <w:lang w:val="en-US" w:eastAsia="zh-CN"/>
              </w:rPr>
            </w:pPr>
            <w:r>
              <w:rPr>
                <w:rFonts w:hint="default"/>
                <w:color w:val="FF0000"/>
                <w:lang w:val="en-US" w:eastAsia="zh-CN"/>
              </w:rPr>
              <w:object>
                <v:shape id="_x0000_i1029" o:spt="75" type="#_x0000_t75" style="height:348pt;width:423.6pt;" o:ole="t" filled="f" o:preferrelative="t" stroked="f" coordsize="21600,21600">
                  <v:path/>
                  <v:fill on="f" focussize="0,0"/>
                  <v:stroke on="f"/>
                  <v:imagedata r:id="rId26" o:title=""/>
                  <o:lock v:ext="edit" aspectratio="f"/>
                  <w10:wrap type="none"/>
                  <w10:anchorlock/>
                </v:shape>
                <o:OLEObject Type="Embed" ProgID="Visio.Drawing.11" ShapeID="_x0000_i1029" DrawAspect="Content" ObjectID="_1468075729" r:id="rId25">
                  <o:LockedField>false</o:LockedField>
                </o:OLEObject>
              </w:object>
            </w:r>
          </w:p>
          <w:p w14:paraId="1F383109">
            <w:pPr>
              <w:pStyle w:val="11"/>
              <w:ind w:firstLine="0" w:firstLineChars="0"/>
              <w:jc w:val="center"/>
              <w:rPr>
                <w:rFonts w:hint="default" w:cs="Times New Roman"/>
                <w:color w:val="auto"/>
                <w:kern w:val="24"/>
                <w:sz w:val="24"/>
                <w:szCs w:val="21"/>
                <w:u w:val="none" w:color="auto"/>
                <w:lang w:val="en-US" w:eastAsia="zh-CN"/>
              </w:rPr>
            </w:pPr>
            <w:r>
              <w:rPr>
                <w:rFonts w:hint="default" w:ascii="Times New Roman" w:hAnsi="Times New Roman" w:cs="Times New Roman"/>
                <w:color w:val="auto"/>
                <w:kern w:val="24"/>
                <w:sz w:val="24"/>
                <w:szCs w:val="21"/>
                <w:u w:val="none" w:color="auto"/>
                <w:lang w:val="en-US" w:eastAsia="zh-CN"/>
              </w:rPr>
              <w:t>图2.</w:t>
            </w:r>
            <w:r>
              <w:rPr>
                <w:rFonts w:hint="default" w:cs="Times New Roman"/>
                <w:color w:val="auto"/>
                <w:kern w:val="24"/>
                <w:sz w:val="24"/>
                <w:szCs w:val="21"/>
                <w:u w:val="none" w:color="auto"/>
                <w:lang w:val="en-US" w:eastAsia="zh-CN"/>
              </w:rPr>
              <w:t>5</w:t>
            </w:r>
            <w:r>
              <w:rPr>
                <w:rFonts w:hint="default" w:ascii="Times New Roman" w:hAnsi="Times New Roman" w:cs="Times New Roman"/>
                <w:color w:val="auto"/>
                <w:kern w:val="24"/>
                <w:sz w:val="24"/>
                <w:szCs w:val="21"/>
                <w:u w:val="none" w:color="auto"/>
                <w:lang w:val="en-US" w:eastAsia="zh-CN"/>
              </w:rPr>
              <w:t xml:space="preserve">-1 </w:t>
            </w:r>
            <w:r>
              <w:rPr>
                <w:rFonts w:hint="eastAsia" w:cs="Times New Roman"/>
                <w:color w:val="auto"/>
                <w:kern w:val="24"/>
                <w:sz w:val="24"/>
                <w:szCs w:val="21"/>
                <w:u w:val="none" w:color="auto"/>
                <w:lang w:val="en-US" w:eastAsia="zh-CN"/>
              </w:rPr>
              <w:t>企业</w:t>
            </w:r>
            <w:r>
              <w:rPr>
                <w:rFonts w:hint="default" w:cs="Times New Roman"/>
                <w:color w:val="auto"/>
                <w:kern w:val="24"/>
                <w:sz w:val="24"/>
                <w:szCs w:val="21"/>
                <w:u w:val="none" w:color="auto"/>
                <w:lang w:val="en-US" w:eastAsia="zh-CN"/>
              </w:rPr>
              <w:t>现有工程</w:t>
            </w:r>
            <w:r>
              <w:rPr>
                <w:rFonts w:hint="default" w:ascii="Times New Roman" w:hAnsi="Times New Roman" w:cs="Times New Roman"/>
                <w:color w:val="auto"/>
                <w:kern w:val="24"/>
                <w:sz w:val="24"/>
                <w:szCs w:val="21"/>
                <w:u w:val="none" w:color="auto"/>
                <w:lang w:val="en-US" w:eastAsia="zh-CN"/>
              </w:rPr>
              <w:t>水平衡图（t/</w:t>
            </w:r>
            <w:r>
              <w:rPr>
                <w:rFonts w:hint="eastAsia" w:cs="Times New Roman"/>
                <w:color w:val="auto"/>
                <w:kern w:val="24"/>
                <w:sz w:val="24"/>
                <w:szCs w:val="21"/>
                <w:u w:val="none" w:color="auto"/>
                <w:lang w:val="en-US" w:eastAsia="zh-CN"/>
              </w:rPr>
              <w:t>a</w:t>
            </w:r>
            <w:r>
              <w:rPr>
                <w:rFonts w:hint="default" w:ascii="Times New Roman" w:hAnsi="Times New Roman" w:cs="Times New Roman"/>
                <w:color w:val="auto"/>
                <w:kern w:val="24"/>
                <w:sz w:val="24"/>
                <w:szCs w:val="21"/>
                <w:u w:val="none" w:color="auto"/>
                <w:lang w:val="en-US" w:eastAsia="zh-CN"/>
              </w:rPr>
              <w:t>）</w:t>
            </w:r>
          </w:p>
          <w:p w14:paraId="006771B5">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（3）供配电系统</w:t>
            </w:r>
          </w:p>
          <w:p w14:paraId="4A672DAC">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企业位于</w:t>
            </w:r>
            <w:r>
              <w:rPr>
                <w:rFonts w:hint="eastAsia" w:ascii="Times New Roman" w:hAnsi="Times New Roman" w:eastAsia="宋体" w:cs="Times New Roman"/>
                <w:color w:val="auto"/>
                <w:sz w:val="24"/>
                <w:u w:val="none"/>
                <w:lang w:eastAsia="zh-CN"/>
              </w:rPr>
              <w:t>怀化市</w:t>
            </w:r>
            <w:r>
              <w:rPr>
                <w:rFonts w:hint="default" w:ascii="Times New Roman" w:hAnsi="Times New Roman" w:eastAsia="宋体" w:cs="Times New Roman"/>
                <w:color w:val="auto"/>
                <w:sz w:val="24"/>
                <w:u w:val="none"/>
                <w:lang w:eastAsia="zh-CN"/>
              </w:rPr>
              <w:t>溆浦县卢峰镇</w:t>
            </w:r>
            <w:r>
              <w:rPr>
                <w:rFonts w:hint="eastAsia" w:cs="Times New Roman"/>
                <w:color w:val="auto"/>
                <w:sz w:val="24"/>
                <w:u w:val="none"/>
                <w:lang w:eastAsia="zh-CN"/>
              </w:rPr>
              <w:t>水田垅村</w:t>
            </w:r>
            <w:r>
              <w:rPr>
                <w:rFonts w:hint="default" w:ascii="Times New Roman" w:hAnsi="Times New Roman" w:cs="Times New Roman"/>
                <w:color w:val="auto"/>
                <w:u w:val="none" w:color="auto"/>
                <w:lang w:val="en-US" w:eastAsia="zh-CN"/>
              </w:rPr>
              <w:t>，企业</w:t>
            </w:r>
            <w:r>
              <w:rPr>
                <w:rFonts w:hint="eastAsia" w:cs="Times New Roman"/>
                <w:color w:val="auto"/>
                <w:u w:val="none" w:color="auto"/>
                <w:lang w:val="en-US" w:eastAsia="zh-CN"/>
              </w:rPr>
              <w:t>用电为市政供电</w:t>
            </w:r>
            <w:r>
              <w:rPr>
                <w:rFonts w:hint="default" w:ascii="Times New Roman" w:hAnsi="Times New Roman" w:cs="Times New Roman"/>
                <w:color w:val="auto"/>
                <w:u w:val="none" w:color="auto"/>
                <w:lang w:val="en-US" w:eastAsia="zh-CN"/>
              </w:rPr>
              <w:t>。</w:t>
            </w:r>
          </w:p>
          <w:p w14:paraId="1E7AEC96">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（4）劳动定员及工作制度</w:t>
            </w:r>
          </w:p>
          <w:p w14:paraId="25D63287">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劳动定员：劳动定员为</w:t>
            </w:r>
            <w:r>
              <w:rPr>
                <w:rFonts w:hint="eastAsia" w:cs="Times New Roman"/>
                <w:color w:val="auto"/>
                <w:u w:val="none" w:color="auto"/>
                <w:lang w:val="en-US" w:eastAsia="zh-CN"/>
              </w:rPr>
              <w:t>35</w:t>
            </w:r>
            <w:r>
              <w:rPr>
                <w:rFonts w:hint="default" w:ascii="Times New Roman" w:hAnsi="Times New Roman" w:cs="Times New Roman"/>
                <w:color w:val="auto"/>
                <w:u w:val="none" w:color="auto"/>
                <w:lang w:val="en-US" w:eastAsia="zh-CN"/>
              </w:rPr>
              <w:t>人，</w:t>
            </w:r>
            <w:r>
              <w:rPr>
                <w:rFonts w:hint="eastAsia" w:cs="Times New Roman"/>
                <w:color w:val="auto"/>
                <w:u w:val="none" w:color="auto"/>
                <w:lang w:val="en-US" w:eastAsia="zh-CN"/>
              </w:rPr>
              <w:t>其中10人</w:t>
            </w:r>
            <w:r>
              <w:rPr>
                <w:rFonts w:hint="default" w:ascii="Times New Roman" w:hAnsi="Times New Roman" w:cs="Times New Roman"/>
                <w:color w:val="auto"/>
                <w:u w:val="none" w:color="auto"/>
                <w:lang w:val="en-US" w:eastAsia="zh-CN"/>
              </w:rPr>
              <w:t>在厂内食宿。</w:t>
            </w:r>
          </w:p>
          <w:p w14:paraId="246F6474">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工作制度：年生产时间</w:t>
            </w:r>
            <w:r>
              <w:rPr>
                <w:rFonts w:hint="eastAsia" w:cs="Times New Roman"/>
                <w:color w:val="auto"/>
                <w:u w:val="none" w:color="auto"/>
                <w:lang w:val="en-US" w:eastAsia="zh-CN"/>
              </w:rPr>
              <w:t>365</w:t>
            </w:r>
            <w:r>
              <w:rPr>
                <w:rFonts w:hint="default" w:ascii="Times New Roman" w:hAnsi="Times New Roman" w:cs="Times New Roman"/>
                <w:color w:val="auto"/>
                <w:u w:val="none" w:color="auto"/>
                <w:lang w:val="en-US" w:eastAsia="zh-CN"/>
              </w:rPr>
              <w:t>天，</w:t>
            </w:r>
            <w:r>
              <w:rPr>
                <w:rFonts w:hint="eastAsia" w:cs="Times New Roman"/>
                <w:color w:val="auto"/>
                <w:u w:val="none" w:color="auto"/>
                <w:lang w:val="en-US" w:eastAsia="zh-CN"/>
              </w:rPr>
              <w:t>一</w:t>
            </w:r>
            <w:r>
              <w:rPr>
                <w:rFonts w:hint="default" w:ascii="Times New Roman" w:hAnsi="Times New Roman" w:cs="Times New Roman"/>
                <w:color w:val="auto"/>
                <w:u w:val="none" w:color="auto"/>
                <w:lang w:val="en-US" w:eastAsia="zh-CN"/>
              </w:rPr>
              <w:t>班制，每班</w:t>
            </w:r>
            <w:r>
              <w:rPr>
                <w:rFonts w:hint="eastAsia" w:cs="Times New Roman"/>
                <w:color w:val="auto"/>
                <w:u w:val="none" w:color="auto"/>
                <w:lang w:val="en-US" w:eastAsia="zh-CN"/>
              </w:rPr>
              <w:t>8</w:t>
            </w:r>
            <w:r>
              <w:rPr>
                <w:rFonts w:hint="default" w:ascii="Times New Roman" w:hAnsi="Times New Roman" w:cs="Times New Roman"/>
                <w:color w:val="auto"/>
                <w:u w:val="none" w:color="auto"/>
                <w:lang w:val="en-US" w:eastAsia="zh-CN"/>
              </w:rPr>
              <w:t>小时。</w:t>
            </w:r>
          </w:p>
          <w:p w14:paraId="4D1BB812">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2.6 </w:t>
            </w:r>
            <w:r>
              <w:rPr>
                <w:rFonts w:hint="eastAsia" w:eastAsia="黑体" w:cs="Times New Roman"/>
                <w:color w:val="auto"/>
                <w:u w:val="none" w:color="auto"/>
                <w:lang w:val="en-US" w:eastAsia="zh-CN"/>
              </w:rPr>
              <w:t>企业现有</w:t>
            </w:r>
            <w:r>
              <w:rPr>
                <w:rFonts w:hint="default" w:ascii="Times New Roman" w:hAnsi="Times New Roman" w:eastAsia="黑体" w:cs="Times New Roman"/>
                <w:color w:val="auto"/>
                <w:u w:val="none" w:color="auto"/>
                <w:lang w:val="en-US" w:eastAsia="zh-CN"/>
              </w:rPr>
              <w:t>项目生产工艺及产污位置</w:t>
            </w:r>
          </w:p>
          <w:p w14:paraId="493C04F2">
            <w:pPr>
              <w:ind w:left="0" w:leftChars="0" w:firstLine="480" w:firstLineChars="0"/>
              <w:jc w:val="left"/>
              <w:rPr>
                <w:rFonts w:hint="default" w:ascii="Times New Roman" w:hAnsi="Times New Roman" w:eastAsia="宋体" w:cs="Times New Roman"/>
                <w:color w:val="auto"/>
                <w:kern w:val="0"/>
                <w:sz w:val="24"/>
                <w:szCs w:val="24"/>
                <w:u w:val="none" w:color="auto"/>
                <w:lang w:val="en-US" w:eastAsia="zh-CN" w:bidi="ar"/>
              </w:rPr>
            </w:pPr>
            <w:bookmarkStart w:id="84" w:name="_Toc12514"/>
            <w:r>
              <w:rPr>
                <w:rFonts w:hint="eastAsia"/>
                <w:color w:val="auto"/>
                <w:lang w:val="en-US" w:eastAsia="zh-CN"/>
              </w:rPr>
              <w:t>企业现有工程主要屠宰生猪，其生产工艺与前文描述的本项目屠宰生猪工艺一致，详见2.3.2节，本节不再重复描述。</w:t>
            </w:r>
          </w:p>
          <w:bookmarkEnd w:id="84"/>
          <w:p w14:paraId="60274060">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2.7 </w:t>
            </w:r>
            <w:r>
              <w:rPr>
                <w:rFonts w:hint="default" w:ascii="Times New Roman" w:hAnsi="Times New Roman" w:eastAsia="黑体" w:cs="Times New Roman"/>
                <w:b/>
                <w:bCs/>
                <w:color w:val="auto"/>
                <w:u w:val="none" w:color="auto"/>
                <w:lang w:val="en-US" w:eastAsia="zh-CN"/>
              </w:rPr>
              <w:t>企业现有污染源排放情况分析</w:t>
            </w:r>
          </w:p>
          <w:p w14:paraId="6E398C73">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2.7.1 </w:t>
            </w:r>
            <w:r>
              <w:rPr>
                <w:rFonts w:hint="default" w:ascii="Times New Roman" w:hAnsi="Times New Roman" w:eastAsia="黑体" w:cs="Times New Roman"/>
                <w:b/>
                <w:bCs/>
                <w:color w:val="auto"/>
                <w:u w:val="none" w:color="auto"/>
                <w:lang w:val="en-US" w:eastAsia="zh-CN"/>
              </w:rPr>
              <w:t>企业现有污染源治理措施</w:t>
            </w:r>
          </w:p>
          <w:p w14:paraId="2963AF16">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（1）废气</w:t>
            </w:r>
          </w:p>
          <w:p w14:paraId="14B1C00F">
            <w:pPr>
              <w:ind w:firstLine="480" w:firstLineChars="200"/>
              <w:rPr>
                <w:rFonts w:hint="eastAsia"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现有项目废气处理设施详见下表。</w:t>
            </w:r>
          </w:p>
          <w:p w14:paraId="3660689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表</w:t>
            </w:r>
            <w:r>
              <w:rPr>
                <w:rFonts w:hint="eastAsia" w:cs="Times New Roman"/>
                <w:color w:val="auto"/>
                <w:u w:val="none" w:color="auto"/>
                <w:lang w:val="en-US" w:eastAsia="zh-CN"/>
              </w:rPr>
              <w:t>2.7-1</w:t>
            </w:r>
            <w:r>
              <w:rPr>
                <w:rFonts w:hint="default" w:ascii="Times New Roman" w:hAnsi="Times New Roman" w:cs="Times New Roman"/>
                <w:color w:val="auto"/>
                <w:u w:val="none" w:color="auto"/>
                <w:lang w:val="en-US" w:eastAsia="zh-CN"/>
              </w:rPr>
              <w:t xml:space="preserve"> 废气污染防治措施情况一览表</w:t>
            </w:r>
          </w:p>
          <w:tbl>
            <w:tblPr>
              <w:tblStyle w:val="23"/>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743"/>
              <w:gridCol w:w="2231"/>
              <w:gridCol w:w="3403"/>
            </w:tblGrid>
            <w:tr w14:paraId="669B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4" w:type="pct"/>
                  <w:vAlign w:val="center"/>
                </w:tcPr>
                <w:p w14:paraId="0508FF12">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lang w:val="en-US" w:eastAsia="zh-CN"/>
                    </w:rPr>
                    <w:t>风险源</w:t>
                  </w:r>
                </w:p>
              </w:tc>
              <w:tc>
                <w:tcPr>
                  <w:tcW w:w="1031" w:type="pct"/>
                  <w:vAlign w:val="center"/>
                </w:tcPr>
                <w:p w14:paraId="350155FE">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rPr>
                    <w:t>污染</w:t>
                  </w:r>
                  <w:r>
                    <w:rPr>
                      <w:rFonts w:hint="default" w:ascii="Times New Roman" w:hAnsi="Times New Roman" w:cs="Times New Roman"/>
                      <w:color w:val="auto"/>
                      <w:sz w:val="21"/>
                      <w:szCs w:val="21"/>
                      <w:u w:val="none" w:color="auto"/>
                      <w:lang w:val="en-US" w:eastAsia="zh-CN"/>
                    </w:rPr>
                    <w:t>源</w:t>
                  </w:r>
                </w:p>
              </w:tc>
              <w:tc>
                <w:tcPr>
                  <w:tcW w:w="1320" w:type="pct"/>
                  <w:vAlign w:val="center"/>
                </w:tcPr>
                <w:p w14:paraId="7457CD62">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污染物</w:t>
                  </w:r>
                </w:p>
              </w:tc>
              <w:tc>
                <w:tcPr>
                  <w:tcW w:w="2013" w:type="pct"/>
                  <w:vAlign w:val="center"/>
                </w:tcPr>
                <w:p w14:paraId="2CAA3CE4">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rPr>
                    <w:t>污染防治措施</w:t>
                  </w:r>
                </w:p>
              </w:tc>
            </w:tr>
            <w:tr w14:paraId="3680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Merge w:val="restart"/>
                  <w:vAlign w:val="center"/>
                </w:tcPr>
                <w:p w14:paraId="25388320">
                  <w:pPr>
                    <w:pStyle w:val="4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生产</w:t>
                  </w:r>
                  <w:r>
                    <w:rPr>
                      <w:rFonts w:hint="default" w:ascii="Times New Roman" w:hAnsi="Times New Roman" w:eastAsia="宋体" w:cs="Times New Roman"/>
                      <w:color w:val="auto"/>
                      <w:sz w:val="21"/>
                      <w:szCs w:val="21"/>
                      <w:u w:val="none" w:color="auto"/>
                    </w:rPr>
                    <w:t>车间</w:t>
                  </w:r>
                </w:p>
              </w:tc>
              <w:tc>
                <w:tcPr>
                  <w:tcW w:w="1031" w:type="pct"/>
                  <w:vAlign w:val="center"/>
                </w:tcPr>
                <w:p w14:paraId="5FC31364">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cs="Times New Roman"/>
                      <w:color w:val="auto"/>
                      <w:sz w:val="21"/>
                      <w:szCs w:val="21"/>
                      <w:u w:val="none" w:color="auto"/>
                      <w:lang w:val="en-US" w:eastAsia="zh-CN"/>
                    </w:rPr>
                    <w:t>待宰间恶臭</w:t>
                  </w:r>
                </w:p>
              </w:tc>
              <w:tc>
                <w:tcPr>
                  <w:tcW w:w="1320" w:type="pct"/>
                  <w:vAlign w:val="center"/>
                </w:tcPr>
                <w:p w14:paraId="28FDF4C1">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臭气浓度、氨、硫化氢</w:t>
                  </w:r>
                </w:p>
              </w:tc>
              <w:tc>
                <w:tcPr>
                  <w:tcW w:w="2013" w:type="pct"/>
                  <w:vAlign w:val="center"/>
                </w:tcPr>
                <w:p w14:paraId="01C0B5D5">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喷洒除臭剂后无组织排放</w:t>
                  </w:r>
                </w:p>
              </w:tc>
            </w:tr>
            <w:tr w14:paraId="1D69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Merge w:val="continue"/>
                  <w:vAlign w:val="center"/>
                </w:tcPr>
                <w:p w14:paraId="6B1B4346">
                  <w:pPr>
                    <w:pStyle w:val="4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rPr>
                  </w:pPr>
                </w:p>
              </w:tc>
              <w:tc>
                <w:tcPr>
                  <w:tcW w:w="1031" w:type="pct"/>
                  <w:vAlign w:val="center"/>
                </w:tcPr>
                <w:p w14:paraId="4AC54F94">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cs="Times New Roman"/>
                      <w:color w:val="auto"/>
                      <w:sz w:val="21"/>
                      <w:szCs w:val="21"/>
                      <w:u w:val="none" w:color="auto"/>
                      <w:lang w:val="en-US" w:eastAsia="zh-CN"/>
                    </w:rPr>
                    <w:t>屠宰间、急宰间恶臭</w:t>
                  </w:r>
                </w:p>
              </w:tc>
              <w:tc>
                <w:tcPr>
                  <w:tcW w:w="1320" w:type="pct"/>
                  <w:shd w:val="clear" w:color="auto" w:fill="auto"/>
                  <w:vAlign w:val="center"/>
                </w:tcPr>
                <w:p w14:paraId="1EA83EC0">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臭气浓度、氨、硫化氢</w:t>
                  </w:r>
                </w:p>
              </w:tc>
              <w:tc>
                <w:tcPr>
                  <w:tcW w:w="2013" w:type="pct"/>
                  <w:shd w:val="clear" w:color="auto" w:fill="auto"/>
                  <w:vAlign w:val="center"/>
                </w:tcPr>
                <w:p w14:paraId="3536A7BA">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喷洒除臭剂后无组织排放</w:t>
                  </w:r>
                </w:p>
              </w:tc>
            </w:tr>
            <w:tr w14:paraId="091E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Merge w:val="continue"/>
                  <w:vAlign w:val="center"/>
                </w:tcPr>
                <w:p w14:paraId="33B9708D">
                  <w:pPr>
                    <w:pStyle w:val="4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rPr>
                  </w:pPr>
                </w:p>
              </w:tc>
              <w:tc>
                <w:tcPr>
                  <w:tcW w:w="1031" w:type="pct"/>
                  <w:vAlign w:val="center"/>
                </w:tcPr>
                <w:p w14:paraId="6A47C4F8">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污水处理站恶臭</w:t>
                  </w:r>
                </w:p>
              </w:tc>
              <w:tc>
                <w:tcPr>
                  <w:tcW w:w="1320" w:type="pct"/>
                  <w:shd w:val="clear" w:color="auto" w:fill="auto"/>
                  <w:vAlign w:val="center"/>
                </w:tcPr>
                <w:p w14:paraId="3680178F">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臭气浓度、氨、硫化氢</w:t>
                  </w:r>
                </w:p>
              </w:tc>
              <w:tc>
                <w:tcPr>
                  <w:tcW w:w="2013" w:type="pct"/>
                  <w:vAlign w:val="center"/>
                </w:tcPr>
                <w:p w14:paraId="39EE4D6D">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无组织排放</w:t>
                  </w:r>
                </w:p>
              </w:tc>
            </w:tr>
            <w:tr w14:paraId="6C15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14:paraId="15E8F577">
                  <w:pPr>
                    <w:pStyle w:val="4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锅炉房</w:t>
                  </w:r>
                </w:p>
              </w:tc>
              <w:tc>
                <w:tcPr>
                  <w:tcW w:w="1031" w:type="pct"/>
                  <w:vAlign w:val="center"/>
                </w:tcPr>
                <w:p w14:paraId="76B3336B">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锅炉废气</w:t>
                  </w:r>
                </w:p>
              </w:tc>
              <w:tc>
                <w:tcPr>
                  <w:tcW w:w="1320" w:type="pct"/>
                  <w:vAlign w:val="center"/>
                </w:tcPr>
                <w:p w14:paraId="1031E0C1">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二氧化硫、氮氧化物、颗粒物</w:t>
                  </w:r>
                </w:p>
              </w:tc>
              <w:tc>
                <w:tcPr>
                  <w:tcW w:w="2013" w:type="pct"/>
                  <w:vAlign w:val="center"/>
                </w:tcPr>
                <w:p w14:paraId="752C8A20">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20 m排气筒</w:t>
                  </w:r>
                </w:p>
              </w:tc>
            </w:tr>
            <w:tr w14:paraId="4747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34" w:type="pct"/>
                  <w:vAlign w:val="center"/>
                </w:tcPr>
                <w:p w14:paraId="1DB5EA40">
                  <w:pPr>
                    <w:pStyle w:val="4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食堂</w:t>
                  </w:r>
                </w:p>
              </w:tc>
              <w:tc>
                <w:tcPr>
                  <w:tcW w:w="1031" w:type="pct"/>
                  <w:vAlign w:val="center"/>
                </w:tcPr>
                <w:p w14:paraId="1A944945">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食堂油烟</w:t>
                  </w:r>
                </w:p>
              </w:tc>
              <w:tc>
                <w:tcPr>
                  <w:tcW w:w="1320" w:type="pct"/>
                  <w:vAlign w:val="center"/>
                </w:tcPr>
                <w:p w14:paraId="7CB0BD88">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食堂油烟</w:t>
                  </w:r>
                </w:p>
              </w:tc>
              <w:tc>
                <w:tcPr>
                  <w:tcW w:w="2013" w:type="pct"/>
                  <w:vAlign w:val="center"/>
                </w:tcPr>
                <w:p w14:paraId="4B704607">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2"/>
                      <w:sz w:val="21"/>
                      <w:szCs w:val="21"/>
                      <w:u w:val="none" w:color="auto"/>
                      <w:lang w:val="en-US" w:eastAsia="zh-CN" w:bidi="ar"/>
                    </w:rPr>
                    <w:t>经油烟净化器处理后引至屋顶排放</w:t>
                  </w:r>
                </w:p>
              </w:tc>
            </w:tr>
          </w:tbl>
          <w:p w14:paraId="5926E159">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（2）废水</w:t>
            </w:r>
          </w:p>
          <w:p w14:paraId="35926724">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u w:val="none" w:color="auto"/>
                <w:lang w:val="en-US" w:eastAsia="zh-CN"/>
              </w:rPr>
            </w:pPr>
            <w:r>
              <w:rPr>
                <w:rFonts w:hint="eastAsia" w:cs="Times New Roman"/>
                <w:color w:val="auto"/>
                <w:sz w:val="24"/>
                <w:u w:val="none" w:color="auto"/>
                <w:lang w:val="en-US" w:eastAsia="zh-CN"/>
              </w:rPr>
              <w:t>企业</w:t>
            </w:r>
            <w:r>
              <w:rPr>
                <w:rFonts w:hint="default" w:ascii="Times New Roman" w:hAnsi="Times New Roman" w:cs="Times New Roman"/>
                <w:color w:val="auto"/>
                <w:sz w:val="24"/>
                <w:u w:val="none" w:color="auto"/>
                <w:lang w:val="en-US" w:eastAsia="zh-CN"/>
              </w:rPr>
              <w:t>实行雨污分流制。</w:t>
            </w:r>
            <w:r>
              <w:rPr>
                <w:rFonts w:hint="eastAsia" w:cs="Times New Roman"/>
                <w:color w:val="auto"/>
                <w:u w:val="none" w:color="auto"/>
                <w:lang w:val="en-US" w:eastAsia="zh-CN"/>
              </w:rPr>
              <w:t>现</w:t>
            </w:r>
            <w:r>
              <w:rPr>
                <w:rFonts w:hint="default" w:cs="Times New Roman"/>
                <w:color w:val="auto"/>
                <w:u w:val="none" w:color="auto"/>
                <w:lang w:val="en-US" w:eastAsia="zh-CN"/>
              </w:rPr>
              <w:t>有</w:t>
            </w:r>
            <w:r>
              <w:rPr>
                <w:rFonts w:hint="default" w:ascii="Times New Roman" w:hAnsi="Times New Roman" w:eastAsia="宋体" w:cs="Times New Roman"/>
                <w:color w:val="auto"/>
                <w:kern w:val="2"/>
                <w:sz w:val="24"/>
                <w:szCs w:val="24"/>
                <w:u w:val="none" w:color="auto"/>
                <w:lang w:val="en-US" w:eastAsia="zh-CN" w:bidi="ar"/>
              </w:rPr>
              <w:t>生活污水经隔油池和化粪池处理后</w:t>
            </w:r>
            <w:r>
              <w:rPr>
                <w:rFonts w:hint="eastAsia" w:cs="Times New Roman"/>
                <w:color w:val="auto"/>
                <w:kern w:val="2"/>
                <w:sz w:val="24"/>
                <w:szCs w:val="24"/>
                <w:u w:val="none" w:color="auto"/>
                <w:lang w:val="en-US" w:eastAsia="zh-CN" w:bidi="ar"/>
              </w:rPr>
              <w:t>排入卢峰镇污水处理厂</w:t>
            </w:r>
            <w:r>
              <w:rPr>
                <w:rFonts w:hint="default" w:ascii="Times New Roman" w:hAnsi="Times New Roman" w:eastAsia="宋体" w:cs="Times New Roman"/>
                <w:color w:val="auto"/>
                <w:kern w:val="2"/>
                <w:sz w:val="24"/>
                <w:szCs w:val="24"/>
                <w:u w:val="none" w:color="auto"/>
                <w:lang w:val="en-US" w:eastAsia="zh-CN" w:bidi="ar"/>
              </w:rPr>
              <w:t>，屠宰生产废水经污水处理站</w:t>
            </w:r>
            <w:r>
              <w:rPr>
                <w:rFonts w:hint="default" w:cs="Times New Roman"/>
                <w:color w:val="auto"/>
                <w:kern w:val="2"/>
                <w:sz w:val="24"/>
                <w:szCs w:val="24"/>
                <w:u w:val="none" w:color="auto"/>
                <w:lang w:val="en-US" w:eastAsia="zh-CN" w:bidi="ar"/>
              </w:rPr>
              <w:t>（</w:t>
            </w:r>
            <w:r>
              <w:rPr>
                <w:rFonts w:hint="default" w:cs="Times New Roman"/>
                <w:color w:val="auto"/>
                <w:sz w:val="24"/>
                <w:szCs w:val="24"/>
                <w:u w:val="none" w:color="auto"/>
                <w:lang w:val="en-US" w:eastAsia="zh-CN" w:bidi="ar"/>
              </w:rPr>
              <w:t>格栅+混凝絮凝+厌氧+三级好氧+沉淀+消毒池</w:t>
            </w:r>
            <w:r>
              <w:rPr>
                <w:rFonts w:hint="default" w:cs="Times New Roman"/>
                <w:color w:val="auto"/>
                <w:kern w:val="2"/>
                <w:sz w:val="24"/>
                <w:szCs w:val="24"/>
                <w:u w:val="none" w:color="auto"/>
                <w:lang w:val="en-US" w:eastAsia="zh-CN" w:bidi="ar"/>
              </w:rPr>
              <w:t>）</w:t>
            </w:r>
            <w:r>
              <w:rPr>
                <w:rFonts w:hint="default" w:ascii="Times New Roman" w:hAnsi="Times New Roman" w:eastAsia="宋体" w:cs="Times New Roman"/>
                <w:color w:val="auto"/>
                <w:kern w:val="2"/>
                <w:sz w:val="24"/>
                <w:szCs w:val="24"/>
                <w:u w:val="none" w:color="auto"/>
                <w:lang w:val="en-US" w:eastAsia="zh-CN" w:bidi="ar"/>
              </w:rPr>
              <w:t>处理后</w:t>
            </w:r>
            <w:r>
              <w:rPr>
                <w:rFonts w:hint="default" w:cs="Times New Roman"/>
                <w:color w:val="auto"/>
                <w:kern w:val="2"/>
                <w:sz w:val="24"/>
                <w:szCs w:val="24"/>
                <w:u w:val="none" w:color="auto"/>
                <w:lang w:val="en-US" w:eastAsia="zh-CN" w:bidi="ar"/>
              </w:rPr>
              <w:t>与</w:t>
            </w:r>
            <w:r>
              <w:rPr>
                <w:rFonts w:hint="default" w:ascii="Times New Roman" w:hAnsi="Times New Roman" w:eastAsia="宋体" w:cs="Times New Roman"/>
                <w:color w:val="auto"/>
                <w:kern w:val="2"/>
                <w:sz w:val="24"/>
                <w:szCs w:val="24"/>
                <w:u w:val="none" w:color="auto"/>
                <w:lang w:val="en-US" w:eastAsia="zh-CN" w:bidi="ar"/>
              </w:rPr>
              <w:t>车辆清洗废水</w:t>
            </w:r>
            <w:r>
              <w:rPr>
                <w:rFonts w:hint="default" w:cs="Times New Roman"/>
                <w:color w:val="auto"/>
                <w:kern w:val="2"/>
                <w:sz w:val="24"/>
                <w:szCs w:val="24"/>
                <w:u w:val="none" w:color="auto"/>
                <w:lang w:val="en-US" w:eastAsia="zh-CN" w:bidi="ar"/>
              </w:rPr>
              <w:t>一起</w:t>
            </w:r>
            <w:r>
              <w:rPr>
                <w:rFonts w:hint="eastAsia" w:cs="Times New Roman"/>
                <w:color w:val="auto"/>
                <w:kern w:val="2"/>
                <w:sz w:val="24"/>
                <w:szCs w:val="24"/>
                <w:u w:val="none" w:color="auto"/>
                <w:lang w:val="en-US" w:eastAsia="zh-CN" w:bidi="ar"/>
              </w:rPr>
              <w:t>排入卢峰镇污水处理厂</w:t>
            </w:r>
            <w:r>
              <w:rPr>
                <w:rFonts w:hint="default" w:ascii="Times New Roman" w:hAnsi="Times New Roman" w:eastAsia="宋体" w:cs="Times New Roman"/>
                <w:color w:val="auto"/>
                <w:u w:val="none" w:color="auto"/>
                <w:lang w:val="en-US" w:eastAsia="zh-CN"/>
              </w:rPr>
              <w:t>。</w:t>
            </w:r>
          </w:p>
          <w:p w14:paraId="05CCE81E">
            <w:pPr>
              <w:pStyle w:val="11"/>
              <w:pageBreakBefore w:val="0"/>
              <w:kinsoku/>
              <w:wordWrap/>
              <w:overflowPunct/>
              <w:topLinePunct w:val="0"/>
              <w:autoSpaceDE/>
              <w:autoSpaceDN/>
              <w:bidi w:val="0"/>
              <w:adjustRightInd/>
              <w:snapToGrid/>
              <w:ind w:leftChars="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厂区设置了一套雨水收集及排放系统</w:t>
            </w:r>
            <w:r>
              <w:rPr>
                <w:rFonts w:hint="default" w:ascii="Times New Roman" w:hAnsi="Times New Roman"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雨水通过</w:t>
            </w:r>
            <w:r>
              <w:rPr>
                <w:rFonts w:hint="default" w:ascii="Times New Roman" w:hAnsi="Times New Roman" w:cs="Times New Roman"/>
                <w:color w:val="auto"/>
                <w:kern w:val="2"/>
                <w:sz w:val="24"/>
                <w:szCs w:val="24"/>
                <w:u w:val="none" w:color="auto"/>
                <w:lang w:val="en-US" w:eastAsia="zh-CN" w:bidi="ar-SA"/>
              </w:rPr>
              <w:t>厂区</w:t>
            </w:r>
            <w:r>
              <w:rPr>
                <w:rFonts w:hint="default" w:ascii="Times New Roman" w:hAnsi="Times New Roman" w:eastAsia="宋体" w:cs="Times New Roman"/>
                <w:color w:val="auto"/>
                <w:kern w:val="2"/>
                <w:sz w:val="24"/>
                <w:szCs w:val="24"/>
                <w:u w:val="none" w:color="auto"/>
                <w:lang w:val="en-US" w:eastAsia="zh-CN" w:bidi="ar-SA"/>
              </w:rPr>
              <w:t>雨水</w:t>
            </w:r>
            <w:r>
              <w:rPr>
                <w:rFonts w:hint="default" w:ascii="Times New Roman" w:hAnsi="Times New Roman" w:cs="Times New Roman"/>
                <w:color w:val="auto"/>
                <w:kern w:val="2"/>
                <w:sz w:val="24"/>
                <w:szCs w:val="24"/>
                <w:u w:val="none" w:color="auto"/>
                <w:lang w:val="en-US" w:eastAsia="zh-CN" w:bidi="ar-SA"/>
              </w:rPr>
              <w:t>管网</w:t>
            </w:r>
            <w:r>
              <w:rPr>
                <w:rFonts w:hint="default" w:ascii="Times New Roman" w:hAnsi="Times New Roman" w:eastAsia="宋体" w:cs="Times New Roman"/>
                <w:color w:val="auto"/>
                <w:kern w:val="2"/>
                <w:sz w:val="24"/>
                <w:szCs w:val="24"/>
                <w:u w:val="none" w:color="auto"/>
                <w:lang w:val="en-US" w:eastAsia="zh-CN" w:bidi="ar-SA"/>
              </w:rPr>
              <w:t>汇集排入</w:t>
            </w:r>
            <w:r>
              <w:rPr>
                <w:rFonts w:hint="eastAsia" w:cs="Times New Roman"/>
                <w:color w:val="auto"/>
                <w:kern w:val="2"/>
                <w:sz w:val="24"/>
                <w:szCs w:val="24"/>
                <w:u w:val="none" w:color="auto"/>
                <w:lang w:val="en-US" w:eastAsia="zh-CN" w:bidi="ar-SA"/>
              </w:rPr>
              <w:t>溆</w:t>
            </w:r>
            <w:r>
              <w:rPr>
                <w:rFonts w:hint="default" w:ascii="Times New Roman" w:hAnsi="Times New Roman" w:cs="Times New Roman"/>
                <w:color w:val="auto"/>
                <w:kern w:val="2"/>
                <w:sz w:val="24"/>
                <w:szCs w:val="24"/>
                <w:u w:val="none" w:color="auto"/>
                <w:lang w:val="en-US" w:eastAsia="zh-CN" w:bidi="ar-SA"/>
              </w:rPr>
              <w:t>水</w:t>
            </w:r>
            <w:r>
              <w:rPr>
                <w:rFonts w:hint="default" w:ascii="Times New Roman" w:hAnsi="Times New Roman" w:eastAsia="宋体" w:cs="Times New Roman"/>
                <w:color w:val="auto"/>
                <w:kern w:val="2"/>
                <w:sz w:val="24"/>
                <w:szCs w:val="24"/>
                <w:u w:val="none" w:color="auto"/>
                <w:lang w:val="en-US" w:eastAsia="zh-CN" w:bidi="ar-SA"/>
              </w:rPr>
              <w:t>。</w:t>
            </w:r>
          </w:p>
          <w:p w14:paraId="4936E72B">
            <w:pPr>
              <w:rPr>
                <w:rFonts w:hint="default" w:ascii="Times New Roman" w:hAnsi="Times New Roman" w:cs="Times New Roman"/>
                <w:color w:val="auto"/>
                <w:kern w:val="2"/>
                <w:sz w:val="24"/>
                <w:szCs w:val="24"/>
                <w:u w:val="none" w:color="auto"/>
                <w:lang w:val="en-US" w:eastAsia="zh-CN" w:bidi="ar-SA"/>
              </w:rPr>
            </w:pPr>
            <w:r>
              <w:rPr>
                <w:rFonts w:hint="default" w:ascii="Times New Roman" w:hAnsi="Times New Roman" w:cs="Times New Roman"/>
                <w:color w:val="auto"/>
                <w:kern w:val="2"/>
                <w:sz w:val="24"/>
                <w:szCs w:val="24"/>
                <w:u w:val="none" w:color="auto"/>
                <w:lang w:val="en-US" w:eastAsia="zh-CN" w:bidi="ar-SA"/>
              </w:rPr>
              <w:t>废水的产生及治理措施见下表</w:t>
            </w:r>
            <w:r>
              <w:rPr>
                <w:rFonts w:hint="eastAsia" w:cs="Times New Roman"/>
                <w:color w:val="auto"/>
                <w:kern w:val="2"/>
                <w:sz w:val="24"/>
                <w:szCs w:val="24"/>
                <w:u w:val="none" w:color="auto"/>
                <w:lang w:val="en-US" w:eastAsia="zh-CN" w:bidi="ar-SA"/>
              </w:rPr>
              <w:t>2.7-2</w:t>
            </w:r>
            <w:r>
              <w:rPr>
                <w:rFonts w:hint="default" w:ascii="Times New Roman" w:hAnsi="Times New Roman" w:cs="Times New Roman"/>
                <w:color w:val="auto"/>
                <w:kern w:val="2"/>
                <w:sz w:val="24"/>
                <w:szCs w:val="24"/>
                <w:u w:val="none" w:color="auto"/>
                <w:lang w:val="en-US" w:eastAsia="zh-CN" w:bidi="ar-SA"/>
              </w:rPr>
              <w:t>。</w:t>
            </w:r>
          </w:p>
          <w:p w14:paraId="58398107">
            <w:pPr>
              <w:ind w:left="0" w:leftChars="0" w:firstLine="0" w:firstLineChars="0"/>
              <w:jc w:val="center"/>
              <w:rPr>
                <w:rFonts w:hint="default" w:ascii="Times New Roman" w:hAnsi="Times New Roman" w:cs="Times New Roman"/>
                <w:color w:val="auto"/>
                <w:kern w:val="2"/>
                <w:sz w:val="24"/>
                <w:szCs w:val="24"/>
                <w:u w:val="none" w:color="auto"/>
                <w:lang w:val="en-US" w:eastAsia="zh-CN" w:bidi="ar-SA"/>
              </w:rPr>
            </w:pPr>
            <w:r>
              <w:rPr>
                <w:rFonts w:hint="default" w:ascii="Times New Roman" w:hAnsi="Times New Roman" w:cs="Times New Roman"/>
                <w:color w:val="auto"/>
                <w:kern w:val="2"/>
                <w:sz w:val="24"/>
                <w:szCs w:val="24"/>
                <w:u w:val="none" w:color="auto"/>
                <w:lang w:val="en-US" w:eastAsia="zh-CN" w:bidi="ar-SA"/>
              </w:rPr>
              <w:t>表</w:t>
            </w:r>
            <w:r>
              <w:rPr>
                <w:rFonts w:hint="eastAsia" w:cs="Times New Roman"/>
                <w:color w:val="auto"/>
                <w:kern w:val="2"/>
                <w:sz w:val="24"/>
                <w:szCs w:val="24"/>
                <w:u w:val="none" w:color="auto"/>
                <w:lang w:val="en-US" w:eastAsia="zh-CN" w:bidi="ar-SA"/>
              </w:rPr>
              <w:t>2.7-2</w:t>
            </w:r>
            <w:r>
              <w:rPr>
                <w:rFonts w:hint="default" w:ascii="Times New Roman" w:hAnsi="Times New Roman" w:cs="Times New Roman"/>
                <w:color w:val="auto"/>
                <w:kern w:val="2"/>
                <w:sz w:val="24"/>
                <w:szCs w:val="24"/>
                <w:u w:val="none" w:color="auto"/>
                <w:lang w:val="en-US" w:eastAsia="zh-CN" w:bidi="ar-SA"/>
              </w:rPr>
              <w:t xml:space="preserve"> 废水污染物产生及治理措施</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2756"/>
              <w:gridCol w:w="3798"/>
            </w:tblGrid>
            <w:tr w14:paraId="6F80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35D0891F">
                  <w:pPr>
                    <w:pStyle w:val="4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产污环节</w:t>
                  </w:r>
                </w:p>
              </w:tc>
              <w:tc>
                <w:tcPr>
                  <w:tcW w:w="1629" w:type="pct"/>
                  <w:vAlign w:val="center"/>
                </w:tcPr>
                <w:p w14:paraId="0CB162D2">
                  <w:pPr>
                    <w:pStyle w:val="4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主要污染因子</w:t>
                  </w:r>
                </w:p>
              </w:tc>
              <w:tc>
                <w:tcPr>
                  <w:tcW w:w="2245" w:type="pct"/>
                  <w:vAlign w:val="center"/>
                </w:tcPr>
                <w:p w14:paraId="126A3363">
                  <w:pPr>
                    <w:pStyle w:val="4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治理措施</w:t>
                  </w:r>
                </w:p>
              </w:tc>
            </w:tr>
            <w:tr w14:paraId="4A3B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4" w:type="pct"/>
                  <w:vAlign w:val="center"/>
                </w:tcPr>
                <w:p w14:paraId="26633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屠宰生产废水</w:t>
                  </w:r>
                </w:p>
              </w:tc>
              <w:tc>
                <w:tcPr>
                  <w:tcW w:w="1629" w:type="pct"/>
                  <w:vAlign w:val="center"/>
                </w:tcPr>
                <w:p w14:paraId="2795B6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highlight w:val="none"/>
                      <w:u w:val="none" w:color="auto"/>
                      <w:vertAlign w:val="baseline"/>
                      <w:lang w:val="en-US" w:eastAsia="zh-CN"/>
                    </w:rPr>
                    <w:t>pH、COD、BOD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vertAlign w:val="baseline"/>
                      <w:lang w:val="en-US" w:eastAsia="zh-CN"/>
                    </w:rPr>
                    <w:t>、NH</w:t>
                  </w:r>
                  <w:r>
                    <w:rPr>
                      <w:rFonts w:hint="eastAsia" w:cs="Times New Roman"/>
                      <w:color w:val="auto"/>
                      <w:sz w:val="21"/>
                      <w:szCs w:val="21"/>
                      <w:highlight w:val="none"/>
                      <w:u w:val="none" w:color="auto"/>
                      <w:vertAlign w:val="subscript"/>
                      <w:lang w:val="en-US" w:eastAsia="zh-CN"/>
                    </w:rPr>
                    <w:t>3</w:t>
                  </w:r>
                  <w:r>
                    <w:rPr>
                      <w:rFonts w:hint="eastAsia" w:cs="Times New Roman"/>
                      <w:color w:val="auto"/>
                      <w:sz w:val="21"/>
                      <w:szCs w:val="21"/>
                      <w:highlight w:val="none"/>
                      <w:u w:val="none" w:color="auto"/>
                      <w:vertAlign w:val="baseline"/>
                      <w:lang w:val="en-US" w:eastAsia="zh-CN"/>
                    </w:rPr>
                    <w:t>-N、TP、TN、SS、动植物油</w:t>
                  </w:r>
                </w:p>
              </w:tc>
              <w:tc>
                <w:tcPr>
                  <w:tcW w:w="2245" w:type="pct"/>
                  <w:vMerge w:val="restart"/>
                  <w:vAlign w:val="center"/>
                </w:tcPr>
                <w:p w14:paraId="2001E2E9">
                  <w:pPr>
                    <w:pStyle w:val="4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zh-CN" w:bidi="ar"/>
                    </w:rPr>
                    <w:t>经污水处理站</w:t>
                  </w:r>
                  <w:r>
                    <w:rPr>
                      <w:rFonts w:hint="default" w:cs="Times New Roman"/>
                      <w:color w:val="auto"/>
                      <w:kern w:val="2"/>
                      <w:sz w:val="21"/>
                      <w:szCs w:val="21"/>
                      <w:u w:val="none" w:color="auto"/>
                      <w:lang w:val="en-US" w:eastAsia="zh-CN" w:bidi="ar"/>
                    </w:rPr>
                    <w:t>（</w:t>
                  </w:r>
                  <w:r>
                    <w:rPr>
                      <w:rFonts w:hint="default" w:cs="Times New Roman"/>
                      <w:color w:val="auto"/>
                      <w:sz w:val="21"/>
                      <w:szCs w:val="21"/>
                      <w:u w:val="none" w:color="auto"/>
                      <w:lang w:val="en-US" w:eastAsia="zh-CN" w:bidi="ar"/>
                    </w:rPr>
                    <w:t>格栅+混凝絮凝+厌氧+三级好氧+沉淀+消毒池</w:t>
                  </w:r>
                  <w:r>
                    <w:rPr>
                      <w:rFonts w:hint="default" w:cs="Times New Roman"/>
                      <w:color w:val="auto"/>
                      <w:kern w:val="2"/>
                      <w:sz w:val="21"/>
                      <w:szCs w:val="21"/>
                      <w:u w:val="none" w:color="auto"/>
                      <w:lang w:val="en-US" w:eastAsia="zh-CN" w:bidi="ar"/>
                    </w:rPr>
                    <w:t>）</w:t>
                  </w:r>
                  <w:r>
                    <w:rPr>
                      <w:rFonts w:hint="default" w:ascii="Times New Roman" w:hAnsi="Times New Roman" w:eastAsia="宋体" w:cs="Times New Roman"/>
                      <w:color w:val="auto"/>
                      <w:kern w:val="2"/>
                      <w:sz w:val="21"/>
                      <w:szCs w:val="21"/>
                      <w:u w:val="none" w:color="auto"/>
                      <w:lang w:val="en-US" w:eastAsia="zh-CN" w:bidi="ar"/>
                    </w:rPr>
                    <w:t>处理后</w:t>
                  </w:r>
                  <w:r>
                    <w:rPr>
                      <w:rFonts w:hint="eastAsia" w:cs="Times New Roman"/>
                      <w:color w:val="auto"/>
                      <w:kern w:val="2"/>
                      <w:sz w:val="21"/>
                      <w:szCs w:val="21"/>
                      <w:u w:val="none" w:color="auto"/>
                      <w:lang w:val="en-US" w:eastAsia="zh-CN" w:bidi="ar"/>
                    </w:rPr>
                    <w:t>排入卢峰镇污水处理厂</w:t>
                  </w:r>
                </w:p>
              </w:tc>
            </w:tr>
            <w:tr w14:paraId="4FB9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611BC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车辆清洗废水</w:t>
                  </w:r>
                </w:p>
              </w:tc>
              <w:tc>
                <w:tcPr>
                  <w:tcW w:w="1629" w:type="pct"/>
                  <w:vAlign w:val="center"/>
                </w:tcPr>
                <w:p w14:paraId="61AD7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highlight w:val="none"/>
                      <w:u w:val="none" w:color="auto"/>
                      <w:vertAlign w:val="baseline"/>
                      <w:lang w:val="en-US" w:eastAsia="zh-CN"/>
                    </w:rPr>
                    <w:t>pH、COD、BOD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vertAlign w:val="baseline"/>
                      <w:lang w:val="en-US" w:eastAsia="zh-CN"/>
                    </w:rPr>
                    <w:t>、NH</w:t>
                  </w:r>
                  <w:r>
                    <w:rPr>
                      <w:rFonts w:hint="eastAsia" w:cs="Times New Roman"/>
                      <w:color w:val="auto"/>
                      <w:sz w:val="21"/>
                      <w:szCs w:val="21"/>
                      <w:highlight w:val="none"/>
                      <w:u w:val="none" w:color="auto"/>
                      <w:vertAlign w:val="subscript"/>
                      <w:lang w:val="en-US" w:eastAsia="zh-CN"/>
                    </w:rPr>
                    <w:t>3</w:t>
                  </w:r>
                  <w:r>
                    <w:rPr>
                      <w:rFonts w:hint="eastAsia" w:cs="Times New Roman"/>
                      <w:color w:val="auto"/>
                      <w:sz w:val="21"/>
                      <w:szCs w:val="21"/>
                      <w:highlight w:val="none"/>
                      <w:u w:val="none" w:color="auto"/>
                      <w:vertAlign w:val="baseline"/>
                      <w:lang w:val="en-US" w:eastAsia="zh-CN"/>
                    </w:rPr>
                    <w:t>-N、SS、石油类</w:t>
                  </w:r>
                </w:p>
              </w:tc>
              <w:tc>
                <w:tcPr>
                  <w:tcW w:w="2245" w:type="pct"/>
                  <w:vMerge w:val="continue"/>
                  <w:vAlign w:val="center"/>
                </w:tcPr>
                <w:p w14:paraId="4BC46743">
                  <w:pPr>
                    <w:pStyle w:val="4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r>
            <w:tr w14:paraId="3FDD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2FF86C10">
                  <w:pPr>
                    <w:pStyle w:val="4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生活污水</w:t>
                  </w:r>
                </w:p>
              </w:tc>
              <w:tc>
                <w:tcPr>
                  <w:tcW w:w="1629" w:type="pct"/>
                  <w:vAlign w:val="center"/>
                </w:tcPr>
                <w:p w14:paraId="7FACF842">
                  <w:pPr>
                    <w:pStyle w:val="4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pH、COD、BOD</w:t>
                  </w:r>
                  <w:r>
                    <w:rPr>
                      <w:rFonts w:hint="eastAsia" w:cs="Times New Roman"/>
                      <w:color w:val="auto"/>
                      <w:sz w:val="21"/>
                      <w:szCs w:val="21"/>
                      <w:u w:val="none" w:color="auto"/>
                      <w:vertAlign w:val="subscript"/>
                      <w:lang w:val="en-US" w:eastAsia="zh-CN"/>
                    </w:rPr>
                    <w:t>5</w:t>
                  </w:r>
                  <w:r>
                    <w:rPr>
                      <w:rFonts w:hint="eastAsia" w:cs="Times New Roman"/>
                      <w:color w:val="auto"/>
                      <w:sz w:val="21"/>
                      <w:szCs w:val="21"/>
                      <w:u w:val="none" w:color="auto"/>
                      <w:lang w:val="en-US" w:eastAsia="zh-CN"/>
                    </w:rPr>
                    <w:t>、SS、NH</w:t>
                  </w:r>
                  <w:r>
                    <w:rPr>
                      <w:rFonts w:hint="eastAsia" w:cs="Times New Roman"/>
                      <w:color w:val="auto"/>
                      <w:sz w:val="21"/>
                      <w:szCs w:val="21"/>
                      <w:u w:val="none" w:color="auto"/>
                      <w:vertAlign w:val="subscript"/>
                      <w:lang w:val="en-US" w:eastAsia="zh-CN"/>
                    </w:rPr>
                    <w:t>3</w:t>
                  </w:r>
                  <w:r>
                    <w:rPr>
                      <w:rFonts w:hint="eastAsia" w:cs="Times New Roman"/>
                      <w:color w:val="auto"/>
                      <w:sz w:val="21"/>
                      <w:szCs w:val="21"/>
                      <w:u w:val="none" w:color="auto"/>
                      <w:lang w:val="en-US" w:eastAsia="zh-CN"/>
                    </w:rPr>
                    <w:t>-N</w:t>
                  </w:r>
                  <w:r>
                    <w:rPr>
                      <w:rFonts w:hint="default" w:ascii="Times New Roman" w:hAnsi="Times New Roman" w:eastAsia="宋体" w:cs="Times New Roman"/>
                      <w:color w:val="auto"/>
                      <w:sz w:val="21"/>
                      <w:szCs w:val="21"/>
                      <w:u w:val="none" w:color="auto"/>
                    </w:rPr>
                    <w:t>、</w:t>
                  </w:r>
                  <w:r>
                    <w:rPr>
                      <w:rFonts w:hint="default" w:ascii="Times New Roman" w:hAnsi="Times New Roman" w:cs="Times New Roman"/>
                      <w:color w:val="auto"/>
                      <w:sz w:val="21"/>
                      <w:szCs w:val="21"/>
                      <w:u w:val="none" w:color="auto"/>
                      <w:lang w:val="en-US" w:eastAsia="zh-CN"/>
                    </w:rPr>
                    <w:t>动植物油</w:t>
                  </w:r>
                </w:p>
              </w:tc>
              <w:tc>
                <w:tcPr>
                  <w:tcW w:w="2245" w:type="pct"/>
                  <w:vAlign w:val="center"/>
                </w:tcPr>
                <w:p w14:paraId="3231D398">
                  <w:pPr>
                    <w:pStyle w:val="49"/>
                    <w:spacing w:line="240" w:lineRule="auto"/>
                    <w:ind w:firstLine="0" w:firstLineChars="0"/>
                    <w:jc w:val="center"/>
                    <w:rPr>
                      <w:rFonts w:hint="default" w:ascii="Times New Roman" w:hAnsi="Times New Roman" w:cs="Times New Roman"/>
                      <w:color w:val="auto"/>
                      <w:kern w:val="2"/>
                      <w:sz w:val="21"/>
                      <w:szCs w:val="21"/>
                      <w:u w:val="none" w:color="auto"/>
                      <w:vertAlign w:val="baseline"/>
                      <w:lang w:val="en-US" w:eastAsia="zh-CN" w:bidi="ar-SA"/>
                    </w:rPr>
                  </w:pPr>
                  <w:r>
                    <w:rPr>
                      <w:rFonts w:hint="default" w:cs="Times New Roman"/>
                      <w:color w:val="auto"/>
                      <w:kern w:val="2"/>
                      <w:sz w:val="21"/>
                      <w:szCs w:val="21"/>
                      <w:u w:val="none" w:color="auto"/>
                      <w:vertAlign w:val="baseline"/>
                      <w:lang w:val="en-US" w:eastAsia="zh-CN" w:bidi="ar-SA"/>
                    </w:rPr>
                    <w:t>经化粪池</w:t>
                  </w:r>
                  <w:r>
                    <w:rPr>
                      <w:rFonts w:hint="eastAsia" w:cs="Times New Roman"/>
                      <w:color w:val="auto"/>
                      <w:kern w:val="2"/>
                      <w:sz w:val="21"/>
                      <w:szCs w:val="21"/>
                      <w:u w:val="none" w:color="auto"/>
                      <w:vertAlign w:val="baseline"/>
                      <w:lang w:val="en-US" w:eastAsia="zh-CN" w:bidi="ar-SA"/>
                    </w:rPr>
                    <w:t>、隔油池</w:t>
                  </w:r>
                  <w:r>
                    <w:rPr>
                      <w:rFonts w:hint="default" w:cs="Times New Roman"/>
                      <w:color w:val="auto"/>
                      <w:kern w:val="2"/>
                      <w:sz w:val="21"/>
                      <w:szCs w:val="21"/>
                      <w:u w:val="none" w:color="auto"/>
                      <w:vertAlign w:val="baseline"/>
                      <w:lang w:val="en-US" w:eastAsia="zh-CN" w:bidi="ar-SA"/>
                    </w:rPr>
                    <w:t>处理后</w:t>
                  </w:r>
                  <w:r>
                    <w:rPr>
                      <w:rFonts w:hint="eastAsia" w:cs="Times New Roman"/>
                      <w:color w:val="auto"/>
                      <w:kern w:val="2"/>
                      <w:sz w:val="21"/>
                      <w:szCs w:val="21"/>
                      <w:u w:val="none" w:color="auto"/>
                      <w:lang w:val="en-US" w:eastAsia="zh-CN" w:bidi="ar"/>
                    </w:rPr>
                    <w:t>排入卢峰镇污水处理厂</w:t>
                  </w:r>
                </w:p>
              </w:tc>
            </w:tr>
          </w:tbl>
          <w:p w14:paraId="6A2D9BAF">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（3）固废</w:t>
            </w:r>
          </w:p>
          <w:p w14:paraId="6D81B9F9">
            <w:pPr>
              <w:pStyle w:val="11"/>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企业现有</w:t>
            </w:r>
            <w:r>
              <w:rPr>
                <w:rFonts w:hint="eastAsia" w:cs="Times New Roman"/>
                <w:color w:val="auto"/>
                <w:kern w:val="2"/>
                <w:sz w:val="24"/>
                <w:szCs w:val="24"/>
                <w:u w:val="none" w:color="auto"/>
                <w:lang w:val="en-US" w:eastAsia="zh-CN" w:bidi="ar-SA"/>
              </w:rPr>
              <w:t>工程</w:t>
            </w:r>
            <w:r>
              <w:rPr>
                <w:rFonts w:hint="default" w:ascii="Times New Roman" w:hAnsi="Times New Roman" w:eastAsia="宋体" w:cs="Times New Roman"/>
                <w:color w:val="auto"/>
                <w:kern w:val="2"/>
                <w:sz w:val="24"/>
                <w:szCs w:val="24"/>
                <w:u w:val="none" w:color="auto"/>
                <w:lang w:val="en-US" w:eastAsia="zh-CN" w:bidi="ar-SA"/>
              </w:rPr>
              <w:t>产生的固体废弃物主要为生活垃圾</w:t>
            </w:r>
            <w:r>
              <w:rPr>
                <w:rFonts w:hint="eastAsia"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一般固体废弃物</w:t>
            </w:r>
            <w:r>
              <w:rPr>
                <w:rFonts w:hint="eastAsia" w:cs="Times New Roman"/>
                <w:color w:val="auto"/>
                <w:kern w:val="2"/>
                <w:sz w:val="24"/>
                <w:szCs w:val="24"/>
                <w:u w:val="none" w:color="auto"/>
                <w:lang w:val="en-US" w:eastAsia="zh-CN" w:bidi="ar-SA"/>
              </w:rPr>
              <w:t>以及危险废物</w:t>
            </w:r>
            <w:r>
              <w:rPr>
                <w:rFonts w:hint="default" w:ascii="Times New Roman" w:hAnsi="Times New Roman" w:eastAsia="宋体" w:cs="Times New Roman"/>
                <w:color w:val="auto"/>
                <w:kern w:val="2"/>
                <w:sz w:val="24"/>
                <w:szCs w:val="24"/>
                <w:u w:val="none" w:color="auto"/>
                <w:lang w:val="en-US" w:eastAsia="zh-CN" w:bidi="ar-SA"/>
              </w:rPr>
              <w:t>。一般固体废物主要为</w:t>
            </w:r>
            <w:r>
              <w:rPr>
                <w:rFonts w:hint="default" w:cs="Times New Roman"/>
                <w:color w:val="auto"/>
                <w:kern w:val="2"/>
                <w:sz w:val="24"/>
                <w:szCs w:val="24"/>
                <w:u w:val="none" w:color="auto"/>
                <w:vertAlign w:val="baseline"/>
                <w:lang w:val="en-US" w:eastAsia="zh-CN"/>
              </w:rPr>
              <w:t>猪胃内容物</w:t>
            </w:r>
            <w:r>
              <w:rPr>
                <w:rFonts w:hint="eastAsia" w:cs="Times New Roman"/>
                <w:color w:val="auto"/>
                <w:kern w:val="2"/>
                <w:sz w:val="24"/>
                <w:szCs w:val="24"/>
                <w:u w:val="none" w:color="auto"/>
                <w:vertAlign w:val="baseline"/>
                <w:lang w:val="en-US" w:eastAsia="zh-CN"/>
              </w:rPr>
              <w:t>、病死猪</w:t>
            </w:r>
            <w:r>
              <w:rPr>
                <w:rFonts w:hint="default" w:cs="Times New Roman"/>
                <w:color w:val="auto"/>
                <w:kern w:val="2"/>
                <w:sz w:val="24"/>
                <w:szCs w:val="24"/>
                <w:u w:val="none" w:color="auto"/>
                <w:vertAlign w:val="baseline"/>
                <w:lang w:val="en-US" w:eastAsia="zh-CN"/>
              </w:rPr>
              <w:t>、碎肉渣</w:t>
            </w:r>
            <w:r>
              <w:rPr>
                <w:rFonts w:hint="default" w:cs="Times New Roman"/>
                <w:color w:val="auto"/>
                <w:spacing w:val="0"/>
                <w:kern w:val="2"/>
                <w:sz w:val="24"/>
                <w:szCs w:val="24"/>
                <w:u w:val="none" w:color="auto"/>
                <w:lang w:val="en-US" w:eastAsia="zh-CN"/>
              </w:rPr>
              <w:t>、</w:t>
            </w:r>
            <w:r>
              <w:rPr>
                <w:rFonts w:hint="default" w:cs="Times New Roman"/>
                <w:color w:val="auto"/>
                <w:kern w:val="2"/>
                <w:sz w:val="24"/>
                <w:szCs w:val="24"/>
                <w:u w:val="none" w:color="auto"/>
                <w:vertAlign w:val="baseline"/>
                <w:lang w:val="en-US" w:eastAsia="zh-CN"/>
              </w:rPr>
              <w:t>猪</w:t>
            </w:r>
            <w:r>
              <w:rPr>
                <w:rFonts w:hint="eastAsia" w:cs="Times New Roman"/>
                <w:color w:val="auto"/>
                <w:kern w:val="2"/>
                <w:sz w:val="24"/>
                <w:szCs w:val="24"/>
                <w:u w:val="none" w:color="auto"/>
                <w:vertAlign w:val="baseline"/>
                <w:lang w:val="en-US" w:eastAsia="zh-CN"/>
              </w:rPr>
              <w:t>待宰期间产生的</w:t>
            </w:r>
            <w:r>
              <w:rPr>
                <w:rFonts w:hint="default" w:cs="Times New Roman"/>
                <w:color w:val="auto"/>
                <w:kern w:val="2"/>
                <w:sz w:val="24"/>
                <w:szCs w:val="24"/>
                <w:u w:val="none" w:color="auto"/>
                <w:vertAlign w:val="baseline"/>
                <w:lang w:val="en-US" w:eastAsia="zh-CN"/>
              </w:rPr>
              <w:t>粪便、污水处理站污泥、不合格品、不可食用部分（除胃内容物外）、格栅处理的废物、锅炉炉渣。危险废物主要为实验室、检疫室废弃物、</w:t>
            </w:r>
            <w:r>
              <w:rPr>
                <w:rFonts w:hint="eastAsia" w:cs="Times New Roman"/>
                <w:color w:val="auto"/>
                <w:kern w:val="2"/>
                <w:sz w:val="24"/>
                <w:szCs w:val="24"/>
                <w:u w:val="none" w:color="auto"/>
                <w:vertAlign w:val="baseline"/>
                <w:lang w:val="en-US" w:eastAsia="zh-CN"/>
              </w:rPr>
              <w:t>沾染有毒有害物质的废包装材料、未沾染有毒有害物质的废包装材料</w:t>
            </w:r>
            <w:r>
              <w:rPr>
                <w:rFonts w:hint="default" w:ascii="Times New Roman" w:hAnsi="Times New Roman" w:eastAsia="宋体" w:cs="Times New Roman"/>
                <w:color w:val="auto"/>
                <w:kern w:val="2"/>
                <w:sz w:val="24"/>
                <w:szCs w:val="24"/>
                <w:u w:val="none" w:color="auto"/>
                <w:lang w:val="en-US" w:eastAsia="zh-CN" w:bidi="ar-SA"/>
              </w:rPr>
              <w:t>。项目固体废物产生情况如下：</w:t>
            </w:r>
          </w:p>
          <w:p w14:paraId="01BE62E5">
            <w:pPr>
              <w:pageBreakBefore w:val="0"/>
              <w:kinsoku/>
              <w:wordWrap/>
              <w:overflowPunct/>
              <w:topLinePunct w:val="0"/>
              <w:autoSpaceDE/>
              <w:autoSpaceDN/>
              <w:bidi w:val="0"/>
              <w:adjustRightInd/>
              <w:snapToGrid/>
              <w:ind w:leftChars="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1、生活垃圾</w:t>
            </w:r>
          </w:p>
          <w:p w14:paraId="793BCBA1">
            <w:pPr>
              <w:widowControl/>
              <w:ind w:left="199" w:leftChars="83" w:firstLine="240" w:firstLineChars="100"/>
              <w:jc w:val="left"/>
              <w:rPr>
                <w:rFonts w:hint="default"/>
                <w:color w:val="auto"/>
                <w:lang w:val="en-US" w:eastAsia="zh-CN"/>
              </w:rPr>
            </w:pPr>
            <w:r>
              <w:rPr>
                <w:rFonts w:hint="eastAsia"/>
                <w:color w:val="auto"/>
                <w:lang w:val="en-US" w:eastAsia="zh-CN"/>
              </w:rPr>
              <w:t>企业</w:t>
            </w:r>
            <w:r>
              <w:rPr>
                <w:rFonts w:hint="eastAsia" w:ascii="宋体" w:hAnsi="宋体" w:eastAsia="宋体" w:cs="宋体"/>
                <w:color w:val="auto"/>
                <w:kern w:val="0"/>
                <w:sz w:val="24"/>
                <w:szCs w:val="24"/>
                <w:lang w:val="en-US" w:eastAsia="zh-CN" w:bidi="ar"/>
              </w:rPr>
              <w:t>劳动定员为</w:t>
            </w:r>
            <w:r>
              <w:rPr>
                <w:rFonts w:hint="eastAsia" w:cs="Times New Roman"/>
                <w:color w:val="auto"/>
                <w:kern w:val="0"/>
                <w:sz w:val="24"/>
                <w:szCs w:val="24"/>
                <w:lang w:val="en-US" w:eastAsia="zh-CN" w:bidi="ar"/>
              </w:rPr>
              <w:t>35</w:t>
            </w:r>
            <w:r>
              <w:rPr>
                <w:rFonts w:hint="eastAsia" w:ascii="宋体" w:hAnsi="宋体" w:eastAsia="宋体" w:cs="宋体"/>
                <w:color w:val="auto"/>
                <w:kern w:val="0"/>
                <w:sz w:val="24"/>
                <w:szCs w:val="24"/>
                <w:lang w:val="en-US" w:eastAsia="zh-CN" w:bidi="ar"/>
              </w:rPr>
              <w:t>人，年生产时间</w:t>
            </w:r>
            <w:r>
              <w:rPr>
                <w:rFonts w:hint="eastAsia" w:cs="Times New Roman"/>
                <w:color w:val="auto"/>
                <w:kern w:val="0"/>
                <w:sz w:val="24"/>
                <w:szCs w:val="24"/>
                <w:lang w:val="en-US" w:eastAsia="zh-CN" w:bidi="ar"/>
              </w:rPr>
              <w:t>365</w:t>
            </w:r>
            <w:r>
              <w:rPr>
                <w:rFonts w:hint="eastAsia" w:ascii="宋体" w:hAnsi="宋体" w:eastAsia="宋体" w:cs="宋体"/>
                <w:color w:val="auto"/>
                <w:kern w:val="0"/>
                <w:sz w:val="24"/>
                <w:szCs w:val="24"/>
                <w:lang w:val="en-US" w:eastAsia="zh-CN" w:bidi="ar"/>
              </w:rPr>
              <w:t>天。生活垃圾产生量按0</w:t>
            </w:r>
            <w:r>
              <w:rPr>
                <w:rFonts w:hint="default" w:ascii="Times New Roman" w:hAnsi="Times New Roman" w:eastAsia="宋体" w:cs="Times New Roman"/>
                <w:color w:val="auto"/>
                <w:kern w:val="0"/>
                <w:sz w:val="24"/>
                <w:szCs w:val="24"/>
                <w:lang w:val="en-US" w:eastAsia="zh-CN" w:bidi="ar"/>
              </w:rPr>
              <w:t>.5</w:t>
            </w: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kg/d</w:t>
            </w:r>
            <w:r>
              <w:rPr>
                <w:rFonts w:hint="eastAsia" w:ascii="宋体" w:hAnsi="宋体" w:eastAsia="宋体" w:cs="宋体"/>
                <w:color w:val="auto"/>
                <w:kern w:val="0"/>
                <w:sz w:val="24"/>
                <w:szCs w:val="24"/>
                <w:lang w:val="en-US" w:eastAsia="zh-CN" w:bidi="ar"/>
              </w:rPr>
              <w:t>人计，则生活垃圾产生量为</w:t>
            </w:r>
            <w:r>
              <w:rPr>
                <w:rFonts w:hint="eastAsia" w:cs="Times New Roman"/>
                <w:color w:val="auto"/>
                <w:kern w:val="0"/>
                <w:sz w:val="24"/>
                <w:szCs w:val="24"/>
                <w:lang w:val="en-US" w:eastAsia="zh-CN" w:bidi="ar"/>
              </w:rPr>
              <w:t>0.54*35=18.9</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kg/d</w:t>
            </w:r>
            <w:r>
              <w:rPr>
                <w:rFonts w:hint="eastAsia" w:ascii="宋体" w:hAnsi="宋体" w:eastAsia="宋体" w:cs="宋体"/>
                <w:color w:val="auto"/>
                <w:kern w:val="0"/>
                <w:sz w:val="24"/>
                <w:szCs w:val="24"/>
                <w:lang w:val="en-US" w:eastAsia="zh-CN" w:bidi="ar"/>
              </w:rPr>
              <w:t>，即</w:t>
            </w:r>
            <w:r>
              <w:rPr>
                <w:rFonts w:hint="eastAsia" w:cs="Times New Roman"/>
                <w:color w:val="auto"/>
                <w:kern w:val="0"/>
                <w:sz w:val="24"/>
                <w:szCs w:val="24"/>
                <w:lang w:val="en-US" w:eastAsia="zh-CN" w:bidi="ar"/>
              </w:rPr>
              <w:t>6.9</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t/a</w:t>
            </w:r>
            <w:r>
              <w:rPr>
                <w:rFonts w:hint="eastAsia"/>
                <w:color w:val="auto"/>
                <w:lang w:val="en-US" w:eastAsia="zh-CN"/>
              </w:rPr>
              <w:t>，产生后交由环卫部门统一清运。</w:t>
            </w:r>
          </w:p>
          <w:p w14:paraId="581C7FC8">
            <w:pPr>
              <w:pageBreakBefore w:val="0"/>
              <w:kinsoku/>
              <w:wordWrap/>
              <w:overflowPunct/>
              <w:topLinePunct w:val="0"/>
              <w:autoSpaceDE/>
              <w:autoSpaceDN/>
              <w:bidi w:val="0"/>
              <w:adjustRightInd/>
              <w:snapToGrid/>
              <w:ind w:leftChars="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、一般固体废物</w:t>
            </w:r>
          </w:p>
          <w:p w14:paraId="0506D790">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①</w:t>
            </w:r>
            <w:r>
              <w:rPr>
                <w:rFonts w:hint="default" w:cs="Times New Roman"/>
                <w:color w:val="auto"/>
                <w:kern w:val="2"/>
                <w:sz w:val="24"/>
                <w:szCs w:val="24"/>
                <w:u w:val="none" w:color="auto"/>
                <w:vertAlign w:val="baseline"/>
                <w:lang w:val="en-US" w:eastAsia="zh-CN"/>
              </w:rPr>
              <w:t>猪胃内容物、不可食用部分（除胃内容物外）</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default" w:cs="Times New Roman"/>
                <w:color w:val="auto"/>
                <w:kern w:val="2"/>
                <w:sz w:val="24"/>
                <w:szCs w:val="24"/>
                <w:u w:val="none" w:color="auto"/>
                <w:vertAlign w:val="baseline"/>
                <w:lang w:val="en-US" w:eastAsia="zh-CN"/>
              </w:rPr>
              <w:t>猪胃内容物、不可食用部分（除胃内容物外）</w:t>
            </w:r>
            <w:r>
              <w:rPr>
                <w:rFonts w:hint="eastAsia" w:cs="Times New Roman"/>
                <w:color w:val="auto"/>
                <w:kern w:val="0"/>
                <w:sz w:val="24"/>
                <w:szCs w:val="24"/>
                <w:lang w:val="en-US" w:eastAsia="zh-CN" w:bidi="ar"/>
              </w:rPr>
              <w:t>年产生量约为153.2 t</w:t>
            </w:r>
            <w:r>
              <w:rPr>
                <w:rFonts w:hint="default" w:ascii="Times New Roman" w:hAnsi="Times New Roman" w:eastAsia="宋体" w:cs="Times New Roman"/>
                <w:color w:val="auto"/>
                <w:kern w:val="0"/>
                <w:sz w:val="24"/>
                <w:szCs w:val="24"/>
                <w:lang w:val="en-US" w:eastAsia="zh-CN" w:bidi="ar"/>
              </w:rPr>
              <w:t>，属于一般固体废物。</w:t>
            </w:r>
            <w:r>
              <w:rPr>
                <w:rFonts w:hint="default" w:cs="Times New Roman"/>
                <w:color w:val="auto"/>
                <w:kern w:val="2"/>
                <w:sz w:val="24"/>
                <w:szCs w:val="24"/>
                <w:u w:val="none" w:color="auto"/>
                <w:vertAlign w:val="baseline"/>
                <w:lang w:val="en-US" w:eastAsia="zh-CN"/>
              </w:rPr>
              <w:t>猪胃内容物</w:t>
            </w:r>
            <w:r>
              <w:rPr>
                <w:rFonts w:hint="default" w:ascii="Times New Roman" w:hAnsi="Times New Roman" w:eastAsia="宋体" w:cs="Times New Roman"/>
                <w:color w:val="auto"/>
                <w:kern w:val="0"/>
                <w:sz w:val="24"/>
                <w:szCs w:val="24"/>
                <w:lang w:val="en-US" w:eastAsia="zh-CN" w:bidi="ar"/>
              </w:rPr>
              <w:t>，收集后外售给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r>
              <w:rPr>
                <w:rFonts w:hint="default" w:cs="Times New Roman"/>
                <w:color w:val="auto"/>
                <w:kern w:val="2"/>
                <w:sz w:val="24"/>
                <w:szCs w:val="24"/>
                <w:u w:val="none" w:color="auto"/>
                <w:vertAlign w:val="baseline"/>
                <w:lang w:val="en-US" w:eastAsia="zh-CN"/>
              </w:rPr>
              <w:t>不可食用部分（除胃内容物外）</w:t>
            </w:r>
            <w:r>
              <w:rPr>
                <w:rFonts w:hint="eastAsia" w:cs="Times New Roman"/>
                <w:color w:val="auto"/>
                <w:kern w:val="2"/>
                <w:sz w:val="24"/>
                <w:szCs w:val="24"/>
                <w:u w:val="none" w:color="auto"/>
                <w:vertAlign w:val="baseline"/>
                <w:lang w:val="en-US" w:eastAsia="zh-CN"/>
              </w:rPr>
              <w:t>交由有资质的单位进行无害化处理</w:t>
            </w:r>
            <w:r>
              <w:rPr>
                <w:rFonts w:hint="default" w:ascii="Times New Roman" w:hAnsi="Times New Roman" w:eastAsia="宋体" w:cs="Times New Roman"/>
                <w:color w:val="auto"/>
                <w:kern w:val="0"/>
                <w:sz w:val="24"/>
                <w:szCs w:val="24"/>
                <w:lang w:val="en-US" w:eastAsia="zh-CN" w:bidi="ar"/>
              </w:rPr>
              <w:t>。</w:t>
            </w:r>
          </w:p>
          <w:p w14:paraId="3FA73A06">
            <w:pPr>
              <w:keepNext w:val="0"/>
              <w:keepLines w:val="0"/>
              <w:widowControl/>
              <w:suppressLineNumbers w:val="0"/>
              <w:jc w:val="left"/>
              <w:rPr>
                <w:rFonts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②</w:t>
            </w:r>
            <w:r>
              <w:rPr>
                <w:rFonts w:hint="default" w:cs="Times New Roman"/>
                <w:color w:val="auto"/>
                <w:kern w:val="2"/>
                <w:sz w:val="24"/>
                <w:szCs w:val="24"/>
                <w:u w:val="none" w:color="auto"/>
                <w:vertAlign w:val="baseline"/>
                <w:lang w:val="en-US" w:eastAsia="zh-CN"/>
              </w:rPr>
              <w:t>碎肉渣</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rPr>
              <w:t>碎肉渣</w:t>
            </w:r>
            <w:r>
              <w:rPr>
                <w:rFonts w:hint="eastAsia" w:cs="Times New Roman"/>
                <w:color w:val="auto"/>
                <w:kern w:val="0"/>
                <w:sz w:val="24"/>
                <w:szCs w:val="24"/>
                <w:lang w:val="en-US" w:eastAsia="zh-CN" w:bidi="ar"/>
              </w:rPr>
              <w:t>年产生量约为0.8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w:t>
            </w:r>
            <w:r>
              <w:rPr>
                <w:rFonts w:hint="default" w:ascii="Times New Roman" w:hAnsi="Times New Roman" w:eastAsia="宋体" w:cs="Times New Roman"/>
                <w:color w:val="auto"/>
                <w:kern w:val="0"/>
                <w:sz w:val="24"/>
                <w:szCs w:val="24"/>
                <w:lang w:val="en-US" w:eastAsia="zh-CN" w:bidi="ar"/>
              </w:rPr>
              <w:t>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p>
          <w:p w14:paraId="18133A2E">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③</w:t>
            </w:r>
            <w:r>
              <w:rPr>
                <w:rFonts w:hint="eastAsia" w:cs="Times New Roman"/>
                <w:color w:val="auto"/>
                <w:kern w:val="0"/>
                <w:sz w:val="24"/>
                <w:szCs w:val="24"/>
                <w:lang w:val="en-US" w:eastAsia="zh-CN" w:bidi="ar"/>
              </w:rPr>
              <w:t>不合格品</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rPr>
              <w:t>不合格品</w:t>
            </w:r>
            <w:r>
              <w:rPr>
                <w:rFonts w:hint="eastAsia" w:cs="Times New Roman"/>
                <w:color w:val="auto"/>
                <w:kern w:val="0"/>
                <w:sz w:val="24"/>
                <w:szCs w:val="24"/>
                <w:lang w:val="en-US" w:eastAsia="zh-CN" w:bidi="ar"/>
              </w:rPr>
              <w:t>年产生量约为8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产生后交由有资质的单位进行无害化处理</w:t>
            </w:r>
            <w:r>
              <w:rPr>
                <w:rFonts w:hint="eastAsia" w:cs="Times New Roman"/>
                <w:color w:val="auto"/>
                <w:kern w:val="0"/>
                <w:sz w:val="24"/>
                <w:szCs w:val="24"/>
                <w:lang w:val="en-US" w:eastAsia="zh-CN" w:bidi="ar"/>
              </w:rPr>
              <w:t>。</w:t>
            </w:r>
          </w:p>
          <w:p w14:paraId="173891CF">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color w:val="auto"/>
                <w:lang w:val="en-US" w:eastAsia="zh-CN"/>
              </w:rPr>
              <w:t>④</w:t>
            </w:r>
            <w:r>
              <w:rPr>
                <w:rFonts w:hint="default" w:ascii="Times New Roman" w:hAnsi="Times New Roman" w:eastAsia="宋体" w:cs="Times New Roman"/>
                <w:color w:val="auto"/>
                <w:kern w:val="0"/>
                <w:sz w:val="24"/>
                <w:szCs w:val="24"/>
                <w:lang w:val="en-US" w:eastAsia="zh-CN" w:bidi="ar"/>
              </w:rPr>
              <w:t>污水处理站污泥：根据企业实际情况，污水处理站污泥产生量约5 t/a。</w:t>
            </w:r>
            <w:r>
              <w:rPr>
                <w:rFonts w:hint="eastAsia" w:cs="Times New Roman"/>
                <w:color w:val="auto"/>
                <w:kern w:val="2"/>
                <w:sz w:val="24"/>
                <w:szCs w:val="24"/>
                <w:u w:val="none" w:color="auto"/>
                <w:vertAlign w:val="baseline"/>
                <w:lang w:val="en-US" w:eastAsia="zh-CN"/>
              </w:rPr>
              <w:t>产生后</w:t>
            </w:r>
            <w:r>
              <w:rPr>
                <w:rFonts w:hint="default" w:ascii="Times New Roman" w:hAnsi="Times New Roman" w:eastAsia="宋体" w:cs="Times New Roman"/>
                <w:color w:val="auto"/>
                <w:kern w:val="0"/>
                <w:sz w:val="24"/>
                <w:szCs w:val="24"/>
                <w:lang w:val="en-US" w:eastAsia="zh-CN" w:bidi="ar"/>
              </w:rPr>
              <w:t>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p>
          <w:p w14:paraId="4C287B81">
            <w:pPr>
              <w:keepNext w:val="0"/>
              <w:keepLines w:val="0"/>
              <w:widowControl/>
              <w:suppressLineNumbers w:val="0"/>
              <w:jc w:val="left"/>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⑤</w:t>
            </w:r>
            <w:r>
              <w:rPr>
                <w:rFonts w:hint="default" w:cs="Times New Roman"/>
                <w:color w:val="auto"/>
                <w:kern w:val="2"/>
                <w:sz w:val="24"/>
                <w:szCs w:val="24"/>
                <w:u w:val="none" w:color="auto"/>
                <w:vertAlign w:val="baseline"/>
                <w:lang w:val="en-US" w:eastAsia="zh-CN"/>
              </w:rPr>
              <w:t>猪</w:t>
            </w:r>
            <w:r>
              <w:rPr>
                <w:rFonts w:hint="eastAsia" w:cs="Times New Roman"/>
                <w:color w:val="auto"/>
                <w:kern w:val="2"/>
                <w:sz w:val="24"/>
                <w:szCs w:val="24"/>
                <w:u w:val="none" w:color="auto"/>
                <w:vertAlign w:val="baseline"/>
                <w:lang w:val="en-US" w:eastAsia="zh-CN"/>
              </w:rPr>
              <w:t>待宰期间产生的</w:t>
            </w:r>
            <w:r>
              <w:rPr>
                <w:rFonts w:hint="default" w:cs="Times New Roman"/>
                <w:color w:val="auto"/>
                <w:kern w:val="2"/>
                <w:sz w:val="24"/>
                <w:szCs w:val="24"/>
                <w:u w:val="none" w:color="auto"/>
                <w:vertAlign w:val="baseline"/>
                <w:lang w:val="en-US" w:eastAsia="zh-CN"/>
              </w:rPr>
              <w:t>粪便</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default" w:cs="Times New Roman"/>
                <w:color w:val="auto"/>
                <w:kern w:val="2"/>
                <w:sz w:val="24"/>
                <w:szCs w:val="24"/>
                <w:u w:val="none" w:color="auto"/>
                <w:vertAlign w:val="baseline"/>
                <w:lang w:val="en-US" w:eastAsia="zh-CN"/>
              </w:rPr>
              <w:t>猪</w:t>
            </w:r>
            <w:r>
              <w:rPr>
                <w:rFonts w:hint="eastAsia" w:cs="Times New Roman"/>
                <w:color w:val="auto"/>
                <w:kern w:val="2"/>
                <w:sz w:val="24"/>
                <w:szCs w:val="24"/>
                <w:u w:val="none" w:color="auto"/>
                <w:vertAlign w:val="baseline"/>
                <w:lang w:val="en-US" w:eastAsia="zh-CN"/>
              </w:rPr>
              <w:t>待宰期间产生的</w:t>
            </w:r>
            <w:r>
              <w:rPr>
                <w:rFonts w:hint="default" w:cs="Times New Roman"/>
                <w:color w:val="auto"/>
                <w:kern w:val="2"/>
                <w:sz w:val="24"/>
                <w:szCs w:val="24"/>
                <w:u w:val="none" w:color="auto"/>
                <w:vertAlign w:val="baseline"/>
                <w:lang w:val="en-US" w:eastAsia="zh-CN"/>
              </w:rPr>
              <w:t>粪便</w:t>
            </w:r>
            <w:r>
              <w:rPr>
                <w:rFonts w:hint="eastAsia" w:cs="Times New Roman"/>
                <w:color w:val="auto"/>
                <w:kern w:val="0"/>
                <w:sz w:val="24"/>
                <w:szCs w:val="24"/>
                <w:lang w:val="en-US" w:eastAsia="zh-CN" w:bidi="ar"/>
              </w:rPr>
              <w:t>年产生量约为146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w:t>
            </w:r>
            <w:r>
              <w:rPr>
                <w:rFonts w:hint="default" w:ascii="Times New Roman" w:hAnsi="Times New Roman" w:eastAsia="宋体" w:cs="Times New Roman"/>
                <w:color w:val="auto"/>
                <w:kern w:val="0"/>
                <w:sz w:val="24"/>
                <w:szCs w:val="24"/>
                <w:lang w:val="en-US" w:eastAsia="zh-CN" w:bidi="ar"/>
              </w:rPr>
              <w:t>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p>
          <w:p w14:paraId="50A0885C">
            <w:pPr>
              <w:keepNext w:val="0"/>
              <w:keepLines w:val="0"/>
              <w:widowControl/>
              <w:suppressLineNumbers w:val="0"/>
              <w:jc w:val="left"/>
              <w:rPr>
                <w:rFonts w:hint="eastAsia" w:cs="Times New Roman"/>
                <w:color w:val="auto"/>
                <w:kern w:val="2"/>
                <w:sz w:val="24"/>
                <w:szCs w:val="24"/>
                <w:u w:val="none" w:color="auto"/>
                <w:vertAlign w:val="baseline"/>
                <w:lang w:val="en-US" w:eastAsia="zh-CN"/>
              </w:rPr>
            </w:pPr>
            <w:r>
              <w:rPr>
                <w:rFonts w:hint="default" w:ascii="Times New Roman" w:hAnsi="Times New Roman" w:eastAsia="宋体" w:cs="Times New Roman"/>
                <w:color w:val="auto"/>
                <w:kern w:val="0"/>
                <w:sz w:val="24"/>
                <w:szCs w:val="24"/>
                <w:lang w:val="en-US" w:eastAsia="zh-CN" w:bidi="ar"/>
              </w:rPr>
              <w:t>⑥</w:t>
            </w:r>
            <w:r>
              <w:rPr>
                <w:rFonts w:hint="default" w:cs="Times New Roman"/>
                <w:color w:val="auto"/>
                <w:kern w:val="2"/>
                <w:sz w:val="24"/>
                <w:szCs w:val="24"/>
                <w:u w:val="none" w:color="auto"/>
                <w:vertAlign w:val="baseline"/>
                <w:lang w:val="en-US" w:eastAsia="zh-CN"/>
              </w:rPr>
              <w:t>格栅处理的废物</w:t>
            </w:r>
            <w:r>
              <w:rPr>
                <w:rFonts w:hint="eastAsia" w:cs="Times New Roman"/>
                <w:color w:val="auto"/>
                <w:kern w:val="2"/>
                <w:sz w:val="24"/>
                <w:szCs w:val="24"/>
                <w:u w:val="none" w:color="auto"/>
                <w:vertAlign w:val="baseline"/>
                <w:lang w:val="en-US" w:eastAsia="zh-CN"/>
              </w:rPr>
              <w:t>：</w:t>
            </w:r>
            <w:r>
              <w:rPr>
                <w:rFonts w:hint="eastAsia" w:cs="Times New Roman"/>
                <w:color w:val="auto"/>
                <w:kern w:val="0"/>
                <w:sz w:val="24"/>
                <w:szCs w:val="24"/>
                <w:lang w:val="en-US" w:eastAsia="zh-CN" w:bidi="ar"/>
              </w:rPr>
              <w:t>根据建设单位多年污水处理经验</w:t>
            </w:r>
            <w:r>
              <w:rPr>
                <w:rFonts w:hint="default" w:ascii="Times New Roman" w:hAnsi="Times New Roman" w:eastAsia="宋体" w:cs="Times New Roman"/>
                <w:color w:val="auto"/>
                <w:kern w:val="0"/>
                <w:sz w:val="24"/>
                <w:szCs w:val="24"/>
                <w:lang w:val="en-US" w:eastAsia="zh-CN" w:bidi="ar"/>
              </w:rPr>
              <w:t>，</w:t>
            </w:r>
            <w:r>
              <w:rPr>
                <w:rFonts w:hint="default" w:cs="Times New Roman"/>
                <w:color w:val="auto"/>
                <w:kern w:val="2"/>
                <w:sz w:val="24"/>
                <w:szCs w:val="24"/>
                <w:u w:val="none" w:color="auto"/>
                <w:vertAlign w:val="baseline"/>
                <w:lang w:val="en-US" w:eastAsia="zh-CN"/>
              </w:rPr>
              <w:t>格栅处理的废物</w:t>
            </w:r>
            <w:r>
              <w:rPr>
                <w:rFonts w:hint="eastAsia" w:cs="Times New Roman"/>
                <w:color w:val="auto"/>
                <w:kern w:val="0"/>
                <w:sz w:val="24"/>
                <w:szCs w:val="24"/>
                <w:lang w:val="en-US" w:eastAsia="zh-CN" w:bidi="ar"/>
              </w:rPr>
              <w:t>年产生量约为39.14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产生后交由物资回收部门综合利用</w:t>
            </w:r>
            <w:r>
              <w:rPr>
                <w:rFonts w:hint="eastAsia" w:cs="Times New Roman"/>
                <w:color w:val="auto"/>
                <w:kern w:val="0"/>
                <w:sz w:val="24"/>
                <w:szCs w:val="24"/>
                <w:lang w:val="en-US" w:eastAsia="zh-CN" w:bidi="ar"/>
              </w:rPr>
              <w:t>。</w:t>
            </w:r>
          </w:p>
          <w:p w14:paraId="1904FABE">
            <w:pPr>
              <w:keepNext w:val="0"/>
              <w:keepLines w:val="0"/>
              <w:widowControl/>
              <w:suppressLineNumbers w:val="0"/>
              <w:jc w:val="left"/>
              <w:rPr>
                <w:rFonts w:hint="eastAsia" w:cs="Times New Roman"/>
                <w:color w:val="auto"/>
                <w:kern w:val="2"/>
                <w:sz w:val="24"/>
                <w:szCs w:val="24"/>
                <w:u w:val="none" w:color="auto"/>
                <w:lang w:val="en-US" w:eastAsia="zh-CN" w:bidi="ar"/>
              </w:rPr>
            </w:pPr>
            <w:r>
              <w:rPr>
                <w:rFonts w:hint="default" w:ascii="Times New Roman" w:hAnsi="Times New Roman" w:eastAsia="宋体" w:cs="Times New Roman"/>
                <w:color w:val="auto"/>
                <w:kern w:val="0"/>
                <w:sz w:val="24"/>
                <w:szCs w:val="24"/>
                <w:lang w:val="en-US" w:eastAsia="zh-CN" w:bidi="ar"/>
              </w:rPr>
              <w:t>⑦</w:t>
            </w:r>
            <w:r>
              <w:rPr>
                <w:rFonts w:hint="default" w:cs="Times New Roman"/>
                <w:color w:val="auto"/>
                <w:kern w:val="2"/>
                <w:sz w:val="24"/>
                <w:szCs w:val="24"/>
                <w:u w:val="none" w:color="auto"/>
                <w:vertAlign w:val="baseline"/>
                <w:lang w:val="en-US" w:eastAsia="zh-CN"/>
              </w:rPr>
              <w:t>锅炉炉渣</w:t>
            </w:r>
            <w:r>
              <w:rPr>
                <w:rFonts w:hint="eastAsia" w:cs="Times New Roman"/>
                <w:color w:val="auto"/>
                <w:kern w:val="2"/>
                <w:sz w:val="24"/>
                <w:szCs w:val="24"/>
                <w:u w:val="none" w:color="auto"/>
                <w:vertAlign w:val="baseline"/>
                <w:lang w:val="en-US" w:eastAsia="zh-CN"/>
              </w:rPr>
              <w:t>：</w:t>
            </w:r>
            <w:r>
              <w:rPr>
                <w:rFonts w:hint="eastAsia" w:cs="Times New Roman"/>
                <w:color w:val="auto"/>
                <w:kern w:val="0"/>
                <w:sz w:val="24"/>
                <w:szCs w:val="24"/>
                <w:lang w:val="en-US" w:eastAsia="zh-CN" w:bidi="ar"/>
              </w:rPr>
              <w:t>根据建设单位多年烧锅炉经验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rPr>
              <w:t>锅炉炉渣</w:t>
            </w:r>
            <w:r>
              <w:rPr>
                <w:rFonts w:hint="eastAsia" w:cs="Times New Roman"/>
                <w:color w:val="auto"/>
                <w:kern w:val="0"/>
                <w:sz w:val="24"/>
                <w:szCs w:val="24"/>
                <w:lang w:val="en-US" w:eastAsia="zh-CN" w:bidi="ar"/>
              </w:rPr>
              <w:t>年产生量约为18 t</w:t>
            </w:r>
            <w:r>
              <w:rPr>
                <w:rFonts w:hint="default" w:ascii="Times New Roman" w:hAnsi="Times New Roman" w:eastAsia="宋体" w:cs="Times New Roman"/>
                <w:color w:val="auto"/>
                <w:kern w:val="0"/>
                <w:sz w:val="24"/>
                <w:szCs w:val="24"/>
                <w:lang w:val="en-US" w:eastAsia="zh-CN" w:bidi="ar"/>
              </w:rPr>
              <w:t>，属于一般固体废物</w:t>
            </w:r>
            <w:r>
              <w:rPr>
                <w:rFonts w:hint="eastAsia" w:ascii="Times New Roman" w:hAnsi="Times New Roman" w:eastAsia="宋体" w:cs="Times New Roman"/>
                <w:color w:val="auto"/>
                <w:kern w:val="2"/>
                <w:sz w:val="24"/>
                <w:szCs w:val="24"/>
                <w:u w:val="none" w:color="auto"/>
                <w:lang w:val="en-US" w:eastAsia="zh-CN" w:bidi="ar"/>
              </w:rPr>
              <w:t>。</w:t>
            </w:r>
            <w:r>
              <w:rPr>
                <w:rFonts w:hint="eastAsia" w:cs="Times New Roman"/>
                <w:color w:val="auto"/>
                <w:kern w:val="2"/>
                <w:sz w:val="24"/>
                <w:szCs w:val="24"/>
                <w:u w:val="none" w:color="auto"/>
                <w:vertAlign w:val="baseline"/>
                <w:lang w:val="en-US" w:eastAsia="zh-CN"/>
              </w:rPr>
              <w:t>产生后交由物资回收部门综合利用</w:t>
            </w:r>
            <w:r>
              <w:rPr>
                <w:rFonts w:hint="eastAsia" w:cs="Times New Roman"/>
                <w:color w:val="auto"/>
                <w:kern w:val="2"/>
                <w:sz w:val="24"/>
                <w:szCs w:val="24"/>
                <w:u w:val="none" w:color="auto"/>
                <w:lang w:val="en-US" w:eastAsia="zh-CN" w:bidi="ar"/>
              </w:rPr>
              <w:t>。</w:t>
            </w:r>
          </w:p>
          <w:p w14:paraId="370A0F69">
            <w:pPr>
              <w:widowControl/>
              <w:jc w:val="left"/>
              <w:rPr>
                <w:rFonts w:hint="eastAsia" w:cs="Times New Roman"/>
                <w:color w:val="auto"/>
                <w:kern w:val="0"/>
                <w:sz w:val="24"/>
                <w:szCs w:val="24"/>
                <w:lang w:val="en-US" w:eastAsia="zh-CN" w:bidi="ar"/>
              </w:rPr>
            </w:pPr>
            <w:r>
              <w:rPr>
                <w:rFonts w:hint="eastAsia" w:cs="Times New Roman"/>
                <w:color w:val="auto"/>
                <w:u w:val="none" w:color="auto"/>
                <w:lang w:val="en-US" w:eastAsia="zh-CN"/>
              </w:rPr>
              <w:t>⑧病死猪：</w:t>
            </w:r>
            <w:r>
              <w:rPr>
                <w:rFonts w:hint="eastAsia" w:cs="Times New Roman"/>
                <w:color w:val="auto"/>
                <w:kern w:val="2"/>
                <w:sz w:val="24"/>
                <w:szCs w:val="24"/>
                <w:u w:val="none" w:color="auto"/>
                <w:lang w:val="en-US" w:eastAsia="zh-CN" w:bidi="ar"/>
              </w:rPr>
              <w:t>根据</w:t>
            </w:r>
            <w:r>
              <w:rPr>
                <w:rFonts w:hint="eastAsia" w:cs="Times New Roman"/>
                <w:color w:val="auto"/>
                <w:kern w:val="0"/>
                <w:sz w:val="24"/>
                <w:szCs w:val="24"/>
                <w:lang w:val="en-US" w:eastAsia="zh-CN" w:bidi="ar"/>
              </w:rPr>
              <w:t>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rPr>
              <w:t>病死猪</w:t>
            </w:r>
            <w:r>
              <w:rPr>
                <w:rFonts w:hint="eastAsia" w:cs="Times New Roman"/>
                <w:color w:val="auto"/>
                <w:kern w:val="0"/>
                <w:sz w:val="24"/>
                <w:szCs w:val="24"/>
                <w:lang w:val="en-US" w:eastAsia="zh-CN" w:bidi="ar"/>
              </w:rPr>
              <w:t>年产生量约为80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产生后交由有资质的单位进行无害化处理</w:t>
            </w:r>
            <w:r>
              <w:rPr>
                <w:rFonts w:hint="eastAsia" w:cs="Times New Roman"/>
                <w:color w:val="auto"/>
                <w:kern w:val="0"/>
                <w:sz w:val="24"/>
                <w:szCs w:val="24"/>
                <w:lang w:val="en-US" w:eastAsia="zh-CN" w:bidi="ar"/>
              </w:rPr>
              <w:t>。</w:t>
            </w:r>
          </w:p>
          <w:p w14:paraId="709C0E92">
            <w:pPr>
              <w:pStyle w:val="11"/>
              <w:rPr>
                <w:rFonts w:hint="default"/>
                <w:lang w:val="en-US" w:eastAsia="zh-CN"/>
              </w:rPr>
            </w:pPr>
            <w:r>
              <w:rPr>
                <w:rFonts w:hint="eastAsia" w:cs="Times New Roman"/>
                <w:color w:val="auto"/>
                <w:kern w:val="2"/>
                <w:sz w:val="24"/>
                <w:szCs w:val="24"/>
                <w:u w:val="none" w:color="auto"/>
                <w:lang w:val="en-US" w:eastAsia="zh-CN" w:bidi="ar"/>
              </w:rPr>
              <w:t>⑨</w:t>
            </w:r>
            <w:r>
              <w:rPr>
                <w:rFonts w:hint="eastAsia" w:cs="Times New Roman"/>
                <w:color w:val="auto"/>
                <w:kern w:val="2"/>
                <w:sz w:val="24"/>
                <w:szCs w:val="24"/>
                <w:u w:val="none" w:color="auto"/>
                <w:vertAlign w:val="baseline"/>
                <w:lang w:val="en-US" w:eastAsia="zh-CN" w:bidi="ar"/>
              </w:rPr>
              <w:t>未沾染有</w:t>
            </w:r>
            <w:r>
              <w:rPr>
                <w:rFonts w:hint="eastAsia" w:cs="Times New Roman"/>
                <w:color w:val="auto"/>
                <w:kern w:val="2"/>
                <w:sz w:val="24"/>
                <w:szCs w:val="24"/>
                <w:u w:val="none" w:color="auto"/>
                <w:vertAlign w:val="baseline"/>
                <w:lang w:val="en-US" w:eastAsia="zh-CN"/>
              </w:rPr>
              <w:t>毒有害物质的废包装材料：</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bidi="ar"/>
              </w:rPr>
              <w:t>未沾染有</w:t>
            </w:r>
            <w:r>
              <w:rPr>
                <w:rFonts w:hint="eastAsia" w:cs="Times New Roman"/>
                <w:color w:val="auto"/>
                <w:kern w:val="2"/>
                <w:sz w:val="24"/>
                <w:szCs w:val="24"/>
                <w:u w:val="none" w:color="auto"/>
                <w:vertAlign w:val="baseline"/>
                <w:lang w:val="en-US" w:eastAsia="zh-CN"/>
              </w:rPr>
              <w:t>毒有害物质的废包装材料</w:t>
            </w:r>
            <w:r>
              <w:rPr>
                <w:rFonts w:hint="eastAsia" w:cs="Times New Roman"/>
                <w:color w:val="auto"/>
                <w:kern w:val="0"/>
                <w:sz w:val="24"/>
                <w:szCs w:val="24"/>
                <w:lang w:val="en-US" w:eastAsia="zh-CN" w:bidi="ar"/>
              </w:rPr>
              <w:t>年产生量约为0.05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产生后交由物资回收部门综合利用</w:t>
            </w:r>
            <w:r>
              <w:rPr>
                <w:rFonts w:hint="eastAsia" w:cs="Times New Roman"/>
                <w:color w:val="auto"/>
                <w:kern w:val="0"/>
                <w:sz w:val="24"/>
                <w:szCs w:val="24"/>
                <w:lang w:val="en-US" w:eastAsia="zh-CN" w:bidi="ar"/>
              </w:rPr>
              <w:t>。</w:t>
            </w:r>
          </w:p>
          <w:p w14:paraId="11788F4B">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（3）危险废物</w:t>
            </w:r>
          </w:p>
          <w:p w14:paraId="07B4E14B">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①</w:t>
            </w:r>
            <w:r>
              <w:rPr>
                <w:rFonts w:hint="default" w:cs="Times New Roman"/>
                <w:color w:val="auto"/>
                <w:kern w:val="2"/>
                <w:sz w:val="24"/>
                <w:szCs w:val="24"/>
                <w:u w:val="none" w:color="auto"/>
                <w:vertAlign w:val="baseline"/>
                <w:lang w:val="en-US" w:eastAsia="zh-CN"/>
              </w:rPr>
              <w:t>实验室、检疫室废弃物</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根据建设单位多年实验经验</w:t>
            </w:r>
            <w:r>
              <w:rPr>
                <w:rFonts w:hint="default" w:ascii="Times New Roman" w:hAnsi="Times New Roman" w:eastAsia="宋体" w:cs="Times New Roman"/>
                <w:color w:val="auto"/>
                <w:kern w:val="0"/>
                <w:sz w:val="24"/>
                <w:szCs w:val="24"/>
                <w:lang w:val="en-US" w:eastAsia="zh-CN" w:bidi="ar"/>
              </w:rPr>
              <w:t>，</w:t>
            </w:r>
            <w:r>
              <w:rPr>
                <w:rFonts w:hint="default" w:cs="Times New Roman"/>
                <w:color w:val="auto"/>
                <w:kern w:val="2"/>
                <w:sz w:val="24"/>
                <w:szCs w:val="24"/>
                <w:u w:val="none" w:color="auto"/>
                <w:vertAlign w:val="baseline"/>
                <w:lang w:val="en-US" w:eastAsia="zh-CN"/>
              </w:rPr>
              <w:t>实验室、检疫室废弃物</w:t>
            </w:r>
            <w:r>
              <w:rPr>
                <w:rFonts w:hint="eastAsia" w:cs="Times New Roman"/>
                <w:color w:val="auto"/>
                <w:kern w:val="0"/>
                <w:sz w:val="24"/>
                <w:szCs w:val="24"/>
                <w:lang w:val="en-US" w:eastAsia="zh-CN" w:bidi="ar"/>
              </w:rPr>
              <w:t>年产生量约为5 t</w:t>
            </w:r>
            <w:r>
              <w:rPr>
                <w:rFonts w:hint="default" w:ascii="Times New Roman" w:hAnsi="Times New Roman" w:eastAsia="宋体" w:cs="Times New Roman"/>
                <w:color w:val="auto"/>
                <w:kern w:val="0"/>
                <w:sz w:val="24"/>
                <w:szCs w:val="24"/>
                <w:lang w:val="en-US" w:eastAsia="zh-CN" w:bidi="ar"/>
              </w:rPr>
              <w:t>，属于</w:t>
            </w:r>
            <w:r>
              <w:rPr>
                <w:rFonts w:hint="eastAsia" w:cs="Times New Roman"/>
                <w:color w:val="auto"/>
                <w:kern w:val="0"/>
                <w:sz w:val="24"/>
                <w:szCs w:val="24"/>
                <w:lang w:val="en-US" w:eastAsia="zh-CN" w:bidi="ar"/>
              </w:rPr>
              <w:t>危险废物，其代码为HW49 900-047-49</w:t>
            </w:r>
            <w:r>
              <w:rPr>
                <w:rFonts w:hint="default" w:ascii="Times New Roman" w:hAnsi="Times New Roman" w:eastAsia="宋体" w:cs="Times New Roman"/>
                <w:color w:val="auto"/>
                <w:kern w:val="0"/>
                <w:sz w:val="24"/>
                <w:szCs w:val="24"/>
                <w:lang w:val="en-US" w:eastAsia="zh-CN" w:bidi="ar"/>
              </w:rPr>
              <w:t>。</w:t>
            </w:r>
          </w:p>
          <w:p w14:paraId="4E3ACB97">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w:t>
            </w:r>
            <w:r>
              <w:rPr>
                <w:rFonts w:hint="eastAsia" w:cs="Times New Roman"/>
                <w:color w:val="auto"/>
                <w:kern w:val="2"/>
                <w:sz w:val="24"/>
                <w:szCs w:val="24"/>
                <w:u w:val="none" w:color="auto"/>
                <w:vertAlign w:val="baseline"/>
                <w:lang w:val="en-US" w:eastAsia="zh-CN"/>
              </w:rPr>
              <w:t>沾染有毒有害物质的废包装材料</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rPr>
              <w:t>沾染有毒有害物质的废包装材料</w:t>
            </w:r>
            <w:r>
              <w:rPr>
                <w:rFonts w:hint="eastAsia" w:cs="Times New Roman"/>
                <w:color w:val="auto"/>
                <w:kern w:val="0"/>
                <w:sz w:val="24"/>
                <w:szCs w:val="24"/>
                <w:lang w:val="en-US" w:eastAsia="zh-CN" w:bidi="ar"/>
              </w:rPr>
              <w:t>年产生量约为0.1 t。</w:t>
            </w:r>
            <w:r>
              <w:rPr>
                <w:rFonts w:hint="default" w:ascii="Times New Roman" w:hAnsi="Times New Roman" w:eastAsia="宋体" w:cs="Times New Roman"/>
                <w:color w:val="auto"/>
                <w:kern w:val="0"/>
                <w:sz w:val="24"/>
                <w:szCs w:val="24"/>
                <w:lang w:val="en-US" w:eastAsia="zh-CN" w:bidi="ar"/>
              </w:rPr>
              <w:t>属于</w:t>
            </w:r>
            <w:r>
              <w:rPr>
                <w:rFonts w:hint="eastAsia" w:cs="Times New Roman"/>
                <w:color w:val="auto"/>
                <w:kern w:val="0"/>
                <w:sz w:val="24"/>
                <w:szCs w:val="24"/>
                <w:lang w:val="en-US" w:eastAsia="zh-CN" w:bidi="ar"/>
              </w:rPr>
              <w:t>危险废物，其代码为HW49 900-041-49</w:t>
            </w:r>
            <w:r>
              <w:rPr>
                <w:rFonts w:hint="default" w:ascii="Times New Roman" w:hAnsi="Times New Roman" w:eastAsia="宋体" w:cs="Times New Roman"/>
                <w:color w:val="auto"/>
                <w:kern w:val="0"/>
                <w:sz w:val="24"/>
                <w:szCs w:val="24"/>
                <w:lang w:val="en-US" w:eastAsia="zh-CN" w:bidi="ar"/>
              </w:rPr>
              <w:t>。</w:t>
            </w:r>
          </w:p>
          <w:p w14:paraId="2D95F79F">
            <w:pPr>
              <w:keepNext w:val="0"/>
              <w:keepLines w:val="0"/>
              <w:pageBreakBefore w:val="0"/>
              <w:widowControl/>
              <w:suppressLineNumbers w:val="0"/>
              <w:kinsoku/>
              <w:wordWrap/>
              <w:overflowPunct/>
              <w:topLinePunct w:val="0"/>
              <w:autoSpaceDE/>
              <w:autoSpaceDN/>
              <w:bidi w:val="0"/>
              <w:adjustRightInd/>
              <w:snapToGrid/>
              <w:ind w:leftChars="0" w:firstLine="0" w:firstLineChars="0"/>
              <w:jc w:val="center"/>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表</w:t>
            </w:r>
            <w:r>
              <w:rPr>
                <w:rFonts w:hint="eastAsia" w:cs="Times New Roman"/>
                <w:color w:val="auto"/>
                <w:u w:val="none" w:color="auto"/>
                <w:lang w:val="en-US" w:eastAsia="zh-CN"/>
              </w:rPr>
              <w:t>2.7</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 xml:space="preserve"> </w:t>
            </w:r>
            <w:r>
              <w:rPr>
                <w:rFonts w:hint="eastAsia" w:cs="Times New Roman"/>
                <w:color w:val="auto"/>
                <w:u w:val="none" w:color="auto"/>
                <w:lang w:val="en-US" w:eastAsia="zh-CN"/>
              </w:rPr>
              <w:t>固体</w:t>
            </w:r>
            <w:r>
              <w:rPr>
                <w:rFonts w:hint="default" w:ascii="Times New Roman" w:hAnsi="Times New Roman" w:cs="Times New Roman"/>
                <w:color w:val="auto"/>
                <w:u w:val="none" w:color="auto"/>
                <w:lang w:val="en-US" w:eastAsia="zh-CN"/>
              </w:rPr>
              <w:t>废物一览表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407"/>
              <w:gridCol w:w="1254"/>
              <w:gridCol w:w="3739"/>
            </w:tblGrid>
            <w:tr w14:paraId="0776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24" w:type="pct"/>
                  <w:tcBorders>
                    <w:tl2br w:val="nil"/>
                    <w:tr2bl w:val="nil"/>
                  </w:tcBorders>
                  <w:vAlign w:val="center"/>
                </w:tcPr>
                <w:p w14:paraId="702C9F92">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类别</w:t>
                  </w:r>
                </w:p>
              </w:tc>
              <w:tc>
                <w:tcPr>
                  <w:tcW w:w="1423" w:type="pct"/>
                  <w:tcBorders>
                    <w:tl2br w:val="nil"/>
                    <w:tr2bl w:val="nil"/>
                  </w:tcBorders>
                  <w:vAlign w:val="center"/>
                </w:tcPr>
                <w:p w14:paraId="1CC0812F">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污染物</w:t>
                  </w:r>
                </w:p>
              </w:tc>
              <w:tc>
                <w:tcPr>
                  <w:tcW w:w="741" w:type="pct"/>
                  <w:tcBorders>
                    <w:tl2br w:val="nil"/>
                    <w:tr2bl w:val="nil"/>
                  </w:tcBorders>
                  <w:vAlign w:val="center"/>
                </w:tcPr>
                <w:p w14:paraId="36BE1E0C">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产生量</w:t>
                  </w:r>
                </w:p>
              </w:tc>
              <w:tc>
                <w:tcPr>
                  <w:tcW w:w="2210" w:type="pct"/>
                  <w:tcBorders>
                    <w:tl2br w:val="nil"/>
                    <w:tr2bl w:val="nil"/>
                  </w:tcBorders>
                  <w:vAlign w:val="center"/>
                </w:tcPr>
                <w:p w14:paraId="53E8FBD3">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去向</w:t>
                  </w:r>
                </w:p>
              </w:tc>
            </w:tr>
            <w:tr w14:paraId="35C3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4" w:type="pct"/>
                  <w:tcBorders>
                    <w:tl2br w:val="nil"/>
                    <w:tr2bl w:val="nil"/>
                  </w:tcBorders>
                  <w:vAlign w:val="center"/>
                </w:tcPr>
                <w:p w14:paraId="368AC911">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生活垃圾</w:t>
                  </w:r>
                </w:p>
              </w:tc>
              <w:tc>
                <w:tcPr>
                  <w:tcW w:w="1423" w:type="pct"/>
                  <w:tcBorders>
                    <w:tl2br w:val="nil"/>
                    <w:tr2bl w:val="nil"/>
                  </w:tcBorders>
                  <w:vAlign w:val="center"/>
                </w:tcPr>
                <w:p w14:paraId="5BE45AB7">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生活垃圾</w:t>
                  </w:r>
                </w:p>
              </w:tc>
              <w:tc>
                <w:tcPr>
                  <w:tcW w:w="741" w:type="pct"/>
                  <w:tcBorders>
                    <w:tl2br w:val="nil"/>
                    <w:tr2bl w:val="nil"/>
                  </w:tcBorders>
                  <w:vAlign w:val="center"/>
                </w:tcPr>
                <w:p w14:paraId="5E52B808">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6.9 t/a</w:t>
                  </w:r>
                </w:p>
              </w:tc>
              <w:tc>
                <w:tcPr>
                  <w:tcW w:w="2210" w:type="pct"/>
                  <w:tcBorders>
                    <w:tl2br w:val="nil"/>
                    <w:tr2bl w:val="nil"/>
                  </w:tcBorders>
                  <w:vAlign w:val="center"/>
                </w:tcPr>
                <w:p w14:paraId="00CFA759">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交由环卫部门统一清运</w:t>
                  </w:r>
                </w:p>
              </w:tc>
            </w:tr>
            <w:tr w14:paraId="698B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restart"/>
                  <w:tcBorders>
                    <w:tl2br w:val="nil"/>
                    <w:tr2bl w:val="nil"/>
                  </w:tcBorders>
                  <w:vAlign w:val="center"/>
                </w:tcPr>
                <w:p w14:paraId="569B4EFB">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一般工业固废</w:t>
                  </w:r>
                </w:p>
              </w:tc>
              <w:tc>
                <w:tcPr>
                  <w:tcW w:w="1423" w:type="pct"/>
                  <w:tcBorders>
                    <w:tl2br w:val="nil"/>
                    <w:tr2bl w:val="nil"/>
                  </w:tcBorders>
                  <w:shd w:val="clear" w:color="auto" w:fill="auto"/>
                  <w:vAlign w:val="center"/>
                </w:tcPr>
                <w:p w14:paraId="0412B0F7">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猪胃内容物、不可食用部分（除胃内容物外）</w:t>
                  </w:r>
                </w:p>
              </w:tc>
              <w:tc>
                <w:tcPr>
                  <w:tcW w:w="741" w:type="pct"/>
                  <w:tcBorders>
                    <w:tl2br w:val="nil"/>
                    <w:tr2bl w:val="nil"/>
                  </w:tcBorders>
                  <w:vAlign w:val="center"/>
                </w:tcPr>
                <w:p w14:paraId="6810518B">
                  <w:pPr>
                    <w:pStyle w:val="49"/>
                    <w:snapToGrid/>
                    <w:spacing w:line="240" w:lineRule="auto"/>
                    <w:ind w:firstLine="0" w:firstLineChars="0"/>
                    <w:jc w:val="center"/>
                    <w:rPr>
                      <w:rFonts w:hint="eastAsia"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153.2 t/a</w:t>
                  </w:r>
                </w:p>
              </w:tc>
              <w:tc>
                <w:tcPr>
                  <w:tcW w:w="2210" w:type="pct"/>
                  <w:tcBorders>
                    <w:tl2br w:val="nil"/>
                    <w:tr2bl w:val="nil"/>
                  </w:tcBorders>
                  <w:vAlign w:val="center"/>
                </w:tcPr>
                <w:p w14:paraId="06FEB54C">
                  <w:pPr>
                    <w:pStyle w:val="49"/>
                    <w:snapToGrid/>
                    <w:spacing w:line="240" w:lineRule="auto"/>
                    <w:ind w:firstLine="0" w:firstLineChars="0"/>
                    <w:jc w:val="center"/>
                    <w:rPr>
                      <w:rFonts w:hint="eastAsia" w:ascii="Times New Roman" w:hAnsi="Times New Roman" w:eastAsia="宋体" w:cs="Times New Roman"/>
                      <w:color w:val="auto"/>
                      <w:spacing w:val="0"/>
                      <w:sz w:val="21"/>
                      <w:szCs w:val="21"/>
                      <w:u w:val="none" w:color="auto"/>
                      <w:lang w:val="en-US" w:eastAsia="zh-CN" w:bidi="ar"/>
                    </w:rPr>
                  </w:pPr>
                  <w:r>
                    <w:rPr>
                      <w:rFonts w:hint="eastAsia" w:cs="Times New Roman"/>
                      <w:color w:val="auto"/>
                      <w:kern w:val="2"/>
                      <w:sz w:val="21"/>
                      <w:szCs w:val="21"/>
                      <w:u w:val="none" w:color="auto"/>
                      <w:vertAlign w:val="baseline"/>
                      <w:lang w:val="en-US" w:eastAsia="zh-CN" w:bidi="ar"/>
                    </w:rPr>
                    <w:t>猪胃内容物</w:t>
                  </w:r>
                  <w:r>
                    <w:rPr>
                      <w:rFonts w:hint="eastAsia" w:ascii="Times New Roman" w:hAnsi="Times New Roman" w:eastAsia="宋体" w:cs="Times New Roman"/>
                      <w:color w:val="auto"/>
                      <w:kern w:val="2"/>
                      <w:sz w:val="21"/>
                      <w:szCs w:val="21"/>
                      <w:u w:val="none" w:color="auto"/>
                      <w:lang w:val="en-US" w:eastAsia="zh-CN" w:bidi="ar"/>
                    </w:rPr>
                    <w:t>，收集后外售给</w:t>
                  </w:r>
                  <w:r>
                    <w:rPr>
                      <w:rFonts w:hint="default"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r>
                    <w:rPr>
                      <w:rFonts w:hint="default" w:cs="Times New Roman"/>
                      <w:color w:val="auto"/>
                      <w:kern w:val="2"/>
                      <w:sz w:val="21"/>
                      <w:szCs w:val="21"/>
                      <w:u w:val="none" w:color="auto"/>
                      <w:lang w:val="en-US" w:eastAsia="zh-CN" w:bidi="ar"/>
                    </w:rPr>
                    <w:t>；</w:t>
                  </w:r>
                  <w:r>
                    <w:rPr>
                      <w:rFonts w:hint="eastAsia" w:cs="Times New Roman"/>
                      <w:color w:val="auto"/>
                      <w:kern w:val="2"/>
                      <w:sz w:val="21"/>
                      <w:szCs w:val="21"/>
                      <w:u w:val="none" w:color="auto"/>
                      <w:vertAlign w:val="baseline"/>
                      <w:lang w:val="en-US" w:eastAsia="zh-CN" w:bidi="ar"/>
                    </w:rPr>
                    <w:t>不可食用部分（除胃内容物外）</w:t>
                  </w:r>
                  <w:r>
                    <w:rPr>
                      <w:rFonts w:hint="default" w:cs="Times New Roman"/>
                      <w:color w:val="auto"/>
                      <w:kern w:val="2"/>
                      <w:sz w:val="21"/>
                      <w:szCs w:val="21"/>
                      <w:u w:val="none" w:color="auto"/>
                      <w:vertAlign w:val="baseline"/>
                      <w:lang w:val="en-US" w:eastAsia="zh-CN" w:bidi="ar"/>
                    </w:rPr>
                    <w:t>交由有资质的单位进行无害化处理</w:t>
                  </w:r>
                </w:p>
              </w:tc>
            </w:tr>
            <w:tr w14:paraId="69E0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0907298A">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38C44F32">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碎肉渣</w:t>
                  </w:r>
                </w:p>
              </w:tc>
              <w:tc>
                <w:tcPr>
                  <w:tcW w:w="741" w:type="pct"/>
                  <w:tcBorders>
                    <w:tl2br w:val="nil"/>
                    <w:tr2bl w:val="nil"/>
                  </w:tcBorders>
                  <w:vAlign w:val="center"/>
                </w:tcPr>
                <w:p w14:paraId="764DA6D8">
                  <w:pPr>
                    <w:pStyle w:val="49"/>
                    <w:snapToGrid/>
                    <w:spacing w:line="240" w:lineRule="auto"/>
                    <w:ind w:firstLine="0" w:firstLineChars="0"/>
                    <w:jc w:val="center"/>
                    <w:rPr>
                      <w:rFonts w:hint="eastAsia"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0.8 t/a</w:t>
                  </w:r>
                </w:p>
              </w:tc>
              <w:tc>
                <w:tcPr>
                  <w:tcW w:w="2210" w:type="pct"/>
                  <w:tcBorders>
                    <w:tl2br w:val="nil"/>
                    <w:tr2bl w:val="nil"/>
                  </w:tcBorders>
                  <w:vAlign w:val="center"/>
                </w:tcPr>
                <w:p w14:paraId="3B92CA9D">
                  <w:pPr>
                    <w:pStyle w:val="49"/>
                    <w:spacing w:line="240" w:lineRule="auto"/>
                    <w:ind w:firstLine="0" w:firstLineChars="0"/>
                    <w:jc w:val="center"/>
                    <w:rPr>
                      <w:rFonts w:hint="eastAsia" w:ascii="Times New Roman" w:hAnsi="Times New Roman" w:eastAsia="宋体" w:cs="Times New Roman"/>
                      <w:color w:val="auto"/>
                      <w:spacing w:val="0"/>
                      <w:sz w:val="21"/>
                      <w:szCs w:val="21"/>
                      <w:u w:val="none" w:color="auto"/>
                      <w:lang w:val="en-US" w:eastAsia="zh-CN" w:bidi="ar"/>
                    </w:rPr>
                  </w:pPr>
                  <w:r>
                    <w:rPr>
                      <w:rFonts w:hint="eastAsia" w:ascii="Times New Roman" w:hAnsi="Times New Roman" w:eastAsia="宋体" w:cs="Times New Roman"/>
                      <w:color w:val="auto"/>
                      <w:kern w:val="2"/>
                      <w:sz w:val="21"/>
                      <w:szCs w:val="21"/>
                      <w:u w:val="none" w:color="auto"/>
                      <w:lang w:val="en-US" w:eastAsia="zh-CN" w:bidi="ar"/>
                    </w:rPr>
                    <w:t>外售给</w:t>
                  </w:r>
                  <w:r>
                    <w:rPr>
                      <w:rFonts w:hint="eastAsia"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p>
              </w:tc>
            </w:tr>
            <w:tr w14:paraId="0837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0F35A819">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3C51DE5C">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kern w:val="2"/>
                      <w:sz w:val="21"/>
                      <w:szCs w:val="21"/>
                      <w:u w:val="none" w:color="auto"/>
                      <w:vertAlign w:val="baseline"/>
                      <w:lang w:val="en-US" w:eastAsia="zh-CN"/>
                    </w:rPr>
                    <w:t>猪待宰期间产生的粪便</w:t>
                  </w:r>
                </w:p>
              </w:tc>
              <w:tc>
                <w:tcPr>
                  <w:tcW w:w="741" w:type="pct"/>
                  <w:tcBorders>
                    <w:tl2br w:val="nil"/>
                    <w:tr2bl w:val="nil"/>
                  </w:tcBorders>
                  <w:vAlign w:val="center"/>
                </w:tcPr>
                <w:p w14:paraId="1DD135DD">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146 t/a</w:t>
                  </w:r>
                </w:p>
              </w:tc>
              <w:tc>
                <w:tcPr>
                  <w:tcW w:w="2210" w:type="pct"/>
                  <w:tcBorders>
                    <w:tl2br w:val="nil"/>
                    <w:tr2bl w:val="nil"/>
                  </w:tcBorders>
                  <w:vAlign w:val="center"/>
                </w:tcPr>
                <w:p w14:paraId="38AF6918">
                  <w:pPr>
                    <w:pStyle w:val="49"/>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color w:val="auto"/>
                      <w:kern w:val="2"/>
                      <w:sz w:val="21"/>
                      <w:szCs w:val="21"/>
                      <w:u w:val="none" w:color="auto"/>
                      <w:lang w:val="en-US" w:eastAsia="zh-CN" w:bidi="ar"/>
                    </w:rPr>
                    <w:t>外售给</w:t>
                  </w:r>
                  <w:r>
                    <w:rPr>
                      <w:rFonts w:hint="eastAsia"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p>
              </w:tc>
            </w:tr>
            <w:tr w14:paraId="10CC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6AB7C2C1">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32E0BCEE">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污水处理站污泥</w:t>
                  </w:r>
                </w:p>
              </w:tc>
              <w:tc>
                <w:tcPr>
                  <w:tcW w:w="741" w:type="pct"/>
                  <w:tcBorders>
                    <w:tl2br w:val="nil"/>
                    <w:tr2bl w:val="nil"/>
                  </w:tcBorders>
                  <w:vAlign w:val="center"/>
                </w:tcPr>
                <w:p w14:paraId="62D1EB65">
                  <w:pPr>
                    <w:pStyle w:val="49"/>
                    <w:snapToGrid/>
                    <w:spacing w:line="240" w:lineRule="auto"/>
                    <w:ind w:firstLine="0" w:firstLineChars="0"/>
                    <w:jc w:val="center"/>
                    <w:rPr>
                      <w:rFonts w:hint="eastAsia"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5 t/a</w:t>
                  </w:r>
                </w:p>
              </w:tc>
              <w:tc>
                <w:tcPr>
                  <w:tcW w:w="2210" w:type="pct"/>
                  <w:tcBorders>
                    <w:tl2br w:val="nil"/>
                    <w:tr2bl w:val="nil"/>
                  </w:tcBorders>
                  <w:vAlign w:val="center"/>
                </w:tcPr>
                <w:p w14:paraId="28C8969E">
                  <w:pPr>
                    <w:pStyle w:val="49"/>
                    <w:snapToGrid/>
                    <w:spacing w:line="240" w:lineRule="auto"/>
                    <w:ind w:firstLine="0" w:firstLineChars="0"/>
                    <w:jc w:val="center"/>
                    <w:rPr>
                      <w:rFonts w:hint="eastAsia" w:ascii="Times New Roman" w:hAnsi="Times New Roman" w:eastAsia="宋体" w:cs="Times New Roman"/>
                      <w:color w:val="auto"/>
                      <w:spacing w:val="0"/>
                      <w:sz w:val="21"/>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
                    </w:rPr>
                    <w:t>外售给</w:t>
                  </w:r>
                  <w:r>
                    <w:rPr>
                      <w:rFonts w:hint="eastAsia"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p>
              </w:tc>
            </w:tr>
            <w:tr w14:paraId="216A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178708B6">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449CFACD">
                  <w:pPr>
                    <w:pStyle w:val="49"/>
                    <w:snapToGrid/>
                    <w:spacing w:line="240" w:lineRule="auto"/>
                    <w:ind w:firstLine="0" w:firstLineChars="0"/>
                    <w:jc w:val="center"/>
                    <w:rPr>
                      <w:rFonts w:hint="eastAsia" w:cs="Times New Roman"/>
                      <w:color w:val="auto"/>
                      <w:spacing w:val="0"/>
                      <w:sz w:val="21"/>
                      <w:szCs w:val="21"/>
                      <w:u w:val="none" w:color="auto"/>
                      <w:lang w:val="en-US" w:eastAsia="zh-CN"/>
                    </w:rPr>
                  </w:pPr>
                  <w:r>
                    <w:rPr>
                      <w:rFonts w:hint="eastAsia" w:cs="Times New Roman"/>
                      <w:color w:val="auto"/>
                      <w:kern w:val="2"/>
                      <w:sz w:val="21"/>
                      <w:szCs w:val="21"/>
                      <w:u w:val="none" w:color="auto"/>
                      <w:vertAlign w:val="baseline"/>
                      <w:lang w:val="en-US" w:eastAsia="zh-CN"/>
                    </w:rPr>
                    <w:t>不合格品</w:t>
                  </w:r>
                </w:p>
              </w:tc>
              <w:tc>
                <w:tcPr>
                  <w:tcW w:w="741" w:type="pct"/>
                  <w:tcBorders>
                    <w:tl2br w:val="nil"/>
                    <w:tr2bl w:val="nil"/>
                  </w:tcBorders>
                  <w:vAlign w:val="center"/>
                </w:tcPr>
                <w:p w14:paraId="69FE1AF4">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8 t/a</w:t>
                  </w:r>
                </w:p>
              </w:tc>
              <w:tc>
                <w:tcPr>
                  <w:tcW w:w="2210" w:type="pct"/>
                  <w:tcBorders>
                    <w:tl2br w:val="nil"/>
                    <w:tr2bl w:val="nil"/>
                  </w:tcBorders>
                  <w:vAlign w:val="center"/>
                </w:tcPr>
                <w:p w14:paraId="39947B1D">
                  <w:pPr>
                    <w:pStyle w:val="49"/>
                    <w:snapToGrid/>
                    <w:spacing w:line="240" w:lineRule="auto"/>
                    <w:ind w:firstLine="0" w:firstLineChars="0"/>
                    <w:jc w:val="center"/>
                    <w:rPr>
                      <w:rFonts w:hint="eastAsia" w:ascii="Times New Roman" w:hAnsi="Times New Roman" w:eastAsia="宋体" w:cs="Times New Roman"/>
                      <w:color w:val="auto"/>
                      <w:spacing w:val="0"/>
                      <w:sz w:val="21"/>
                      <w:szCs w:val="21"/>
                      <w:u w:val="none" w:color="auto"/>
                      <w:lang w:val="en-US" w:eastAsia="zh-CN"/>
                    </w:rPr>
                  </w:pPr>
                  <w:r>
                    <w:rPr>
                      <w:rFonts w:hint="eastAsia" w:cs="Times New Roman"/>
                      <w:color w:val="auto"/>
                      <w:kern w:val="2"/>
                      <w:sz w:val="21"/>
                      <w:szCs w:val="21"/>
                      <w:u w:val="none" w:color="auto"/>
                      <w:vertAlign w:val="baseline"/>
                      <w:lang w:val="en-US" w:eastAsia="zh-CN" w:bidi="ar"/>
                    </w:rPr>
                    <w:t>交由有资质的单位进行无害化处理</w:t>
                  </w:r>
                </w:p>
              </w:tc>
            </w:tr>
            <w:tr w14:paraId="627D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596B1197">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5C9703F3">
                  <w:pPr>
                    <w:pStyle w:val="49"/>
                    <w:snapToGrid/>
                    <w:spacing w:line="240" w:lineRule="auto"/>
                    <w:ind w:firstLine="0" w:firstLineChars="0"/>
                    <w:jc w:val="center"/>
                    <w:rPr>
                      <w:rFonts w:hint="eastAsia" w:cs="Times New Roman"/>
                      <w:color w:val="auto"/>
                      <w:spacing w:val="0"/>
                      <w:sz w:val="21"/>
                      <w:szCs w:val="21"/>
                      <w:u w:val="none" w:color="auto"/>
                      <w:lang w:val="en-US" w:eastAsia="zh-CN"/>
                    </w:rPr>
                  </w:pPr>
                  <w:r>
                    <w:rPr>
                      <w:rFonts w:hint="eastAsia" w:cs="Times New Roman"/>
                      <w:color w:val="auto"/>
                      <w:kern w:val="2"/>
                      <w:sz w:val="21"/>
                      <w:szCs w:val="21"/>
                      <w:u w:val="none" w:color="auto"/>
                      <w:vertAlign w:val="baseline"/>
                      <w:lang w:val="en-US" w:eastAsia="zh-CN"/>
                    </w:rPr>
                    <w:t>格栅处理的废物</w:t>
                  </w:r>
                </w:p>
              </w:tc>
              <w:tc>
                <w:tcPr>
                  <w:tcW w:w="741" w:type="pct"/>
                  <w:tcBorders>
                    <w:tl2br w:val="nil"/>
                    <w:tr2bl w:val="nil"/>
                  </w:tcBorders>
                  <w:vAlign w:val="center"/>
                </w:tcPr>
                <w:p w14:paraId="2751D08C">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39.14 t/a</w:t>
                  </w:r>
                </w:p>
              </w:tc>
              <w:tc>
                <w:tcPr>
                  <w:tcW w:w="2210" w:type="pct"/>
                  <w:tcBorders>
                    <w:tl2br w:val="nil"/>
                    <w:tr2bl w:val="nil"/>
                  </w:tcBorders>
                  <w:vAlign w:val="center"/>
                </w:tcPr>
                <w:p w14:paraId="5B099B57">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交由物资回收部门综合利用</w:t>
                  </w:r>
                </w:p>
              </w:tc>
            </w:tr>
            <w:tr w14:paraId="452B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612AC95C">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7975A87B">
                  <w:pPr>
                    <w:pStyle w:val="49"/>
                    <w:snapToGrid/>
                    <w:spacing w:line="240" w:lineRule="auto"/>
                    <w:ind w:firstLine="0" w:firstLineChars="0"/>
                    <w:jc w:val="center"/>
                    <w:rPr>
                      <w:rFonts w:hint="default" w:cs="Times New Roman"/>
                      <w:color w:val="auto"/>
                      <w:kern w:val="2"/>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rPr>
                    <w:t>病死猪</w:t>
                  </w:r>
                </w:p>
              </w:tc>
              <w:tc>
                <w:tcPr>
                  <w:tcW w:w="741" w:type="pct"/>
                  <w:tcBorders>
                    <w:tl2br w:val="nil"/>
                    <w:tr2bl w:val="nil"/>
                  </w:tcBorders>
                  <w:vAlign w:val="center"/>
                </w:tcPr>
                <w:p w14:paraId="5DBA1700">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80 t/a</w:t>
                  </w:r>
                </w:p>
              </w:tc>
              <w:tc>
                <w:tcPr>
                  <w:tcW w:w="2210" w:type="pct"/>
                  <w:tcBorders>
                    <w:tl2br w:val="nil"/>
                    <w:tr2bl w:val="nil"/>
                  </w:tcBorders>
                  <w:shd w:val="clear" w:color="auto" w:fill="auto"/>
                  <w:vAlign w:val="center"/>
                </w:tcPr>
                <w:p w14:paraId="544ABBB2">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bidi="ar"/>
                    </w:rPr>
                    <w:t>交由有资质的单位进行无害化处理</w:t>
                  </w:r>
                </w:p>
              </w:tc>
            </w:tr>
            <w:tr w14:paraId="4688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4D7FBE74">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513E7F69">
                  <w:pPr>
                    <w:pStyle w:val="49"/>
                    <w:snapToGrid/>
                    <w:spacing w:line="240" w:lineRule="auto"/>
                    <w:ind w:firstLine="0" w:firstLineChars="0"/>
                    <w:jc w:val="center"/>
                    <w:rPr>
                      <w:rFonts w:hint="eastAsia" w:cs="Times New Roman"/>
                      <w:color w:val="auto"/>
                      <w:kern w:val="2"/>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rPr>
                    <w:t>未沾染有毒有害物质的废包装材料</w:t>
                  </w:r>
                </w:p>
              </w:tc>
              <w:tc>
                <w:tcPr>
                  <w:tcW w:w="741" w:type="pct"/>
                  <w:tcBorders>
                    <w:tl2br w:val="nil"/>
                    <w:tr2bl w:val="nil"/>
                  </w:tcBorders>
                  <w:vAlign w:val="center"/>
                </w:tcPr>
                <w:p w14:paraId="4533F647">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0.05 t/a</w:t>
                  </w:r>
                </w:p>
              </w:tc>
              <w:tc>
                <w:tcPr>
                  <w:tcW w:w="2210" w:type="pct"/>
                  <w:tcBorders>
                    <w:tl2br w:val="nil"/>
                    <w:tr2bl w:val="nil"/>
                  </w:tcBorders>
                  <w:shd w:val="clear" w:color="auto" w:fill="auto"/>
                  <w:vAlign w:val="center"/>
                </w:tcPr>
                <w:p w14:paraId="7EDC507E">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交由物资回收部门综合利用</w:t>
                  </w:r>
                </w:p>
              </w:tc>
            </w:tr>
            <w:tr w14:paraId="57AA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436DCDC1">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5A670803">
                  <w:pPr>
                    <w:pStyle w:val="49"/>
                    <w:snapToGrid/>
                    <w:spacing w:line="240" w:lineRule="auto"/>
                    <w:ind w:firstLine="0" w:firstLineChars="0"/>
                    <w:jc w:val="center"/>
                    <w:rPr>
                      <w:rFonts w:hint="eastAsia" w:cs="Times New Roman"/>
                      <w:color w:val="auto"/>
                      <w:spacing w:val="0"/>
                      <w:sz w:val="21"/>
                      <w:szCs w:val="21"/>
                      <w:u w:val="none" w:color="auto"/>
                      <w:lang w:val="en-US" w:eastAsia="zh-CN"/>
                    </w:rPr>
                  </w:pPr>
                  <w:r>
                    <w:rPr>
                      <w:rFonts w:hint="eastAsia" w:cs="Times New Roman"/>
                      <w:color w:val="auto"/>
                      <w:kern w:val="2"/>
                      <w:sz w:val="21"/>
                      <w:szCs w:val="21"/>
                      <w:u w:val="none" w:color="auto"/>
                      <w:vertAlign w:val="baseline"/>
                      <w:lang w:val="en-US" w:eastAsia="zh-CN"/>
                    </w:rPr>
                    <w:t>锅炉炉渣</w:t>
                  </w:r>
                </w:p>
              </w:tc>
              <w:tc>
                <w:tcPr>
                  <w:tcW w:w="741" w:type="pct"/>
                  <w:tcBorders>
                    <w:tl2br w:val="nil"/>
                    <w:tr2bl w:val="nil"/>
                  </w:tcBorders>
                  <w:vAlign w:val="center"/>
                </w:tcPr>
                <w:p w14:paraId="76AFB8C3">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18 t/a</w:t>
                  </w:r>
                </w:p>
              </w:tc>
              <w:tc>
                <w:tcPr>
                  <w:tcW w:w="2210" w:type="pct"/>
                  <w:tcBorders>
                    <w:tl2br w:val="nil"/>
                    <w:tr2bl w:val="nil"/>
                  </w:tcBorders>
                  <w:vAlign w:val="center"/>
                </w:tcPr>
                <w:p w14:paraId="7DB7CF64">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交由物资回收部门综合利用</w:t>
                  </w:r>
                </w:p>
              </w:tc>
            </w:tr>
            <w:tr w14:paraId="79CA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restart"/>
                  <w:tcBorders>
                    <w:tl2br w:val="nil"/>
                    <w:tr2bl w:val="nil"/>
                  </w:tcBorders>
                  <w:vAlign w:val="center"/>
                </w:tcPr>
                <w:p w14:paraId="045BBD39">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危险废物</w:t>
                  </w:r>
                </w:p>
              </w:tc>
              <w:tc>
                <w:tcPr>
                  <w:tcW w:w="1423" w:type="pct"/>
                  <w:tcBorders>
                    <w:tl2br w:val="nil"/>
                    <w:tr2bl w:val="nil"/>
                  </w:tcBorders>
                  <w:shd w:val="clear" w:color="auto" w:fill="auto"/>
                  <w:vAlign w:val="center"/>
                </w:tcPr>
                <w:p w14:paraId="77F022DC">
                  <w:pPr>
                    <w:pStyle w:val="49"/>
                    <w:snapToGrid/>
                    <w:spacing w:line="240" w:lineRule="auto"/>
                    <w:ind w:firstLine="0" w:firstLineChars="0"/>
                    <w:jc w:val="center"/>
                    <w:rPr>
                      <w:rFonts w:hint="eastAsia" w:cs="Times New Roman"/>
                      <w:color w:val="auto"/>
                      <w:kern w:val="2"/>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rPr>
                    <w:t>实验室、检疫室废弃物</w:t>
                  </w:r>
                </w:p>
              </w:tc>
              <w:tc>
                <w:tcPr>
                  <w:tcW w:w="741" w:type="pct"/>
                  <w:tcBorders>
                    <w:tl2br w:val="nil"/>
                    <w:tr2bl w:val="nil"/>
                  </w:tcBorders>
                  <w:vAlign w:val="center"/>
                </w:tcPr>
                <w:p w14:paraId="39819FAA">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5 t/a</w:t>
                  </w:r>
                </w:p>
              </w:tc>
              <w:tc>
                <w:tcPr>
                  <w:tcW w:w="2210" w:type="pct"/>
                  <w:tcBorders>
                    <w:tl2br w:val="nil"/>
                    <w:tr2bl w:val="nil"/>
                  </w:tcBorders>
                  <w:shd w:val="clear" w:color="auto" w:fill="auto"/>
                  <w:vAlign w:val="center"/>
                </w:tcPr>
                <w:p w14:paraId="423565BD">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bidi="ar"/>
                    </w:rPr>
                    <w:t>交由有资质的单位进行无害化处理</w:t>
                  </w:r>
                </w:p>
              </w:tc>
            </w:tr>
            <w:tr w14:paraId="1CDB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24" w:type="pct"/>
                  <w:vMerge w:val="continue"/>
                  <w:tcBorders>
                    <w:tl2br w:val="nil"/>
                    <w:tr2bl w:val="nil"/>
                  </w:tcBorders>
                  <w:vAlign w:val="center"/>
                </w:tcPr>
                <w:p w14:paraId="0F3DE810">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p>
              </w:tc>
              <w:tc>
                <w:tcPr>
                  <w:tcW w:w="1423" w:type="pct"/>
                  <w:tcBorders>
                    <w:tl2br w:val="nil"/>
                    <w:tr2bl w:val="nil"/>
                  </w:tcBorders>
                  <w:shd w:val="clear" w:color="auto" w:fill="auto"/>
                  <w:vAlign w:val="center"/>
                </w:tcPr>
                <w:p w14:paraId="773E5BAD">
                  <w:pPr>
                    <w:pStyle w:val="49"/>
                    <w:snapToGrid/>
                    <w:spacing w:line="240" w:lineRule="auto"/>
                    <w:ind w:firstLine="0" w:firstLineChars="0"/>
                    <w:jc w:val="center"/>
                    <w:rPr>
                      <w:rFonts w:hint="eastAsia" w:cs="Times New Roman"/>
                      <w:color w:val="auto"/>
                      <w:kern w:val="2"/>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rPr>
                    <w:t>沾染有毒有害物质的废包装材料</w:t>
                  </w:r>
                </w:p>
              </w:tc>
              <w:tc>
                <w:tcPr>
                  <w:tcW w:w="741" w:type="pct"/>
                  <w:tcBorders>
                    <w:tl2br w:val="nil"/>
                    <w:tr2bl w:val="nil"/>
                  </w:tcBorders>
                  <w:vAlign w:val="center"/>
                </w:tcPr>
                <w:p w14:paraId="20BEF109">
                  <w:pPr>
                    <w:pStyle w:val="49"/>
                    <w:snapToGrid/>
                    <w:spacing w:line="240" w:lineRule="auto"/>
                    <w:ind w:firstLine="0" w:firstLineChars="0"/>
                    <w:jc w:val="center"/>
                    <w:rPr>
                      <w:rFonts w:hint="default"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0.1 t/a</w:t>
                  </w:r>
                </w:p>
              </w:tc>
              <w:tc>
                <w:tcPr>
                  <w:tcW w:w="2210" w:type="pct"/>
                  <w:tcBorders>
                    <w:tl2br w:val="nil"/>
                    <w:tr2bl w:val="nil"/>
                  </w:tcBorders>
                  <w:vAlign w:val="center"/>
                </w:tcPr>
                <w:p w14:paraId="67D1DDA7">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交由环卫部门统一清运</w:t>
                  </w:r>
                </w:p>
              </w:tc>
            </w:tr>
          </w:tbl>
          <w:p w14:paraId="3C0A85A2">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2.7.2</w:t>
            </w:r>
            <w:r>
              <w:rPr>
                <w:rFonts w:hint="default" w:ascii="Times New Roman" w:hAnsi="Times New Roman" w:eastAsia="黑体" w:cs="Times New Roman"/>
                <w:b/>
                <w:bCs/>
                <w:color w:val="auto"/>
                <w:u w:val="none" w:color="auto"/>
                <w:lang w:val="en-US" w:eastAsia="zh-CN"/>
              </w:rPr>
              <w:t>企业现有污染源达标排放情况</w:t>
            </w:r>
          </w:p>
          <w:p w14:paraId="423C218A">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（1）废气</w:t>
            </w:r>
          </w:p>
          <w:p w14:paraId="1F04CACF">
            <w:pPr>
              <w:tabs>
                <w:tab w:val="left" w:pos="620"/>
              </w:tabs>
              <w:bidi w:val="0"/>
              <w:ind w:firstLine="480" w:firstLineChars="200"/>
              <w:rPr>
                <w:rFonts w:hint="eastAsia" w:cs="Times New Roman"/>
                <w:color w:val="auto"/>
                <w:kern w:val="2"/>
                <w:sz w:val="24"/>
                <w:szCs w:val="24"/>
                <w:u w:val="none" w:color="auto"/>
                <w:lang w:val="en-US" w:eastAsia="zh-CN" w:bidi="ar-SA"/>
              </w:rPr>
            </w:pPr>
            <w:r>
              <w:rPr>
                <w:rFonts w:hint="default" w:ascii="Times New Roman" w:hAnsi="Times New Roman" w:cs="Times New Roman"/>
                <w:color w:val="auto"/>
                <w:u w:val="none" w:color="auto"/>
                <w:lang w:val="en-US" w:eastAsia="zh-CN"/>
              </w:rPr>
              <w:t>本环评引用</w:t>
            </w:r>
            <w:bookmarkStart w:id="85" w:name="OLE_LINK189"/>
            <w:r>
              <w:rPr>
                <w:rFonts w:ascii="Times New Roman" w:hAnsi="Times New Roman" w:eastAsia="宋体" w:cs="Times New Roman"/>
                <w:color w:val="auto"/>
                <w:kern w:val="2"/>
                <w:sz w:val="24"/>
                <w:szCs w:val="24"/>
                <w:u w:val="none" w:color="auto"/>
                <w:lang w:val="en-US" w:eastAsia="zh-CN" w:bidi="ar-SA"/>
              </w:rPr>
              <w:t>企业</w:t>
            </w:r>
            <w:bookmarkEnd w:id="85"/>
            <w:r>
              <w:rPr>
                <w:rFonts w:hint="eastAsia" w:cs="Times New Roman"/>
                <w:color w:val="auto"/>
                <w:kern w:val="2"/>
                <w:sz w:val="24"/>
                <w:szCs w:val="24"/>
                <w:u w:val="none" w:color="auto"/>
                <w:lang w:val="en-US" w:eastAsia="zh-CN" w:bidi="ar-SA"/>
              </w:rPr>
              <w:t>委托湖南湘健环保科技有限公司与2024年11月20日出具的企业例行监测数据，</w:t>
            </w:r>
            <w:r>
              <w:rPr>
                <w:rFonts w:ascii="Times New Roman" w:hAnsi="Times New Roman" w:eastAsia="宋体" w:cs="Times New Roman"/>
                <w:color w:val="auto"/>
                <w:kern w:val="2"/>
                <w:sz w:val="24"/>
                <w:szCs w:val="24"/>
                <w:u w:val="none" w:color="auto"/>
                <w:lang w:val="en-US" w:eastAsia="zh-CN" w:bidi="ar-SA"/>
              </w:rPr>
              <w:t>根据监测结果可知，</w:t>
            </w:r>
            <w:r>
              <w:rPr>
                <w:rFonts w:hint="eastAsia" w:cs="Times New Roman"/>
                <w:color w:val="auto"/>
                <w:kern w:val="2"/>
                <w:sz w:val="24"/>
                <w:szCs w:val="24"/>
                <w:u w:val="none" w:color="auto"/>
                <w:lang w:val="en-US" w:eastAsia="zh-CN" w:bidi="ar-SA"/>
              </w:rPr>
              <w:t>企业已测废气排放能满足相应标准限值（锅炉废气未进行监测），</w:t>
            </w:r>
            <w:r>
              <w:rPr>
                <w:rFonts w:ascii="Times New Roman" w:hAnsi="Times New Roman" w:eastAsia="宋体" w:cs="Times New Roman"/>
                <w:color w:val="auto"/>
                <w:kern w:val="2"/>
                <w:sz w:val="24"/>
                <w:szCs w:val="24"/>
                <w:u w:val="none" w:color="auto"/>
                <w:lang w:val="en-US" w:eastAsia="zh-CN" w:bidi="ar-SA"/>
              </w:rPr>
              <w:t>具体检测</w:t>
            </w:r>
            <w:r>
              <w:rPr>
                <w:rFonts w:hint="eastAsia" w:cs="Times New Roman"/>
                <w:color w:val="auto"/>
                <w:kern w:val="2"/>
                <w:sz w:val="24"/>
                <w:szCs w:val="24"/>
                <w:u w:val="none" w:color="auto"/>
                <w:lang w:val="en-US" w:eastAsia="zh-CN" w:bidi="ar-SA"/>
              </w:rPr>
              <w:t>结果详见附件10。</w:t>
            </w:r>
          </w:p>
          <w:p w14:paraId="69B170DD">
            <w:pPr>
              <w:pStyle w:val="11"/>
              <w:rPr>
                <w:rFonts w:hint="eastAsia"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2024年11月，企业委托湖南湘健环保科技有限公司进行了废气例行监测</w:t>
            </w:r>
            <w:r>
              <w:rPr>
                <w:rFonts w:hint="eastAsia" w:ascii="Times New Roman" w:hAnsi="Times New Roman" w:eastAsia="宋体" w:cs="Times New Roman"/>
                <w:color w:val="auto"/>
                <w:sz w:val="24"/>
                <w:szCs w:val="24"/>
                <w:u w:val="none" w:color="auto"/>
                <w:lang w:val="en-US" w:eastAsia="zh-CN"/>
              </w:rPr>
              <w:t>。</w:t>
            </w:r>
          </w:p>
          <w:p w14:paraId="781D7E9A">
            <w:pPr>
              <w:ind w:firstLine="0" w:firstLineChars="0"/>
              <w:jc w:val="center"/>
              <w:rPr>
                <w:rFonts w:hint="default"/>
                <w:lang w:val="en-US" w:eastAsia="zh-CN"/>
              </w:rPr>
            </w:pPr>
            <w:r>
              <w:rPr>
                <w:rFonts w:hint="eastAsia" w:ascii="Times New Roman" w:hAnsi="Times New Roman" w:eastAsia="宋体" w:cs="Times New Roman"/>
                <w:color w:val="auto"/>
                <w:sz w:val="24"/>
                <w:szCs w:val="24"/>
                <w:u w:val="none" w:color="auto"/>
                <w:lang w:val="en-US" w:eastAsia="zh-CN"/>
              </w:rPr>
              <w:t>表2.7-4 现有工程废气监测结果</w:t>
            </w:r>
          </w:p>
          <w:tbl>
            <w:tblPr>
              <w:tblStyle w:val="23"/>
              <w:tblW w:w="84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058"/>
              <w:gridCol w:w="1058"/>
              <w:gridCol w:w="1059"/>
              <w:gridCol w:w="1059"/>
              <w:gridCol w:w="1059"/>
              <w:gridCol w:w="1059"/>
              <w:gridCol w:w="1059"/>
            </w:tblGrid>
            <w:tr w14:paraId="01AB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restart"/>
                  <w:vAlign w:val="center"/>
                </w:tcPr>
                <w:p w14:paraId="123E0089">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检测类型</w:t>
                  </w:r>
                </w:p>
              </w:tc>
              <w:tc>
                <w:tcPr>
                  <w:tcW w:w="1058" w:type="dxa"/>
                  <w:vMerge w:val="restart"/>
                  <w:vAlign w:val="center"/>
                </w:tcPr>
                <w:p w14:paraId="42B072BE">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检测点位</w:t>
                  </w:r>
                </w:p>
              </w:tc>
              <w:tc>
                <w:tcPr>
                  <w:tcW w:w="1058" w:type="dxa"/>
                  <w:vMerge w:val="restart"/>
                  <w:vAlign w:val="center"/>
                </w:tcPr>
                <w:p w14:paraId="5A9BF8CB">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检测项目</w:t>
                  </w:r>
                </w:p>
              </w:tc>
              <w:tc>
                <w:tcPr>
                  <w:tcW w:w="4236" w:type="dxa"/>
                  <w:gridSpan w:val="4"/>
                  <w:vAlign w:val="center"/>
                </w:tcPr>
                <w:p w14:paraId="5DB8B722">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检测结果</w:t>
                  </w:r>
                </w:p>
              </w:tc>
              <w:tc>
                <w:tcPr>
                  <w:tcW w:w="1059" w:type="dxa"/>
                  <w:vMerge w:val="restart"/>
                  <w:vAlign w:val="center"/>
                </w:tcPr>
                <w:p w14:paraId="72E2F3B3">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参考限值</w:t>
                  </w:r>
                </w:p>
              </w:tc>
            </w:tr>
            <w:tr w14:paraId="0FA8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0923A748">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68A3DBAA">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5C03C33B">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9" w:type="dxa"/>
                  <w:vAlign w:val="center"/>
                </w:tcPr>
                <w:p w14:paraId="1CCC04B6">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第一次</w:t>
                  </w:r>
                </w:p>
              </w:tc>
              <w:tc>
                <w:tcPr>
                  <w:tcW w:w="1059" w:type="dxa"/>
                  <w:vAlign w:val="center"/>
                </w:tcPr>
                <w:p w14:paraId="5B3272F8">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第二次</w:t>
                  </w:r>
                </w:p>
              </w:tc>
              <w:tc>
                <w:tcPr>
                  <w:tcW w:w="1059" w:type="dxa"/>
                  <w:vAlign w:val="center"/>
                </w:tcPr>
                <w:p w14:paraId="1D45545A">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第三次</w:t>
                  </w:r>
                </w:p>
              </w:tc>
              <w:tc>
                <w:tcPr>
                  <w:tcW w:w="1059" w:type="dxa"/>
                  <w:vAlign w:val="center"/>
                </w:tcPr>
                <w:p w14:paraId="019D2B64">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第四次</w:t>
                  </w:r>
                </w:p>
              </w:tc>
              <w:tc>
                <w:tcPr>
                  <w:tcW w:w="1059" w:type="dxa"/>
                  <w:vMerge w:val="continue"/>
                  <w:vAlign w:val="center"/>
                </w:tcPr>
                <w:p w14:paraId="291CAE37">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r>
            <w:tr w14:paraId="5431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restart"/>
                  <w:vAlign w:val="center"/>
                </w:tcPr>
                <w:p w14:paraId="09302BB9">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无组织废气</w:t>
                  </w:r>
                </w:p>
              </w:tc>
              <w:tc>
                <w:tcPr>
                  <w:tcW w:w="1058" w:type="dxa"/>
                  <w:vMerge w:val="restart"/>
                  <w:vAlign w:val="center"/>
                </w:tcPr>
                <w:p w14:paraId="298DD259">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厂界上风向东侧外2 m</w:t>
                  </w:r>
                </w:p>
              </w:tc>
              <w:tc>
                <w:tcPr>
                  <w:tcW w:w="1058" w:type="dxa"/>
                  <w:vAlign w:val="center"/>
                </w:tcPr>
                <w:p w14:paraId="6CE291CF">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臭气浓度</w:t>
                  </w:r>
                </w:p>
              </w:tc>
              <w:tc>
                <w:tcPr>
                  <w:tcW w:w="1059" w:type="dxa"/>
                  <w:vAlign w:val="center"/>
                </w:tcPr>
                <w:p w14:paraId="44EA6D5E">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3151F561">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0F768A59">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09913128">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5B39D78A">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w:t>
                  </w:r>
                </w:p>
              </w:tc>
            </w:tr>
            <w:tr w14:paraId="0AB1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6D5440D8">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7045102E">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Align w:val="center"/>
                </w:tcPr>
                <w:p w14:paraId="58A126DF">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硫化氢</w:t>
                  </w:r>
                </w:p>
              </w:tc>
              <w:tc>
                <w:tcPr>
                  <w:tcW w:w="1059" w:type="dxa"/>
                  <w:vAlign w:val="center"/>
                </w:tcPr>
                <w:p w14:paraId="61422407">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0.002</w:t>
                  </w:r>
                </w:p>
              </w:tc>
              <w:tc>
                <w:tcPr>
                  <w:tcW w:w="1059" w:type="dxa"/>
                  <w:vAlign w:val="center"/>
                </w:tcPr>
                <w:p w14:paraId="5D1AF9EE">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0.002</w:t>
                  </w:r>
                </w:p>
              </w:tc>
              <w:tc>
                <w:tcPr>
                  <w:tcW w:w="1059" w:type="dxa"/>
                  <w:vAlign w:val="center"/>
                </w:tcPr>
                <w:p w14:paraId="399AE2DD">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0.002</w:t>
                  </w:r>
                </w:p>
              </w:tc>
              <w:tc>
                <w:tcPr>
                  <w:tcW w:w="1059" w:type="dxa"/>
                  <w:vAlign w:val="center"/>
                </w:tcPr>
                <w:p w14:paraId="0C700A36">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0.002</w:t>
                  </w:r>
                </w:p>
              </w:tc>
              <w:tc>
                <w:tcPr>
                  <w:tcW w:w="1059" w:type="dxa"/>
                  <w:vAlign w:val="center"/>
                </w:tcPr>
                <w:p w14:paraId="3E8BB806">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0.06</w:t>
                  </w:r>
                </w:p>
              </w:tc>
            </w:tr>
            <w:tr w14:paraId="4008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32A6146B">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14B79D1F">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Align w:val="center"/>
                </w:tcPr>
                <w:p w14:paraId="3C57BE1B">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氨</w:t>
                  </w:r>
                </w:p>
              </w:tc>
              <w:tc>
                <w:tcPr>
                  <w:tcW w:w="1059" w:type="dxa"/>
                  <w:vAlign w:val="center"/>
                </w:tcPr>
                <w:p w14:paraId="29D6AC57">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0.05</w:t>
                  </w:r>
                </w:p>
              </w:tc>
              <w:tc>
                <w:tcPr>
                  <w:tcW w:w="1059" w:type="dxa"/>
                  <w:vAlign w:val="center"/>
                </w:tcPr>
                <w:p w14:paraId="20689F80">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0.07</w:t>
                  </w:r>
                </w:p>
              </w:tc>
              <w:tc>
                <w:tcPr>
                  <w:tcW w:w="1059" w:type="dxa"/>
                  <w:vAlign w:val="center"/>
                </w:tcPr>
                <w:p w14:paraId="7AFA9426">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0.06</w:t>
                  </w:r>
                </w:p>
              </w:tc>
              <w:tc>
                <w:tcPr>
                  <w:tcW w:w="1059" w:type="dxa"/>
                  <w:vAlign w:val="center"/>
                </w:tcPr>
                <w:p w14:paraId="744E8D46">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0.07</w:t>
                  </w:r>
                </w:p>
              </w:tc>
              <w:tc>
                <w:tcPr>
                  <w:tcW w:w="1059" w:type="dxa"/>
                  <w:vAlign w:val="center"/>
                </w:tcPr>
                <w:p w14:paraId="79AD3D94">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1.6</w:t>
                  </w:r>
                </w:p>
              </w:tc>
            </w:tr>
            <w:tr w14:paraId="4945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55735A5C">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restart"/>
                  <w:vAlign w:val="center"/>
                </w:tcPr>
                <w:p w14:paraId="72D1754E">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厂界下风向西东侧外2 m</w:t>
                  </w:r>
                </w:p>
              </w:tc>
              <w:tc>
                <w:tcPr>
                  <w:tcW w:w="1058" w:type="dxa"/>
                  <w:vAlign w:val="center"/>
                </w:tcPr>
                <w:p w14:paraId="1909F733">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臭气浓度</w:t>
                  </w:r>
                </w:p>
              </w:tc>
              <w:tc>
                <w:tcPr>
                  <w:tcW w:w="1059" w:type="dxa"/>
                  <w:vAlign w:val="center"/>
                </w:tcPr>
                <w:p w14:paraId="39661C5C">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2D7B0216">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211E6E41">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1550C126">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2CBD7D45">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w:t>
                  </w:r>
                </w:p>
              </w:tc>
            </w:tr>
            <w:tr w14:paraId="4FE8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2384B84C">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2DE74A29">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shd w:val="clear" w:color="auto" w:fill="auto"/>
                  <w:vAlign w:val="center"/>
                </w:tcPr>
                <w:p w14:paraId="5341199F">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硫化氢</w:t>
                  </w:r>
                </w:p>
              </w:tc>
              <w:tc>
                <w:tcPr>
                  <w:tcW w:w="1059" w:type="dxa"/>
                  <w:vAlign w:val="center"/>
                </w:tcPr>
                <w:p w14:paraId="285A09E9">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511D3C91">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7942C340">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74ACD7AE">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662C3C40">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0.06</w:t>
                  </w:r>
                </w:p>
              </w:tc>
            </w:tr>
            <w:tr w14:paraId="44B3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0D69EF9F">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5474F08C">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Align w:val="center"/>
                </w:tcPr>
                <w:p w14:paraId="7C201F06">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氨</w:t>
                  </w:r>
                </w:p>
              </w:tc>
              <w:tc>
                <w:tcPr>
                  <w:tcW w:w="1059" w:type="dxa"/>
                  <w:vAlign w:val="center"/>
                </w:tcPr>
                <w:p w14:paraId="46D98D8E">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0.08</w:t>
                  </w:r>
                </w:p>
              </w:tc>
              <w:tc>
                <w:tcPr>
                  <w:tcW w:w="1059" w:type="dxa"/>
                  <w:vAlign w:val="center"/>
                </w:tcPr>
                <w:p w14:paraId="54972F3F">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0.10</w:t>
                  </w:r>
                </w:p>
              </w:tc>
              <w:tc>
                <w:tcPr>
                  <w:tcW w:w="1059" w:type="dxa"/>
                  <w:vAlign w:val="center"/>
                </w:tcPr>
                <w:p w14:paraId="02698654">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0.90</w:t>
                  </w:r>
                </w:p>
              </w:tc>
              <w:tc>
                <w:tcPr>
                  <w:tcW w:w="1059" w:type="dxa"/>
                  <w:vAlign w:val="center"/>
                </w:tcPr>
                <w:p w14:paraId="6E7FC3FF">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0.10</w:t>
                  </w:r>
                </w:p>
              </w:tc>
              <w:tc>
                <w:tcPr>
                  <w:tcW w:w="1059" w:type="dxa"/>
                  <w:vAlign w:val="center"/>
                </w:tcPr>
                <w:p w14:paraId="7D65EE44">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1.6</w:t>
                  </w:r>
                </w:p>
              </w:tc>
            </w:tr>
            <w:tr w14:paraId="4938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1922FDD7">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restart"/>
                  <w:vAlign w:val="center"/>
                </w:tcPr>
                <w:p w14:paraId="6D4A4617">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厂界下风向西南侧外10 m</w:t>
                  </w:r>
                </w:p>
              </w:tc>
              <w:tc>
                <w:tcPr>
                  <w:tcW w:w="1058" w:type="dxa"/>
                  <w:vAlign w:val="center"/>
                </w:tcPr>
                <w:p w14:paraId="5441616D">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臭气浓度</w:t>
                  </w:r>
                </w:p>
              </w:tc>
              <w:tc>
                <w:tcPr>
                  <w:tcW w:w="1059" w:type="dxa"/>
                  <w:vAlign w:val="center"/>
                </w:tcPr>
                <w:p w14:paraId="1B095FBD">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2313CB49">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3D333492">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298C6FCA">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＜10</w:t>
                  </w:r>
                </w:p>
              </w:tc>
              <w:tc>
                <w:tcPr>
                  <w:tcW w:w="1059" w:type="dxa"/>
                  <w:vAlign w:val="center"/>
                </w:tcPr>
                <w:p w14:paraId="1EC76BED">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w:t>
                  </w:r>
                </w:p>
              </w:tc>
            </w:tr>
            <w:tr w14:paraId="556E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283D533F">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29F82DD1">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shd w:val="clear" w:color="auto" w:fill="auto"/>
                  <w:vAlign w:val="center"/>
                </w:tcPr>
                <w:p w14:paraId="2513B21E">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硫化氢</w:t>
                  </w:r>
                </w:p>
              </w:tc>
              <w:tc>
                <w:tcPr>
                  <w:tcW w:w="1059" w:type="dxa"/>
                  <w:vAlign w:val="center"/>
                </w:tcPr>
                <w:p w14:paraId="6C564B68">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23898923">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276094DD">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22EA64FB">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0.003</w:t>
                  </w:r>
                </w:p>
              </w:tc>
              <w:tc>
                <w:tcPr>
                  <w:tcW w:w="1059" w:type="dxa"/>
                  <w:vAlign w:val="center"/>
                </w:tcPr>
                <w:p w14:paraId="760B6AC3">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0.06</w:t>
                  </w:r>
                </w:p>
              </w:tc>
            </w:tr>
            <w:tr w14:paraId="6FDA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vMerge w:val="continue"/>
                  <w:vAlign w:val="center"/>
                </w:tcPr>
                <w:p w14:paraId="1B97C416">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Merge w:val="continue"/>
                  <w:vAlign w:val="center"/>
                </w:tcPr>
                <w:p w14:paraId="11D36850">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058" w:type="dxa"/>
                  <w:vAlign w:val="center"/>
                </w:tcPr>
                <w:p w14:paraId="0A421606">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氨</w:t>
                  </w:r>
                </w:p>
              </w:tc>
              <w:tc>
                <w:tcPr>
                  <w:tcW w:w="1059" w:type="dxa"/>
                  <w:vAlign w:val="center"/>
                </w:tcPr>
                <w:p w14:paraId="29C868CE">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0.12</w:t>
                  </w:r>
                </w:p>
              </w:tc>
              <w:tc>
                <w:tcPr>
                  <w:tcW w:w="1059" w:type="dxa"/>
                  <w:vAlign w:val="center"/>
                </w:tcPr>
                <w:p w14:paraId="1E30E0E3">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0.09</w:t>
                  </w:r>
                </w:p>
              </w:tc>
              <w:tc>
                <w:tcPr>
                  <w:tcW w:w="1059" w:type="dxa"/>
                  <w:vAlign w:val="center"/>
                </w:tcPr>
                <w:p w14:paraId="26E8F8DF">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0.11</w:t>
                  </w:r>
                </w:p>
              </w:tc>
              <w:tc>
                <w:tcPr>
                  <w:tcW w:w="1059" w:type="dxa"/>
                  <w:vAlign w:val="center"/>
                </w:tcPr>
                <w:p w14:paraId="6884C7F5">
                  <w:pPr>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0.10</w:t>
                  </w:r>
                </w:p>
              </w:tc>
              <w:tc>
                <w:tcPr>
                  <w:tcW w:w="1059" w:type="dxa"/>
                  <w:vAlign w:val="center"/>
                </w:tcPr>
                <w:p w14:paraId="5E62C84D">
                  <w:pPr>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1.6</w:t>
                  </w:r>
                </w:p>
              </w:tc>
            </w:tr>
          </w:tbl>
          <w:p w14:paraId="306343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olor w:val="auto"/>
                <w:sz w:val="24"/>
                <w:szCs w:val="24"/>
                <w:u w:val="none" w:color="auto"/>
                <w:lang w:val="en-US" w:eastAsia="zh-CN"/>
              </w:rPr>
              <w:t>由监测数据可知，本项目外排无组织恶臭废气均</w:t>
            </w:r>
            <w:r>
              <w:rPr>
                <w:rFonts w:hint="eastAsia" w:ascii="Times New Roman" w:hAnsi="Times New Roman" w:eastAsia="宋体"/>
                <w:color w:val="auto"/>
                <w:sz w:val="24"/>
                <w:szCs w:val="24"/>
                <w:u w:val="none" w:color="auto"/>
                <w:lang w:val="en-US" w:eastAsia="zh-CN"/>
              </w:rPr>
              <w:t>满足</w:t>
            </w:r>
            <w:r>
              <w:rPr>
                <w:rFonts w:hint="eastAsia" w:ascii="Times New Roman" w:hAnsi="Times New Roman" w:eastAsia="宋体" w:cstheme="minorBidi"/>
                <w:color w:val="auto"/>
                <w:sz w:val="24"/>
                <w:szCs w:val="24"/>
                <w:u w:val="none" w:color="auto"/>
              </w:rPr>
              <w:t>《恶臭污染物排放标准</w:t>
            </w:r>
            <w:r>
              <w:rPr>
                <w:rFonts w:hint="eastAsia" w:ascii="Times New Roman" w:hAnsi="Times New Roman" w:eastAsia="宋体" w:cstheme="minorBidi"/>
                <w:color w:val="auto"/>
                <w:sz w:val="24"/>
                <w:szCs w:val="24"/>
                <w:u w:val="none" w:color="auto"/>
                <w:lang w:eastAsia="zh-CN"/>
              </w:rPr>
              <w:t>》（</w:t>
            </w:r>
            <w:r>
              <w:rPr>
                <w:rFonts w:hint="eastAsia" w:ascii="Times New Roman" w:hAnsi="Times New Roman" w:eastAsia="宋体" w:cstheme="minorBidi"/>
                <w:color w:val="auto"/>
                <w:sz w:val="24"/>
                <w:szCs w:val="24"/>
                <w:u w:val="none" w:color="auto"/>
              </w:rPr>
              <w:t>GB</w:t>
            </w:r>
            <w:r>
              <w:rPr>
                <w:rFonts w:hint="eastAsia" w:ascii="Times New Roman" w:hAnsi="Times New Roman" w:eastAsia="宋体" w:cstheme="minorBidi"/>
                <w:color w:val="auto"/>
                <w:sz w:val="24"/>
                <w:szCs w:val="24"/>
                <w:u w:val="none" w:color="auto"/>
                <w:lang w:val="en-US" w:eastAsia="zh-CN"/>
              </w:rPr>
              <w:t xml:space="preserve"> </w:t>
            </w:r>
            <w:r>
              <w:rPr>
                <w:rFonts w:hint="eastAsia" w:ascii="Times New Roman" w:hAnsi="Times New Roman" w:eastAsia="宋体" w:cstheme="minorBidi"/>
                <w:color w:val="auto"/>
                <w:sz w:val="24"/>
                <w:szCs w:val="24"/>
                <w:u w:val="none" w:color="auto"/>
              </w:rPr>
              <w:t>14554-93</w:t>
            </w:r>
            <w:r>
              <w:rPr>
                <w:rFonts w:hint="eastAsia" w:ascii="Times New Roman" w:hAnsi="Times New Roman" w:eastAsia="宋体" w:cstheme="minorBidi"/>
                <w:color w:val="auto"/>
                <w:sz w:val="24"/>
                <w:szCs w:val="24"/>
                <w:u w:val="none" w:color="auto"/>
                <w:lang w:eastAsia="zh-CN"/>
              </w:rPr>
              <w:t>）</w:t>
            </w:r>
            <w:r>
              <w:rPr>
                <w:rFonts w:hint="eastAsia" w:ascii="Times New Roman" w:hAnsi="Times New Roman" w:eastAsia="宋体" w:cstheme="minorBidi"/>
                <w:color w:val="auto"/>
                <w:sz w:val="24"/>
                <w:szCs w:val="24"/>
                <w:u w:val="none" w:color="auto"/>
              </w:rPr>
              <w:t>表1恶臭污染物厂界标准值二级新扩改建标准限值要</w:t>
            </w:r>
            <w:r>
              <w:rPr>
                <w:rFonts w:hint="eastAsia" w:ascii="Times New Roman" w:hAnsi="Times New Roman" w:eastAsia="宋体" w:cstheme="minorBidi"/>
                <w:color w:val="auto"/>
                <w:sz w:val="24"/>
                <w:szCs w:val="24"/>
                <w:u w:val="none" w:color="auto"/>
                <w:lang w:val="en-US" w:eastAsia="zh-CN"/>
              </w:rPr>
              <w:t>。</w:t>
            </w:r>
          </w:p>
          <w:p w14:paraId="07AB9443">
            <w:pPr>
              <w:tabs>
                <w:tab w:val="left" w:pos="620"/>
              </w:tabs>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（2）废水</w:t>
            </w:r>
          </w:p>
          <w:p w14:paraId="59A019F5">
            <w:pPr>
              <w:tabs>
                <w:tab w:val="left" w:pos="620"/>
              </w:tabs>
              <w:bidi w:val="0"/>
              <w:ind w:firstLine="480"/>
              <w:rPr>
                <w:rFonts w:hint="eastAsia" w:cs="Times New Roman"/>
                <w:color w:val="auto"/>
                <w:kern w:val="2"/>
                <w:sz w:val="24"/>
                <w:szCs w:val="24"/>
                <w:u w:val="none" w:color="auto"/>
                <w:lang w:val="en-US" w:eastAsia="zh-CN" w:bidi="ar-SA"/>
              </w:rPr>
            </w:pPr>
            <w:r>
              <w:rPr>
                <w:rFonts w:hint="default" w:ascii="Times New Roman" w:hAnsi="Times New Roman" w:cs="Times New Roman"/>
                <w:color w:val="auto"/>
                <w:u w:val="none" w:color="auto"/>
                <w:lang w:val="en-US" w:eastAsia="zh-CN"/>
              </w:rPr>
              <w:t>本环评引用</w:t>
            </w:r>
            <w:r>
              <w:rPr>
                <w:rFonts w:ascii="Times New Roman" w:hAnsi="Times New Roman" w:eastAsia="宋体" w:cs="Times New Roman"/>
                <w:color w:val="auto"/>
                <w:kern w:val="2"/>
                <w:sz w:val="24"/>
                <w:szCs w:val="24"/>
                <w:u w:val="none" w:color="auto"/>
                <w:lang w:val="en-US" w:eastAsia="zh-CN" w:bidi="ar-SA"/>
              </w:rPr>
              <w:t>企业</w:t>
            </w:r>
            <w:r>
              <w:rPr>
                <w:rFonts w:hint="eastAsia" w:cs="Times New Roman"/>
                <w:color w:val="auto"/>
                <w:kern w:val="2"/>
                <w:sz w:val="24"/>
                <w:szCs w:val="24"/>
                <w:u w:val="none" w:color="auto"/>
                <w:lang w:val="en-US" w:eastAsia="zh-CN" w:bidi="ar-SA"/>
              </w:rPr>
              <w:t>委托湖南湘健环保科技有限公司与2024年11月20日出具的企业例行监测数据，</w:t>
            </w:r>
            <w:r>
              <w:rPr>
                <w:rFonts w:ascii="Times New Roman" w:hAnsi="Times New Roman" w:eastAsia="宋体" w:cs="Times New Roman"/>
                <w:color w:val="auto"/>
                <w:kern w:val="2"/>
                <w:sz w:val="24"/>
                <w:szCs w:val="24"/>
                <w:u w:val="none" w:color="auto"/>
                <w:lang w:val="en-US" w:eastAsia="zh-CN" w:bidi="ar-SA"/>
              </w:rPr>
              <w:t>根据监测结果可知，项目</w:t>
            </w:r>
            <w:r>
              <w:rPr>
                <w:rFonts w:hint="eastAsia" w:cs="Times New Roman"/>
                <w:color w:val="auto"/>
                <w:kern w:val="2"/>
                <w:sz w:val="24"/>
                <w:szCs w:val="24"/>
                <w:u w:val="none" w:color="auto"/>
                <w:lang w:val="en-US" w:eastAsia="zh-CN" w:bidi="ar-SA"/>
              </w:rPr>
              <w:t>废水排放能满足相应标准限值</w:t>
            </w:r>
            <w:r>
              <w:rPr>
                <w:rFonts w:ascii="Times New Roman" w:hAnsi="Times New Roman" w:eastAsia="宋体" w:cs="Times New Roman"/>
                <w:color w:val="auto"/>
                <w:kern w:val="2"/>
                <w:sz w:val="24"/>
                <w:szCs w:val="24"/>
                <w:u w:val="none" w:color="auto"/>
                <w:lang w:val="en-US" w:eastAsia="zh-CN" w:bidi="ar-SA"/>
              </w:rPr>
              <w:t>，具体检测</w:t>
            </w:r>
            <w:r>
              <w:rPr>
                <w:rFonts w:hint="eastAsia" w:cs="Times New Roman"/>
                <w:color w:val="auto"/>
                <w:kern w:val="2"/>
                <w:sz w:val="24"/>
                <w:szCs w:val="24"/>
                <w:u w:val="none" w:color="auto"/>
                <w:lang w:val="en-US" w:eastAsia="zh-CN" w:bidi="ar-SA"/>
              </w:rPr>
              <w:t>结果详见附件10。</w:t>
            </w:r>
          </w:p>
          <w:p w14:paraId="689BCB6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2024年11月，企业委托湖南湘健环保科技有限公司进行了废水例行监测</w:t>
            </w:r>
            <w:r>
              <w:rPr>
                <w:rFonts w:hint="eastAsia" w:ascii="Times New Roman" w:hAnsi="Times New Roman" w:eastAsia="宋体" w:cs="Times New Roman"/>
                <w:color w:val="auto"/>
                <w:sz w:val="24"/>
                <w:szCs w:val="24"/>
                <w:u w:val="none" w:color="auto"/>
                <w:lang w:val="en-US" w:eastAsia="zh-CN"/>
              </w:rPr>
              <w:t>。</w:t>
            </w:r>
          </w:p>
          <w:p w14:paraId="63CDF442">
            <w:pPr>
              <w:bidi w:val="0"/>
              <w:ind w:left="0" w:leftChars="0" w:firstLine="0" w:firstLineChars="0"/>
              <w:jc w:val="center"/>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表2.</w:t>
            </w:r>
            <w:r>
              <w:rPr>
                <w:rFonts w:hint="eastAsia" w:cs="Times New Roman"/>
                <w:color w:val="auto"/>
                <w:sz w:val="24"/>
                <w:szCs w:val="24"/>
                <w:u w:val="none" w:color="auto"/>
                <w:lang w:val="en-US" w:eastAsia="zh-CN"/>
              </w:rPr>
              <w:t>7-5</w:t>
            </w:r>
            <w:r>
              <w:rPr>
                <w:rFonts w:hint="default" w:ascii="Times New Roman" w:hAnsi="Times New Roman" w:cs="Times New Roman"/>
                <w:color w:val="auto"/>
                <w:sz w:val="24"/>
                <w:szCs w:val="24"/>
                <w:u w:val="none" w:color="auto"/>
                <w:lang w:val="en-US" w:eastAsia="zh-CN"/>
              </w:rPr>
              <w:t xml:space="preserve"> </w:t>
            </w:r>
            <w:r>
              <w:rPr>
                <w:rFonts w:hint="eastAsia" w:ascii="Times New Roman" w:hAnsi="Times New Roman" w:cs="Times New Roman"/>
                <w:color w:val="auto"/>
                <w:sz w:val="24"/>
                <w:szCs w:val="24"/>
                <w:u w:val="none" w:color="auto"/>
                <w:lang w:val="en-US" w:eastAsia="zh-CN"/>
              </w:rPr>
              <w:t>现有工程废水</w:t>
            </w:r>
            <w:r>
              <w:rPr>
                <w:rFonts w:hint="default" w:ascii="Times New Roman" w:hAnsi="Times New Roman" w:cs="Times New Roman"/>
                <w:color w:val="auto"/>
                <w:sz w:val="24"/>
                <w:szCs w:val="24"/>
                <w:u w:val="none" w:color="auto"/>
                <w:lang w:val="en-US" w:eastAsia="zh-CN"/>
              </w:rPr>
              <w:t>监测结果</w:t>
            </w:r>
          </w:p>
          <w:tbl>
            <w:tblPr>
              <w:tblStyle w:val="23"/>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434"/>
              <w:gridCol w:w="1275"/>
              <w:gridCol w:w="1293"/>
              <w:gridCol w:w="1144"/>
              <w:gridCol w:w="1371"/>
              <w:gridCol w:w="987"/>
            </w:tblGrid>
            <w:tr w14:paraId="7654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restart"/>
                  <w:noWrap w:val="0"/>
                  <w:vAlign w:val="center"/>
                </w:tcPr>
                <w:p w14:paraId="154F2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污染源</w:t>
                  </w:r>
                </w:p>
              </w:tc>
              <w:tc>
                <w:tcPr>
                  <w:tcW w:w="1434" w:type="dxa"/>
                  <w:vMerge w:val="restart"/>
                  <w:noWrap w:val="0"/>
                  <w:vAlign w:val="center"/>
                </w:tcPr>
                <w:p w14:paraId="7BCAB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检测项目</w:t>
                  </w:r>
                </w:p>
              </w:tc>
              <w:tc>
                <w:tcPr>
                  <w:tcW w:w="5083" w:type="dxa"/>
                  <w:gridSpan w:val="4"/>
                  <w:noWrap w:val="0"/>
                  <w:vAlign w:val="center"/>
                </w:tcPr>
                <w:p w14:paraId="0C149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检测结果</w:t>
                  </w:r>
                  <w:r>
                    <w:rPr>
                      <w:rFonts w:hint="default" w:ascii="Times New Roman" w:hAnsi="Times New Roman" w:cs="Times New Roman"/>
                      <w:color w:val="auto"/>
                      <w:sz w:val="21"/>
                      <w:szCs w:val="21"/>
                      <w:u w:val="none" w:color="auto"/>
                      <w:lang w:eastAsia="zh-CN"/>
                    </w:rPr>
                    <w:t>（</w:t>
                  </w:r>
                  <w:r>
                    <w:rPr>
                      <w:rFonts w:hint="eastAsia" w:cs="Times New Roman"/>
                      <w:color w:val="auto"/>
                      <w:sz w:val="21"/>
                      <w:szCs w:val="21"/>
                      <w:u w:val="none" w:color="auto"/>
                      <w:lang w:val="en-US" w:eastAsia="zh-CN"/>
                    </w:rPr>
                    <w:t>浓度：</w:t>
                  </w:r>
                  <w:r>
                    <w:rPr>
                      <w:rFonts w:hint="default" w:ascii="Times New Roman" w:hAnsi="Times New Roman" w:cs="Times New Roman"/>
                      <w:color w:val="auto"/>
                      <w:sz w:val="21"/>
                      <w:szCs w:val="21"/>
                      <w:u w:val="none" w:color="auto"/>
                      <w:lang w:val="en-US" w:eastAsia="zh-CN"/>
                    </w:rPr>
                    <w:t>mg/m</w:t>
                  </w:r>
                  <w:r>
                    <w:rPr>
                      <w:rFonts w:hint="default" w:ascii="Times New Roman" w:hAnsi="Times New Roman" w:cs="Times New Roman"/>
                      <w:color w:val="auto"/>
                      <w:sz w:val="21"/>
                      <w:szCs w:val="21"/>
                      <w:u w:val="none" w:color="auto"/>
                      <w:vertAlign w:val="superscript"/>
                      <w:lang w:val="en-US" w:eastAsia="zh-CN"/>
                    </w:rPr>
                    <w:t>3</w:t>
                  </w:r>
                  <w:r>
                    <w:rPr>
                      <w:rFonts w:hint="default" w:ascii="Times New Roman" w:hAnsi="Times New Roman" w:cs="Times New Roman"/>
                      <w:color w:val="auto"/>
                      <w:sz w:val="21"/>
                      <w:szCs w:val="21"/>
                      <w:u w:val="none" w:color="auto"/>
                      <w:lang w:eastAsia="zh-CN"/>
                    </w:rPr>
                    <w:t>）</w:t>
                  </w:r>
                </w:p>
              </w:tc>
              <w:tc>
                <w:tcPr>
                  <w:tcW w:w="987" w:type="dxa"/>
                  <w:vMerge w:val="restart"/>
                  <w:noWrap w:val="0"/>
                  <w:vAlign w:val="center"/>
                </w:tcPr>
                <w:p w14:paraId="5D1B4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标准值</w:t>
                  </w:r>
                </w:p>
              </w:tc>
            </w:tr>
            <w:tr w14:paraId="5397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1B000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vMerge w:val="continue"/>
                  <w:noWrap w:val="0"/>
                  <w:vAlign w:val="center"/>
                </w:tcPr>
                <w:p w14:paraId="07C8D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5083" w:type="dxa"/>
                  <w:gridSpan w:val="4"/>
                  <w:noWrap w:val="0"/>
                  <w:vAlign w:val="center"/>
                </w:tcPr>
                <w:p w14:paraId="6E3CC4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2024年11</w:t>
                  </w:r>
                  <w:r>
                    <w:rPr>
                      <w:rFonts w:hint="default" w:ascii="Times New Roman" w:hAnsi="Times New Roman" w:cs="Times New Roman"/>
                      <w:color w:val="auto"/>
                      <w:sz w:val="21"/>
                      <w:szCs w:val="21"/>
                      <w:u w:val="none" w:color="auto"/>
                      <w:vertAlign w:val="baseline"/>
                      <w:lang w:val="en-US" w:eastAsia="zh-CN"/>
                    </w:rPr>
                    <w:t>月</w:t>
                  </w:r>
                </w:p>
              </w:tc>
              <w:tc>
                <w:tcPr>
                  <w:tcW w:w="987" w:type="dxa"/>
                  <w:vMerge w:val="continue"/>
                  <w:noWrap w:val="0"/>
                  <w:vAlign w:val="center"/>
                </w:tcPr>
                <w:p w14:paraId="239BEF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14:paraId="5121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83" w:type="dxa"/>
                  <w:vMerge w:val="continue"/>
                  <w:noWrap w:val="0"/>
                  <w:vAlign w:val="center"/>
                </w:tcPr>
                <w:p w14:paraId="50861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vMerge w:val="continue"/>
                  <w:noWrap w:val="0"/>
                  <w:vAlign w:val="center"/>
                </w:tcPr>
                <w:p w14:paraId="398B9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275" w:type="dxa"/>
                  <w:noWrap w:val="0"/>
                  <w:vAlign w:val="center"/>
                </w:tcPr>
                <w:p w14:paraId="528C0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第一次</w:t>
                  </w:r>
                </w:p>
              </w:tc>
              <w:tc>
                <w:tcPr>
                  <w:tcW w:w="1293" w:type="dxa"/>
                  <w:noWrap w:val="0"/>
                  <w:vAlign w:val="center"/>
                </w:tcPr>
                <w:p w14:paraId="45A23C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第二次</w:t>
                  </w:r>
                </w:p>
              </w:tc>
              <w:tc>
                <w:tcPr>
                  <w:tcW w:w="1144" w:type="dxa"/>
                  <w:noWrap w:val="0"/>
                  <w:vAlign w:val="center"/>
                </w:tcPr>
                <w:p w14:paraId="2C7B3B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第三次</w:t>
                  </w:r>
                </w:p>
              </w:tc>
              <w:tc>
                <w:tcPr>
                  <w:tcW w:w="1371" w:type="dxa"/>
                  <w:noWrap w:val="0"/>
                  <w:vAlign w:val="center"/>
                </w:tcPr>
                <w:p w14:paraId="70F91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平均值</w:t>
                  </w:r>
                </w:p>
              </w:tc>
              <w:tc>
                <w:tcPr>
                  <w:tcW w:w="987" w:type="dxa"/>
                  <w:vMerge w:val="continue"/>
                  <w:noWrap w:val="0"/>
                  <w:vAlign w:val="center"/>
                </w:tcPr>
                <w:p w14:paraId="44F2B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r>
            <w:tr w14:paraId="4B45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restart"/>
                  <w:noWrap w:val="0"/>
                  <w:vAlign w:val="center"/>
                </w:tcPr>
                <w:p w14:paraId="65093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废水总排口</w:t>
                  </w:r>
                </w:p>
              </w:tc>
              <w:tc>
                <w:tcPr>
                  <w:tcW w:w="1434" w:type="dxa"/>
                  <w:noWrap w:val="0"/>
                  <w:vAlign w:val="center"/>
                </w:tcPr>
                <w:p w14:paraId="500C5C4A">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cs="Times New Roman"/>
                      <w:sz w:val="21"/>
                      <w:szCs w:val="21"/>
                      <w:u w:val="none" w:color="auto"/>
                    </w:rPr>
                    <w:t>pH值</w:t>
                  </w:r>
                </w:p>
              </w:tc>
              <w:tc>
                <w:tcPr>
                  <w:tcW w:w="1275" w:type="dxa"/>
                  <w:noWrap w:val="0"/>
                  <w:vAlign w:val="center"/>
                </w:tcPr>
                <w:p w14:paraId="7789A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6.4</w:t>
                  </w:r>
                </w:p>
              </w:tc>
              <w:tc>
                <w:tcPr>
                  <w:tcW w:w="1293" w:type="dxa"/>
                  <w:noWrap w:val="0"/>
                  <w:vAlign w:val="center"/>
                </w:tcPr>
                <w:p w14:paraId="2CDE4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6.2</w:t>
                  </w:r>
                </w:p>
              </w:tc>
              <w:tc>
                <w:tcPr>
                  <w:tcW w:w="1144" w:type="dxa"/>
                  <w:noWrap w:val="0"/>
                  <w:vAlign w:val="center"/>
                </w:tcPr>
                <w:p w14:paraId="5F7D3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6.2</w:t>
                  </w:r>
                </w:p>
              </w:tc>
              <w:tc>
                <w:tcPr>
                  <w:tcW w:w="1371" w:type="dxa"/>
                  <w:noWrap w:val="0"/>
                  <w:vAlign w:val="center"/>
                </w:tcPr>
                <w:p w14:paraId="2C7A9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c>
                <w:tcPr>
                  <w:tcW w:w="987" w:type="dxa"/>
                  <w:shd w:val="clear" w:color="auto" w:fill="auto"/>
                  <w:noWrap w:val="0"/>
                  <w:vAlign w:val="center"/>
                </w:tcPr>
                <w:p w14:paraId="567E5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6.0~8.5</w:t>
                  </w:r>
                </w:p>
              </w:tc>
            </w:tr>
            <w:tr w14:paraId="3EF9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41B3F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noWrap w:val="0"/>
                  <w:vAlign w:val="center"/>
                </w:tcPr>
                <w:p w14:paraId="0059435B">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cs="Times New Roman"/>
                      <w:sz w:val="21"/>
                      <w:szCs w:val="21"/>
                      <w:u w:val="none" w:color="auto"/>
                    </w:rPr>
                    <w:t>COD</w:t>
                  </w:r>
                  <w:r>
                    <w:rPr>
                      <w:rFonts w:hint="eastAsia" w:ascii="Times New Roman" w:hAnsi="Times New Roman" w:cs="Times New Roman"/>
                      <w:sz w:val="21"/>
                      <w:szCs w:val="21"/>
                      <w:u w:val="none" w:color="auto"/>
                      <w:lang w:val="en-US" w:eastAsia="zh-CN"/>
                    </w:rPr>
                    <w:t>cr</w:t>
                  </w:r>
                </w:p>
              </w:tc>
              <w:tc>
                <w:tcPr>
                  <w:tcW w:w="1275" w:type="dxa"/>
                  <w:noWrap w:val="0"/>
                  <w:vAlign w:val="center"/>
                </w:tcPr>
                <w:p w14:paraId="638A6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18</w:t>
                  </w:r>
                </w:p>
              </w:tc>
              <w:tc>
                <w:tcPr>
                  <w:tcW w:w="1293" w:type="dxa"/>
                  <w:noWrap w:val="0"/>
                  <w:vAlign w:val="center"/>
                </w:tcPr>
                <w:p w14:paraId="41D98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19</w:t>
                  </w:r>
                </w:p>
              </w:tc>
              <w:tc>
                <w:tcPr>
                  <w:tcW w:w="1144" w:type="dxa"/>
                  <w:noWrap w:val="0"/>
                  <w:vAlign w:val="center"/>
                </w:tcPr>
                <w:p w14:paraId="7AEA1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18</w:t>
                  </w:r>
                </w:p>
              </w:tc>
              <w:tc>
                <w:tcPr>
                  <w:tcW w:w="1371" w:type="dxa"/>
                  <w:noWrap w:val="0"/>
                  <w:vAlign w:val="center"/>
                </w:tcPr>
                <w:p w14:paraId="2EF3BBD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18.33 </w:t>
                  </w:r>
                </w:p>
              </w:tc>
              <w:tc>
                <w:tcPr>
                  <w:tcW w:w="987" w:type="dxa"/>
                  <w:shd w:val="clear" w:color="auto" w:fill="auto"/>
                  <w:noWrap w:val="0"/>
                  <w:vAlign w:val="center"/>
                </w:tcPr>
                <w:p w14:paraId="76AFF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500</w:t>
                  </w:r>
                </w:p>
              </w:tc>
            </w:tr>
            <w:tr w14:paraId="076A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5262F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noWrap w:val="0"/>
                  <w:vAlign w:val="center"/>
                </w:tcPr>
                <w:p w14:paraId="359FCDDA">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cs="Times New Roman"/>
                      <w:sz w:val="21"/>
                      <w:szCs w:val="21"/>
                      <w:u w:val="none" w:color="auto"/>
                    </w:rPr>
                    <w:t>BOD</w:t>
                  </w:r>
                  <w:r>
                    <w:rPr>
                      <w:rFonts w:hint="default" w:ascii="Times New Roman" w:hAnsi="Times New Roman" w:cs="Times New Roman"/>
                      <w:sz w:val="21"/>
                      <w:szCs w:val="21"/>
                      <w:u w:val="none" w:color="auto"/>
                      <w:vertAlign w:val="subscript"/>
                    </w:rPr>
                    <w:t>5</w:t>
                  </w:r>
                </w:p>
              </w:tc>
              <w:tc>
                <w:tcPr>
                  <w:tcW w:w="1275" w:type="dxa"/>
                  <w:noWrap w:val="0"/>
                  <w:vAlign w:val="center"/>
                </w:tcPr>
                <w:p w14:paraId="2B0D0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5.2</w:t>
                  </w:r>
                </w:p>
              </w:tc>
              <w:tc>
                <w:tcPr>
                  <w:tcW w:w="1293" w:type="dxa"/>
                  <w:noWrap w:val="0"/>
                  <w:vAlign w:val="center"/>
                </w:tcPr>
                <w:p w14:paraId="0D7FD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5.5</w:t>
                  </w:r>
                </w:p>
              </w:tc>
              <w:tc>
                <w:tcPr>
                  <w:tcW w:w="1144" w:type="dxa"/>
                  <w:noWrap w:val="0"/>
                  <w:vAlign w:val="center"/>
                </w:tcPr>
                <w:p w14:paraId="4317AE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5.4</w:t>
                  </w:r>
                </w:p>
              </w:tc>
              <w:tc>
                <w:tcPr>
                  <w:tcW w:w="1371" w:type="dxa"/>
                  <w:noWrap w:val="0"/>
                  <w:vAlign w:val="center"/>
                </w:tcPr>
                <w:p w14:paraId="589FEA6C">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5.37 </w:t>
                  </w:r>
                </w:p>
              </w:tc>
              <w:tc>
                <w:tcPr>
                  <w:tcW w:w="987" w:type="dxa"/>
                  <w:shd w:val="clear" w:color="auto" w:fill="auto"/>
                  <w:noWrap w:val="0"/>
                  <w:vAlign w:val="center"/>
                </w:tcPr>
                <w:p w14:paraId="59E4D2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250</w:t>
                  </w:r>
                </w:p>
              </w:tc>
            </w:tr>
            <w:tr w14:paraId="5408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13B77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noWrap w:val="0"/>
                  <w:vAlign w:val="center"/>
                </w:tcPr>
                <w:p w14:paraId="4BE239B8">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cs="Times New Roman"/>
                      <w:sz w:val="21"/>
                      <w:szCs w:val="21"/>
                      <w:u w:val="none" w:color="auto"/>
                    </w:rPr>
                    <w:t>SS</w:t>
                  </w:r>
                </w:p>
              </w:tc>
              <w:tc>
                <w:tcPr>
                  <w:tcW w:w="1275" w:type="dxa"/>
                  <w:noWrap w:val="0"/>
                  <w:vAlign w:val="center"/>
                </w:tcPr>
                <w:p w14:paraId="02B56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45</w:t>
                  </w:r>
                </w:p>
              </w:tc>
              <w:tc>
                <w:tcPr>
                  <w:tcW w:w="1293" w:type="dxa"/>
                  <w:noWrap w:val="0"/>
                  <w:vAlign w:val="center"/>
                </w:tcPr>
                <w:p w14:paraId="6CD04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41</w:t>
                  </w:r>
                </w:p>
              </w:tc>
              <w:tc>
                <w:tcPr>
                  <w:tcW w:w="1144" w:type="dxa"/>
                  <w:noWrap w:val="0"/>
                  <w:vAlign w:val="center"/>
                </w:tcPr>
                <w:p w14:paraId="798E1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44</w:t>
                  </w:r>
                </w:p>
              </w:tc>
              <w:tc>
                <w:tcPr>
                  <w:tcW w:w="1371" w:type="dxa"/>
                  <w:noWrap w:val="0"/>
                  <w:vAlign w:val="center"/>
                </w:tcPr>
                <w:p w14:paraId="6E405605">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43.33 </w:t>
                  </w:r>
                </w:p>
              </w:tc>
              <w:tc>
                <w:tcPr>
                  <w:tcW w:w="987" w:type="dxa"/>
                  <w:shd w:val="clear" w:color="auto" w:fill="auto"/>
                  <w:noWrap w:val="0"/>
                  <w:vAlign w:val="center"/>
                </w:tcPr>
                <w:p w14:paraId="2FCE85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300</w:t>
                  </w:r>
                </w:p>
              </w:tc>
            </w:tr>
            <w:tr w14:paraId="040D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176595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noWrap w:val="0"/>
                  <w:vAlign w:val="center"/>
                </w:tcPr>
                <w:p w14:paraId="6DA04321">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kern w:val="0"/>
                      <w:sz w:val="21"/>
                      <w:szCs w:val="21"/>
                      <w:u w:val="none" w:color="auto"/>
                      <w:lang w:val="en-US" w:eastAsia="zh-CN" w:bidi="ar-SA"/>
                    </w:rPr>
                  </w:pPr>
                  <w:r>
                    <w:rPr>
                      <w:rFonts w:hint="eastAsia" w:ascii="Times New Roman" w:cs="Times New Roman"/>
                      <w:sz w:val="21"/>
                      <w:szCs w:val="21"/>
                      <w:u w:val="none" w:color="auto"/>
                      <w:lang w:val="en-US" w:eastAsia="zh-CN"/>
                    </w:rPr>
                    <w:t>NH</w:t>
                  </w:r>
                  <w:r>
                    <w:rPr>
                      <w:rFonts w:hint="eastAsia" w:ascii="Times New Roman" w:cs="Times New Roman"/>
                      <w:sz w:val="21"/>
                      <w:szCs w:val="21"/>
                      <w:u w:val="none" w:color="auto"/>
                      <w:vertAlign w:val="subscript"/>
                      <w:lang w:val="en-US" w:eastAsia="zh-CN"/>
                    </w:rPr>
                    <w:t>3</w:t>
                  </w:r>
                  <w:r>
                    <w:rPr>
                      <w:rFonts w:hint="eastAsia" w:ascii="Times New Roman" w:cs="Times New Roman"/>
                      <w:sz w:val="21"/>
                      <w:szCs w:val="21"/>
                      <w:u w:val="none" w:color="auto"/>
                      <w:lang w:val="en-US" w:eastAsia="zh-CN"/>
                    </w:rPr>
                    <w:t>-N</w:t>
                  </w:r>
                </w:p>
              </w:tc>
              <w:tc>
                <w:tcPr>
                  <w:tcW w:w="1275" w:type="dxa"/>
                  <w:noWrap w:val="0"/>
                  <w:vAlign w:val="center"/>
                </w:tcPr>
                <w:p w14:paraId="35244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10.8</w:t>
                  </w:r>
                </w:p>
              </w:tc>
              <w:tc>
                <w:tcPr>
                  <w:tcW w:w="1293" w:type="dxa"/>
                  <w:noWrap w:val="0"/>
                  <w:vAlign w:val="center"/>
                </w:tcPr>
                <w:p w14:paraId="04170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10.5</w:t>
                  </w:r>
                </w:p>
              </w:tc>
              <w:tc>
                <w:tcPr>
                  <w:tcW w:w="1144" w:type="dxa"/>
                  <w:noWrap w:val="0"/>
                  <w:vAlign w:val="center"/>
                </w:tcPr>
                <w:p w14:paraId="0C28D8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10.9</w:t>
                  </w:r>
                </w:p>
              </w:tc>
              <w:tc>
                <w:tcPr>
                  <w:tcW w:w="1371" w:type="dxa"/>
                  <w:noWrap w:val="0"/>
                  <w:vAlign w:val="center"/>
                </w:tcPr>
                <w:p w14:paraId="22019845">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10.73 </w:t>
                  </w:r>
                </w:p>
              </w:tc>
              <w:tc>
                <w:tcPr>
                  <w:tcW w:w="987" w:type="dxa"/>
                  <w:shd w:val="clear" w:color="auto" w:fill="auto"/>
                  <w:noWrap w:val="0"/>
                  <w:vAlign w:val="center"/>
                </w:tcPr>
                <w:p w14:paraId="10C0D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w:t>
                  </w:r>
                </w:p>
              </w:tc>
            </w:tr>
            <w:tr w14:paraId="27ED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7B184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noWrap w:val="0"/>
                  <w:vAlign w:val="center"/>
                </w:tcPr>
                <w:p w14:paraId="49504459">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sz w:val="21"/>
                      <w:szCs w:val="21"/>
                      <w:u w:val="none" w:color="auto"/>
                      <w:lang w:val="en-US" w:eastAsia="zh-CN"/>
                    </w:rPr>
                  </w:pPr>
                  <w:r>
                    <w:rPr>
                      <w:rFonts w:hint="eastAsia" w:ascii="Times New Roman" w:cs="Times New Roman"/>
                      <w:sz w:val="21"/>
                      <w:szCs w:val="21"/>
                      <w:u w:val="none" w:color="auto"/>
                      <w:lang w:val="en-US" w:eastAsia="zh-CN"/>
                    </w:rPr>
                    <w:t>TP</w:t>
                  </w:r>
                </w:p>
              </w:tc>
              <w:tc>
                <w:tcPr>
                  <w:tcW w:w="1275" w:type="dxa"/>
                  <w:noWrap w:val="0"/>
                  <w:vAlign w:val="center"/>
                </w:tcPr>
                <w:p w14:paraId="478737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8.82</w:t>
                  </w:r>
                </w:p>
              </w:tc>
              <w:tc>
                <w:tcPr>
                  <w:tcW w:w="1293" w:type="dxa"/>
                  <w:noWrap w:val="0"/>
                  <w:vAlign w:val="center"/>
                </w:tcPr>
                <w:p w14:paraId="1645D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9.89</w:t>
                  </w:r>
                </w:p>
              </w:tc>
              <w:tc>
                <w:tcPr>
                  <w:tcW w:w="1144" w:type="dxa"/>
                  <w:noWrap w:val="0"/>
                  <w:vAlign w:val="center"/>
                </w:tcPr>
                <w:p w14:paraId="72FEE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9.19</w:t>
                  </w:r>
                </w:p>
              </w:tc>
              <w:tc>
                <w:tcPr>
                  <w:tcW w:w="1371" w:type="dxa"/>
                  <w:noWrap w:val="0"/>
                  <w:vAlign w:val="center"/>
                </w:tcPr>
                <w:p w14:paraId="01B53B8E">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9.30 </w:t>
                  </w:r>
                </w:p>
              </w:tc>
              <w:tc>
                <w:tcPr>
                  <w:tcW w:w="987" w:type="dxa"/>
                  <w:noWrap w:val="0"/>
                  <w:vAlign w:val="center"/>
                </w:tcPr>
                <w:p w14:paraId="7315E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r>
            <w:tr w14:paraId="3A8B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51F45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434" w:type="dxa"/>
                  <w:noWrap w:val="0"/>
                  <w:vAlign w:val="center"/>
                </w:tcPr>
                <w:p w14:paraId="78FA2514">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kern w:val="0"/>
                      <w:sz w:val="21"/>
                      <w:szCs w:val="21"/>
                      <w:u w:val="none" w:color="auto"/>
                      <w:lang w:val="en-US" w:eastAsia="zh-CN" w:bidi="ar-SA"/>
                    </w:rPr>
                  </w:pPr>
                  <w:r>
                    <w:rPr>
                      <w:rFonts w:hint="default" w:ascii="Times New Roman" w:hAnsi="Times New Roman" w:cs="Times New Roman"/>
                      <w:sz w:val="21"/>
                      <w:szCs w:val="21"/>
                      <w:u w:val="none" w:color="auto"/>
                    </w:rPr>
                    <w:t>动植物油</w:t>
                  </w:r>
                </w:p>
              </w:tc>
              <w:tc>
                <w:tcPr>
                  <w:tcW w:w="1275" w:type="dxa"/>
                  <w:noWrap w:val="0"/>
                  <w:vAlign w:val="center"/>
                </w:tcPr>
                <w:p w14:paraId="1381F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0.9</w:t>
                  </w:r>
                </w:p>
              </w:tc>
              <w:tc>
                <w:tcPr>
                  <w:tcW w:w="1293" w:type="dxa"/>
                  <w:noWrap w:val="0"/>
                  <w:vAlign w:val="center"/>
                </w:tcPr>
                <w:p w14:paraId="49E22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0.9</w:t>
                  </w:r>
                </w:p>
              </w:tc>
              <w:tc>
                <w:tcPr>
                  <w:tcW w:w="1144" w:type="dxa"/>
                  <w:noWrap w:val="0"/>
                  <w:vAlign w:val="center"/>
                </w:tcPr>
                <w:p w14:paraId="2FC58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0.91</w:t>
                  </w:r>
                </w:p>
              </w:tc>
              <w:tc>
                <w:tcPr>
                  <w:tcW w:w="1371" w:type="dxa"/>
                  <w:noWrap w:val="0"/>
                  <w:vAlign w:val="center"/>
                </w:tcPr>
                <w:p w14:paraId="69BFA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0.90</w:t>
                  </w:r>
                </w:p>
              </w:tc>
              <w:tc>
                <w:tcPr>
                  <w:tcW w:w="987" w:type="dxa"/>
                  <w:noWrap w:val="0"/>
                  <w:vAlign w:val="center"/>
                </w:tcPr>
                <w:p w14:paraId="57D4F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50</w:t>
                  </w:r>
                </w:p>
              </w:tc>
            </w:tr>
            <w:tr w14:paraId="06C5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vMerge w:val="continue"/>
                  <w:noWrap w:val="0"/>
                  <w:vAlign w:val="center"/>
                </w:tcPr>
                <w:p w14:paraId="516FA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FF0000"/>
                      <w:sz w:val="21"/>
                      <w:szCs w:val="21"/>
                      <w:u w:val="none" w:color="auto"/>
                      <w:vertAlign w:val="baseline"/>
                      <w:lang w:val="en-US" w:eastAsia="zh-CN"/>
                    </w:rPr>
                  </w:pPr>
                </w:p>
              </w:tc>
              <w:tc>
                <w:tcPr>
                  <w:tcW w:w="1434" w:type="dxa"/>
                  <w:noWrap w:val="0"/>
                  <w:vAlign w:val="center"/>
                </w:tcPr>
                <w:p w14:paraId="63AADA51">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粪大肠菌群</w:t>
                  </w:r>
                </w:p>
              </w:tc>
              <w:tc>
                <w:tcPr>
                  <w:tcW w:w="1275" w:type="dxa"/>
                  <w:noWrap w:val="0"/>
                  <w:vAlign w:val="center"/>
                </w:tcPr>
                <w:p w14:paraId="034D1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＞1600</w:t>
                  </w:r>
                </w:p>
              </w:tc>
              <w:tc>
                <w:tcPr>
                  <w:tcW w:w="1293" w:type="dxa"/>
                  <w:noWrap w:val="0"/>
                  <w:vAlign w:val="center"/>
                </w:tcPr>
                <w:p w14:paraId="3AEC14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＞1600</w:t>
                  </w:r>
                </w:p>
              </w:tc>
              <w:tc>
                <w:tcPr>
                  <w:tcW w:w="1144" w:type="dxa"/>
                  <w:noWrap w:val="0"/>
                  <w:vAlign w:val="center"/>
                </w:tcPr>
                <w:p w14:paraId="43D7F3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＞1600</w:t>
                  </w:r>
                </w:p>
              </w:tc>
              <w:tc>
                <w:tcPr>
                  <w:tcW w:w="1371" w:type="dxa"/>
                  <w:noWrap w:val="0"/>
                  <w:vAlign w:val="center"/>
                </w:tcPr>
                <w:p w14:paraId="15137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c>
                <w:tcPr>
                  <w:tcW w:w="987" w:type="dxa"/>
                  <w:noWrap w:val="0"/>
                  <w:vAlign w:val="center"/>
                </w:tcPr>
                <w:p w14:paraId="395F5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w:t>
                  </w:r>
                </w:p>
              </w:tc>
            </w:tr>
            <w:tr w14:paraId="0232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dxa"/>
                  <w:gridSpan w:val="2"/>
                  <w:noWrap w:val="0"/>
                  <w:vAlign w:val="center"/>
                </w:tcPr>
                <w:p w14:paraId="4B6625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备注</w:t>
                  </w:r>
                </w:p>
              </w:tc>
              <w:tc>
                <w:tcPr>
                  <w:tcW w:w="6070" w:type="dxa"/>
                  <w:gridSpan w:val="5"/>
                  <w:noWrap w:val="0"/>
                  <w:vAlign w:val="center"/>
                </w:tcPr>
                <w:p w14:paraId="308A2791">
                  <w:pPr>
                    <w:pStyle w:val="34"/>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left"/>
                    <w:textAlignment w:val="auto"/>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sz w:val="21"/>
                      <w:szCs w:val="21"/>
                      <w:u w:val="none" w:color="auto"/>
                      <w:lang w:val="en-US" w:eastAsia="zh-CN"/>
                    </w:rPr>
                    <w:t>执行</w:t>
                  </w:r>
                  <w:r>
                    <w:rPr>
                      <w:rFonts w:hint="eastAsia" w:ascii="Times New Roman" w:hAnsi="Times New Roman" w:eastAsia="宋体" w:cs="Times New Roman"/>
                      <w:color w:val="000000"/>
                      <w:sz w:val="21"/>
                      <w:szCs w:val="21"/>
                      <w:u w:val="none" w:color="auto"/>
                    </w:rPr>
                    <w:t>《肉类加工工业水污染物排放标准》</w:t>
                  </w:r>
                  <w:r>
                    <w:rPr>
                      <w:rFonts w:hint="eastAsia" w:ascii="Times New Roman" w:hAnsi="Times New Roman" w:eastAsia="宋体" w:cs="Times New Roman"/>
                      <w:color w:val="000000"/>
                      <w:sz w:val="21"/>
                      <w:szCs w:val="21"/>
                      <w:u w:val="none" w:color="auto"/>
                      <w:lang w:eastAsia="zh-CN"/>
                    </w:rPr>
                    <w:t>（GB</w:t>
                  </w:r>
                  <w:r>
                    <w:rPr>
                      <w:rFonts w:hint="eastAsia" w:ascii="Times New Roman" w:hAnsi="Times New Roman" w:eastAsia="宋体" w:cs="Times New Roman"/>
                      <w:color w:val="000000"/>
                      <w:sz w:val="21"/>
                      <w:szCs w:val="21"/>
                      <w:u w:val="none" w:color="auto"/>
                      <w:lang w:val="en-US" w:eastAsia="zh-CN"/>
                    </w:rPr>
                    <w:t xml:space="preserve"> </w:t>
                  </w:r>
                  <w:r>
                    <w:rPr>
                      <w:rFonts w:hint="eastAsia" w:ascii="Times New Roman" w:hAnsi="Times New Roman" w:eastAsia="宋体" w:cs="Times New Roman"/>
                      <w:color w:val="000000"/>
                      <w:sz w:val="21"/>
                      <w:szCs w:val="21"/>
                      <w:u w:val="none" w:color="auto"/>
                      <w:lang w:eastAsia="zh-CN"/>
                    </w:rPr>
                    <w:t>13457-92）</w:t>
                  </w:r>
                  <w:r>
                    <w:rPr>
                      <w:rFonts w:hint="eastAsia" w:ascii="Times New Roman" w:hAnsi="Times New Roman" w:eastAsia="宋体" w:cs="Times New Roman"/>
                      <w:color w:val="000000"/>
                      <w:sz w:val="21"/>
                      <w:szCs w:val="21"/>
                      <w:u w:val="none" w:color="auto"/>
                    </w:rPr>
                    <w:t>表3</w:t>
                  </w:r>
                  <w:r>
                    <w:rPr>
                      <w:rFonts w:hint="eastAsia" w:ascii="Times New Roman" w:hAnsi="Times New Roman" w:eastAsia="宋体" w:cs="Times New Roman"/>
                      <w:color w:val="000000"/>
                      <w:sz w:val="21"/>
                      <w:szCs w:val="21"/>
                      <w:u w:val="none" w:color="auto"/>
                      <w:lang w:val="en-US" w:eastAsia="zh-CN"/>
                    </w:rPr>
                    <w:t>禽</w:t>
                  </w:r>
                  <w:r>
                    <w:rPr>
                      <w:rFonts w:hint="eastAsia" w:ascii="Times New Roman" w:hAnsi="Times New Roman" w:eastAsia="宋体" w:cs="Times New Roman"/>
                      <w:color w:val="000000"/>
                      <w:sz w:val="21"/>
                      <w:szCs w:val="21"/>
                      <w:u w:val="none" w:color="auto"/>
                    </w:rPr>
                    <w:t>类屠宰加工的三级标准</w:t>
                  </w:r>
                  <w:r>
                    <w:rPr>
                      <w:rFonts w:hint="eastAsia" w:ascii="Times New Roman" w:hAnsi="Times New Roman" w:eastAsia="宋体" w:cs="Times New Roman"/>
                      <w:sz w:val="21"/>
                      <w:szCs w:val="21"/>
                      <w:u w:val="none" w:color="auto"/>
                      <w:lang w:val="en-US" w:eastAsia="zh-CN"/>
                    </w:rPr>
                    <w:t>。</w:t>
                  </w:r>
                </w:p>
              </w:tc>
            </w:tr>
          </w:tbl>
          <w:p w14:paraId="0DE044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olor w:val="auto"/>
                <w:sz w:val="24"/>
                <w:szCs w:val="24"/>
                <w:u w:val="none" w:color="auto"/>
                <w:lang w:val="en-US" w:eastAsia="zh-CN"/>
              </w:rPr>
              <w:t>由监测数据可知，本项目外排废水中COD</w:t>
            </w:r>
            <w:r>
              <w:rPr>
                <w:rFonts w:hint="eastAsia"/>
                <w:color w:val="auto"/>
                <w:sz w:val="24"/>
                <w:szCs w:val="24"/>
                <w:u w:val="none" w:color="auto"/>
                <w:vertAlign w:val="subscript"/>
                <w:lang w:val="en-US" w:eastAsia="zh-CN"/>
              </w:rPr>
              <w:t>Cr</w:t>
            </w:r>
            <w:r>
              <w:rPr>
                <w:rFonts w:hint="eastAsia"/>
                <w:color w:val="auto"/>
                <w:sz w:val="24"/>
                <w:szCs w:val="24"/>
                <w:u w:val="none" w:color="auto"/>
                <w:lang w:val="en-US" w:eastAsia="zh-CN"/>
              </w:rPr>
              <w:t>浓度最大为19 mg/L，BOD</w:t>
            </w:r>
            <w:r>
              <w:rPr>
                <w:rFonts w:hint="eastAsia"/>
                <w:color w:val="auto"/>
                <w:sz w:val="24"/>
                <w:szCs w:val="24"/>
                <w:u w:val="none" w:color="auto"/>
                <w:vertAlign w:val="subscript"/>
                <w:lang w:val="en-US" w:eastAsia="zh-CN"/>
              </w:rPr>
              <w:t>5</w:t>
            </w:r>
            <w:r>
              <w:rPr>
                <w:rFonts w:hint="eastAsia"/>
                <w:color w:val="auto"/>
                <w:sz w:val="24"/>
                <w:szCs w:val="24"/>
                <w:u w:val="none" w:color="auto"/>
                <w:lang w:val="en-US" w:eastAsia="zh-CN"/>
              </w:rPr>
              <w:t>浓度最大为5.5 mg/L，SS浓度最大为45 mg/L，动植物油浓度最大为0.91 mg/L，总磷浓度最大为9.89 mg/L，氨氮浓度最大</w:t>
            </w:r>
            <w:r>
              <w:rPr>
                <w:rFonts w:hint="eastAsia" w:ascii="Times New Roman" w:hAnsi="Times New Roman" w:eastAsia="宋体" w:cs="Times New Roman"/>
                <w:color w:val="auto"/>
                <w:sz w:val="24"/>
                <w:szCs w:val="24"/>
                <w:u w:val="none" w:color="auto"/>
                <w:lang w:val="en-US" w:eastAsia="zh-CN"/>
              </w:rPr>
              <w:t>为</w:t>
            </w:r>
            <w:r>
              <w:rPr>
                <w:rFonts w:hint="eastAsia" w:cs="Times New Roman"/>
                <w:color w:val="auto"/>
                <w:sz w:val="24"/>
                <w:szCs w:val="24"/>
                <w:u w:val="none" w:color="auto"/>
                <w:lang w:val="en-US" w:eastAsia="zh-CN"/>
              </w:rPr>
              <w:t>10.9</w:t>
            </w:r>
            <w:r>
              <w:rPr>
                <w:rFonts w:hint="eastAsia" w:ascii="Times New Roman" w:hAnsi="Times New Roman" w:eastAsia="宋体" w:cs="Times New Roman"/>
                <w:color w:val="auto"/>
                <w:sz w:val="24"/>
                <w:szCs w:val="24"/>
                <w:u w:val="none" w:color="auto"/>
                <w:lang w:val="en-US" w:eastAsia="zh-CN"/>
              </w:rPr>
              <w:t xml:space="preserve"> mg/L</w:t>
            </w:r>
            <w:r>
              <w:rPr>
                <w:rFonts w:hint="eastAsia"/>
                <w:color w:val="auto"/>
                <w:sz w:val="24"/>
                <w:szCs w:val="24"/>
                <w:u w:val="none" w:color="auto"/>
                <w:lang w:val="en-US" w:eastAsia="zh-CN"/>
              </w:rPr>
              <w:t>，pH范围为6.2-6.4，均满足</w:t>
            </w:r>
            <w:r>
              <w:rPr>
                <w:rFonts w:hint="eastAsia" w:cs="Times New Roman"/>
                <w:color w:val="auto"/>
                <w:sz w:val="24"/>
                <w:szCs w:val="24"/>
                <w:u w:val="none" w:color="auto"/>
              </w:rPr>
              <w:t>《肉类加工工业水污染物排放标准》</w:t>
            </w:r>
            <w:r>
              <w:rPr>
                <w:rFonts w:hint="eastAsia" w:cs="Times New Roman"/>
                <w:color w:val="auto"/>
                <w:sz w:val="24"/>
                <w:szCs w:val="24"/>
                <w:u w:val="none" w:color="auto"/>
                <w:lang w:eastAsia="zh-CN"/>
              </w:rPr>
              <w:t>（GB</w:t>
            </w:r>
            <w:r>
              <w:rPr>
                <w:rFonts w:hint="eastAsia" w:cs="Times New Roman"/>
                <w:color w:val="auto"/>
                <w:sz w:val="24"/>
                <w:szCs w:val="24"/>
                <w:u w:val="none" w:color="auto"/>
                <w:lang w:val="en-US" w:eastAsia="zh-CN"/>
              </w:rPr>
              <w:t xml:space="preserve"> </w:t>
            </w:r>
            <w:r>
              <w:rPr>
                <w:rFonts w:hint="eastAsia" w:cs="Times New Roman"/>
                <w:color w:val="auto"/>
                <w:sz w:val="24"/>
                <w:szCs w:val="24"/>
                <w:u w:val="none" w:color="auto"/>
                <w:lang w:eastAsia="zh-CN"/>
              </w:rPr>
              <w:t>13457-92）</w:t>
            </w:r>
            <w:r>
              <w:rPr>
                <w:rFonts w:hint="eastAsia" w:cs="Times New Roman"/>
                <w:color w:val="auto"/>
                <w:sz w:val="24"/>
                <w:szCs w:val="24"/>
                <w:u w:val="none" w:color="auto"/>
              </w:rPr>
              <w:t>表3</w:t>
            </w:r>
            <w:r>
              <w:rPr>
                <w:rFonts w:hint="eastAsia" w:cs="Times New Roman"/>
                <w:color w:val="auto"/>
                <w:sz w:val="24"/>
                <w:szCs w:val="24"/>
                <w:u w:val="none" w:color="auto"/>
                <w:lang w:val="en-US" w:eastAsia="zh-CN"/>
              </w:rPr>
              <w:t>禽</w:t>
            </w:r>
            <w:r>
              <w:rPr>
                <w:rFonts w:hint="eastAsia" w:cs="Times New Roman"/>
                <w:color w:val="auto"/>
                <w:sz w:val="24"/>
                <w:szCs w:val="24"/>
                <w:u w:val="none" w:color="auto"/>
              </w:rPr>
              <w:t>类屠宰加工的三级标准</w:t>
            </w:r>
            <w:r>
              <w:rPr>
                <w:rFonts w:hint="default" w:ascii="Times New Roman" w:hAnsi="Times New Roman" w:eastAsia="宋体" w:cs="Times New Roman"/>
                <w:color w:val="auto"/>
                <w:sz w:val="24"/>
                <w:szCs w:val="24"/>
                <w:u w:val="none" w:color="auto"/>
                <w:lang w:val="en-US" w:eastAsia="zh-CN"/>
              </w:rPr>
              <w:t>。</w:t>
            </w:r>
          </w:p>
          <w:p w14:paraId="562E7A80">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（3）噪声</w:t>
            </w:r>
          </w:p>
          <w:p w14:paraId="68BBEF98">
            <w:pPr>
              <w:tabs>
                <w:tab w:val="left" w:pos="620"/>
              </w:tabs>
              <w:bidi w:val="0"/>
              <w:ind w:firstLine="480"/>
              <w:rPr>
                <w:rFonts w:hint="eastAsia" w:cs="Times New Roman"/>
                <w:color w:val="auto"/>
                <w:kern w:val="2"/>
                <w:sz w:val="24"/>
                <w:szCs w:val="24"/>
                <w:u w:val="none" w:color="auto"/>
                <w:lang w:val="en-US" w:eastAsia="zh-CN" w:bidi="ar-SA"/>
              </w:rPr>
            </w:pPr>
            <w:r>
              <w:rPr>
                <w:rFonts w:hint="default" w:ascii="Times New Roman" w:hAnsi="Times New Roman" w:cs="Times New Roman"/>
                <w:color w:val="auto"/>
                <w:u w:val="none" w:color="auto"/>
                <w:lang w:val="en-US" w:eastAsia="zh-CN"/>
              </w:rPr>
              <w:t>本环评引用</w:t>
            </w:r>
            <w:r>
              <w:rPr>
                <w:rFonts w:ascii="Times New Roman" w:hAnsi="Times New Roman" w:eastAsia="宋体" w:cs="Times New Roman"/>
                <w:color w:val="auto"/>
                <w:kern w:val="2"/>
                <w:sz w:val="24"/>
                <w:szCs w:val="24"/>
                <w:u w:val="none" w:color="auto"/>
                <w:lang w:val="en-US" w:eastAsia="zh-CN" w:bidi="ar-SA"/>
              </w:rPr>
              <w:t>企业</w:t>
            </w:r>
            <w:r>
              <w:rPr>
                <w:rFonts w:hint="eastAsia" w:cs="Times New Roman"/>
                <w:color w:val="auto"/>
                <w:kern w:val="2"/>
                <w:sz w:val="24"/>
                <w:szCs w:val="24"/>
                <w:u w:val="none" w:color="auto"/>
                <w:lang w:val="en-US" w:eastAsia="zh-CN" w:bidi="ar-SA"/>
              </w:rPr>
              <w:t>委托湖南湘健环保科技有限公司与2024年11月20日出具的企业例行监测数据，</w:t>
            </w:r>
            <w:r>
              <w:rPr>
                <w:rFonts w:ascii="Times New Roman" w:hAnsi="Times New Roman" w:eastAsia="宋体" w:cs="Times New Roman"/>
                <w:color w:val="auto"/>
                <w:kern w:val="2"/>
                <w:sz w:val="24"/>
                <w:szCs w:val="24"/>
                <w:u w:val="none" w:color="auto"/>
                <w:lang w:val="en-US" w:eastAsia="zh-CN" w:bidi="ar-SA"/>
              </w:rPr>
              <w:t>根据监测结果可知，项目</w:t>
            </w:r>
            <w:r>
              <w:rPr>
                <w:rFonts w:hint="eastAsia" w:cs="Times New Roman"/>
                <w:color w:val="auto"/>
                <w:kern w:val="2"/>
                <w:sz w:val="24"/>
                <w:szCs w:val="24"/>
                <w:u w:val="none" w:color="auto"/>
                <w:lang w:val="en-US" w:eastAsia="zh-CN" w:bidi="ar-SA"/>
              </w:rPr>
              <w:t>噪声能满足相应标准限值</w:t>
            </w:r>
            <w:r>
              <w:rPr>
                <w:rFonts w:ascii="Times New Roman" w:hAnsi="Times New Roman" w:eastAsia="宋体" w:cs="Times New Roman"/>
                <w:color w:val="auto"/>
                <w:kern w:val="2"/>
                <w:sz w:val="24"/>
                <w:szCs w:val="24"/>
                <w:u w:val="none" w:color="auto"/>
                <w:lang w:val="en-US" w:eastAsia="zh-CN" w:bidi="ar-SA"/>
              </w:rPr>
              <w:t>，具体检测</w:t>
            </w:r>
            <w:r>
              <w:rPr>
                <w:rFonts w:hint="eastAsia" w:cs="Times New Roman"/>
                <w:color w:val="auto"/>
                <w:kern w:val="2"/>
                <w:sz w:val="24"/>
                <w:szCs w:val="24"/>
                <w:u w:val="none" w:color="auto"/>
                <w:lang w:val="en-US" w:eastAsia="zh-CN" w:bidi="ar-SA"/>
              </w:rPr>
              <w:t>结果详见附件10。</w:t>
            </w:r>
          </w:p>
          <w:p w14:paraId="3D0153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cs="Times New Roman"/>
                <w:color w:val="auto"/>
                <w:sz w:val="24"/>
                <w:szCs w:val="24"/>
                <w:u w:val="none" w:color="auto"/>
                <w:lang w:val="en-US" w:eastAsia="zh-CN"/>
              </w:rPr>
              <w:t>2024年11月，企业委托湖南湘健环保科技有限公司进行了噪声例行监测</w:t>
            </w:r>
            <w:r>
              <w:rPr>
                <w:rFonts w:hint="eastAsia" w:ascii="Times New Roman" w:hAnsi="Times New Roman" w:eastAsia="宋体" w:cs="Times New Roman"/>
                <w:color w:val="auto"/>
                <w:sz w:val="24"/>
                <w:szCs w:val="24"/>
                <w:u w:val="none" w:color="auto"/>
                <w:lang w:val="en-US" w:eastAsia="zh-CN"/>
              </w:rPr>
              <w:t>。</w:t>
            </w:r>
          </w:p>
          <w:p w14:paraId="4D7C0EE3">
            <w:pPr>
              <w:bidi w:val="0"/>
              <w:ind w:left="0" w:leftChars="0" w:firstLine="0" w:firstLineChars="0"/>
              <w:jc w:val="center"/>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lang w:val="en-US" w:eastAsia="zh-CN"/>
              </w:rPr>
              <w:t>表2</w:t>
            </w:r>
            <w:r>
              <w:rPr>
                <w:rFonts w:hint="eastAsia" w:ascii="Times New Roman" w:hAnsi="Times New Roman" w:cs="Times New Roman"/>
                <w:color w:val="auto"/>
                <w:sz w:val="24"/>
                <w:szCs w:val="24"/>
                <w:u w:val="none" w:color="auto"/>
                <w:lang w:val="en-US" w:eastAsia="zh-CN"/>
              </w:rPr>
              <w:t>.7-6</w:t>
            </w:r>
            <w:r>
              <w:rPr>
                <w:rFonts w:hint="default" w:ascii="Times New Roman" w:hAnsi="Times New Roman" w:cs="Times New Roman"/>
                <w:color w:val="auto"/>
                <w:sz w:val="24"/>
                <w:szCs w:val="24"/>
                <w:u w:val="none" w:color="auto"/>
                <w:lang w:val="en-US" w:eastAsia="zh-CN"/>
              </w:rPr>
              <w:t xml:space="preserve"> </w:t>
            </w:r>
            <w:r>
              <w:rPr>
                <w:rFonts w:hint="eastAsia" w:ascii="Times New Roman" w:hAnsi="Times New Roman" w:cs="Times New Roman"/>
                <w:color w:val="auto"/>
                <w:sz w:val="24"/>
                <w:szCs w:val="24"/>
                <w:u w:val="none" w:color="auto"/>
                <w:lang w:val="en-US" w:eastAsia="zh-CN"/>
              </w:rPr>
              <w:t>现有工程</w:t>
            </w:r>
            <w:r>
              <w:rPr>
                <w:rFonts w:hint="default" w:ascii="Times New Roman" w:hAnsi="Times New Roman" w:cs="Times New Roman"/>
                <w:color w:val="auto"/>
                <w:sz w:val="24"/>
                <w:szCs w:val="24"/>
                <w:u w:val="none" w:color="auto"/>
                <w:lang w:val="en-US" w:eastAsia="zh-CN"/>
              </w:rPr>
              <w:t>厂界噪声监测结果</w:t>
            </w:r>
          </w:p>
          <w:tbl>
            <w:tblPr>
              <w:tblStyle w:val="23"/>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171"/>
              <w:gridCol w:w="2909"/>
              <w:gridCol w:w="1095"/>
              <w:gridCol w:w="1065"/>
            </w:tblGrid>
            <w:tr w14:paraId="6F9F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Merge w:val="restart"/>
                  <w:noWrap w:val="0"/>
                  <w:vAlign w:val="center"/>
                </w:tcPr>
                <w:p w14:paraId="2A34F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检测点位</w:t>
                  </w:r>
                </w:p>
              </w:tc>
              <w:tc>
                <w:tcPr>
                  <w:tcW w:w="1171" w:type="dxa"/>
                  <w:vMerge w:val="restart"/>
                  <w:noWrap w:val="0"/>
                  <w:vAlign w:val="center"/>
                </w:tcPr>
                <w:p w14:paraId="09806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监测因子</w:t>
                  </w:r>
                </w:p>
              </w:tc>
              <w:tc>
                <w:tcPr>
                  <w:tcW w:w="2909" w:type="dxa"/>
                  <w:noWrap w:val="0"/>
                  <w:vAlign w:val="center"/>
                </w:tcPr>
                <w:p w14:paraId="5719A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检测结果（单位：dB（A））</w:t>
                  </w:r>
                </w:p>
              </w:tc>
              <w:tc>
                <w:tcPr>
                  <w:tcW w:w="1095" w:type="dxa"/>
                  <w:vMerge w:val="restart"/>
                  <w:noWrap w:val="0"/>
                  <w:vAlign w:val="center"/>
                </w:tcPr>
                <w:p w14:paraId="0305BE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标准限值</w:t>
                  </w:r>
                </w:p>
              </w:tc>
              <w:tc>
                <w:tcPr>
                  <w:tcW w:w="1065" w:type="dxa"/>
                  <w:vMerge w:val="restart"/>
                  <w:noWrap w:val="0"/>
                  <w:vAlign w:val="center"/>
                </w:tcPr>
                <w:p w14:paraId="269355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是否达标</w:t>
                  </w:r>
                </w:p>
              </w:tc>
            </w:tr>
            <w:tr w14:paraId="5D51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Merge w:val="continue"/>
                  <w:noWrap w:val="0"/>
                  <w:vAlign w:val="center"/>
                </w:tcPr>
                <w:p w14:paraId="2DFD51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71" w:type="dxa"/>
                  <w:vMerge w:val="continue"/>
                  <w:noWrap w:val="0"/>
                  <w:vAlign w:val="center"/>
                </w:tcPr>
                <w:p w14:paraId="2A1FD5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909" w:type="dxa"/>
                  <w:noWrap w:val="0"/>
                  <w:vAlign w:val="center"/>
                </w:tcPr>
                <w:p w14:paraId="6F49F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202</w:t>
                  </w:r>
                  <w:r>
                    <w:rPr>
                      <w:rFonts w:hint="eastAsia" w:cs="Times New Roman"/>
                      <w:color w:val="auto"/>
                      <w:sz w:val="21"/>
                      <w:szCs w:val="21"/>
                      <w:u w:val="none" w:color="auto"/>
                      <w:vertAlign w:val="baseline"/>
                      <w:lang w:val="en-US" w:eastAsia="zh-CN"/>
                    </w:rPr>
                    <w:t>5.11.10</w:t>
                  </w:r>
                </w:p>
              </w:tc>
              <w:tc>
                <w:tcPr>
                  <w:tcW w:w="1095" w:type="dxa"/>
                  <w:vMerge w:val="continue"/>
                  <w:noWrap w:val="0"/>
                  <w:vAlign w:val="center"/>
                </w:tcPr>
                <w:p w14:paraId="542234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065" w:type="dxa"/>
                  <w:vMerge w:val="continue"/>
                  <w:noWrap w:val="0"/>
                  <w:vAlign w:val="center"/>
                </w:tcPr>
                <w:p w14:paraId="0FCB3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r>
            <w:tr w14:paraId="1BEB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212" w:type="dxa"/>
                  <w:vMerge w:val="restart"/>
                  <w:noWrap w:val="0"/>
                  <w:vAlign w:val="center"/>
                </w:tcPr>
                <w:p w14:paraId="65343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厂界东侧N1</w:t>
                  </w:r>
                </w:p>
              </w:tc>
              <w:tc>
                <w:tcPr>
                  <w:tcW w:w="1171" w:type="dxa"/>
                  <w:noWrap w:val="0"/>
                  <w:vAlign w:val="center"/>
                </w:tcPr>
                <w:p w14:paraId="36413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昼间</w:t>
                  </w:r>
                </w:p>
              </w:tc>
              <w:tc>
                <w:tcPr>
                  <w:tcW w:w="2909" w:type="dxa"/>
                  <w:noWrap w:val="0"/>
                  <w:vAlign w:val="center"/>
                </w:tcPr>
                <w:p w14:paraId="650DD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55.1</w:t>
                  </w:r>
                </w:p>
              </w:tc>
              <w:tc>
                <w:tcPr>
                  <w:tcW w:w="1095" w:type="dxa"/>
                  <w:noWrap w:val="0"/>
                  <w:vAlign w:val="center"/>
                </w:tcPr>
                <w:p w14:paraId="32C53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w:t>
                  </w:r>
                  <w:r>
                    <w:rPr>
                      <w:rFonts w:hint="eastAsia" w:cs="Times New Roman"/>
                      <w:color w:val="auto"/>
                      <w:sz w:val="21"/>
                      <w:szCs w:val="21"/>
                      <w:u w:val="none" w:color="auto"/>
                      <w:vertAlign w:val="baseline"/>
                      <w:lang w:val="en-US" w:eastAsia="zh-CN"/>
                    </w:rPr>
                    <w:t>0</w:t>
                  </w:r>
                </w:p>
              </w:tc>
              <w:tc>
                <w:tcPr>
                  <w:tcW w:w="1065" w:type="dxa"/>
                  <w:noWrap w:val="0"/>
                  <w:vAlign w:val="center"/>
                </w:tcPr>
                <w:p w14:paraId="7BD43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达标</w:t>
                  </w:r>
                </w:p>
              </w:tc>
            </w:tr>
            <w:tr w14:paraId="5680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212" w:type="dxa"/>
                  <w:vMerge w:val="continue"/>
                  <w:noWrap w:val="0"/>
                  <w:vAlign w:val="center"/>
                </w:tcPr>
                <w:p w14:paraId="40C8E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rPr>
                  </w:pPr>
                </w:p>
              </w:tc>
              <w:tc>
                <w:tcPr>
                  <w:tcW w:w="1171" w:type="dxa"/>
                  <w:noWrap w:val="0"/>
                  <w:vAlign w:val="center"/>
                </w:tcPr>
                <w:p w14:paraId="0C5746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夜间</w:t>
                  </w:r>
                </w:p>
              </w:tc>
              <w:tc>
                <w:tcPr>
                  <w:tcW w:w="2909" w:type="dxa"/>
                  <w:noWrap w:val="0"/>
                  <w:vAlign w:val="center"/>
                </w:tcPr>
                <w:p w14:paraId="3681F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48.8</w:t>
                  </w:r>
                </w:p>
              </w:tc>
              <w:tc>
                <w:tcPr>
                  <w:tcW w:w="1095" w:type="dxa"/>
                  <w:noWrap w:val="0"/>
                  <w:vAlign w:val="center"/>
                </w:tcPr>
                <w:p w14:paraId="3F13E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w:t>
                  </w:r>
                  <w:r>
                    <w:rPr>
                      <w:rFonts w:hint="eastAsia" w:cs="Times New Roman"/>
                      <w:color w:val="auto"/>
                      <w:sz w:val="21"/>
                      <w:szCs w:val="21"/>
                      <w:u w:val="none" w:color="auto"/>
                      <w:vertAlign w:val="baseline"/>
                      <w:lang w:val="en-US" w:eastAsia="zh-CN"/>
                    </w:rPr>
                    <w:t>0</w:t>
                  </w:r>
                </w:p>
              </w:tc>
              <w:tc>
                <w:tcPr>
                  <w:tcW w:w="1065" w:type="dxa"/>
                  <w:noWrap w:val="0"/>
                  <w:vAlign w:val="center"/>
                </w:tcPr>
                <w:p w14:paraId="135CE0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达标</w:t>
                  </w:r>
                </w:p>
              </w:tc>
            </w:tr>
            <w:tr w14:paraId="3525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212" w:type="dxa"/>
                  <w:vMerge w:val="restart"/>
                  <w:noWrap w:val="0"/>
                  <w:vAlign w:val="center"/>
                </w:tcPr>
                <w:p w14:paraId="0F9E34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厂界南侧N</w:t>
                  </w:r>
                  <w:r>
                    <w:rPr>
                      <w:rFonts w:hint="eastAsia" w:cs="Times New Roman"/>
                      <w:color w:val="auto"/>
                      <w:sz w:val="21"/>
                      <w:szCs w:val="21"/>
                      <w:u w:val="none" w:color="auto"/>
                      <w:vertAlign w:val="baseline"/>
                      <w:lang w:val="en-US" w:eastAsia="zh-CN"/>
                    </w:rPr>
                    <w:t>2</w:t>
                  </w:r>
                </w:p>
              </w:tc>
              <w:tc>
                <w:tcPr>
                  <w:tcW w:w="1171" w:type="dxa"/>
                  <w:noWrap w:val="0"/>
                  <w:vAlign w:val="center"/>
                </w:tcPr>
                <w:p w14:paraId="41794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昼间</w:t>
                  </w:r>
                </w:p>
              </w:tc>
              <w:tc>
                <w:tcPr>
                  <w:tcW w:w="2909" w:type="dxa"/>
                  <w:noWrap w:val="0"/>
                  <w:vAlign w:val="center"/>
                </w:tcPr>
                <w:p w14:paraId="4EAAB9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56.4</w:t>
                  </w:r>
                </w:p>
              </w:tc>
              <w:tc>
                <w:tcPr>
                  <w:tcW w:w="1095" w:type="dxa"/>
                  <w:noWrap w:val="0"/>
                  <w:vAlign w:val="center"/>
                </w:tcPr>
                <w:p w14:paraId="1D3C9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6</w:t>
                  </w:r>
                  <w:r>
                    <w:rPr>
                      <w:rFonts w:hint="eastAsia" w:cs="Times New Roman"/>
                      <w:color w:val="auto"/>
                      <w:sz w:val="21"/>
                      <w:szCs w:val="21"/>
                      <w:u w:val="none" w:color="auto"/>
                      <w:vertAlign w:val="baseline"/>
                      <w:lang w:val="en-US" w:eastAsia="zh-CN"/>
                    </w:rPr>
                    <w:t>0</w:t>
                  </w:r>
                </w:p>
              </w:tc>
              <w:tc>
                <w:tcPr>
                  <w:tcW w:w="1065" w:type="dxa"/>
                  <w:noWrap w:val="0"/>
                  <w:vAlign w:val="center"/>
                </w:tcPr>
                <w:p w14:paraId="0A05A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达标</w:t>
                  </w:r>
                </w:p>
              </w:tc>
            </w:tr>
            <w:tr w14:paraId="7C43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212" w:type="dxa"/>
                  <w:vMerge w:val="continue"/>
                  <w:noWrap w:val="0"/>
                  <w:vAlign w:val="center"/>
                </w:tcPr>
                <w:p w14:paraId="7A5A2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rPr>
                  </w:pPr>
                </w:p>
              </w:tc>
              <w:tc>
                <w:tcPr>
                  <w:tcW w:w="1171" w:type="dxa"/>
                  <w:noWrap w:val="0"/>
                  <w:vAlign w:val="center"/>
                </w:tcPr>
                <w:p w14:paraId="4E44C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夜间</w:t>
                  </w:r>
                </w:p>
              </w:tc>
              <w:tc>
                <w:tcPr>
                  <w:tcW w:w="2909" w:type="dxa"/>
                  <w:noWrap w:val="0"/>
                  <w:vAlign w:val="center"/>
                </w:tcPr>
                <w:p w14:paraId="76BD1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48.9</w:t>
                  </w:r>
                </w:p>
              </w:tc>
              <w:tc>
                <w:tcPr>
                  <w:tcW w:w="1095" w:type="dxa"/>
                  <w:noWrap w:val="0"/>
                  <w:vAlign w:val="center"/>
                </w:tcPr>
                <w:p w14:paraId="39A87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5</w:t>
                  </w:r>
                  <w:r>
                    <w:rPr>
                      <w:rFonts w:hint="eastAsia" w:cs="Times New Roman"/>
                      <w:color w:val="auto"/>
                      <w:sz w:val="21"/>
                      <w:szCs w:val="21"/>
                      <w:u w:val="none" w:color="auto"/>
                      <w:vertAlign w:val="baseline"/>
                      <w:lang w:val="en-US" w:eastAsia="zh-CN"/>
                    </w:rPr>
                    <w:t>0</w:t>
                  </w:r>
                </w:p>
              </w:tc>
              <w:tc>
                <w:tcPr>
                  <w:tcW w:w="1065" w:type="dxa"/>
                  <w:noWrap w:val="0"/>
                  <w:vAlign w:val="center"/>
                </w:tcPr>
                <w:p w14:paraId="66FC8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达标</w:t>
                  </w:r>
                </w:p>
              </w:tc>
            </w:tr>
            <w:tr w14:paraId="0B51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212" w:type="dxa"/>
                  <w:vMerge w:val="restart"/>
                  <w:noWrap w:val="0"/>
                  <w:vAlign w:val="center"/>
                </w:tcPr>
                <w:p w14:paraId="117D20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厂界西侧N</w:t>
                  </w:r>
                  <w:r>
                    <w:rPr>
                      <w:rFonts w:hint="eastAsia" w:cs="Times New Roman"/>
                      <w:color w:val="auto"/>
                      <w:sz w:val="21"/>
                      <w:szCs w:val="21"/>
                      <w:u w:val="none" w:color="auto"/>
                      <w:lang w:val="en-US" w:eastAsia="zh-CN"/>
                    </w:rPr>
                    <w:t>3</w:t>
                  </w:r>
                </w:p>
              </w:tc>
              <w:tc>
                <w:tcPr>
                  <w:tcW w:w="1171" w:type="dxa"/>
                  <w:noWrap w:val="0"/>
                  <w:vAlign w:val="center"/>
                </w:tcPr>
                <w:p w14:paraId="30E4F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昼间</w:t>
                  </w:r>
                </w:p>
              </w:tc>
              <w:tc>
                <w:tcPr>
                  <w:tcW w:w="2909" w:type="dxa"/>
                  <w:noWrap w:val="0"/>
                  <w:vAlign w:val="center"/>
                </w:tcPr>
                <w:p w14:paraId="35CEE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53.2</w:t>
                  </w:r>
                </w:p>
              </w:tc>
              <w:tc>
                <w:tcPr>
                  <w:tcW w:w="1095" w:type="dxa"/>
                  <w:noWrap w:val="0"/>
                  <w:vAlign w:val="center"/>
                </w:tcPr>
                <w:p w14:paraId="11D70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w:t>
                  </w:r>
                  <w:r>
                    <w:rPr>
                      <w:rFonts w:hint="eastAsia" w:cs="Times New Roman"/>
                      <w:color w:val="auto"/>
                      <w:sz w:val="21"/>
                      <w:szCs w:val="21"/>
                      <w:u w:val="none" w:color="auto"/>
                      <w:vertAlign w:val="baseline"/>
                      <w:lang w:val="en-US" w:eastAsia="zh-CN"/>
                    </w:rPr>
                    <w:t>0</w:t>
                  </w:r>
                </w:p>
              </w:tc>
              <w:tc>
                <w:tcPr>
                  <w:tcW w:w="1065" w:type="dxa"/>
                  <w:noWrap w:val="0"/>
                  <w:vAlign w:val="center"/>
                </w:tcPr>
                <w:p w14:paraId="50050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达标</w:t>
                  </w:r>
                </w:p>
              </w:tc>
            </w:tr>
            <w:tr w14:paraId="0C66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212" w:type="dxa"/>
                  <w:vMerge w:val="continue"/>
                  <w:noWrap w:val="0"/>
                  <w:vAlign w:val="center"/>
                </w:tcPr>
                <w:p w14:paraId="6EDA8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rPr>
                  </w:pPr>
                </w:p>
              </w:tc>
              <w:tc>
                <w:tcPr>
                  <w:tcW w:w="1171" w:type="dxa"/>
                  <w:noWrap w:val="0"/>
                  <w:vAlign w:val="center"/>
                </w:tcPr>
                <w:p w14:paraId="741CA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夜间</w:t>
                  </w:r>
                </w:p>
              </w:tc>
              <w:tc>
                <w:tcPr>
                  <w:tcW w:w="2909" w:type="dxa"/>
                  <w:noWrap w:val="0"/>
                  <w:vAlign w:val="center"/>
                </w:tcPr>
                <w:p w14:paraId="57DDF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47.8</w:t>
                  </w:r>
                </w:p>
              </w:tc>
              <w:tc>
                <w:tcPr>
                  <w:tcW w:w="1095" w:type="dxa"/>
                  <w:noWrap w:val="0"/>
                  <w:vAlign w:val="center"/>
                </w:tcPr>
                <w:p w14:paraId="7D972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w:t>
                  </w:r>
                  <w:r>
                    <w:rPr>
                      <w:rFonts w:hint="eastAsia" w:cs="Times New Roman"/>
                      <w:color w:val="auto"/>
                      <w:sz w:val="21"/>
                      <w:szCs w:val="21"/>
                      <w:u w:val="none" w:color="auto"/>
                      <w:vertAlign w:val="baseline"/>
                      <w:lang w:val="en-US" w:eastAsia="zh-CN"/>
                    </w:rPr>
                    <w:t>0</w:t>
                  </w:r>
                </w:p>
              </w:tc>
              <w:tc>
                <w:tcPr>
                  <w:tcW w:w="1065" w:type="dxa"/>
                  <w:noWrap w:val="0"/>
                  <w:vAlign w:val="center"/>
                </w:tcPr>
                <w:p w14:paraId="111D6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达标</w:t>
                  </w:r>
                </w:p>
              </w:tc>
            </w:tr>
            <w:tr w14:paraId="62CD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212" w:type="dxa"/>
                  <w:vMerge w:val="restart"/>
                  <w:noWrap w:val="0"/>
                  <w:vAlign w:val="center"/>
                </w:tcPr>
                <w:p w14:paraId="310CD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厂界北侧N</w:t>
                  </w:r>
                  <w:r>
                    <w:rPr>
                      <w:rFonts w:hint="eastAsia" w:cs="Times New Roman"/>
                      <w:color w:val="auto"/>
                      <w:sz w:val="21"/>
                      <w:szCs w:val="21"/>
                      <w:u w:val="none" w:color="auto"/>
                      <w:lang w:val="en-US" w:eastAsia="zh-CN"/>
                    </w:rPr>
                    <w:t>4</w:t>
                  </w:r>
                </w:p>
              </w:tc>
              <w:tc>
                <w:tcPr>
                  <w:tcW w:w="1171" w:type="dxa"/>
                  <w:noWrap w:val="0"/>
                  <w:vAlign w:val="center"/>
                </w:tcPr>
                <w:p w14:paraId="3957C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昼间</w:t>
                  </w:r>
                </w:p>
              </w:tc>
              <w:tc>
                <w:tcPr>
                  <w:tcW w:w="2909" w:type="dxa"/>
                  <w:noWrap w:val="0"/>
                  <w:vAlign w:val="center"/>
                </w:tcPr>
                <w:p w14:paraId="361F1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55.7</w:t>
                  </w:r>
                </w:p>
              </w:tc>
              <w:tc>
                <w:tcPr>
                  <w:tcW w:w="1095" w:type="dxa"/>
                  <w:noWrap w:val="0"/>
                  <w:vAlign w:val="center"/>
                </w:tcPr>
                <w:p w14:paraId="022AA0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w:t>
                  </w:r>
                  <w:r>
                    <w:rPr>
                      <w:rFonts w:hint="eastAsia" w:cs="Times New Roman"/>
                      <w:color w:val="auto"/>
                      <w:sz w:val="21"/>
                      <w:szCs w:val="21"/>
                      <w:u w:val="none" w:color="auto"/>
                      <w:vertAlign w:val="baseline"/>
                      <w:lang w:val="en-US" w:eastAsia="zh-CN"/>
                    </w:rPr>
                    <w:t>0</w:t>
                  </w:r>
                </w:p>
              </w:tc>
              <w:tc>
                <w:tcPr>
                  <w:tcW w:w="1065" w:type="dxa"/>
                  <w:noWrap w:val="0"/>
                  <w:vAlign w:val="center"/>
                </w:tcPr>
                <w:p w14:paraId="75A6E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达标</w:t>
                  </w:r>
                </w:p>
              </w:tc>
            </w:tr>
            <w:tr w14:paraId="13E0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212" w:type="dxa"/>
                  <w:vMerge w:val="continue"/>
                  <w:noWrap w:val="0"/>
                  <w:vAlign w:val="center"/>
                </w:tcPr>
                <w:p w14:paraId="49E12E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rPr>
                  </w:pPr>
                </w:p>
              </w:tc>
              <w:tc>
                <w:tcPr>
                  <w:tcW w:w="1171" w:type="dxa"/>
                  <w:noWrap w:val="0"/>
                  <w:vAlign w:val="center"/>
                </w:tcPr>
                <w:p w14:paraId="44C7E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夜间</w:t>
                  </w:r>
                </w:p>
              </w:tc>
              <w:tc>
                <w:tcPr>
                  <w:tcW w:w="2909" w:type="dxa"/>
                  <w:noWrap w:val="0"/>
                  <w:vAlign w:val="center"/>
                </w:tcPr>
                <w:p w14:paraId="3C9A8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47.5</w:t>
                  </w:r>
                </w:p>
              </w:tc>
              <w:tc>
                <w:tcPr>
                  <w:tcW w:w="1095" w:type="dxa"/>
                  <w:noWrap w:val="0"/>
                  <w:vAlign w:val="center"/>
                </w:tcPr>
                <w:p w14:paraId="011E0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w:t>
                  </w:r>
                  <w:r>
                    <w:rPr>
                      <w:rFonts w:hint="eastAsia" w:cs="Times New Roman"/>
                      <w:color w:val="auto"/>
                      <w:sz w:val="21"/>
                      <w:szCs w:val="21"/>
                      <w:u w:val="none" w:color="auto"/>
                      <w:vertAlign w:val="baseline"/>
                      <w:lang w:val="en-US" w:eastAsia="zh-CN"/>
                    </w:rPr>
                    <w:t>0</w:t>
                  </w:r>
                </w:p>
              </w:tc>
              <w:tc>
                <w:tcPr>
                  <w:tcW w:w="1065" w:type="dxa"/>
                  <w:noWrap w:val="0"/>
                  <w:vAlign w:val="center"/>
                </w:tcPr>
                <w:p w14:paraId="49E48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达标</w:t>
                  </w:r>
                </w:p>
              </w:tc>
            </w:tr>
          </w:tbl>
          <w:p w14:paraId="577085ED">
            <w:pPr>
              <w:pStyle w:val="11"/>
              <w:rPr>
                <w:rFonts w:hint="eastAsia" w:cs="Times New Roman"/>
                <w:color w:val="auto"/>
                <w:kern w:val="2"/>
                <w:sz w:val="24"/>
                <w:szCs w:val="24"/>
                <w:u w:val="none" w:color="auto"/>
                <w:lang w:val="en-US" w:eastAsia="zh-CN" w:bidi="ar-SA"/>
              </w:rPr>
            </w:pPr>
            <w:r>
              <w:rPr>
                <w:rFonts w:hint="default" w:ascii="Times New Roman" w:hAnsi="Times New Roman" w:cs="Times New Roman"/>
                <w:color w:val="auto"/>
                <w:sz w:val="24"/>
                <w:szCs w:val="24"/>
                <w:u w:val="none" w:color="auto"/>
                <w:lang w:val="en-US" w:eastAsia="zh-CN"/>
              </w:rPr>
              <w:t>根据监测结果可知，企业正常运营时</w:t>
            </w:r>
            <w:r>
              <w:rPr>
                <w:rFonts w:hint="eastAsia" w:cs="Times New Roman"/>
                <w:color w:val="auto"/>
                <w:sz w:val="24"/>
                <w:szCs w:val="24"/>
                <w:u w:val="none" w:color="auto"/>
                <w:lang w:val="en-US" w:eastAsia="zh-CN"/>
              </w:rPr>
              <w:t>，厂界四周</w:t>
            </w:r>
            <w:r>
              <w:rPr>
                <w:rFonts w:hint="default" w:ascii="Times New Roman" w:hAnsi="Times New Roman" w:cs="Times New Roman"/>
                <w:color w:val="auto"/>
                <w:sz w:val="24"/>
                <w:szCs w:val="24"/>
                <w:u w:val="none" w:color="auto"/>
                <w:lang w:val="en-US" w:eastAsia="zh-CN"/>
              </w:rPr>
              <w:t>噪声可以达到《工业企业厂界环境噪声排放标准》（GB 12348-2008）中的</w:t>
            </w:r>
            <w:r>
              <w:rPr>
                <w:rFonts w:hint="eastAsia" w:cs="Times New Roman"/>
                <w:color w:val="auto"/>
                <w:sz w:val="24"/>
                <w:szCs w:val="24"/>
                <w:u w:val="none" w:color="auto"/>
                <w:lang w:val="en-US" w:eastAsia="zh-CN"/>
              </w:rPr>
              <w:t>2</w:t>
            </w:r>
            <w:r>
              <w:rPr>
                <w:rFonts w:hint="default" w:ascii="Times New Roman" w:hAnsi="Times New Roman" w:cs="Times New Roman"/>
                <w:color w:val="auto"/>
                <w:sz w:val="24"/>
                <w:szCs w:val="24"/>
                <w:u w:val="none" w:color="auto"/>
                <w:lang w:val="en-US" w:eastAsia="zh-CN"/>
              </w:rPr>
              <w:t>类标准限值。</w:t>
            </w:r>
          </w:p>
          <w:p w14:paraId="59E26C82">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2.7.3</w:t>
            </w:r>
            <w:r>
              <w:rPr>
                <w:rFonts w:hint="default" w:ascii="Times New Roman" w:hAnsi="Times New Roman" w:eastAsia="黑体" w:cs="Times New Roman"/>
                <w:b/>
                <w:bCs/>
                <w:color w:val="auto"/>
                <w:u w:val="none" w:color="auto"/>
                <w:lang w:val="en-US" w:eastAsia="zh-CN"/>
              </w:rPr>
              <w:t>现有污染源及环保设施情况</w:t>
            </w:r>
          </w:p>
          <w:p w14:paraId="3E54E243">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因企业现有工程无法计算出各污染物的实际排放量，故本项目现有工程中各污染物的排放量采用理论方式进行计算。</w:t>
            </w:r>
          </w:p>
          <w:p w14:paraId="33A9B049">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1、现有工程各废气中污染物排放量</w:t>
            </w:r>
          </w:p>
          <w:p w14:paraId="6BDE28FA">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（1）待宰间恶臭</w:t>
            </w:r>
          </w:p>
          <w:p w14:paraId="0E412395">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技改前后企业待宰间面积不变，由4.6.1节可知，</w:t>
            </w:r>
            <w:r>
              <w:rPr>
                <w:rFonts w:hint="default" w:ascii="Times New Roman" w:hAnsi="Times New Roman" w:eastAsia="宋体" w:cs="Times New Roman"/>
                <w:color w:val="auto"/>
                <w:kern w:val="2"/>
                <w:sz w:val="24"/>
                <w:szCs w:val="24"/>
                <w:u w:val="none"/>
                <w:lang w:val="en-US" w:eastAsia="zh-CN" w:bidi="ar-SA"/>
              </w:rPr>
              <w:t>待宰间NH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排放量为</w:t>
            </w:r>
            <w:r>
              <w:rPr>
                <w:rFonts w:hint="eastAsia" w:ascii="Times New Roman" w:hAnsi="Times New Roman" w:eastAsia="宋体" w:cs="Times New Roman"/>
                <w:color w:val="auto"/>
                <w:kern w:val="2"/>
                <w:sz w:val="24"/>
                <w:szCs w:val="24"/>
                <w:u w:val="none"/>
                <w:lang w:val="en-US" w:eastAsia="zh-CN" w:bidi="ar-SA"/>
              </w:rPr>
              <w:t>0.</w:t>
            </w:r>
            <w:r>
              <w:rPr>
                <w:rFonts w:hint="eastAsia" w:cs="Times New Roman"/>
                <w:color w:val="auto"/>
                <w:kern w:val="2"/>
                <w:sz w:val="24"/>
                <w:szCs w:val="24"/>
                <w:u w:val="none"/>
                <w:lang w:val="en-US" w:eastAsia="zh-CN" w:bidi="ar-SA"/>
              </w:rPr>
              <w:t>445</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w:t>
            </w:r>
            <w:r>
              <w:rPr>
                <w:rFonts w:hint="eastAsia" w:cs="Times New Roman"/>
                <w:color w:val="auto"/>
                <w:kern w:val="2"/>
                <w:sz w:val="24"/>
                <w:szCs w:val="24"/>
                <w:u w:val="none"/>
                <w:lang w:val="en-US" w:eastAsia="zh-CN" w:bidi="ar-SA"/>
              </w:rPr>
              <w:t>51</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S排放量为</w:t>
            </w:r>
            <w:r>
              <w:rPr>
                <w:rFonts w:hint="eastAsia" w:ascii="Times New Roman" w:hAnsi="Times New Roman" w:eastAsia="宋体" w:cs="Times New Roman"/>
                <w:color w:val="auto"/>
                <w:kern w:val="2"/>
                <w:sz w:val="24"/>
                <w:szCs w:val="24"/>
                <w:u w:val="none"/>
                <w:lang w:val="en-US" w:eastAsia="zh-CN" w:bidi="ar-SA"/>
              </w:rPr>
              <w:t xml:space="preserve">0.02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0.00</w:t>
            </w:r>
            <w:r>
              <w:rPr>
                <w:rFonts w:hint="eastAsia" w:cs="Times New Roman"/>
                <w:color w:val="auto"/>
                <w:kern w:val="2"/>
                <w:sz w:val="24"/>
                <w:szCs w:val="24"/>
                <w:u w:val="none"/>
                <w:lang w:val="en-US" w:eastAsia="zh-CN" w:bidi="ar-SA"/>
              </w:rPr>
              <w:t>23</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p>
          <w:p w14:paraId="6F3A8412">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r>
              <w:rPr>
                <w:rFonts w:hint="eastAsia" w:cs="Times New Roman"/>
                <w:color w:val="auto"/>
                <w:sz w:val="24"/>
                <w:szCs w:val="24"/>
                <w:u w:val="none" w:color="auto"/>
                <w:lang w:val="en-US" w:eastAsia="zh-CN"/>
              </w:rPr>
              <w:t>屠宰间、急宰间恶臭</w:t>
            </w:r>
          </w:p>
          <w:p w14:paraId="6DC9D914">
            <w:pPr>
              <w:pStyle w:val="9"/>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企业技改前，年屠宰生猪73000头，参考4.6.1节计算方式可知，技改前</w:t>
            </w:r>
            <w:r>
              <w:rPr>
                <w:rFonts w:hint="eastAsia"/>
                <w:color w:val="auto"/>
                <w:szCs w:val="24"/>
              </w:rPr>
              <w:t>NH</w:t>
            </w:r>
            <w:r>
              <w:rPr>
                <w:rFonts w:hint="eastAsia"/>
                <w:color w:val="auto"/>
                <w:szCs w:val="24"/>
                <w:vertAlign w:val="subscript"/>
              </w:rPr>
              <w:t>3</w:t>
            </w:r>
            <w:r>
              <w:rPr>
                <w:rFonts w:hint="eastAsia"/>
                <w:color w:val="auto"/>
                <w:szCs w:val="24"/>
                <w:vertAlign w:val="baseline"/>
                <w:lang w:val="en-US" w:eastAsia="zh-CN"/>
              </w:rPr>
              <w:t>年</w:t>
            </w:r>
            <w:r>
              <w:rPr>
                <w:rFonts w:hint="eastAsia"/>
                <w:color w:val="auto"/>
                <w:szCs w:val="24"/>
                <w:lang w:val="en-US" w:eastAsia="zh-CN"/>
              </w:rPr>
              <w:t>产生量为0.2 t/a、</w:t>
            </w:r>
            <w:r>
              <w:rPr>
                <w:rFonts w:hint="eastAsia"/>
                <w:color w:val="auto"/>
                <w:szCs w:val="24"/>
              </w:rPr>
              <w:t>H</w:t>
            </w:r>
            <w:r>
              <w:rPr>
                <w:rFonts w:hint="eastAsia"/>
                <w:color w:val="auto"/>
                <w:szCs w:val="24"/>
                <w:vertAlign w:val="subscript"/>
                <w:lang w:val="en-US" w:eastAsia="zh-CN"/>
              </w:rPr>
              <w:t>2</w:t>
            </w:r>
            <w:r>
              <w:rPr>
                <w:rFonts w:hint="eastAsia"/>
                <w:color w:val="auto"/>
                <w:szCs w:val="24"/>
              </w:rPr>
              <w:t>S</w:t>
            </w:r>
            <w:r>
              <w:rPr>
                <w:rFonts w:hint="eastAsia"/>
                <w:color w:val="auto"/>
                <w:szCs w:val="24"/>
                <w:lang w:val="en-US" w:eastAsia="zh-CN"/>
              </w:rPr>
              <w:t>年产生量为0.01 t/a。产生后经喷洒生物除臭剂后进行无组织排放。</w:t>
            </w:r>
            <w:r>
              <w:rPr>
                <w:rFonts w:hint="default" w:ascii="Times New Roman" w:hAnsi="Times New Roman" w:eastAsia="宋体" w:cs="Times New Roman"/>
                <w:color w:val="auto"/>
                <w:kern w:val="2"/>
                <w:sz w:val="24"/>
                <w:szCs w:val="24"/>
                <w:u w:val="none"/>
                <w:lang w:val="en-US" w:eastAsia="zh-CN" w:bidi="ar-SA"/>
              </w:rPr>
              <w:t>根据《微生</w:t>
            </w:r>
            <w:r>
              <w:rPr>
                <w:rFonts w:hint="eastAsia" w:cs="Times New Roman"/>
                <w:color w:val="auto"/>
                <w:kern w:val="2"/>
                <w:sz w:val="24"/>
                <w:szCs w:val="24"/>
                <w:u w:val="none"/>
                <w:lang w:val="en-US" w:eastAsia="zh-CN" w:bidi="ar-SA"/>
              </w:rPr>
              <w:t>物</w:t>
            </w:r>
            <w:r>
              <w:rPr>
                <w:rFonts w:hint="default" w:ascii="Times New Roman" w:hAnsi="Times New Roman" w:eastAsia="宋体" w:cs="Times New Roman"/>
                <w:color w:val="auto"/>
                <w:kern w:val="2"/>
                <w:sz w:val="24"/>
                <w:szCs w:val="24"/>
                <w:u w:val="none"/>
                <w:lang w:val="en-US" w:eastAsia="zh-CN" w:bidi="ar-SA"/>
              </w:rPr>
              <w:t>除臭剂筛选在猪舍应用试验》，通过在猪舍喷洒生物除臭剂，对于氨气和硫化氢、臭气浓度的去除率分别为41%、7</w:t>
            </w:r>
            <w:r>
              <w:rPr>
                <w:rFonts w:hint="eastAsia" w:cs="Times New Roman"/>
                <w:color w:val="auto"/>
                <w:kern w:val="2"/>
                <w:sz w:val="24"/>
                <w:szCs w:val="24"/>
                <w:u w:val="none"/>
                <w:lang w:val="en-US" w:eastAsia="zh-CN" w:bidi="ar-SA"/>
              </w:rPr>
              <w:t>5</w:t>
            </w:r>
            <w:r>
              <w:rPr>
                <w:rFonts w:hint="default" w:ascii="Times New Roman" w:hAnsi="Times New Roman" w:eastAsia="宋体" w:cs="Times New Roman"/>
                <w:color w:val="auto"/>
                <w:kern w:val="2"/>
                <w:sz w:val="24"/>
                <w:szCs w:val="24"/>
                <w:u w:val="none"/>
                <w:lang w:val="en-US" w:eastAsia="zh-CN" w:bidi="ar-SA"/>
              </w:rPr>
              <w:t>%及46.7%，本项目为</w:t>
            </w:r>
            <w:r>
              <w:rPr>
                <w:rFonts w:hint="eastAsia" w:cs="Times New Roman"/>
                <w:color w:val="auto"/>
                <w:kern w:val="2"/>
                <w:sz w:val="24"/>
                <w:szCs w:val="24"/>
                <w:u w:val="none"/>
                <w:lang w:val="en-US" w:eastAsia="zh-CN" w:bidi="ar-SA"/>
              </w:rPr>
              <w:t>保守估计</w:t>
            </w:r>
            <w:r>
              <w:rPr>
                <w:rFonts w:hint="default" w:ascii="Times New Roman" w:hAnsi="Times New Roman" w:eastAsia="宋体" w:cs="Times New Roman"/>
                <w:color w:val="auto"/>
                <w:kern w:val="2"/>
                <w:sz w:val="24"/>
                <w:szCs w:val="24"/>
                <w:u w:val="none"/>
                <w:lang w:val="en-US" w:eastAsia="zh-CN" w:bidi="ar-SA"/>
              </w:rPr>
              <w:t>，氨气的去除率取40%，硫化氢的去除率取70%。则待宰间NH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排放量为0.</w:t>
            </w:r>
            <w:r>
              <w:rPr>
                <w:rFonts w:hint="eastAsia" w:cs="Times New Roman"/>
                <w:color w:val="auto"/>
                <w:kern w:val="2"/>
                <w:sz w:val="24"/>
                <w:szCs w:val="24"/>
                <w:u w:val="none"/>
                <w:lang w:val="en-US" w:eastAsia="zh-CN" w:bidi="ar-SA"/>
              </w:rPr>
              <w:t>2*</w:t>
            </w:r>
            <w:r>
              <w:rPr>
                <w:rFonts w:hint="eastAsia" w:ascii="Times New Roman" w:hAnsi="Times New Roman" w:eastAsia="宋体" w:cs="Times New Roman"/>
                <w:color w:val="auto"/>
                <w:kern w:val="2"/>
                <w:sz w:val="24"/>
                <w:szCs w:val="24"/>
                <w:u w:val="none"/>
                <w:lang w:val="en-US" w:eastAsia="zh-CN" w:bidi="ar-SA"/>
              </w:rPr>
              <w:t>（1-</w:t>
            </w:r>
            <w:r>
              <w:rPr>
                <w:rFonts w:hint="eastAsia" w:cs="Times New Roman"/>
                <w:color w:val="auto"/>
                <w:kern w:val="2"/>
                <w:sz w:val="24"/>
                <w:szCs w:val="24"/>
                <w:u w:val="none"/>
                <w:lang w:val="en-US" w:eastAsia="zh-CN" w:bidi="ar-SA"/>
              </w:rPr>
              <w:t>4</w:t>
            </w:r>
            <w:r>
              <w:rPr>
                <w:rFonts w:hint="eastAsia" w:ascii="Times New Roman" w:hAnsi="Times New Roman" w:eastAsia="宋体" w:cs="Times New Roman"/>
                <w:color w:val="auto"/>
                <w:kern w:val="2"/>
                <w:sz w:val="24"/>
                <w:szCs w:val="24"/>
                <w:u w:val="none"/>
                <w:lang w:val="en-US" w:eastAsia="zh-CN" w:bidi="ar-SA"/>
              </w:rPr>
              <w:t>0%）=0.</w:t>
            </w:r>
            <w:r>
              <w:rPr>
                <w:rFonts w:hint="eastAsia" w:cs="Times New Roman"/>
                <w:color w:val="auto"/>
                <w:kern w:val="2"/>
                <w:sz w:val="24"/>
                <w:szCs w:val="24"/>
                <w:u w:val="none"/>
                <w:lang w:val="en-US" w:eastAsia="zh-CN" w:bidi="ar-SA"/>
              </w:rPr>
              <w:t>12</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w:t>
            </w:r>
            <w:r>
              <w:rPr>
                <w:rFonts w:hint="eastAsia" w:cs="Times New Roman"/>
                <w:color w:val="auto"/>
                <w:kern w:val="2"/>
                <w:sz w:val="24"/>
                <w:szCs w:val="24"/>
                <w:u w:val="none"/>
                <w:lang w:val="en-US" w:eastAsia="zh-CN" w:bidi="ar-SA"/>
              </w:rPr>
              <w:t>411</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S排放量为0.</w:t>
            </w:r>
            <w:r>
              <w:rPr>
                <w:rFonts w:hint="eastAsia" w:ascii="Times New Roman" w:hAnsi="Times New Roman" w:eastAsia="宋体" w:cs="Times New Roman"/>
                <w:color w:val="auto"/>
                <w:kern w:val="2"/>
                <w:sz w:val="24"/>
                <w:szCs w:val="24"/>
                <w:u w:val="none"/>
                <w:lang w:val="en-US" w:eastAsia="zh-CN" w:bidi="ar-SA"/>
              </w:rPr>
              <w:t>0</w:t>
            </w:r>
            <w:r>
              <w:rPr>
                <w:rFonts w:hint="eastAsia" w:cs="Times New Roman"/>
                <w:color w:val="auto"/>
                <w:kern w:val="2"/>
                <w:sz w:val="24"/>
                <w:szCs w:val="24"/>
                <w:u w:val="none"/>
                <w:lang w:val="en-US" w:eastAsia="zh-CN" w:bidi="ar-SA"/>
              </w:rPr>
              <w:t>1</w:t>
            </w:r>
            <w:r>
              <w:rPr>
                <w:rFonts w:hint="eastAsia" w:ascii="Times New Roman" w:hAnsi="Times New Roman" w:eastAsia="宋体" w:cs="Times New Roman"/>
                <w:color w:val="auto"/>
                <w:kern w:val="2"/>
                <w:sz w:val="24"/>
                <w:szCs w:val="24"/>
                <w:u w:val="none"/>
                <w:lang w:val="en-US" w:eastAsia="zh-CN" w:bidi="ar-SA"/>
              </w:rPr>
              <w:t>*（1-</w:t>
            </w:r>
            <w:r>
              <w:rPr>
                <w:rFonts w:hint="eastAsia" w:cs="Times New Roman"/>
                <w:color w:val="auto"/>
                <w:kern w:val="2"/>
                <w:sz w:val="24"/>
                <w:szCs w:val="24"/>
                <w:u w:val="none"/>
                <w:lang w:val="en-US" w:eastAsia="zh-CN" w:bidi="ar-SA"/>
              </w:rPr>
              <w:t>7</w:t>
            </w:r>
            <w:r>
              <w:rPr>
                <w:rFonts w:hint="eastAsia" w:ascii="Times New Roman" w:hAnsi="Times New Roman" w:eastAsia="宋体" w:cs="Times New Roman"/>
                <w:color w:val="auto"/>
                <w:kern w:val="2"/>
                <w:sz w:val="24"/>
                <w:szCs w:val="24"/>
                <w:u w:val="none"/>
                <w:lang w:val="en-US" w:eastAsia="zh-CN" w:bidi="ar-SA"/>
              </w:rPr>
              <w:t>0%）=0.0</w:t>
            </w:r>
            <w:r>
              <w:rPr>
                <w:rFonts w:hint="eastAsia" w:cs="Times New Roman"/>
                <w:color w:val="auto"/>
                <w:kern w:val="2"/>
                <w:sz w:val="24"/>
                <w:szCs w:val="24"/>
                <w:u w:val="none"/>
                <w:lang w:val="en-US" w:eastAsia="zh-CN" w:bidi="ar-SA"/>
              </w:rPr>
              <w:t>03</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0.00</w:t>
            </w:r>
            <w:r>
              <w:rPr>
                <w:rFonts w:hint="eastAsia" w:cs="Times New Roman"/>
                <w:color w:val="auto"/>
                <w:kern w:val="2"/>
                <w:sz w:val="24"/>
                <w:szCs w:val="24"/>
                <w:u w:val="none"/>
                <w:lang w:val="en-US" w:eastAsia="zh-CN" w:bidi="ar-SA"/>
              </w:rPr>
              <w:t>1</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w:t>
            </w:r>
          </w:p>
          <w:p w14:paraId="3C72AF37">
            <w:pPr>
              <w:pStyle w:val="9"/>
              <w:rPr>
                <w:rFonts w:hint="default" w:ascii="Times New Roman" w:hAnsi="Times New Roman"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（3）污水处理站恶臭</w:t>
            </w:r>
          </w:p>
          <w:p w14:paraId="755A6062">
            <w:pPr>
              <w:bidi w:val="0"/>
              <w:rPr>
                <w:rFonts w:hint="eastAsia" w:ascii="Times New Roman" w:hAnsi="Times New Roman" w:eastAsia="宋体"/>
                <w:color w:val="auto"/>
                <w:u w:val="none" w:color="auto"/>
                <w:lang w:val="en-US" w:eastAsia="zh-CN"/>
              </w:rPr>
            </w:pPr>
            <w:r>
              <w:rPr>
                <w:rFonts w:hint="default"/>
                <w:color w:val="auto"/>
                <w:u w:val="none" w:color="auto"/>
                <w:lang w:val="en-US" w:eastAsia="zh-CN"/>
              </w:rPr>
              <w:t>根据美国EPA对城市污水处理厂恶臭污染物产生情况的研究，每处理1</w:t>
            </w:r>
            <w:r>
              <w:rPr>
                <w:rFonts w:hint="eastAsia"/>
                <w:color w:val="auto"/>
                <w:u w:val="none" w:color="auto"/>
                <w:lang w:val="en-US" w:eastAsia="zh-CN"/>
              </w:rPr>
              <w:t xml:space="preserve"> </w:t>
            </w:r>
            <w:r>
              <w:rPr>
                <w:rFonts w:hint="default"/>
                <w:color w:val="auto"/>
                <w:u w:val="none" w:color="auto"/>
                <w:lang w:val="en-US" w:eastAsia="zh-CN"/>
              </w:rPr>
              <w:t>g的BOD</w:t>
            </w:r>
            <w:r>
              <w:rPr>
                <w:rFonts w:hint="default"/>
                <w:color w:val="auto"/>
                <w:u w:val="none" w:color="auto"/>
                <w:vertAlign w:val="subscript"/>
                <w:lang w:val="en-US" w:eastAsia="zh-CN"/>
              </w:rPr>
              <w:t>5</w:t>
            </w:r>
            <w:r>
              <w:rPr>
                <w:rFonts w:hint="default"/>
                <w:color w:val="auto"/>
                <w:u w:val="none" w:color="auto"/>
                <w:lang w:val="en-US" w:eastAsia="zh-CN"/>
              </w:rPr>
              <w:t>可产生0.00012 g的H</w:t>
            </w:r>
            <w:r>
              <w:rPr>
                <w:rFonts w:hint="default"/>
                <w:color w:val="auto"/>
                <w:u w:val="none" w:color="auto"/>
                <w:vertAlign w:val="subscript"/>
                <w:lang w:val="en-US" w:eastAsia="zh-CN"/>
              </w:rPr>
              <w:t>2</w:t>
            </w:r>
            <w:r>
              <w:rPr>
                <w:rFonts w:hint="default"/>
                <w:color w:val="auto"/>
                <w:u w:val="none" w:color="auto"/>
                <w:lang w:val="en-US" w:eastAsia="zh-CN"/>
              </w:rPr>
              <w:t>S和0.0031 g的NH</w:t>
            </w:r>
            <w:r>
              <w:rPr>
                <w:rFonts w:hint="default"/>
                <w:color w:val="auto"/>
                <w:u w:val="none" w:color="auto"/>
                <w:vertAlign w:val="subscript"/>
                <w:lang w:val="en-US" w:eastAsia="zh-CN"/>
              </w:rPr>
              <w:t>3</w:t>
            </w:r>
            <w:r>
              <w:rPr>
                <w:rFonts w:hint="default"/>
                <w:color w:val="auto"/>
                <w:u w:val="none" w:color="auto"/>
                <w:lang w:val="en-US" w:eastAsia="zh-CN"/>
              </w:rPr>
              <w:t>。BOD</w:t>
            </w:r>
            <w:r>
              <w:rPr>
                <w:rFonts w:hint="default"/>
                <w:color w:val="auto"/>
                <w:u w:val="none" w:color="auto"/>
                <w:vertAlign w:val="subscript"/>
                <w:lang w:val="en-US" w:eastAsia="zh-CN"/>
              </w:rPr>
              <w:t>5</w:t>
            </w:r>
            <w:r>
              <w:rPr>
                <w:rFonts w:hint="default"/>
                <w:color w:val="auto"/>
                <w:u w:val="none" w:color="auto"/>
                <w:lang w:val="en-US" w:eastAsia="zh-CN"/>
              </w:rPr>
              <w:t>处理量为</w:t>
            </w:r>
            <w:r>
              <w:rPr>
                <w:rFonts w:hint="eastAsia"/>
                <w:color w:val="auto"/>
                <w:u w:val="none" w:color="auto"/>
                <w:lang w:val="en-US" w:eastAsia="zh-CN"/>
              </w:rPr>
              <w:t>38.6827</w:t>
            </w:r>
            <w:r>
              <w:rPr>
                <w:rFonts w:hint="default"/>
                <w:color w:val="auto"/>
                <w:u w:val="none" w:color="auto"/>
                <w:lang w:val="en-US" w:eastAsia="zh-CN"/>
              </w:rPr>
              <w:t xml:space="preserve"> t/a</w:t>
            </w:r>
            <w:r>
              <w:rPr>
                <w:rFonts w:hint="eastAsia"/>
                <w:color w:val="auto"/>
                <w:u w:val="none" w:color="auto"/>
                <w:lang w:val="en-US" w:eastAsia="zh-CN"/>
              </w:rPr>
              <w:t>，则</w:t>
            </w:r>
            <w:r>
              <w:rPr>
                <w:rFonts w:hint="default"/>
                <w:color w:val="auto"/>
                <w:u w:val="none" w:color="auto"/>
                <w:lang w:val="en-US" w:eastAsia="zh-CN"/>
              </w:rPr>
              <w:t>H</w:t>
            </w:r>
            <w:r>
              <w:rPr>
                <w:rFonts w:hint="default"/>
                <w:color w:val="auto"/>
                <w:u w:val="none" w:color="auto"/>
                <w:vertAlign w:val="subscript"/>
                <w:lang w:val="en-US" w:eastAsia="zh-CN"/>
              </w:rPr>
              <w:t>2</w:t>
            </w:r>
            <w:r>
              <w:rPr>
                <w:rFonts w:hint="default"/>
                <w:color w:val="auto"/>
                <w:u w:val="none" w:color="auto"/>
                <w:lang w:val="en-US" w:eastAsia="zh-CN"/>
              </w:rPr>
              <w:t>S</w:t>
            </w:r>
            <w:r>
              <w:rPr>
                <w:rFonts w:hint="eastAsia"/>
                <w:color w:val="auto"/>
                <w:u w:val="none" w:color="auto"/>
                <w:lang w:val="en-US" w:eastAsia="zh-CN"/>
              </w:rPr>
              <w:t>产生量为0.005 t/a</w:t>
            </w:r>
            <w:r>
              <w:rPr>
                <w:rFonts w:hint="default"/>
                <w:color w:val="auto"/>
                <w:u w:val="none" w:color="auto"/>
                <w:lang w:val="en-US" w:eastAsia="zh-CN"/>
              </w:rPr>
              <w:t>和NH</w:t>
            </w:r>
            <w:r>
              <w:rPr>
                <w:rFonts w:hint="default"/>
                <w:color w:val="auto"/>
                <w:u w:val="none" w:color="auto"/>
                <w:vertAlign w:val="subscript"/>
                <w:lang w:val="en-US" w:eastAsia="zh-CN"/>
              </w:rPr>
              <w:t>3</w:t>
            </w:r>
            <w:r>
              <w:rPr>
                <w:rFonts w:hint="eastAsia"/>
                <w:color w:val="auto"/>
                <w:u w:val="none" w:color="auto"/>
                <w:lang w:val="en-US" w:eastAsia="zh-CN"/>
              </w:rPr>
              <w:t>产生量为0.12 t/a</w:t>
            </w:r>
            <w:r>
              <w:rPr>
                <w:rFonts w:hint="eastAsia" w:ascii="Times New Roman" w:hAnsi="Times New Roman" w:eastAsia="宋体"/>
                <w:color w:val="auto"/>
                <w:u w:val="none" w:color="auto"/>
                <w:lang w:val="en-US" w:eastAsia="zh-CN"/>
              </w:rPr>
              <w:t>。</w:t>
            </w:r>
          </w:p>
          <w:p w14:paraId="71CC96AA">
            <w:pPr>
              <w:bidi w:val="0"/>
              <w:rPr>
                <w:rFonts w:hint="default" w:ascii="Times New Roman" w:hAnsi="Times New Roman" w:cs="Times New Roman"/>
                <w:color w:val="auto"/>
                <w:u w:val="none" w:color="auto"/>
                <w:lang w:val="en-US" w:eastAsia="zh-CN"/>
              </w:rPr>
            </w:pPr>
            <w:r>
              <w:rPr>
                <w:rFonts w:hint="eastAsia" w:ascii="Times New Roman" w:hAnsi="Times New Roman" w:eastAsia="宋体"/>
                <w:color w:val="auto"/>
                <w:u w:val="none" w:color="auto"/>
                <w:lang w:val="en-US" w:eastAsia="zh-CN"/>
              </w:rPr>
              <w:t>（</w:t>
            </w:r>
            <w:r>
              <w:rPr>
                <w:rFonts w:hint="eastAsia"/>
                <w:color w:val="auto"/>
                <w:u w:val="none" w:color="auto"/>
                <w:lang w:val="en-US" w:eastAsia="zh-CN"/>
              </w:rPr>
              <w:t>4</w:t>
            </w:r>
            <w:r>
              <w:rPr>
                <w:rFonts w:hint="eastAsia" w:ascii="Times New Roman" w:hAnsi="Times New Roman" w:eastAsia="宋体"/>
                <w:color w:val="auto"/>
                <w:u w:val="none" w:color="auto"/>
                <w:lang w:val="en-US" w:eastAsia="zh-CN"/>
              </w:rPr>
              <w:t>）食堂油烟</w:t>
            </w:r>
          </w:p>
          <w:p w14:paraId="7BEE9EBF">
            <w:pPr>
              <w:widowControl/>
              <w:ind w:firstLine="480"/>
              <w:rPr>
                <w:rFonts w:hint="default" w:ascii="Times New Roman" w:hAnsi="Times New Roman" w:cs="Times New Roman"/>
                <w:color w:val="auto"/>
                <w:kern w:val="0"/>
                <w:u w:val="none"/>
              </w:rPr>
            </w:pPr>
            <w:r>
              <w:rPr>
                <w:rFonts w:hint="eastAsia" w:ascii="Times New Roman" w:hAnsi="Times New Roman" w:cs="Times New Roman"/>
                <w:color w:val="auto"/>
                <w:kern w:val="0"/>
                <w:u w:val="none"/>
                <w:lang w:val="en-US" w:eastAsia="zh-CN"/>
              </w:rPr>
              <w:t>企业</w:t>
            </w:r>
            <w:r>
              <w:rPr>
                <w:rFonts w:hint="default" w:ascii="Times New Roman" w:hAnsi="Times New Roman" w:cs="Times New Roman"/>
                <w:color w:val="auto"/>
                <w:kern w:val="0"/>
                <w:u w:val="none"/>
              </w:rPr>
              <w:t>食堂每天用餐人数为</w:t>
            </w:r>
            <w:r>
              <w:rPr>
                <w:rFonts w:hint="eastAsia" w:cs="Times New Roman"/>
                <w:color w:val="auto"/>
                <w:kern w:val="0"/>
                <w:u w:val="none"/>
                <w:lang w:val="en-US" w:eastAsia="zh-CN"/>
              </w:rPr>
              <w:t>35</w:t>
            </w:r>
            <w:r>
              <w:rPr>
                <w:rFonts w:hint="default" w:ascii="Times New Roman" w:hAnsi="Times New Roman" w:cs="Times New Roman"/>
                <w:color w:val="auto"/>
                <w:kern w:val="0"/>
                <w:u w:val="none"/>
              </w:rPr>
              <w:t>人/d，食堂每年开放3</w:t>
            </w:r>
            <w:r>
              <w:rPr>
                <w:rFonts w:hint="eastAsia" w:cs="Times New Roman"/>
                <w:color w:val="auto"/>
                <w:kern w:val="0"/>
                <w:u w:val="none"/>
                <w:lang w:val="en-US" w:eastAsia="zh-CN"/>
              </w:rPr>
              <w:t>65</w:t>
            </w:r>
            <w:r>
              <w:rPr>
                <w:rFonts w:hint="default" w:ascii="Times New Roman" w:hAnsi="Times New Roman" w:cs="Times New Roman"/>
                <w:color w:val="auto"/>
                <w:kern w:val="0"/>
                <w:u w:val="none"/>
              </w:rPr>
              <w:t>天，</w:t>
            </w:r>
            <w:r>
              <w:rPr>
                <w:rFonts w:hint="eastAsia"/>
                <w:color w:val="auto"/>
                <w:lang w:val="en-US" w:eastAsia="zh-CN"/>
              </w:rPr>
              <w:t>提供早、中、晚三餐，</w:t>
            </w:r>
            <w:r>
              <w:rPr>
                <w:rFonts w:hint="default" w:ascii="Times New Roman" w:hAnsi="Times New Roman" w:cs="Times New Roman"/>
                <w:color w:val="auto"/>
                <w:kern w:val="0"/>
                <w:u w:val="none"/>
              </w:rPr>
              <w:t>每天使用</w:t>
            </w:r>
            <w:r>
              <w:rPr>
                <w:rFonts w:hint="eastAsia" w:cs="Times New Roman"/>
                <w:color w:val="auto"/>
                <w:kern w:val="0"/>
                <w:u w:val="none"/>
                <w:lang w:val="en-US" w:eastAsia="zh-CN"/>
              </w:rPr>
              <w:t>6</w:t>
            </w:r>
            <w:r>
              <w:rPr>
                <w:rFonts w:hint="default" w:ascii="Times New Roman" w:hAnsi="Times New Roman" w:cs="Times New Roman"/>
                <w:color w:val="auto"/>
                <w:kern w:val="0"/>
                <w:u w:val="none"/>
              </w:rPr>
              <w:t>小时。食堂大气污染物主要为油烟</w:t>
            </w:r>
            <w:r>
              <w:rPr>
                <w:rFonts w:hint="eastAsia" w:cs="Times New Roman"/>
                <w:color w:val="auto"/>
                <w:kern w:val="0"/>
                <w:u w:val="none"/>
                <w:lang w:val="en-US" w:eastAsia="zh-CN"/>
              </w:rPr>
              <w:t>，食堂油烟经油烟净化器处理后引至屋顶排放</w:t>
            </w:r>
            <w:r>
              <w:rPr>
                <w:rFonts w:hint="default" w:ascii="Times New Roman" w:hAnsi="Times New Roman" w:cs="Times New Roman"/>
                <w:color w:val="auto"/>
                <w:kern w:val="0"/>
                <w:u w:val="none"/>
              </w:rPr>
              <w:t>。</w:t>
            </w:r>
          </w:p>
          <w:p w14:paraId="154A73D2">
            <w:pPr>
              <w:bidi w:val="0"/>
              <w:rPr>
                <w:rFonts w:hint="default" w:ascii="Times New Roman" w:hAnsi="Times New Roman" w:cs="Times New Roman"/>
                <w:color w:val="auto"/>
                <w:highlight w:val="none"/>
                <w:u w:val="none"/>
              </w:rPr>
            </w:pPr>
            <w:r>
              <w:rPr>
                <w:rFonts w:hint="default" w:ascii="Times New Roman" w:hAnsi="Times New Roman" w:cs="Times New Roman"/>
                <w:color w:val="auto"/>
                <w:szCs w:val="24"/>
                <w:highlight w:val="none"/>
                <w:u w:val="none"/>
              </w:rPr>
              <w:t>根据</w:t>
            </w:r>
            <w:r>
              <w:rPr>
                <w:rFonts w:hint="eastAsia" w:cs="Times New Roman"/>
                <w:color w:val="auto"/>
                <w:szCs w:val="24"/>
                <w:highlight w:val="none"/>
                <w:u w:val="none"/>
                <w:lang w:val="en-US" w:eastAsia="zh-CN"/>
              </w:rPr>
              <w:t>生活污染源产排污系数手册，湖南（三区）餐饮油烟排放系数为</w:t>
            </w:r>
            <w:r>
              <w:rPr>
                <w:rFonts w:hint="default" w:ascii="Times New Roman" w:hAnsi="Times New Roman" w:cs="Times New Roman"/>
                <w:color w:val="auto"/>
                <w:szCs w:val="24"/>
                <w:highlight w:val="none"/>
                <w:u w:val="none"/>
              </w:rPr>
              <w:t>3</w:t>
            </w:r>
            <w:r>
              <w:rPr>
                <w:rFonts w:hint="eastAsia" w:cs="Times New Roman"/>
                <w:color w:val="auto"/>
                <w:szCs w:val="24"/>
                <w:highlight w:val="none"/>
                <w:u w:val="none"/>
                <w:lang w:val="en-US" w:eastAsia="zh-CN"/>
              </w:rPr>
              <w:t>1</w:t>
            </w:r>
            <w:r>
              <w:rPr>
                <w:rFonts w:hint="default" w:ascii="Times New Roman" w:hAnsi="Times New Roman" w:cs="Times New Roman"/>
                <w:color w:val="auto"/>
                <w:szCs w:val="24"/>
                <w:highlight w:val="none"/>
                <w:u w:val="none"/>
              </w:rPr>
              <w:t>0</w:t>
            </w:r>
            <w:r>
              <w:rPr>
                <w:rFonts w:hint="eastAsia" w:cs="Times New Roman"/>
                <w:color w:val="auto"/>
                <w:szCs w:val="24"/>
                <w:highlight w:val="none"/>
                <w:u w:val="none"/>
                <w:lang w:val="en-US" w:eastAsia="zh-CN"/>
              </w:rPr>
              <w:t xml:space="preserve"> </w:t>
            </w:r>
            <w:r>
              <w:rPr>
                <w:rFonts w:hint="default" w:ascii="Times New Roman" w:hAnsi="Times New Roman" w:cs="Times New Roman"/>
                <w:color w:val="auto"/>
                <w:szCs w:val="24"/>
                <w:highlight w:val="none"/>
                <w:u w:val="none"/>
              </w:rPr>
              <w:t>g/人•</w:t>
            </w:r>
            <w:r>
              <w:rPr>
                <w:rFonts w:hint="eastAsia" w:cs="Times New Roman"/>
                <w:color w:val="auto"/>
                <w:szCs w:val="24"/>
                <w:highlight w:val="none"/>
                <w:u w:val="none"/>
                <w:lang w:val="en-US" w:eastAsia="zh-CN"/>
              </w:rPr>
              <w:t>a</w:t>
            </w:r>
            <w:r>
              <w:rPr>
                <w:rFonts w:hint="default" w:ascii="Times New Roman" w:hAnsi="Times New Roman" w:cs="Times New Roman"/>
                <w:color w:val="auto"/>
                <w:szCs w:val="24"/>
                <w:highlight w:val="none"/>
                <w:u w:val="none"/>
              </w:rPr>
              <w:t>，</w:t>
            </w:r>
            <w:r>
              <w:rPr>
                <w:rFonts w:hint="eastAsia" w:cs="Times New Roman"/>
                <w:color w:val="auto"/>
                <w:szCs w:val="24"/>
                <w:highlight w:val="none"/>
                <w:u w:val="none"/>
                <w:lang w:val="en-US" w:eastAsia="zh-CN"/>
              </w:rPr>
              <w:t>则</w:t>
            </w:r>
            <w:r>
              <w:rPr>
                <w:rFonts w:hint="default" w:ascii="Times New Roman" w:hAnsi="Times New Roman" w:cs="Times New Roman"/>
                <w:color w:val="auto"/>
                <w:szCs w:val="24"/>
                <w:highlight w:val="none"/>
                <w:u w:val="none"/>
              </w:rPr>
              <w:t>油烟产生量约</w:t>
            </w:r>
            <w:r>
              <w:rPr>
                <w:rFonts w:hint="eastAsia" w:cs="Times New Roman"/>
                <w:color w:val="auto"/>
                <w:szCs w:val="24"/>
                <w:highlight w:val="none"/>
                <w:u w:val="none"/>
                <w:lang w:val="en-US" w:eastAsia="zh-CN"/>
              </w:rPr>
              <w:t xml:space="preserve">10.85 </w:t>
            </w:r>
            <w:r>
              <w:rPr>
                <w:rFonts w:hint="default" w:ascii="Times New Roman" w:hAnsi="Times New Roman" w:cs="Times New Roman"/>
                <w:color w:val="auto"/>
                <w:szCs w:val="24"/>
                <w:highlight w:val="none"/>
                <w:u w:val="none"/>
              </w:rPr>
              <w:t>kg/a</w:t>
            </w: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highlight w:val="none"/>
                <w:u w:val="none"/>
              </w:rPr>
              <w:t>速率0.</w:t>
            </w:r>
            <w:r>
              <w:rPr>
                <w:rFonts w:hint="default" w:ascii="Times New Roman" w:hAnsi="Times New Roman" w:cs="Times New Roman"/>
                <w:color w:val="auto"/>
                <w:highlight w:val="none"/>
                <w:u w:val="none"/>
                <w:lang w:val="en-US" w:eastAsia="zh-CN"/>
              </w:rPr>
              <w:t>0</w:t>
            </w:r>
            <w:r>
              <w:rPr>
                <w:rFonts w:hint="eastAsia" w:ascii="Times New Roman" w:hAnsi="Times New Roman" w:cs="Times New Roman"/>
                <w:color w:val="auto"/>
                <w:highlight w:val="none"/>
                <w:u w:val="none"/>
                <w:lang w:val="en-US" w:eastAsia="zh-CN"/>
              </w:rPr>
              <w:t>0</w:t>
            </w:r>
            <w:r>
              <w:rPr>
                <w:rFonts w:hint="eastAsia" w:cs="Times New Roman"/>
                <w:color w:val="auto"/>
                <w:highlight w:val="none"/>
                <w:u w:val="none"/>
                <w:lang w:val="en-US" w:eastAsia="zh-CN"/>
              </w:rPr>
              <w:t xml:space="preserve">5 </w:t>
            </w:r>
            <w:r>
              <w:rPr>
                <w:rFonts w:hint="default" w:ascii="Times New Roman" w:hAnsi="Times New Roman" w:cs="Times New Roman"/>
                <w:color w:val="auto"/>
                <w:highlight w:val="none"/>
                <w:u w:val="none"/>
              </w:rPr>
              <w:t>kg/h；</w:t>
            </w:r>
            <w:r>
              <w:rPr>
                <w:rFonts w:hint="default" w:ascii="Times New Roman" w:hAnsi="Times New Roman" w:cs="Times New Roman"/>
                <w:color w:val="auto"/>
                <w:sz w:val="24"/>
                <w:szCs w:val="24"/>
                <w:highlight w:val="none"/>
                <w:u w:val="none"/>
                <w:lang w:val="en-US" w:eastAsia="zh-CN"/>
              </w:rPr>
              <w:t>项目拟</w:t>
            </w:r>
            <w:r>
              <w:rPr>
                <w:rFonts w:hint="default" w:ascii="Times New Roman" w:hAnsi="Times New Roman" w:cs="Times New Roman"/>
                <w:color w:val="auto"/>
                <w:sz w:val="24"/>
                <w:szCs w:val="24"/>
                <w:highlight w:val="none"/>
                <w:u w:val="none"/>
              </w:rPr>
              <w:t>安装</w:t>
            </w:r>
            <w:r>
              <w:rPr>
                <w:rFonts w:hint="default" w:ascii="Times New Roman" w:hAnsi="Times New Roman" w:cs="Times New Roman"/>
                <w:color w:val="auto"/>
                <w:sz w:val="24"/>
                <w:szCs w:val="24"/>
                <w:highlight w:val="none"/>
                <w:u w:val="none"/>
                <w:lang w:val="en-US" w:eastAsia="zh-CN"/>
              </w:rPr>
              <w:t>了</w:t>
            </w:r>
            <w:r>
              <w:rPr>
                <w:rFonts w:hint="default" w:ascii="Times New Roman" w:hAnsi="Times New Roman" w:cs="Times New Roman"/>
                <w:color w:val="auto"/>
                <w:sz w:val="24"/>
                <w:szCs w:val="24"/>
                <w:highlight w:val="none"/>
                <w:u w:val="none"/>
              </w:rPr>
              <w:t>1套风量为</w:t>
            </w:r>
            <w:r>
              <w:rPr>
                <w:rFonts w:hint="eastAsia" w:ascii="Times New Roman" w:hAnsi="Times New Roman" w:cs="Times New Roman"/>
                <w:color w:val="auto"/>
                <w:sz w:val="24"/>
                <w:szCs w:val="24"/>
                <w:highlight w:val="none"/>
                <w:u w:val="none"/>
                <w:lang w:val="en-US" w:eastAsia="zh-CN"/>
              </w:rPr>
              <w:t>3</w:t>
            </w:r>
            <w:r>
              <w:rPr>
                <w:rFonts w:hint="default" w:ascii="Times New Roman" w:hAnsi="Times New Roman" w:cs="Times New Roman"/>
                <w:color w:val="auto"/>
                <w:sz w:val="24"/>
                <w:szCs w:val="24"/>
                <w:highlight w:val="none"/>
                <w:u w:val="none"/>
              </w:rPr>
              <w:t>000</w:t>
            </w:r>
            <w:r>
              <w:rPr>
                <w:rFonts w:hint="eastAsia" w:cs="Times New Roman"/>
                <w:color w:val="auto"/>
                <w:sz w:val="24"/>
                <w:szCs w:val="24"/>
                <w:highlight w:val="none"/>
                <w:u w:val="none"/>
                <w:lang w:val="en-US" w:eastAsia="zh-CN"/>
              </w:rPr>
              <w:t xml:space="preserve"> </w:t>
            </w:r>
            <w:r>
              <w:rPr>
                <w:rFonts w:hint="default" w:ascii="Times New Roman" w:hAnsi="Times New Roman" w:cs="Times New Roman"/>
                <w:color w:val="auto"/>
                <w:sz w:val="24"/>
                <w:szCs w:val="24"/>
                <w:highlight w:val="none"/>
                <w:u w:val="none"/>
              </w:rPr>
              <w:t>m</w:t>
            </w:r>
            <w:r>
              <w:rPr>
                <w:rFonts w:hint="default" w:ascii="Times New Roman" w:hAnsi="Times New Roman"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rPr>
              <w:t>/h的油烟净化设备</w:t>
            </w:r>
            <w:r>
              <w:rPr>
                <w:rFonts w:hint="eastAsia" w:ascii="Times New Roman" w:hAnsi="Times New Roman" w:cs="Times New Roman"/>
                <w:color w:val="auto"/>
                <w:sz w:val="24"/>
                <w:szCs w:val="24"/>
                <w:highlight w:val="none"/>
                <w:u w:val="none"/>
                <w:lang w:val="en-US" w:eastAsia="zh-CN"/>
              </w:rPr>
              <w:t>高于屋顶</w:t>
            </w:r>
            <w:r>
              <w:rPr>
                <w:rFonts w:hint="default" w:ascii="Times New Roman" w:hAnsi="Times New Roman" w:cs="Times New Roman"/>
                <w:color w:val="auto"/>
                <w:sz w:val="24"/>
                <w:szCs w:val="24"/>
                <w:highlight w:val="none"/>
                <w:u w:val="none"/>
                <w:lang w:val="en-US" w:eastAsia="zh-CN"/>
              </w:rPr>
              <w:t>排放</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去除率</w:t>
            </w:r>
            <w:r>
              <w:rPr>
                <w:rFonts w:hint="eastAsia" w:ascii="Times New Roman" w:hAnsi="Times New Roman" w:cs="Times New Roman"/>
                <w:color w:val="auto"/>
                <w:sz w:val="24"/>
                <w:szCs w:val="24"/>
                <w:highlight w:val="none"/>
                <w:u w:val="none"/>
                <w:lang w:val="en-US" w:eastAsia="zh-CN"/>
              </w:rPr>
              <w:t>60</w:t>
            </w:r>
            <w:r>
              <w:rPr>
                <w:rFonts w:hint="default" w:ascii="Times New Roman" w:hAnsi="Times New Roman" w:cs="Times New Roman"/>
                <w:color w:val="auto"/>
                <w:sz w:val="24"/>
                <w:szCs w:val="24"/>
                <w:highlight w:val="none"/>
                <w:u w:val="none"/>
              </w:rPr>
              <w:t>%以上</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highlight w:val="none"/>
                <w:u w:val="none"/>
              </w:rPr>
              <w:t>经净化设施处理后排放量为</w:t>
            </w:r>
            <w:r>
              <w:rPr>
                <w:rFonts w:hint="eastAsia" w:cs="Times New Roman"/>
                <w:color w:val="auto"/>
                <w:highlight w:val="none"/>
                <w:u w:val="none"/>
                <w:lang w:val="en-US" w:eastAsia="zh-CN"/>
              </w:rPr>
              <w:t xml:space="preserve">4.34 </w:t>
            </w:r>
            <w:r>
              <w:rPr>
                <w:rFonts w:hint="default" w:ascii="Times New Roman" w:hAnsi="Times New Roman" w:cs="Times New Roman"/>
                <w:color w:val="auto"/>
                <w:highlight w:val="none"/>
                <w:u w:val="none"/>
              </w:rPr>
              <w:t>kg/a，</w:t>
            </w:r>
            <w:r>
              <w:rPr>
                <w:rFonts w:hint="default" w:ascii="Times New Roman" w:hAnsi="Times New Roman" w:cs="Times New Roman"/>
                <w:color w:val="auto"/>
                <w:szCs w:val="24"/>
                <w:highlight w:val="none"/>
                <w:u w:val="none"/>
              </w:rPr>
              <w:t>速率</w:t>
            </w:r>
            <w:r>
              <w:rPr>
                <w:rFonts w:hint="eastAsia" w:ascii="Times New Roman" w:hAnsi="Times New Roman" w:cs="Times New Roman"/>
                <w:color w:val="auto"/>
                <w:szCs w:val="24"/>
                <w:highlight w:val="none"/>
                <w:u w:val="none"/>
                <w:lang w:val="en-US" w:eastAsia="zh-CN"/>
              </w:rPr>
              <w:t>0.00</w:t>
            </w:r>
            <w:r>
              <w:rPr>
                <w:rFonts w:hint="eastAsia" w:cs="Times New Roman"/>
                <w:color w:val="auto"/>
                <w:szCs w:val="24"/>
                <w:highlight w:val="none"/>
                <w:u w:val="none"/>
                <w:lang w:val="en-US" w:eastAsia="zh-CN"/>
              </w:rPr>
              <w:t xml:space="preserve">2 </w:t>
            </w:r>
            <w:r>
              <w:rPr>
                <w:rFonts w:hint="default" w:ascii="Times New Roman" w:hAnsi="Times New Roman" w:cs="Times New Roman"/>
                <w:color w:val="auto"/>
                <w:szCs w:val="24"/>
                <w:highlight w:val="none"/>
                <w:u w:val="none"/>
              </w:rPr>
              <w:t>kg/h</w:t>
            </w: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highlight w:val="none"/>
                <w:u w:val="none"/>
              </w:rPr>
              <w:t>排放浓度为</w:t>
            </w:r>
            <w:r>
              <w:rPr>
                <w:rFonts w:hint="eastAsia" w:ascii="Times New Roman" w:hAnsi="Times New Roman" w:cs="Times New Roman"/>
                <w:color w:val="auto"/>
                <w:highlight w:val="none"/>
                <w:u w:val="none"/>
                <w:lang w:val="en-US" w:eastAsia="zh-CN"/>
              </w:rPr>
              <w:t>0.</w:t>
            </w:r>
            <w:r>
              <w:rPr>
                <w:rFonts w:hint="eastAsia" w:cs="Times New Roman"/>
                <w:color w:val="auto"/>
                <w:highlight w:val="none"/>
                <w:u w:val="none"/>
                <w:lang w:val="en-US" w:eastAsia="zh-CN"/>
              </w:rPr>
              <w:t xml:space="preserve">7 </w:t>
            </w:r>
            <w:r>
              <w:rPr>
                <w:rFonts w:hint="default" w:ascii="Times New Roman" w:hAnsi="Times New Roman" w:cs="Times New Roman"/>
                <w:color w:val="auto"/>
                <w:highlight w:val="none"/>
                <w:u w:val="none"/>
              </w:rPr>
              <w:t>mg/m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w:t>
            </w:r>
          </w:p>
          <w:p w14:paraId="4FA0135D">
            <w:pPr>
              <w:bidi w:val="0"/>
              <w:rPr>
                <w:rFonts w:hint="default" w:ascii="Times New Roman" w:hAnsi="Times New Roman" w:eastAsia="宋体" w:cs="Times New Roman"/>
                <w:color w:val="auto"/>
                <w:highlight w:val="none"/>
                <w:u w:val="none"/>
                <w:lang w:val="en-US" w:eastAsia="zh-CN"/>
              </w:rPr>
            </w:pPr>
            <w:r>
              <w:rPr>
                <w:rFonts w:hint="eastAsia" w:ascii="Times New Roman" w:hAnsi="Times New Roman" w:cs="Times New Roman"/>
                <w:color w:val="auto"/>
                <w:highlight w:val="none"/>
                <w:u w:val="none"/>
                <w:lang w:eastAsia="zh-CN"/>
              </w:rPr>
              <w:t>（</w:t>
            </w:r>
            <w:r>
              <w:rPr>
                <w:rFonts w:hint="eastAsia" w:cs="Times New Roman"/>
                <w:color w:val="auto"/>
                <w:highlight w:val="none"/>
                <w:u w:val="none"/>
                <w:lang w:val="en-US" w:eastAsia="zh-CN"/>
              </w:rPr>
              <w:t>5</w:t>
            </w: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锅炉废气</w:t>
            </w:r>
          </w:p>
          <w:p w14:paraId="311AF67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cs="Times New Roman"/>
                <w:color w:val="auto"/>
                <w:kern w:val="0"/>
                <w:sz w:val="24"/>
                <w:szCs w:val="24"/>
                <w:u w:val="none" w:color="auto"/>
                <w:lang w:val="en-US" w:eastAsia="zh-CN" w:bidi="ar"/>
              </w:rPr>
              <w:t>根据</w:t>
            </w:r>
            <w:r>
              <w:rPr>
                <w:rFonts w:hint="default" w:ascii="Times New Roman" w:hAnsi="Times New Roman" w:eastAsia="宋体" w:cs="Times New Roman"/>
                <w:color w:val="auto"/>
                <w:kern w:val="0"/>
                <w:sz w:val="24"/>
                <w:szCs w:val="24"/>
                <w:u w:val="none" w:color="auto"/>
                <w:lang w:val="en-US" w:eastAsia="zh-CN" w:bidi="ar"/>
              </w:rPr>
              <w:t>《排放源统计调查产排污核算方法和系数手册》中的</w:t>
            </w:r>
            <w:r>
              <w:rPr>
                <w:rFonts w:hint="default" w:ascii="Times New Roman" w:hAnsi="Times New Roman" w:cs="Times New Roman"/>
                <w:color w:val="auto"/>
                <w:kern w:val="0"/>
                <w:sz w:val="24"/>
                <w:szCs w:val="24"/>
                <w:u w:val="none" w:color="auto"/>
                <w:lang w:val="en-US" w:eastAsia="zh-CN" w:bidi="ar"/>
              </w:rPr>
              <w:t>工业锅炉（热力供应）行业</w:t>
            </w:r>
            <w:r>
              <w:rPr>
                <w:rFonts w:hint="default" w:ascii="Times New Roman" w:hAnsi="Times New Roman" w:eastAsia="宋体" w:cs="Times New Roman"/>
                <w:color w:val="auto"/>
                <w:kern w:val="0"/>
                <w:sz w:val="24"/>
                <w:szCs w:val="24"/>
                <w:u w:val="none" w:color="auto"/>
                <w:lang w:val="en-US" w:eastAsia="zh-CN" w:bidi="ar"/>
              </w:rPr>
              <w:t>系数手册，“</w:t>
            </w:r>
            <w:r>
              <w:rPr>
                <w:rFonts w:hint="default" w:ascii="Times New Roman" w:hAnsi="Times New Roman" w:cs="Times New Roman"/>
                <w:color w:val="auto"/>
                <w:kern w:val="0"/>
                <w:sz w:val="24"/>
                <w:szCs w:val="24"/>
                <w:u w:val="none" w:color="auto"/>
                <w:lang w:val="en-US" w:eastAsia="zh-CN" w:bidi="ar"/>
              </w:rPr>
              <w:t>4430工业锅炉（热力生产和供应行业）产污</w:t>
            </w:r>
            <w:r>
              <w:rPr>
                <w:rFonts w:hint="default" w:ascii="Times New Roman" w:hAnsi="Times New Roman" w:eastAsia="宋体" w:cs="Times New Roman"/>
                <w:color w:val="auto"/>
                <w:kern w:val="0"/>
                <w:sz w:val="24"/>
                <w:szCs w:val="24"/>
                <w:u w:val="none" w:color="auto"/>
                <w:lang w:val="en-US" w:eastAsia="zh-CN" w:bidi="ar"/>
              </w:rPr>
              <w:t>系数表</w:t>
            </w:r>
            <w:r>
              <w:rPr>
                <w:rFonts w:hint="default" w:ascii="Times New Roman" w:hAnsi="Times New Roman" w:cs="Times New Roman"/>
                <w:color w:val="auto"/>
                <w:kern w:val="0"/>
                <w:sz w:val="24"/>
                <w:szCs w:val="24"/>
                <w:u w:val="none" w:color="auto"/>
                <w:lang w:val="en-US" w:eastAsia="zh-CN" w:bidi="ar"/>
              </w:rPr>
              <w:t>-</w:t>
            </w:r>
            <w:r>
              <w:rPr>
                <w:rFonts w:hint="eastAsia" w:cs="Times New Roman"/>
                <w:color w:val="auto"/>
                <w:kern w:val="0"/>
                <w:sz w:val="24"/>
                <w:szCs w:val="24"/>
                <w:u w:val="none" w:color="auto"/>
                <w:lang w:val="en-US" w:eastAsia="zh-CN" w:bidi="ar"/>
              </w:rPr>
              <w:t>燃煤</w:t>
            </w:r>
            <w:r>
              <w:rPr>
                <w:rFonts w:hint="default" w:ascii="Times New Roman" w:hAnsi="Times New Roman" w:cs="Times New Roman"/>
                <w:color w:val="auto"/>
                <w:kern w:val="0"/>
                <w:sz w:val="24"/>
                <w:szCs w:val="24"/>
                <w:u w:val="none" w:color="auto"/>
                <w:lang w:val="en-US" w:eastAsia="zh-CN" w:bidi="ar"/>
              </w:rPr>
              <w:t>锅</w:t>
            </w:r>
            <w:r>
              <w:rPr>
                <w:rFonts w:hint="default" w:ascii="Times New Roman" w:hAnsi="Times New Roman" w:eastAsia="宋体" w:cs="Times New Roman"/>
                <w:color w:val="auto"/>
                <w:kern w:val="0"/>
                <w:sz w:val="24"/>
                <w:szCs w:val="24"/>
                <w:u w:val="none" w:color="auto"/>
                <w:lang w:val="en-US" w:eastAsia="zh-CN" w:bidi="ar"/>
              </w:rPr>
              <w:t>炉”，</w:t>
            </w:r>
            <w:r>
              <w:rPr>
                <w:rFonts w:hint="eastAsia" w:cs="Times New Roman"/>
                <w:color w:val="auto"/>
                <w:kern w:val="0"/>
                <w:sz w:val="24"/>
                <w:szCs w:val="24"/>
                <w:u w:val="none" w:color="auto"/>
                <w:lang w:val="en-US" w:eastAsia="zh-CN" w:bidi="ar"/>
              </w:rPr>
              <w:t>技改前</w:t>
            </w:r>
            <w:r>
              <w:rPr>
                <w:rFonts w:hint="default" w:ascii="Times New Roman" w:hAnsi="Times New Roman" w:eastAsia="宋体" w:cs="Times New Roman"/>
                <w:color w:val="auto"/>
                <w:kern w:val="0"/>
                <w:sz w:val="24"/>
                <w:szCs w:val="24"/>
                <w:u w:val="none" w:color="auto"/>
                <w:lang w:val="en-US" w:eastAsia="zh-CN" w:bidi="ar"/>
              </w:rPr>
              <w:t>锅炉废气污染物产污系数见下表。</w:t>
            </w:r>
          </w:p>
          <w:p w14:paraId="1037C438">
            <w:pPr>
              <w:pStyle w:val="35"/>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w:t>
            </w:r>
            <w:r>
              <w:rPr>
                <w:rFonts w:hint="eastAsia" w:cs="Times New Roman"/>
                <w:color w:val="auto"/>
                <w:u w:val="none" w:color="auto"/>
                <w:lang w:val="en-US" w:eastAsia="zh-CN"/>
              </w:rPr>
              <w:t>2.7-7</w:t>
            </w:r>
            <w:r>
              <w:rPr>
                <w:rFonts w:hint="default" w:ascii="Times New Roman" w:hAnsi="Times New Roman" w:cs="Times New Roman"/>
                <w:color w:val="auto"/>
                <w:u w:val="none" w:color="auto"/>
                <w:lang w:val="en-US" w:eastAsia="zh-CN"/>
              </w:rPr>
              <w:t xml:space="preserve"> </w:t>
            </w:r>
            <w:r>
              <w:rPr>
                <w:rFonts w:hint="default" w:ascii="Times New Roman" w:hAnsi="Times New Roman" w:cs="Times New Roman"/>
                <w:color w:val="auto"/>
                <w:kern w:val="0"/>
                <w:sz w:val="24"/>
                <w:szCs w:val="20"/>
                <w:u w:val="none" w:color="auto"/>
                <w:lang w:val="en-US" w:eastAsia="zh-CN"/>
              </w:rPr>
              <w:t>项目锅炉废气污染物产污系数一览表</w:t>
            </w:r>
          </w:p>
          <w:tbl>
            <w:tblPr>
              <w:tblStyle w:val="23"/>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80"/>
              <w:gridCol w:w="784"/>
              <w:gridCol w:w="800"/>
              <w:gridCol w:w="982"/>
              <w:gridCol w:w="1218"/>
              <w:gridCol w:w="799"/>
              <w:gridCol w:w="1045"/>
              <w:gridCol w:w="1290"/>
            </w:tblGrid>
            <w:tr w14:paraId="0AB3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51" w:type="dxa"/>
                  <w:tcBorders>
                    <w:tl2br w:val="nil"/>
                    <w:tr2bl w:val="nil"/>
                  </w:tcBorders>
                  <w:noWrap w:val="0"/>
                  <w:vAlign w:val="center"/>
                </w:tcPr>
                <w:p w14:paraId="15C64A5F">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原料</w:t>
                  </w:r>
                </w:p>
                <w:p w14:paraId="525C3650">
                  <w:pPr>
                    <w:pStyle w:val="37"/>
                    <w:bidi w:val="0"/>
                    <w:ind w:firstLine="0" w:firstLineChars="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名称</w:t>
                  </w:r>
                </w:p>
              </w:tc>
              <w:tc>
                <w:tcPr>
                  <w:tcW w:w="796" w:type="dxa"/>
                  <w:tcBorders>
                    <w:tl2br w:val="nil"/>
                    <w:tr2bl w:val="nil"/>
                  </w:tcBorders>
                  <w:noWrap w:val="0"/>
                  <w:vAlign w:val="center"/>
                </w:tcPr>
                <w:p w14:paraId="1B3951FA">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产品名称</w:t>
                  </w:r>
                </w:p>
              </w:tc>
              <w:tc>
                <w:tcPr>
                  <w:tcW w:w="800" w:type="dxa"/>
                  <w:tcBorders>
                    <w:tl2br w:val="nil"/>
                    <w:tr2bl w:val="nil"/>
                  </w:tcBorders>
                  <w:noWrap w:val="0"/>
                  <w:vAlign w:val="center"/>
                </w:tcPr>
                <w:p w14:paraId="797661AE">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工艺</w:t>
                  </w:r>
                </w:p>
                <w:p w14:paraId="7FFAA1FA">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名称</w:t>
                  </w:r>
                </w:p>
              </w:tc>
              <w:tc>
                <w:tcPr>
                  <w:tcW w:w="817" w:type="dxa"/>
                  <w:tcBorders>
                    <w:tl2br w:val="nil"/>
                    <w:tr2bl w:val="nil"/>
                  </w:tcBorders>
                  <w:noWrap w:val="0"/>
                  <w:vAlign w:val="center"/>
                </w:tcPr>
                <w:p w14:paraId="31A1FC93">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规模等级</w:t>
                  </w:r>
                </w:p>
              </w:tc>
              <w:tc>
                <w:tcPr>
                  <w:tcW w:w="1004" w:type="dxa"/>
                  <w:tcBorders>
                    <w:tl2br w:val="nil"/>
                    <w:tr2bl w:val="nil"/>
                  </w:tcBorders>
                  <w:noWrap w:val="0"/>
                  <w:vAlign w:val="center"/>
                </w:tcPr>
                <w:p w14:paraId="6E77CC10">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污染物</w:t>
                  </w:r>
                </w:p>
                <w:p w14:paraId="1191A1BD">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指标</w:t>
                  </w:r>
                </w:p>
              </w:tc>
              <w:tc>
                <w:tcPr>
                  <w:tcW w:w="1246" w:type="dxa"/>
                  <w:tcBorders>
                    <w:tl2br w:val="nil"/>
                    <w:tr2bl w:val="nil"/>
                  </w:tcBorders>
                  <w:noWrap w:val="0"/>
                  <w:vAlign w:val="center"/>
                </w:tcPr>
                <w:p w14:paraId="30F4E41E">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单位</w:t>
                  </w:r>
                </w:p>
              </w:tc>
              <w:tc>
                <w:tcPr>
                  <w:tcW w:w="816" w:type="dxa"/>
                  <w:tcBorders>
                    <w:tl2br w:val="nil"/>
                    <w:tr2bl w:val="nil"/>
                  </w:tcBorders>
                  <w:noWrap w:val="0"/>
                  <w:vAlign w:val="center"/>
                </w:tcPr>
                <w:p w14:paraId="1CD505E5">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产污系数</w:t>
                  </w:r>
                </w:p>
              </w:tc>
              <w:tc>
                <w:tcPr>
                  <w:tcW w:w="1069" w:type="dxa"/>
                  <w:tcBorders>
                    <w:tl2br w:val="nil"/>
                    <w:tr2bl w:val="nil"/>
                  </w:tcBorders>
                  <w:noWrap w:val="0"/>
                  <w:vAlign w:val="center"/>
                </w:tcPr>
                <w:p w14:paraId="3AEF9188">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末端治理技术名称</w:t>
                  </w:r>
                </w:p>
              </w:tc>
              <w:tc>
                <w:tcPr>
                  <w:tcW w:w="1319" w:type="dxa"/>
                  <w:tcBorders>
                    <w:tl2br w:val="nil"/>
                    <w:tr2bl w:val="nil"/>
                  </w:tcBorders>
                  <w:noWrap w:val="0"/>
                  <w:vAlign w:val="center"/>
                </w:tcPr>
                <w:p w14:paraId="04C54E00">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末端治理技术效率（%）</w:t>
                  </w:r>
                </w:p>
              </w:tc>
            </w:tr>
            <w:tr w14:paraId="3BAD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51" w:type="dxa"/>
                  <w:vMerge w:val="restart"/>
                  <w:tcBorders>
                    <w:tl2br w:val="nil"/>
                    <w:tr2bl w:val="nil"/>
                  </w:tcBorders>
                  <w:noWrap w:val="0"/>
                  <w:vAlign w:val="center"/>
                </w:tcPr>
                <w:p w14:paraId="19D8DF56">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成型生物质燃料</w:t>
                  </w:r>
                </w:p>
              </w:tc>
              <w:tc>
                <w:tcPr>
                  <w:tcW w:w="796" w:type="dxa"/>
                  <w:vMerge w:val="restart"/>
                  <w:tcBorders>
                    <w:tl2br w:val="nil"/>
                    <w:tr2bl w:val="nil"/>
                  </w:tcBorders>
                  <w:noWrap w:val="0"/>
                  <w:vAlign w:val="center"/>
                </w:tcPr>
                <w:p w14:paraId="4B5AF093">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蒸汽/热水</w:t>
                  </w:r>
                </w:p>
              </w:tc>
              <w:tc>
                <w:tcPr>
                  <w:tcW w:w="800" w:type="dxa"/>
                  <w:vMerge w:val="restart"/>
                  <w:tcBorders>
                    <w:tl2br w:val="nil"/>
                    <w:tr2bl w:val="nil"/>
                  </w:tcBorders>
                  <w:noWrap w:val="0"/>
                  <w:vAlign w:val="center"/>
                </w:tcPr>
                <w:p w14:paraId="5FBA21C9">
                  <w:pPr>
                    <w:pStyle w:val="37"/>
                    <w:bidi w:val="0"/>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层燃炉</w:t>
                  </w:r>
                </w:p>
              </w:tc>
              <w:tc>
                <w:tcPr>
                  <w:tcW w:w="817" w:type="dxa"/>
                  <w:vMerge w:val="restart"/>
                  <w:tcBorders>
                    <w:tl2br w:val="nil"/>
                    <w:tr2bl w:val="nil"/>
                  </w:tcBorders>
                  <w:noWrap w:val="0"/>
                  <w:vAlign w:val="center"/>
                </w:tcPr>
                <w:p w14:paraId="11B24D53">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所有规模</w:t>
                  </w:r>
                </w:p>
              </w:tc>
              <w:tc>
                <w:tcPr>
                  <w:tcW w:w="1004" w:type="dxa"/>
                  <w:tcBorders>
                    <w:tl2br w:val="nil"/>
                    <w:tr2bl w:val="nil"/>
                  </w:tcBorders>
                  <w:noWrap w:val="0"/>
                  <w:vAlign w:val="center"/>
                </w:tcPr>
                <w:p w14:paraId="6DA909EE">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工业废气量</w:t>
                  </w:r>
                </w:p>
              </w:tc>
              <w:tc>
                <w:tcPr>
                  <w:tcW w:w="1246" w:type="dxa"/>
                  <w:tcBorders>
                    <w:tl2br w:val="nil"/>
                    <w:tr2bl w:val="nil"/>
                  </w:tcBorders>
                  <w:noWrap w:val="0"/>
                  <w:vAlign w:val="center"/>
                </w:tcPr>
                <w:p w14:paraId="69F368E1">
                  <w:pPr>
                    <w:pStyle w:val="37"/>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标立方米/吨-原料</w:t>
                  </w:r>
                </w:p>
              </w:tc>
              <w:tc>
                <w:tcPr>
                  <w:tcW w:w="816" w:type="dxa"/>
                  <w:tcBorders>
                    <w:tl2br w:val="nil"/>
                    <w:tr2bl w:val="nil"/>
                  </w:tcBorders>
                  <w:noWrap w:val="0"/>
                  <w:vAlign w:val="center"/>
                </w:tcPr>
                <w:p w14:paraId="01707658">
                  <w:pPr>
                    <w:pStyle w:val="37"/>
                    <w:bidi w:val="0"/>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10290</w:t>
                  </w:r>
                </w:p>
              </w:tc>
              <w:tc>
                <w:tcPr>
                  <w:tcW w:w="1069" w:type="dxa"/>
                  <w:tcBorders>
                    <w:tl2br w:val="nil"/>
                    <w:tr2bl w:val="nil"/>
                  </w:tcBorders>
                  <w:noWrap w:val="0"/>
                  <w:vAlign w:val="center"/>
                </w:tcPr>
                <w:p w14:paraId="43AA9C0F">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319" w:type="dxa"/>
                  <w:tcBorders>
                    <w:tl2br w:val="nil"/>
                    <w:tr2bl w:val="nil"/>
                  </w:tcBorders>
                  <w:noWrap w:val="0"/>
                  <w:vAlign w:val="center"/>
                </w:tcPr>
                <w:p w14:paraId="5232E449">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0A04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51" w:type="dxa"/>
                  <w:vMerge w:val="continue"/>
                  <w:tcBorders>
                    <w:tl2br w:val="nil"/>
                    <w:tr2bl w:val="nil"/>
                  </w:tcBorders>
                  <w:noWrap w:val="0"/>
                  <w:vAlign w:val="center"/>
                </w:tcPr>
                <w:p w14:paraId="7CF1884F">
                  <w:pPr>
                    <w:pStyle w:val="37"/>
                    <w:bidi w:val="0"/>
                    <w:rPr>
                      <w:rFonts w:hint="default" w:ascii="Times New Roman" w:hAnsi="Times New Roman" w:cs="Times New Roman"/>
                      <w:color w:val="auto"/>
                      <w:sz w:val="21"/>
                      <w:szCs w:val="21"/>
                      <w:u w:val="none" w:color="auto"/>
                      <w:lang w:val="en-US" w:eastAsia="zh-CN"/>
                    </w:rPr>
                  </w:pPr>
                </w:p>
              </w:tc>
              <w:tc>
                <w:tcPr>
                  <w:tcW w:w="796" w:type="dxa"/>
                  <w:vMerge w:val="continue"/>
                  <w:tcBorders>
                    <w:tl2br w:val="nil"/>
                    <w:tr2bl w:val="nil"/>
                  </w:tcBorders>
                  <w:noWrap w:val="0"/>
                  <w:vAlign w:val="center"/>
                </w:tcPr>
                <w:p w14:paraId="4C0DF07A">
                  <w:pPr>
                    <w:pStyle w:val="37"/>
                    <w:bidi w:val="0"/>
                    <w:rPr>
                      <w:rFonts w:hint="default" w:ascii="Times New Roman" w:hAnsi="Times New Roman" w:cs="Times New Roman"/>
                      <w:color w:val="auto"/>
                      <w:sz w:val="21"/>
                      <w:szCs w:val="21"/>
                      <w:u w:val="none" w:color="auto"/>
                      <w:lang w:val="en-US" w:eastAsia="zh-CN"/>
                    </w:rPr>
                  </w:pPr>
                </w:p>
              </w:tc>
              <w:tc>
                <w:tcPr>
                  <w:tcW w:w="800" w:type="dxa"/>
                  <w:vMerge w:val="continue"/>
                  <w:tcBorders>
                    <w:tl2br w:val="nil"/>
                    <w:tr2bl w:val="nil"/>
                  </w:tcBorders>
                  <w:noWrap w:val="0"/>
                  <w:vAlign w:val="center"/>
                </w:tcPr>
                <w:p w14:paraId="3C28F735">
                  <w:pPr>
                    <w:pStyle w:val="37"/>
                    <w:bidi w:val="0"/>
                    <w:rPr>
                      <w:rFonts w:hint="default" w:ascii="Times New Roman" w:hAnsi="Times New Roman" w:eastAsia="宋体" w:cs="Times New Roman"/>
                      <w:color w:val="auto"/>
                      <w:sz w:val="21"/>
                      <w:szCs w:val="21"/>
                      <w:u w:val="none" w:color="auto"/>
                      <w:lang w:val="en-US" w:eastAsia="zh-CN"/>
                    </w:rPr>
                  </w:pPr>
                </w:p>
              </w:tc>
              <w:tc>
                <w:tcPr>
                  <w:tcW w:w="817" w:type="dxa"/>
                  <w:vMerge w:val="continue"/>
                  <w:tcBorders>
                    <w:tl2br w:val="nil"/>
                    <w:tr2bl w:val="nil"/>
                  </w:tcBorders>
                  <w:noWrap w:val="0"/>
                  <w:vAlign w:val="center"/>
                </w:tcPr>
                <w:p w14:paraId="25B084BE">
                  <w:pPr>
                    <w:pStyle w:val="37"/>
                    <w:bidi w:val="0"/>
                    <w:rPr>
                      <w:rFonts w:hint="default" w:ascii="Times New Roman" w:hAnsi="Times New Roman" w:cs="Times New Roman"/>
                      <w:color w:val="auto"/>
                      <w:sz w:val="21"/>
                      <w:szCs w:val="21"/>
                      <w:u w:val="none" w:color="auto"/>
                      <w:lang w:val="en-US" w:eastAsia="zh-CN"/>
                    </w:rPr>
                  </w:pPr>
                </w:p>
              </w:tc>
              <w:tc>
                <w:tcPr>
                  <w:tcW w:w="1004" w:type="dxa"/>
                  <w:tcBorders>
                    <w:tl2br w:val="nil"/>
                    <w:tr2bl w:val="nil"/>
                  </w:tcBorders>
                  <w:noWrap w:val="0"/>
                  <w:vAlign w:val="center"/>
                </w:tcPr>
                <w:p w14:paraId="127612C4">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二氧化硫</w:t>
                  </w:r>
                </w:p>
              </w:tc>
              <w:tc>
                <w:tcPr>
                  <w:tcW w:w="1246" w:type="dxa"/>
                  <w:tcBorders>
                    <w:tl2br w:val="nil"/>
                    <w:tr2bl w:val="nil"/>
                  </w:tcBorders>
                  <w:noWrap w:val="0"/>
                  <w:vAlign w:val="center"/>
                </w:tcPr>
                <w:p w14:paraId="6226D1AB">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千克/吨-原料</w:t>
                  </w:r>
                </w:p>
              </w:tc>
              <w:tc>
                <w:tcPr>
                  <w:tcW w:w="816" w:type="dxa"/>
                  <w:tcBorders>
                    <w:tl2br w:val="nil"/>
                    <w:tr2bl w:val="nil"/>
                  </w:tcBorders>
                  <w:noWrap w:val="0"/>
                  <w:vAlign w:val="center"/>
                </w:tcPr>
                <w:p w14:paraId="1DC8BA62">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w:t>
                  </w:r>
                  <w:r>
                    <w:rPr>
                      <w:rFonts w:hint="eastAsia"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S</w:t>
                  </w:r>
                </w:p>
              </w:tc>
              <w:tc>
                <w:tcPr>
                  <w:tcW w:w="1069" w:type="dxa"/>
                  <w:tcBorders>
                    <w:tl2br w:val="nil"/>
                    <w:tr2bl w:val="nil"/>
                  </w:tcBorders>
                  <w:noWrap w:val="0"/>
                  <w:vAlign w:val="center"/>
                </w:tcPr>
                <w:p w14:paraId="2FA160BD">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319" w:type="dxa"/>
                  <w:tcBorders>
                    <w:tl2br w:val="nil"/>
                    <w:tr2bl w:val="nil"/>
                  </w:tcBorders>
                  <w:noWrap w:val="0"/>
                  <w:vAlign w:val="center"/>
                </w:tcPr>
                <w:p w14:paraId="36E8D74A">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28C7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51" w:type="dxa"/>
                  <w:vMerge w:val="continue"/>
                  <w:tcBorders>
                    <w:tl2br w:val="nil"/>
                    <w:tr2bl w:val="nil"/>
                  </w:tcBorders>
                  <w:noWrap w:val="0"/>
                  <w:vAlign w:val="center"/>
                </w:tcPr>
                <w:p w14:paraId="574CF654">
                  <w:pPr>
                    <w:pStyle w:val="37"/>
                    <w:bidi w:val="0"/>
                    <w:rPr>
                      <w:rFonts w:hint="default" w:ascii="Times New Roman" w:hAnsi="Times New Roman" w:cs="Times New Roman"/>
                      <w:color w:val="auto"/>
                      <w:sz w:val="21"/>
                      <w:szCs w:val="21"/>
                      <w:u w:val="none" w:color="auto"/>
                      <w:lang w:val="en-US" w:eastAsia="zh-CN"/>
                    </w:rPr>
                  </w:pPr>
                </w:p>
              </w:tc>
              <w:tc>
                <w:tcPr>
                  <w:tcW w:w="796" w:type="dxa"/>
                  <w:vMerge w:val="continue"/>
                  <w:tcBorders>
                    <w:tl2br w:val="nil"/>
                    <w:tr2bl w:val="nil"/>
                  </w:tcBorders>
                  <w:noWrap w:val="0"/>
                  <w:vAlign w:val="center"/>
                </w:tcPr>
                <w:p w14:paraId="6B70973C">
                  <w:pPr>
                    <w:pStyle w:val="37"/>
                    <w:bidi w:val="0"/>
                    <w:rPr>
                      <w:rFonts w:hint="default" w:ascii="Times New Roman" w:hAnsi="Times New Roman" w:cs="Times New Roman"/>
                      <w:color w:val="auto"/>
                      <w:sz w:val="21"/>
                      <w:szCs w:val="21"/>
                      <w:u w:val="none" w:color="auto"/>
                      <w:lang w:val="en-US" w:eastAsia="zh-CN"/>
                    </w:rPr>
                  </w:pPr>
                </w:p>
              </w:tc>
              <w:tc>
                <w:tcPr>
                  <w:tcW w:w="800" w:type="dxa"/>
                  <w:vMerge w:val="continue"/>
                  <w:tcBorders>
                    <w:tl2br w:val="nil"/>
                    <w:tr2bl w:val="nil"/>
                  </w:tcBorders>
                  <w:noWrap w:val="0"/>
                  <w:vAlign w:val="center"/>
                </w:tcPr>
                <w:p w14:paraId="5BB847D8">
                  <w:pPr>
                    <w:pStyle w:val="37"/>
                    <w:bidi w:val="0"/>
                    <w:rPr>
                      <w:rFonts w:hint="default" w:ascii="Times New Roman" w:hAnsi="Times New Roman" w:cs="Times New Roman"/>
                      <w:color w:val="auto"/>
                      <w:sz w:val="21"/>
                      <w:szCs w:val="21"/>
                      <w:u w:val="none" w:color="auto"/>
                      <w:lang w:val="en-US" w:eastAsia="zh-CN"/>
                    </w:rPr>
                  </w:pPr>
                </w:p>
              </w:tc>
              <w:tc>
                <w:tcPr>
                  <w:tcW w:w="817" w:type="dxa"/>
                  <w:vMerge w:val="continue"/>
                  <w:tcBorders>
                    <w:tl2br w:val="nil"/>
                    <w:tr2bl w:val="nil"/>
                  </w:tcBorders>
                  <w:noWrap w:val="0"/>
                  <w:vAlign w:val="center"/>
                </w:tcPr>
                <w:p w14:paraId="1FD93F4C">
                  <w:pPr>
                    <w:pStyle w:val="37"/>
                    <w:bidi w:val="0"/>
                    <w:rPr>
                      <w:rFonts w:hint="default" w:ascii="Times New Roman" w:hAnsi="Times New Roman" w:cs="Times New Roman"/>
                      <w:color w:val="auto"/>
                      <w:sz w:val="21"/>
                      <w:szCs w:val="21"/>
                      <w:u w:val="none" w:color="auto"/>
                      <w:lang w:val="en-US" w:eastAsia="zh-CN"/>
                    </w:rPr>
                  </w:pPr>
                </w:p>
              </w:tc>
              <w:tc>
                <w:tcPr>
                  <w:tcW w:w="1004" w:type="dxa"/>
                  <w:tcBorders>
                    <w:tl2br w:val="nil"/>
                    <w:tr2bl w:val="nil"/>
                  </w:tcBorders>
                  <w:noWrap w:val="0"/>
                  <w:vAlign w:val="center"/>
                </w:tcPr>
                <w:p w14:paraId="462560A3">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颗粒物</w:t>
                  </w:r>
                </w:p>
              </w:tc>
              <w:tc>
                <w:tcPr>
                  <w:tcW w:w="1246" w:type="dxa"/>
                  <w:tcBorders>
                    <w:tl2br w:val="nil"/>
                    <w:tr2bl w:val="nil"/>
                  </w:tcBorders>
                  <w:noWrap w:val="0"/>
                  <w:vAlign w:val="center"/>
                </w:tcPr>
                <w:p w14:paraId="3C5BFAB9">
                  <w:pPr>
                    <w:pStyle w:val="37"/>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千克/吨-原料</w:t>
                  </w:r>
                </w:p>
              </w:tc>
              <w:tc>
                <w:tcPr>
                  <w:tcW w:w="816" w:type="dxa"/>
                  <w:tcBorders>
                    <w:tl2br w:val="nil"/>
                    <w:tr2bl w:val="nil"/>
                  </w:tcBorders>
                  <w:noWrap w:val="0"/>
                  <w:vAlign w:val="center"/>
                </w:tcPr>
                <w:p w14:paraId="455AD566">
                  <w:pPr>
                    <w:pStyle w:val="37"/>
                    <w:bidi w:val="0"/>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1.25A</w:t>
                  </w:r>
                </w:p>
              </w:tc>
              <w:tc>
                <w:tcPr>
                  <w:tcW w:w="1069" w:type="dxa"/>
                  <w:tcBorders>
                    <w:tl2br w:val="nil"/>
                    <w:tr2bl w:val="nil"/>
                  </w:tcBorders>
                  <w:noWrap w:val="0"/>
                  <w:vAlign w:val="center"/>
                </w:tcPr>
                <w:p w14:paraId="4A909DA8">
                  <w:pPr>
                    <w:pStyle w:val="37"/>
                    <w:bidi w:val="0"/>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1319" w:type="dxa"/>
                  <w:tcBorders>
                    <w:tl2br w:val="nil"/>
                    <w:tr2bl w:val="nil"/>
                  </w:tcBorders>
                  <w:noWrap w:val="0"/>
                  <w:vAlign w:val="center"/>
                </w:tcPr>
                <w:p w14:paraId="334EC1F9">
                  <w:pPr>
                    <w:pStyle w:val="37"/>
                    <w:bidi w:val="0"/>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w:t>
                  </w:r>
                </w:p>
              </w:tc>
            </w:tr>
            <w:tr w14:paraId="0F61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51" w:type="dxa"/>
                  <w:vMerge w:val="continue"/>
                  <w:tcBorders>
                    <w:tl2br w:val="nil"/>
                    <w:tr2bl w:val="nil"/>
                  </w:tcBorders>
                  <w:noWrap w:val="0"/>
                  <w:vAlign w:val="center"/>
                </w:tcPr>
                <w:p w14:paraId="70990681">
                  <w:pPr>
                    <w:pStyle w:val="37"/>
                    <w:bidi w:val="0"/>
                    <w:rPr>
                      <w:rFonts w:hint="default" w:ascii="Times New Roman" w:hAnsi="Times New Roman" w:cs="Times New Roman"/>
                      <w:color w:val="auto"/>
                      <w:sz w:val="21"/>
                      <w:szCs w:val="21"/>
                      <w:u w:val="none" w:color="auto"/>
                      <w:lang w:val="en-US" w:eastAsia="zh-CN"/>
                    </w:rPr>
                  </w:pPr>
                </w:p>
              </w:tc>
              <w:tc>
                <w:tcPr>
                  <w:tcW w:w="796" w:type="dxa"/>
                  <w:vMerge w:val="continue"/>
                  <w:tcBorders>
                    <w:tl2br w:val="nil"/>
                    <w:tr2bl w:val="nil"/>
                  </w:tcBorders>
                  <w:noWrap w:val="0"/>
                  <w:vAlign w:val="center"/>
                </w:tcPr>
                <w:p w14:paraId="592AE24B">
                  <w:pPr>
                    <w:pStyle w:val="37"/>
                    <w:bidi w:val="0"/>
                    <w:rPr>
                      <w:rFonts w:hint="default" w:ascii="Times New Roman" w:hAnsi="Times New Roman" w:cs="Times New Roman"/>
                      <w:color w:val="auto"/>
                      <w:sz w:val="21"/>
                      <w:szCs w:val="21"/>
                      <w:u w:val="none" w:color="auto"/>
                      <w:lang w:val="en-US" w:eastAsia="zh-CN"/>
                    </w:rPr>
                  </w:pPr>
                </w:p>
              </w:tc>
              <w:tc>
                <w:tcPr>
                  <w:tcW w:w="800" w:type="dxa"/>
                  <w:vMerge w:val="continue"/>
                  <w:tcBorders>
                    <w:tl2br w:val="nil"/>
                    <w:tr2bl w:val="nil"/>
                  </w:tcBorders>
                  <w:noWrap w:val="0"/>
                  <w:vAlign w:val="center"/>
                </w:tcPr>
                <w:p w14:paraId="570BF311">
                  <w:pPr>
                    <w:pStyle w:val="37"/>
                    <w:bidi w:val="0"/>
                    <w:rPr>
                      <w:rFonts w:hint="default" w:ascii="Times New Roman" w:hAnsi="Times New Roman" w:cs="Times New Roman"/>
                      <w:color w:val="auto"/>
                      <w:sz w:val="21"/>
                      <w:szCs w:val="21"/>
                      <w:u w:val="none" w:color="auto"/>
                      <w:lang w:val="en-US" w:eastAsia="zh-CN"/>
                    </w:rPr>
                  </w:pPr>
                </w:p>
              </w:tc>
              <w:tc>
                <w:tcPr>
                  <w:tcW w:w="817" w:type="dxa"/>
                  <w:vMerge w:val="continue"/>
                  <w:tcBorders>
                    <w:tl2br w:val="nil"/>
                    <w:tr2bl w:val="nil"/>
                  </w:tcBorders>
                  <w:noWrap w:val="0"/>
                  <w:vAlign w:val="center"/>
                </w:tcPr>
                <w:p w14:paraId="2EF8354D">
                  <w:pPr>
                    <w:pStyle w:val="37"/>
                    <w:bidi w:val="0"/>
                    <w:rPr>
                      <w:rFonts w:hint="default" w:ascii="Times New Roman" w:hAnsi="Times New Roman" w:cs="Times New Roman"/>
                      <w:color w:val="auto"/>
                      <w:sz w:val="21"/>
                      <w:szCs w:val="21"/>
                      <w:u w:val="none" w:color="auto"/>
                      <w:lang w:val="en-US" w:eastAsia="zh-CN"/>
                    </w:rPr>
                  </w:pPr>
                </w:p>
              </w:tc>
              <w:tc>
                <w:tcPr>
                  <w:tcW w:w="1004" w:type="dxa"/>
                  <w:tcBorders>
                    <w:tl2br w:val="nil"/>
                    <w:tr2bl w:val="nil"/>
                  </w:tcBorders>
                  <w:noWrap w:val="0"/>
                  <w:vAlign w:val="center"/>
                </w:tcPr>
                <w:p w14:paraId="45A4AC1E">
                  <w:pPr>
                    <w:pStyle w:val="37"/>
                    <w:bidi w:val="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氮氧化物</w:t>
                  </w:r>
                </w:p>
              </w:tc>
              <w:tc>
                <w:tcPr>
                  <w:tcW w:w="1246" w:type="dxa"/>
                  <w:tcBorders>
                    <w:tl2br w:val="nil"/>
                    <w:tr2bl w:val="nil"/>
                  </w:tcBorders>
                  <w:noWrap w:val="0"/>
                  <w:vAlign w:val="center"/>
                </w:tcPr>
                <w:p w14:paraId="7E18F44F">
                  <w:pPr>
                    <w:pStyle w:val="37"/>
                    <w:bidi w:val="0"/>
                    <w:ind w:firstLine="0" w:firstLineChars="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千克/吨-原料</w:t>
                  </w:r>
                </w:p>
              </w:tc>
              <w:tc>
                <w:tcPr>
                  <w:tcW w:w="816" w:type="dxa"/>
                  <w:tcBorders>
                    <w:tl2br w:val="nil"/>
                    <w:tr2bl w:val="nil"/>
                  </w:tcBorders>
                  <w:noWrap w:val="0"/>
                  <w:vAlign w:val="center"/>
                </w:tcPr>
                <w:p w14:paraId="04AC84C0">
                  <w:pPr>
                    <w:pStyle w:val="37"/>
                    <w:bidi w:val="0"/>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2.94</w:t>
                  </w:r>
                </w:p>
              </w:tc>
              <w:tc>
                <w:tcPr>
                  <w:tcW w:w="1069" w:type="dxa"/>
                  <w:tcBorders>
                    <w:tl2br w:val="nil"/>
                    <w:tr2bl w:val="nil"/>
                  </w:tcBorders>
                  <w:noWrap w:val="0"/>
                  <w:vAlign w:val="center"/>
                </w:tcPr>
                <w:p w14:paraId="3F995719">
                  <w:pPr>
                    <w:pStyle w:val="37"/>
                    <w:bidi w:val="0"/>
                    <w:ind w:firstLine="0" w:firstLineChars="0"/>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1319" w:type="dxa"/>
                  <w:tcBorders>
                    <w:tl2br w:val="nil"/>
                    <w:tr2bl w:val="nil"/>
                  </w:tcBorders>
                  <w:noWrap w:val="0"/>
                  <w:vAlign w:val="center"/>
                </w:tcPr>
                <w:p w14:paraId="55A7D442">
                  <w:pPr>
                    <w:pStyle w:val="37"/>
                    <w:bidi w:val="0"/>
                    <w:ind w:firstLine="0" w:firstLineChars="0"/>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w:t>
                  </w:r>
                </w:p>
              </w:tc>
            </w:tr>
            <w:tr w14:paraId="663B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618" w:type="dxa"/>
                  <w:gridSpan w:val="9"/>
                  <w:tcBorders>
                    <w:tl2br w:val="nil"/>
                    <w:tr2bl w:val="nil"/>
                  </w:tcBorders>
                  <w:noWrap w:val="0"/>
                  <w:vAlign w:val="center"/>
                </w:tcPr>
                <w:p w14:paraId="4870335C">
                  <w:pPr>
                    <w:pStyle w:val="37"/>
                    <w:bidi w:val="0"/>
                    <w:ind w:firstLine="0" w:firstLineChars="0"/>
                    <w:jc w:val="left"/>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根据建设单位提供的资料，S=3、A=15、年用煤量120 t</w:t>
                  </w:r>
                  <w:r>
                    <w:rPr>
                      <w:rFonts w:hint="default" w:ascii="Times New Roman" w:hAnsi="Times New Roman" w:cs="Times New Roman"/>
                      <w:color w:val="auto"/>
                      <w:sz w:val="21"/>
                      <w:szCs w:val="21"/>
                      <w:u w:val="none" w:color="auto"/>
                      <w:lang w:val="en-US" w:eastAsia="zh-CN"/>
                    </w:rPr>
                    <w:t>。</w:t>
                  </w:r>
                </w:p>
              </w:tc>
            </w:tr>
          </w:tbl>
          <w:p w14:paraId="7155DAE3">
            <w:pPr>
              <w:pStyle w:val="35"/>
              <w:bidi w:val="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w:t>
            </w:r>
            <w:r>
              <w:rPr>
                <w:rFonts w:hint="eastAsia" w:cs="Times New Roman"/>
                <w:color w:val="auto"/>
                <w:u w:val="none" w:color="auto"/>
                <w:lang w:val="en-US" w:eastAsia="zh-CN"/>
              </w:rPr>
              <w:t>2.7-8</w:t>
            </w:r>
            <w:r>
              <w:rPr>
                <w:rFonts w:hint="default" w:ascii="Times New Roman" w:hAnsi="Times New Roman" w:cs="Times New Roman"/>
                <w:color w:val="auto"/>
                <w:u w:val="none" w:color="auto"/>
                <w:lang w:val="en-US" w:eastAsia="zh-CN"/>
              </w:rPr>
              <w:t xml:space="preserve"> </w:t>
            </w:r>
            <w:r>
              <w:rPr>
                <w:rFonts w:hint="default" w:ascii="Times New Roman" w:hAnsi="Times New Roman" w:cs="Times New Roman"/>
                <w:color w:val="auto"/>
                <w:kern w:val="0"/>
                <w:sz w:val="24"/>
                <w:szCs w:val="20"/>
                <w:u w:val="none" w:color="auto"/>
                <w:lang w:val="en-US" w:eastAsia="zh-CN"/>
              </w:rPr>
              <w:t>项目锅炉废气产生及治理措施一览表</w:t>
            </w:r>
          </w:p>
          <w:tbl>
            <w:tblPr>
              <w:tblStyle w:val="2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126"/>
              <w:gridCol w:w="1240"/>
              <w:gridCol w:w="1420"/>
              <w:gridCol w:w="2119"/>
              <w:gridCol w:w="1199"/>
            </w:tblGrid>
            <w:tr w14:paraId="3AA6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342" w:type="dxa"/>
                  <w:tcBorders>
                    <w:tl2br w:val="nil"/>
                    <w:tr2bl w:val="nil"/>
                  </w:tcBorders>
                  <w:noWrap w:val="0"/>
                  <w:vAlign w:val="center"/>
                </w:tcPr>
                <w:p w14:paraId="004701A3">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86" w:name="_Toc2778"/>
                  <w:r>
                    <w:rPr>
                      <w:rFonts w:hint="default" w:ascii="Times New Roman" w:hAnsi="Times New Roman" w:cs="Times New Roman"/>
                      <w:color w:val="auto"/>
                      <w:u w:val="none" w:color="auto"/>
                      <w:lang w:val="en-US" w:eastAsia="zh-CN"/>
                    </w:rPr>
                    <w:t>污染物</w:t>
                  </w:r>
                  <w:bookmarkEnd w:id="86"/>
                </w:p>
              </w:tc>
              <w:tc>
                <w:tcPr>
                  <w:tcW w:w="1126" w:type="dxa"/>
                  <w:tcBorders>
                    <w:tl2br w:val="nil"/>
                    <w:tr2bl w:val="nil"/>
                  </w:tcBorders>
                  <w:noWrap w:val="0"/>
                  <w:vAlign w:val="center"/>
                </w:tcPr>
                <w:p w14:paraId="4AC7A485">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rPr>
                  </w:pPr>
                  <w:bookmarkStart w:id="87" w:name="_Toc30934"/>
                  <w:r>
                    <w:rPr>
                      <w:rFonts w:hint="eastAsia" w:cs="Times New Roman"/>
                      <w:color w:val="auto"/>
                      <w:u w:val="none" w:color="auto"/>
                      <w:lang w:val="en-US" w:eastAsia="zh-CN"/>
                    </w:rPr>
                    <w:t>煤</w:t>
                  </w:r>
                  <w:r>
                    <w:rPr>
                      <w:rFonts w:hint="default" w:ascii="Times New Roman" w:hAnsi="Times New Roman" w:cs="Times New Roman"/>
                      <w:color w:val="auto"/>
                      <w:u w:val="none" w:color="auto"/>
                      <w:lang w:val="en-US" w:eastAsia="zh-CN"/>
                    </w:rPr>
                    <w:t>年用量</w:t>
                  </w:r>
                  <w:bookmarkEnd w:id="87"/>
                </w:p>
              </w:tc>
              <w:tc>
                <w:tcPr>
                  <w:tcW w:w="1240" w:type="dxa"/>
                  <w:tcBorders>
                    <w:tl2br w:val="nil"/>
                    <w:tr2bl w:val="nil"/>
                  </w:tcBorders>
                  <w:noWrap w:val="0"/>
                  <w:vAlign w:val="center"/>
                </w:tcPr>
                <w:p w14:paraId="57423D0A">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rPr>
                  </w:pPr>
                  <w:bookmarkStart w:id="88" w:name="_Toc6633"/>
                  <w:r>
                    <w:rPr>
                      <w:rFonts w:hint="default" w:ascii="Times New Roman" w:hAnsi="Times New Roman" w:cs="Times New Roman"/>
                      <w:color w:val="auto"/>
                      <w:u w:val="none" w:color="auto"/>
                    </w:rPr>
                    <w:t>产生量</w:t>
                  </w:r>
                  <w:r>
                    <w:rPr>
                      <w:rFonts w:hint="eastAsia" w:cs="Times New Roman"/>
                      <w:color w:val="auto"/>
                      <w:u w:val="none" w:color="auto"/>
                      <w:lang w:val="en-US" w:eastAsia="zh-CN"/>
                    </w:rPr>
                    <w:t xml:space="preserve"> t/a</w:t>
                  </w:r>
                  <w:bookmarkEnd w:id="88"/>
                </w:p>
              </w:tc>
              <w:tc>
                <w:tcPr>
                  <w:tcW w:w="1420" w:type="dxa"/>
                  <w:tcBorders>
                    <w:tl2br w:val="nil"/>
                    <w:tr2bl w:val="nil"/>
                  </w:tcBorders>
                  <w:noWrap w:val="0"/>
                  <w:vAlign w:val="center"/>
                </w:tcPr>
                <w:p w14:paraId="1B8223CA">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u w:val="none" w:color="auto"/>
                      <w:lang w:val="en-US" w:eastAsia="zh-CN"/>
                    </w:rPr>
                  </w:pPr>
                  <w:bookmarkStart w:id="89" w:name="_Toc22919"/>
                  <w:r>
                    <w:rPr>
                      <w:rFonts w:hint="default" w:ascii="Times New Roman" w:hAnsi="Times New Roman" w:cs="Times New Roman"/>
                      <w:color w:val="auto"/>
                      <w:u w:val="none" w:color="auto"/>
                      <w:lang w:val="en-US" w:eastAsia="zh-CN"/>
                    </w:rPr>
                    <w:t>废气量m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a</w:t>
                  </w:r>
                  <w:bookmarkEnd w:id="89"/>
                </w:p>
              </w:tc>
              <w:tc>
                <w:tcPr>
                  <w:tcW w:w="2120" w:type="dxa"/>
                  <w:tcBorders>
                    <w:tl2br w:val="nil"/>
                    <w:tr2bl w:val="nil"/>
                  </w:tcBorders>
                  <w:noWrap w:val="0"/>
                  <w:vAlign w:val="center"/>
                </w:tcPr>
                <w:p w14:paraId="6481DBE2">
                  <w:pPr>
                    <w:pStyle w:val="44"/>
                    <w:keepNext/>
                    <w:keepLines/>
                    <w:ind w:firstLine="0" w:firstLineChars="0"/>
                    <w:rPr>
                      <w:rFonts w:hint="default" w:ascii="Times New Roman" w:hAnsi="Times New Roman" w:eastAsia="宋体" w:cs="Times New Roman"/>
                      <w:color w:val="auto"/>
                      <w:kern w:val="2"/>
                      <w:sz w:val="21"/>
                      <w:szCs w:val="24"/>
                      <w:u w:val="none" w:color="auto"/>
                      <w:lang w:val="en-US" w:eastAsia="zh-CN" w:bidi="ar-SA"/>
                    </w:rPr>
                  </w:pPr>
                  <w:bookmarkStart w:id="90" w:name="_Toc18009"/>
                  <w:r>
                    <w:rPr>
                      <w:rFonts w:hint="default" w:ascii="Times New Roman" w:hAnsi="Times New Roman" w:eastAsia="宋体" w:cs="Times New Roman"/>
                      <w:color w:val="auto"/>
                      <w:u w:val="none" w:color="auto"/>
                      <w:lang w:val="en-US" w:eastAsia="zh-CN"/>
                    </w:rPr>
                    <w:t>末端治理技术效率%</w:t>
                  </w:r>
                  <w:bookmarkEnd w:id="90"/>
                </w:p>
              </w:tc>
              <w:tc>
                <w:tcPr>
                  <w:tcW w:w="1199" w:type="dxa"/>
                  <w:tcBorders>
                    <w:tl2br w:val="nil"/>
                    <w:tr2bl w:val="nil"/>
                  </w:tcBorders>
                  <w:noWrap w:val="0"/>
                  <w:vAlign w:val="center"/>
                </w:tcPr>
                <w:p w14:paraId="61930C83">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rPr>
                  </w:pPr>
                  <w:bookmarkStart w:id="91" w:name="_Toc84"/>
                  <w:r>
                    <w:rPr>
                      <w:rFonts w:hint="default" w:ascii="Times New Roman" w:hAnsi="Times New Roman" w:cs="Times New Roman"/>
                      <w:color w:val="auto"/>
                      <w:u w:val="none" w:color="auto"/>
                    </w:rPr>
                    <w:t>排放量</w:t>
                  </w:r>
                  <w:r>
                    <w:rPr>
                      <w:rFonts w:hint="eastAsia" w:cs="Times New Roman"/>
                      <w:color w:val="auto"/>
                      <w:u w:val="none" w:color="auto"/>
                      <w:lang w:val="en-US" w:eastAsia="zh-CN"/>
                    </w:rPr>
                    <w:t xml:space="preserve"> t/a</w:t>
                  </w:r>
                  <w:bookmarkEnd w:id="91"/>
                </w:p>
              </w:tc>
            </w:tr>
            <w:tr w14:paraId="73A4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2" w:type="dxa"/>
                  <w:tcBorders>
                    <w:tl2br w:val="nil"/>
                    <w:tr2bl w:val="nil"/>
                  </w:tcBorders>
                  <w:noWrap w:val="0"/>
                  <w:vAlign w:val="center"/>
                </w:tcPr>
                <w:p w14:paraId="29D9550E">
                  <w:pPr>
                    <w:pStyle w:val="37"/>
                    <w:bidi w:val="0"/>
                    <w:ind w:firstLine="0" w:firstLineChars="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二氧化硫</w:t>
                  </w:r>
                </w:p>
              </w:tc>
              <w:tc>
                <w:tcPr>
                  <w:tcW w:w="1126" w:type="dxa"/>
                  <w:vMerge w:val="restart"/>
                  <w:tcBorders>
                    <w:tl2br w:val="nil"/>
                    <w:tr2bl w:val="nil"/>
                  </w:tcBorders>
                  <w:noWrap w:val="0"/>
                  <w:vAlign w:val="center"/>
                </w:tcPr>
                <w:p w14:paraId="07E930DA">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92" w:name="_Toc1726"/>
                  <w:r>
                    <w:rPr>
                      <w:rFonts w:hint="eastAsia" w:cs="Times New Roman"/>
                      <w:color w:val="auto"/>
                      <w:u w:val="none" w:color="auto"/>
                      <w:lang w:val="en-US" w:eastAsia="zh-CN"/>
                    </w:rPr>
                    <w:t>120</w:t>
                  </w:r>
                  <w:r>
                    <w:rPr>
                      <w:rFonts w:hint="default" w:ascii="Times New Roman" w:hAnsi="Times New Roman" w:cs="Times New Roman"/>
                      <w:color w:val="auto"/>
                      <w:u w:val="none" w:color="auto"/>
                      <w:lang w:val="en-US" w:eastAsia="zh-CN"/>
                    </w:rPr>
                    <w:t xml:space="preserve"> t</w:t>
                  </w:r>
                  <w:bookmarkEnd w:id="92"/>
                </w:p>
              </w:tc>
              <w:tc>
                <w:tcPr>
                  <w:tcW w:w="1240" w:type="dxa"/>
                  <w:tcBorders>
                    <w:tl2br w:val="nil"/>
                    <w:tr2bl w:val="nil"/>
                  </w:tcBorders>
                  <w:noWrap w:val="0"/>
                  <w:vAlign w:val="center"/>
                </w:tcPr>
                <w:p w14:paraId="42AF4CB1">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93" w:name="_Toc1806"/>
                  <w:r>
                    <w:rPr>
                      <w:rFonts w:hint="eastAsia" w:cs="Times New Roman"/>
                      <w:color w:val="auto"/>
                      <w:u w:val="none" w:color="auto"/>
                      <w:lang w:val="en-US" w:eastAsia="zh-CN"/>
                    </w:rPr>
                    <w:t>5.76</w:t>
                  </w:r>
                  <w:bookmarkEnd w:id="93"/>
                </w:p>
              </w:tc>
              <w:tc>
                <w:tcPr>
                  <w:tcW w:w="1420" w:type="dxa"/>
                  <w:vMerge w:val="restart"/>
                  <w:tcBorders>
                    <w:tl2br w:val="nil"/>
                    <w:tr2bl w:val="nil"/>
                  </w:tcBorders>
                  <w:noWrap w:val="0"/>
                  <w:vAlign w:val="center"/>
                </w:tcPr>
                <w:p w14:paraId="71614143">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94" w:name="_Toc20408"/>
                  <w:r>
                    <w:rPr>
                      <w:rFonts w:hint="eastAsia" w:cs="Times New Roman"/>
                      <w:color w:val="auto"/>
                      <w:u w:val="none" w:color="auto"/>
                      <w:lang w:val="en-US" w:eastAsia="zh-CN"/>
                    </w:rPr>
                    <w:t>1234800</w:t>
                  </w:r>
                  <w:bookmarkEnd w:id="94"/>
                </w:p>
              </w:tc>
              <w:tc>
                <w:tcPr>
                  <w:tcW w:w="2120" w:type="dxa"/>
                  <w:tcBorders>
                    <w:tl2br w:val="nil"/>
                    <w:tr2bl w:val="nil"/>
                  </w:tcBorders>
                  <w:noWrap w:val="0"/>
                  <w:vAlign w:val="center"/>
                </w:tcPr>
                <w:p w14:paraId="3C3D0C6F">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95" w:name="_Toc31045"/>
                  <w:r>
                    <w:rPr>
                      <w:rFonts w:hint="default" w:ascii="Times New Roman" w:hAnsi="Times New Roman" w:cs="Times New Roman"/>
                      <w:color w:val="auto"/>
                      <w:u w:val="none" w:color="auto"/>
                      <w:lang w:val="en-US" w:eastAsia="zh-CN"/>
                    </w:rPr>
                    <w:t>0</w:t>
                  </w:r>
                  <w:bookmarkEnd w:id="95"/>
                </w:p>
              </w:tc>
              <w:tc>
                <w:tcPr>
                  <w:tcW w:w="1199" w:type="dxa"/>
                  <w:tcBorders>
                    <w:tl2br w:val="nil"/>
                    <w:tr2bl w:val="nil"/>
                  </w:tcBorders>
                  <w:shd w:val="clear" w:color="auto" w:fill="auto"/>
                  <w:noWrap w:val="0"/>
                  <w:vAlign w:val="center"/>
                </w:tcPr>
                <w:p w14:paraId="42EE71B6">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bookmarkStart w:id="96" w:name="_Toc6183"/>
                  <w:r>
                    <w:rPr>
                      <w:rFonts w:hint="eastAsia" w:cs="Times New Roman"/>
                      <w:color w:val="auto"/>
                      <w:u w:val="none" w:color="auto"/>
                      <w:lang w:val="en-US" w:eastAsia="zh-CN"/>
                    </w:rPr>
                    <w:t>5.76</w:t>
                  </w:r>
                  <w:bookmarkEnd w:id="96"/>
                </w:p>
              </w:tc>
            </w:tr>
            <w:tr w14:paraId="4E3D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2" w:type="dxa"/>
                  <w:tcBorders>
                    <w:tl2br w:val="nil"/>
                    <w:tr2bl w:val="nil"/>
                  </w:tcBorders>
                  <w:noWrap w:val="0"/>
                  <w:vAlign w:val="center"/>
                </w:tcPr>
                <w:p w14:paraId="06936235">
                  <w:pPr>
                    <w:pStyle w:val="37"/>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颗粒物</w:t>
                  </w:r>
                </w:p>
              </w:tc>
              <w:tc>
                <w:tcPr>
                  <w:tcW w:w="1126" w:type="dxa"/>
                  <w:vMerge w:val="continue"/>
                  <w:tcBorders>
                    <w:tl2br w:val="nil"/>
                    <w:tr2bl w:val="nil"/>
                  </w:tcBorders>
                  <w:noWrap w:val="0"/>
                  <w:vAlign w:val="center"/>
                </w:tcPr>
                <w:p w14:paraId="185C68C9">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p>
              </w:tc>
              <w:tc>
                <w:tcPr>
                  <w:tcW w:w="1240" w:type="dxa"/>
                  <w:tcBorders>
                    <w:tl2br w:val="nil"/>
                    <w:tr2bl w:val="nil"/>
                  </w:tcBorders>
                  <w:noWrap w:val="0"/>
                  <w:vAlign w:val="center"/>
                </w:tcPr>
                <w:p w14:paraId="2F179044">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97" w:name="_Toc12365"/>
                  <w:r>
                    <w:rPr>
                      <w:rFonts w:hint="eastAsia" w:cs="Times New Roman"/>
                      <w:color w:val="auto"/>
                      <w:u w:val="none" w:color="auto"/>
                      <w:lang w:val="en-US" w:eastAsia="zh-CN"/>
                    </w:rPr>
                    <w:t>2.25</w:t>
                  </w:r>
                  <w:bookmarkEnd w:id="97"/>
                </w:p>
              </w:tc>
              <w:tc>
                <w:tcPr>
                  <w:tcW w:w="1420" w:type="dxa"/>
                  <w:vMerge w:val="continue"/>
                  <w:tcBorders>
                    <w:tl2br w:val="nil"/>
                    <w:tr2bl w:val="nil"/>
                  </w:tcBorders>
                  <w:noWrap w:val="0"/>
                  <w:vAlign w:val="center"/>
                </w:tcPr>
                <w:p w14:paraId="5373F772">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default" w:ascii="Times New Roman" w:hAnsi="Times New Roman" w:cs="Times New Roman"/>
                      <w:color w:val="auto"/>
                      <w:u w:val="none" w:color="auto"/>
                      <w:lang w:val="en-US" w:eastAsia="zh-CN"/>
                    </w:rPr>
                  </w:pPr>
                </w:p>
              </w:tc>
              <w:tc>
                <w:tcPr>
                  <w:tcW w:w="2120" w:type="dxa"/>
                  <w:tcBorders>
                    <w:tl2br w:val="nil"/>
                    <w:tr2bl w:val="nil"/>
                  </w:tcBorders>
                  <w:noWrap w:val="0"/>
                  <w:vAlign w:val="center"/>
                </w:tcPr>
                <w:p w14:paraId="149E0F66">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0</w:t>
                  </w:r>
                </w:p>
              </w:tc>
              <w:tc>
                <w:tcPr>
                  <w:tcW w:w="1199" w:type="dxa"/>
                  <w:tcBorders>
                    <w:tl2br w:val="nil"/>
                    <w:tr2bl w:val="nil"/>
                  </w:tcBorders>
                  <w:noWrap w:val="0"/>
                  <w:vAlign w:val="center"/>
                </w:tcPr>
                <w:p w14:paraId="59E9CD25">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98" w:name="_Toc21807"/>
                  <w:r>
                    <w:rPr>
                      <w:rFonts w:hint="eastAsia" w:cs="Times New Roman"/>
                      <w:color w:val="auto"/>
                      <w:u w:val="none" w:color="auto"/>
                      <w:lang w:val="en-US" w:eastAsia="zh-CN"/>
                    </w:rPr>
                    <w:t>2.25</w:t>
                  </w:r>
                  <w:bookmarkEnd w:id="98"/>
                </w:p>
              </w:tc>
            </w:tr>
            <w:tr w14:paraId="6A3C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2" w:type="dxa"/>
                  <w:tcBorders>
                    <w:tl2br w:val="nil"/>
                    <w:tr2bl w:val="nil"/>
                  </w:tcBorders>
                  <w:noWrap w:val="0"/>
                  <w:vAlign w:val="center"/>
                </w:tcPr>
                <w:p w14:paraId="376D3AE4">
                  <w:pPr>
                    <w:pStyle w:val="37"/>
                    <w:bidi w:val="0"/>
                    <w:ind w:firstLine="0" w:firstLineChars="0"/>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氮氧化物</w:t>
                  </w:r>
                </w:p>
              </w:tc>
              <w:tc>
                <w:tcPr>
                  <w:tcW w:w="1126" w:type="dxa"/>
                  <w:vMerge w:val="continue"/>
                  <w:tcBorders>
                    <w:tl2br w:val="nil"/>
                    <w:tr2bl w:val="nil"/>
                  </w:tcBorders>
                  <w:noWrap w:val="0"/>
                  <w:vAlign w:val="center"/>
                </w:tcPr>
                <w:p w14:paraId="3B4C666A">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p>
              </w:tc>
              <w:tc>
                <w:tcPr>
                  <w:tcW w:w="1240" w:type="dxa"/>
                  <w:tcBorders>
                    <w:tl2br w:val="nil"/>
                    <w:tr2bl w:val="nil"/>
                  </w:tcBorders>
                  <w:noWrap w:val="0"/>
                  <w:vAlign w:val="center"/>
                </w:tcPr>
                <w:p w14:paraId="7A412C02">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99" w:name="_Toc13042"/>
                  <w:r>
                    <w:rPr>
                      <w:rFonts w:hint="eastAsia" w:cs="Times New Roman"/>
                      <w:color w:val="auto"/>
                      <w:u w:val="none" w:color="auto"/>
                      <w:lang w:val="en-US" w:eastAsia="zh-CN"/>
                    </w:rPr>
                    <w:t>0.4</w:t>
                  </w:r>
                  <w:bookmarkEnd w:id="99"/>
                </w:p>
              </w:tc>
              <w:tc>
                <w:tcPr>
                  <w:tcW w:w="1420" w:type="dxa"/>
                  <w:vMerge w:val="continue"/>
                  <w:tcBorders>
                    <w:tl2br w:val="nil"/>
                    <w:tr2bl w:val="nil"/>
                  </w:tcBorders>
                  <w:noWrap w:val="0"/>
                  <w:vAlign w:val="center"/>
                </w:tcPr>
                <w:p w14:paraId="08B16693">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default" w:ascii="Times New Roman" w:hAnsi="Times New Roman" w:cs="Times New Roman"/>
                      <w:color w:val="auto"/>
                      <w:u w:val="none" w:color="auto"/>
                      <w:lang w:val="en-US" w:eastAsia="zh-CN"/>
                    </w:rPr>
                  </w:pPr>
                </w:p>
              </w:tc>
              <w:tc>
                <w:tcPr>
                  <w:tcW w:w="2120" w:type="dxa"/>
                  <w:tcBorders>
                    <w:tl2br w:val="nil"/>
                    <w:tr2bl w:val="nil"/>
                  </w:tcBorders>
                  <w:noWrap w:val="0"/>
                  <w:vAlign w:val="center"/>
                </w:tcPr>
                <w:p w14:paraId="3E804990">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0</w:t>
                  </w:r>
                </w:p>
              </w:tc>
              <w:tc>
                <w:tcPr>
                  <w:tcW w:w="1199" w:type="dxa"/>
                  <w:tcBorders>
                    <w:tl2br w:val="nil"/>
                    <w:tr2bl w:val="nil"/>
                  </w:tcBorders>
                  <w:shd w:val="clear" w:color="auto" w:fill="auto"/>
                  <w:noWrap w:val="0"/>
                  <w:vAlign w:val="center"/>
                </w:tcPr>
                <w:p w14:paraId="35CAB5F2">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bookmarkStart w:id="100" w:name="_Toc496"/>
                  <w:r>
                    <w:rPr>
                      <w:rFonts w:hint="eastAsia" w:cs="Times New Roman"/>
                      <w:color w:val="auto"/>
                      <w:u w:val="none" w:color="auto"/>
                      <w:lang w:val="en-US" w:eastAsia="zh-CN"/>
                    </w:rPr>
                    <w:t>0.4</w:t>
                  </w:r>
                  <w:bookmarkEnd w:id="100"/>
                </w:p>
              </w:tc>
            </w:tr>
          </w:tbl>
          <w:p w14:paraId="09218AC2">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2、废水</w:t>
            </w:r>
          </w:p>
          <w:p w14:paraId="6EDCB2A4">
            <w:pPr>
              <w:bidi w:val="0"/>
              <w:rPr>
                <w:rFonts w:hint="eastAsia" w:cs="Times New Roman"/>
                <w:color w:val="auto"/>
                <w:u w:val="none" w:color="auto"/>
                <w:lang w:val="en-US" w:eastAsia="zh-CN"/>
              </w:rPr>
            </w:pPr>
            <w:r>
              <w:rPr>
                <w:rFonts w:hint="eastAsia" w:cs="Times New Roman"/>
                <w:color w:val="auto"/>
                <w:u w:val="none" w:color="auto"/>
                <w:lang w:val="en-US" w:eastAsia="zh-CN"/>
              </w:rPr>
              <w:t>（1）屠宰生产废水</w:t>
            </w:r>
          </w:p>
          <w:p w14:paraId="19A5AC1A">
            <w:pPr>
              <w:bidi w:val="0"/>
              <w:rPr>
                <w:rFonts w:hint="default" w:eastAsia="宋体"/>
                <w:color w:val="auto"/>
                <w:u w:val="none" w:color="auto"/>
                <w:lang w:val="en-US" w:eastAsia="zh-CN"/>
              </w:rPr>
            </w:pPr>
            <w:r>
              <w:rPr>
                <w:rFonts w:hint="eastAsia"/>
                <w:color w:val="auto"/>
                <w:u w:val="none" w:color="auto"/>
                <w:lang w:val="en-US" w:eastAsia="zh-CN"/>
              </w:rPr>
              <w:t>屠宰生猪废水中</w:t>
            </w:r>
            <w:r>
              <w:rPr>
                <w:rFonts w:hint="eastAsia"/>
                <w:color w:val="auto"/>
                <w:u w:val="none" w:color="auto"/>
              </w:rPr>
              <w:t>各污染物的产生浓度分别</w:t>
            </w:r>
            <w:r>
              <w:rPr>
                <w:rFonts w:hint="eastAsia"/>
                <w:color w:val="auto"/>
                <w:u w:val="none" w:color="auto"/>
                <w:lang w:val="en-US" w:eastAsia="zh-CN"/>
              </w:rPr>
              <w:t>按</w:t>
            </w:r>
            <w:r>
              <w:rPr>
                <w:rFonts w:hint="eastAsia"/>
                <w:color w:val="auto"/>
                <w:u w:val="none" w:color="auto"/>
              </w:rPr>
              <w:t>COD：20</w:t>
            </w:r>
            <w:r>
              <w:rPr>
                <w:rFonts w:hint="eastAsia"/>
                <w:color w:val="auto"/>
                <w:u w:val="none" w:color="auto"/>
                <w:lang w:val="en-US" w:eastAsia="zh-CN"/>
              </w:rPr>
              <w:t xml:space="preserve">18.69 </w:t>
            </w:r>
            <w:r>
              <w:rPr>
                <w:rFonts w:hint="eastAsia"/>
                <w:color w:val="auto"/>
                <w:u w:val="none" w:color="auto"/>
              </w:rPr>
              <w:t>mg/L，BOD</w:t>
            </w:r>
            <w:r>
              <w:rPr>
                <w:rFonts w:hint="eastAsia"/>
                <w:color w:val="auto"/>
                <w:u w:val="none" w:color="auto"/>
                <w:vertAlign w:val="subscript"/>
              </w:rPr>
              <w:t>5</w:t>
            </w:r>
            <w:r>
              <w:rPr>
                <w:rFonts w:hint="eastAsia"/>
                <w:color w:val="auto"/>
                <w:u w:val="none" w:color="auto"/>
              </w:rPr>
              <w:t>：1000</w:t>
            </w:r>
            <w:r>
              <w:rPr>
                <w:rFonts w:hint="eastAsia"/>
                <w:color w:val="auto"/>
                <w:u w:val="none" w:color="auto"/>
                <w:lang w:val="en-US" w:eastAsia="zh-CN"/>
              </w:rPr>
              <w:t xml:space="preserve"> </w:t>
            </w:r>
            <w:r>
              <w:rPr>
                <w:rFonts w:hint="eastAsia"/>
                <w:color w:val="auto"/>
                <w:u w:val="none" w:color="auto"/>
              </w:rPr>
              <w:t>mg/L，SS：1000</w:t>
            </w:r>
            <w:r>
              <w:rPr>
                <w:rFonts w:hint="eastAsia"/>
                <w:color w:val="auto"/>
                <w:u w:val="none" w:color="auto"/>
                <w:lang w:val="en-US" w:eastAsia="zh-CN"/>
              </w:rPr>
              <w:t xml:space="preserve"> </w:t>
            </w:r>
            <w:r>
              <w:rPr>
                <w:rFonts w:hint="eastAsia"/>
                <w:color w:val="auto"/>
                <w:u w:val="none" w:color="auto"/>
              </w:rPr>
              <w:t>mg/L，NH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 xml:space="preserve">84.9 </w:t>
            </w:r>
            <w:r>
              <w:rPr>
                <w:rFonts w:hint="eastAsia"/>
                <w:color w:val="auto"/>
                <w:u w:val="none" w:color="auto"/>
              </w:rPr>
              <w:t>mg/L，动植物油：100</w:t>
            </w:r>
            <w:r>
              <w:rPr>
                <w:rFonts w:hint="eastAsia"/>
                <w:color w:val="auto"/>
                <w:u w:val="none" w:color="auto"/>
                <w:lang w:val="en-US" w:eastAsia="zh-CN"/>
              </w:rPr>
              <w:t xml:space="preserve"> </w:t>
            </w:r>
            <w:r>
              <w:rPr>
                <w:rFonts w:hint="eastAsia"/>
                <w:color w:val="auto"/>
                <w:u w:val="none" w:color="auto"/>
              </w:rPr>
              <w:t>mg/L，总氮：1</w:t>
            </w:r>
            <w:r>
              <w:rPr>
                <w:rFonts w:hint="eastAsia"/>
                <w:color w:val="auto"/>
                <w:u w:val="none" w:color="auto"/>
                <w:lang w:val="en-US" w:eastAsia="zh-CN"/>
              </w:rPr>
              <w:t xml:space="preserve">73.776 </w:t>
            </w:r>
            <w:r>
              <w:rPr>
                <w:rFonts w:hint="eastAsia"/>
                <w:color w:val="auto"/>
                <w:u w:val="none" w:color="auto"/>
              </w:rPr>
              <w:t>mg/L，总磷：</w:t>
            </w:r>
            <w:r>
              <w:rPr>
                <w:rFonts w:hint="eastAsia"/>
                <w:color w:val="auto"/>
                <w:u w:val="none" w:color="auto"/>
                <w:lang w:val="en-US" w:eastAsia="zh-CN"/>
              </w:rPr>
              <w:t xml:space="preserve">18.70 </w:t>
            </w:r>
            <w:r>
              <w:rPr>
                <w:rFonts w:hint="eastAsia"/>
                <w:color w:val="auto"/>
                <w:u w:val="none" w:color="auto"/>
              </w:rPr>
              <w:t>mg/L</w:t>
            </w:r>
            <w:r>
              <w:rPr>
                <w:rFonts w:hint="eastAsia"/>
                <w:color w:val="auto"/>
                <w:u w:val="none" w:color="auto"/>
                <w:lang w:val="en-US" w:eastAsia="zh-CN"/>
              </w:rPr>
              <w:t>计</w:t>
            </w:r>
            <w:r>
              <w:rPr>
                <w:rFonts w:hint="eastAsia"/>
                <w:color w:val="auto"/>
                <w:u w:color="auto"/>
              </w:rPr>
              <w:t>。</w:t>
            </w:r>
            <w:r>
              <w:rPr>
                <w:rFonts w:hint="eastAsia"/>
                <w:color w:val="auto"/>
                <w:u w:color="auto"/>
                <w:lang w:val="en-US" w:eastAsia="zh-CN"/>
              </w:rPr>
              <w:t>屠宰生猪的废水产生量为</w:t>
            </w:r>
            <w:r>
              <w:rPr>
                <w:rFonts w:hint="eastAsia"/>
                <w:color w:val="auto"/>
                <w:sz w:val="24"/>
                <w:szCs w:val="24"/>
                <w:lang w:val="en-US" w:eastAsia="zh-CN"/>
              </w:rPr>
              <w:t>209758.75</w:t>
            </w:r>
            <w:r>
              <w:rPr>
                <w:rFonts w:hint="eastAsia"/>
                <w:color w:val="auto"/>
                <w:sz w:val="24"/>
                <w:szCs w:val="24"/>
                <w:u w:val="none"/>
                <w:lang w:val="en-US" w:eastAsia="zh-CN"/>
              </w:rPr>
              <w:t xml:space="preserve"> t/a</w:t>
            </w:r>
          </w:p>
          <w:p w14:paraId="7184C782">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表2.7-9 项目现有工程生猪屠宰生产废水产排污情况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350"/>
              <w:gridCol w:w="1313"/>
              <w:gridCol w:w="1012"/>
              <w:gridCol w:w="769"/>
              <w:gridCol w:w="1601"/>
              <w:gridCol w:w="1321"/>
            </w:tblGrid>
            <w:tr w14:paraId="50CD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restart"/>
                  <w:noWrap w:val="0"/>
                  <w:vAlign w:val="center"/>
                </w:tcPr>
                <w:p w14:paraId="7F3BFD6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574" w:type="pct"/>
                  <w:gridSpan w:val="2"/>
                  <w:noWrap w:val="0"/>
                  <w:vAlign w:val="center"/>
                </w:tcPr>
                <w:p w14:paraId="107E157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s="Times New Roman"/>
                      <w:bCs/>
                      <w:snapToGrid w:val="0"/>
                      <w:color w:val="auto"/>
                      <w:sz w:val="21"/>
                      <w:szCs w:val="21"/>
                      <w:u w:val="none"/>
                      <w:lang w:val="en-US" w:eastAsia="zh-CN"/>
                    </w:rPr>
                    <w:t>51447.46</w:t>
                  </w:r>
                  <w:r>
                    <w:rPr>
                      <w:rFonts w:hint="default"/>
                      <w:color w:val="auto"/>
                      <w:sz w:val="21"/>
                      <w:szCs w:val="21"/>
                      <w:u w:val="none" w:color="auto"/>
                      <w:lang w:val="en-US" w:eastAsia="zh-CN"/>
                    </w:rPr>
                    <w:t xml:space="preserve"> </w:t>
                  </w:r>
                  <w:r>
                    <w:rPr>
                      <w:color w:val="auto"/>
                      <w:sz w:val="21"/>
                      <w:szCs w:val="21"/>
                      <w:u w:val="none" w:color="auto"/>
                    </w:rPr>
                    <w:t>t/a）</w:t>
                  </w:r>
                </w:p>
              </w:tc>
              <w:tc>
                <w:tcPr>
                  <w:tcW w:w="1053" w:type="pct"/>
                  <w:gridSpan w:val="2"/>
                  <w:noWrap w:val="0"/>
                  <w:vAlign w:val="center"/>
                </w:tcPr>
                <w:p w14:paraId="04EEE0A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727" w:type="pct"/>
                  <w:gridSpan w:val="2"/>
                  <w:noWrap w:val="0"/>
                  <w:vAlign w:val="center"/>
                </w:tcPr>
                <w:p w14:paraId="312A8AC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s="Times New Roman"/>
                      <w:bCs/>
                      <w:snapToGrid w:val="0"/>
                      <w:color w:val="auto"/>
                      <w:sz w:val="21"/>
                      <w:szCs w:val="21"/>
                      <w:u w:val="none"/>
                      <w:lang w:val="en-US" w:eastAsia="zh-CN"/>
                    </w:rPr>
                    <w:t>51447.46</w:t>
                  </w:r>
                  <w:r>
                    <w:rPr>
                      <w:rFonts w:hint="default"/>
                      <w:color w:val="auto"/>
                      <w:sz w:val="21"/>
                      <w:szCs w:val="21"/>
                      <w:u w:val="none" w:color="auto"/>
                      <w:lang w:val="en-US" w:eastAsia="zh-CN"/>
                    </w:rPr>
                    <w:t xml:space="preserve"> </w:t>
                  </w:r>
                  <w:r>
                    <w:rPr>
                      <w:color w:val="auto"/>
                      <w:sz w:val="21"/>
                      <w:szCs w:val="21"/>
                      <w:u w:val="none" w:color="auto"/>
                    </w:rPr>
                    <w:t>t/a）</w:t>
                  </w:r>
                </w:p>
              </w:tc>
            </w:tr>
            <w:tr w14:paraId="7A60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44" w:type="pct"/>
                  <w:vMerge w:val="continue"/>
                  <w:noWrap w:val="0"/>
                  <w:vAlign w:val="center"/>
                </w:tcPr>
                <w:p w14:paraId="4652C94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798" w:type="pct"/>
                  <w:noWrap w:val="0"/>
                  <w:vAlign w:val="center"/>
                </w:tcPr>
                <w:p w14:paraId="6C6DCBA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76" w:type="pct"/>
                  <w:noWrap w:val="0"/>
                  <w:vAlign w:val="center"/>
                </w:tcPr>
                <w:p w14:paraId="6048819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598" w:type="pct"/>
                  <w:noWrap w:val="0"/>
                  <w:vAlign w:val="center"/>
                </w:tcPr>
                <w:p w14:paraId="79367A2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454" w:type="pct"/>
                  <w:noWrap w:val="0"/>
                  <w:vAlign w:val="center"/>
                </w:tcPr>
                <w:p w14:paraId="7B12B26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946" w:type="pct"/>
                  <w:noWrap w:val="0"/>
                  <w:vAlign w:val="center"/>
                </w:tcPr>
                <w:p w14:paraId="6064BA9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1" w:type="pct"/>
                  <w:noWrap w:val="0"/>
                  <w:vAlign w:val="center"/>
                </w:tcPr>
                <w:p w14:paraId="796C0AE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17A1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4857121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798" w:type="pct"/>
                  <w:noWrap w:val="0"/>
                  <w:vAlign w:val="center"/>
                </w:tcPr>
                <w:p w14:paraId="2A4FBFF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2018.69</w:t>
                  </w:r>
                </w:p>
              </w:tc>
              <w:tc>
                <w:tcPr>
                  <w:tcW w:w="776" w:type="pct"/>
                  <w:noWrap w:val="0"/>
                  <w:vAlign w:val="center"/>
                </w:tcPr>
                <w:p w14:paraId="552746F6">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103.8565 </w:t>
                  </w:r>
                </w:p>
              </w:tc>
              <w:tc>
                <w:tcPr>
                  <w:tcW w:w="598" w:type="pct"/>
                  <w:vMerge w:val="restart"/>
                  <w:noWrap w:val="0"/>
                  <w:vAlign w:val="center"/>
                </w:tcPr>
                <w:p w14:paraId="2AD3A18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格栅+隔油+曝气+气浮+厌氧+好氧+沉淀+消毒池</w:t>
                  </w:r>
                </w:p>
              </w:tc>
              <w:tc>
                <w:tcPr>
                  <w:tcW w:w="454" w:type="pct"/>
                  <w:shd w:val="clear" w:color="auto" w:fill="auto"/>
                  <w:noWrap w:val="0"/>
                  <w:vAlign w:val="center"/>
                </w:tcPr>
                <w:p w14:paraId="7B64BF0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80</w:t>
                  </w:r>
                </w:p>
              </w:tc>
              <w:tc>
                <w:tcPr>
                  <w:tcW w:w="946" w:type="pct"/>
                  <w:noWrap w:val="0"/>
                  <w:vAlign w:val="center"/>
                </w:tcPr>
                <w:p w14:paraId="0969958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403.738</w:t>
                  </w:r>
                </w:p>
              </w:tc>
              <w:tc>
                <w:tcPr>
                  <w:tcW w:w="781" w:type="pct"/>
                  <w:noWrap w:val="0"/>
                  <w:vAlign w:val="center"/>
                </w:tcPr>
                <w:p w14:paraId="62A05D18">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20.7713 </w:t>
                  </w:r>
                </w:p>
              </w:tc>
            </w:tr>
            <w:tr w14:paraId="16F2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78E0E2A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798" w:type="pct"/>
                  <w:noWrap w:val="0"/>
                  <w:vAlign w:val="center"/>
                </w:tcPr>
                <w:p w14:paraId="13234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1000</w:t>
                  </w:r>
                </w:p>
              </w:tc>
              <w:tc>
                <w:tcPr>
                  <w:tcW w:w="776" w:type="pct"/>
                  <w:noWrap w:val="0"/>
                  <w:vAlign w:val="center"/>
                </w:tcPr>
                <w:p w14:paraId="43C031E1">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51.4475 </w:t>
                  </w:r>
                </w:p>
              </w:tc>
              <w:tc>
                <w:tcPr>
                  <w:tcW w:w="598" w:type="pct"/>
                  <w:vMerge w:val="continue"/>
                  <w:noWrap w:val="0"/>
                  <w:vAlign w:val="center"/>
                </w:tcPr>
                <w:p w14:paraId="0EA5BC5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54" w:type="pct"/>
                  <w:shd w:val="clear" w:color="auto" w:fill="auto"/>
                  <w:noWrap w:val="0"/>
                  <w:vAlign w:val="center"/>
                </w:tcPr>
                <w:p w14:paraId="148A39A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75</w:t>
                  </w:r>
                </w:p>
              </w:tc>
              <w:tc>
                <w:tcPr>
                  <w:tcW w:w="946" w:type="pct"/>
                  <w:noWrap w:val="0"/>
                  <w:vAlign w:val="center"/>
                </w:tcPr>
                <w:p w14:paraId="2716A42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250</w:t>
                  </w:r>
                </w:p>
              </w:tc>
              <w:tc>
                <w:tcPr>
                  <w:tcW w:w="781" w:type="pct"/>
                  <w:noWrap w:val="0"/>
                  <w:vAlign w:val="center"/>
                </w:tcPr>
                <w:p w14:paraId="1FDF2CC1">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12.8619 </w:t>
                  </w:r>
                </w:p>
              </w:tc>
            </w:tr>
            <w:tr w14:paraId="6EBF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2A07E87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798" w:type="pct"/>
                  <w:noWrap w:val="0"/>
                  <w:vAlign w:val="center"/>
                </w:tcPr>
                <w:p w14:paraId="6D70E9F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1000</w:t>
                  </w:r>
                </w:p>
              </w:tc>
              <w:tc>
                <w:tcPr>
                  <w:tcW w:w="776" w:type="pct"/>
                  <w:noWrap w:val="0"/>
                  <w:vAlign w:val="center"/>
                </w:tcPr>
                <w:p w14:paraId="5269DB78">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51.4475 </w:t>
                  </w:r>
                </w:p>
              </w:tc>
              <w:tc>
                <w:tcPr>
                  <w:tcW w:w="598" w:type="pct"/>
                  <w:vMerge w:val="continue"/>
                  <w:noWrap w:val="0"/>
                  <w:vAlign w:val="center"/>
                </w:tcPr>
                <w:p w14:paraId="2E7236F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54" w:type="pct"/>
                  <w:shd w:val="clear" w:color="auto" w:fill="auto"/>
                  <w:noWrap w:val="0"/>
                  <w:vAlign w:val="center"/>
                </w:tcPr>
                <w:p w14:paraId="73191D3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80</w:t>
                  </w:r>
                </w:p>
              </w:tc>
              <w:tc>
                <w:tcPr>
                  <w:tcW w:w="946" w:type="pct"/>
                  <w:noWrap w:val="0"/>
                  <w:vAlign w:val="center"/>
                </w:tcPr>
                <w:p w14:paraId="69D66A4A">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200</w:t>
                  </w:r>
                </w:p>
              </w:tc>
              <w:tc>
                <w:tcPr>
                  <w:tcW w:w="781" w:type="pct"/>
                  <w:noWrap w:val="0"/>
                  <w:vAlign w:val="center"/>
                </w:tcPr>
                <w:p w14:paraId="6381298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10.2895 </w:t>
                  </w:r>
                </w:p>
              </w:tc>
            </w:tr>
            <w:tr w14:paraId="0CE8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1B41A1E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798" w:type="pct"/>
                  <w:noWrap w:val="0"/>
                  <w:vAlign w:val="center"/>
                </w:tcPr>
                <w:p w14:paraId="2A63E40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84.9</w:t>
                  </w:r>
                </w:p>
              </w:tc>
              <w:tc>
                <w:tcPr>
                  <w:tcW w:w="776" w:type="pct"/>
                  <w:noWrap w:val="0"/>
                  <w:vAlign w:val="center"/>
                </w:tcPr>
                <w:p w14:paraId="356FA6FA">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4.3679 </w:t>
                  </w:r>
                </w:p>
              </w:tc>
              <w:tc>
                <w:tcPr>
                  <w:tcW w:w="598" w:type="pct"/>
                  <w:vMerge w:val="continue"/>
                  <w:noWrap w:val="0"/>
                  <w:vAlign w:val="center"/>
                </w:tcPr>
                <w:p w14:paraId="28081A5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54" w:type="pct"/>
                  <w:shd w:val="clear" w:color="auto" w:fill="auto"/>
                  <w:noWrap w:val="0"/>
                  <w:vAlign w:val="center"/>
                </w:tcPr>
                <w:p w14:paraId="34267E9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55</w:t>
                  </w:r>
                </w:p>
              </w:tc>
              <w:tc>
                <w:tcPr>
                  <w:tcW w:w="946" w:type="pct"/>
                  <w:noWrap w:val="0"/>
                  <w:vAlign w:val="center"/>
                </w:tcPr>
                <w:p w14:paraId="7D46D576">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38.205</w:t>
                  </w:r>
                </w:p>
              </w:tc>
              <w:tc>
                <w:tcPr>
                  <w:tcW w:w="781" w:type="pct"/>
                  <w:noWrap w:val="0"/>
                  <w:vAlign w:val="center"/>
                </w:tcPr>
                <w:p w14:paraId="6E576D1C">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1.9656 </w:t>
                  </w:r>
                </w:p>
              </w:tc>
            </w:tr>
            <w:tr w14:paraId="7EE7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64D3AEB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动植物油</w:t>
                  </w:r>
                </w:p>
              </w:tc>
              <w:tc>
                <w:tcPr>
                  <w:tcW w:w="798" w:type="pct"/>
                  <w:noWrap w:val="0"/>
                  <w:vAlign w:val="center"/>
                </w:tcPr>
                <w:p w14:paraId="21286AA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776" w:type="pct"/>
                  <w:noWrap w:val="0"/>
                  <w:vAlign w:val="center"/>
                </w:tcPr>
                <w:p w14:paraId="3F8FC9E1">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5.1447 </w:t>
                  </w:r>
                </w:p>
              </w:tc>
              <w:tc>
                <w:tcPr>
                  <w:tcW w:w="598" w:type="pct"/>
                  <w:vMerge w:val="continue"/>
                  <w:noWrap w:val="0"/>
                  <w:vAlign w:val="center"/>
                </w:tcPr>
                <w:p w14:paraId="6EE1E01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54" w:type="pct"/>
                  <w:shd w:val="clear" w:color="auto" w:fill="auto"/>
                  <w:noWrap w:val="0"/>
                  <w:vAlign w:val="center"/>
                </w:tcPr>
                <w:p w14:paraId="68F997A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946" w:type="pct"/>
                  <w:noWrap w:val="0"/>
                  <w:vAlign w:val="center"/>
                </w:tcPr>
                <w:p w14:paraId="7BB42420">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90</w:t>
                  </w:r>
                </w:p>
              </w:tc>
              <w:tc>
                <w:tcPr>
                  <w:tcW w:w="781" w:type="pct"/>
                  <w:noWrap w:val="0"/>
                  <w:vAlign w:val="center"/>
                </w:tcPr>
                <w:p w14:paraId="61FF613E">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4.6303 </w:t>
                  </w:r>
                </w:p>
              </w:tc>
            </w:tr>
            <w:tr w14:paraId="5CA3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732360A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TN</w:t>
                  </w:r>
                </w:p>
              </w:tc>
              <w:tc>
                <w:tcPr>
                  <w:tcW w:w="798" w:type="pct"/>
                  <w:noWrap w:val="0"/>
                  <w:vAlign w:val="center"/>
                </w:tcPr>
                <w:p w14:paraId="4226D7F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173.776</w:t>
                  </w:r>
                </w:p>
              </w:tc>
              <w:tc>
                <w:tcPr>
                  <w:tcW w:w="776" w:type="pct"/>
                  <w:noWrap w:val="0"/>
                  <w:vAlign w:val="center"/>
                </w:tcPr>
                <w:p w14:paraId="33B8C1E2">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8.9403 </w:t>
                  </w:r>
                </w:p>
              </w:tc>
              <w:tc>
                <w:tcPr>
                  <w:tcW w:w="598" w:type="pct"/>
                  <w:vMerge w:val="continue"/>
                  <w:noWrap w:val="0"/>
                  <w:vAlign w:val="center"/>
                </w:tcPr>
                <w:p w14:paraId="3C6545F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54" w:type="pct"/>
                  <w:shd w:val="clear" w:color="auto" w:fill="auto"/>
                  <w:noWrap w:val="0"/>
                  <w:vAlign w:val="center"/>
                </w:tcPr>
                <w:p w14:paraId="4C97583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60</w:t>
                  </w:r>
                </w:p>
              </w:tc>
              <w:tc>
                <w:tcPr>
                  <w:tcW w:w="946" w:type="pct"/>
                  <w:noWrap w:val="0"/>
                  <w:vAlign w:val="center"/>
                </w:tcPr>
                <w:p w14:paraId="5967BA7A">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69.5104</w:t>
                  </w:r>
                </w:p>
              </w:tc>
              <w:tc>
                <w:tcPr>
                  <w:tcW w:w="781" w:type="pct"/>
                  <w:noWrap w:val="0"/>
                  <w:vAlign w:val="center"/>
                </w:tcPr>
                <w:p w14:paraId="790DA0E8">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3.5761 </w:t>
                  </w:r>
                </w:p>
              </w:tc>
            </w:tr>
            <w:tr w14:paraId="2B57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3636F32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TP</w:t>
                  </w:r>
                </w:p>
              </w:tc>
              <w:tc>
                <w:tcPr>
                  <w:tcW w:w="798" w:type="pct"/>
                  <w:noWrap w:val="0"/>
                  <w:vAlign w:val="center"/>
                </w:tcPr>
                <w:p w14:paraId="12DE693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18.70</w:t>
                  </w:r>
                </w:p>
              </w:tc>
              <w:tc>
                <w:tcPr>
                  <w:tcW w:w="776" w:type="pct"/>
                  <w:noWrap w:val="0"/>
                  <w:vAlign w:val="center"/>
                </w:tcPr>
                <w:p w14:paraId="53D91AC9">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0.9621 </w:t>
                  </w:r>
                </w:p>
              </w:tc>
              <w:tc>
                <w:tcPr>
                  <w:tcW w:w="598" w:type="pct"/>
                  <w:vMerge w:val="continue"/>
                  <w:noWrap w:val="0"/>
                  <w:vAlign w:val="center"/>
                </w:tcPr>
                <w:p w14:paraId="541A28F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54" w:type="pct"/>
                  <w:shd w:val="clear" w:color="auto" w:fill="auto"/>
                  <w:noWrap w:val="0"/>
                  <w:vAlign w:val="center"/>
                </w:tcPr>
                <w:p w14:paraId="59C28D0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60</w:t>
                  </w:r>
                </w:p>
              </w:tc>
              <w:tc>
                <w:tcPr>
                  <w:tcW w:w="946" w:type="pct"/>
                  <w:noWrap w:val="0"/>
                  <w:vAlign w:val="center"/>
                </w:tcPr>
                <w:p w14:paraId="07F41B68">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7.48</w:t>
                  </w:r>
                </w:p>
              </w:tc>
              <w:tc>
                <w:tcPr>
                  <w:tcW w:w="781" w:type="pct"/>
                  <w:noWrap w:val="0"/>
                  <w:vAlign w:val="center"/>
                </w:tcPr>
                <w:p w14:paraId="3D4DAC6B">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0.3848 </w:t>
                  </w:r>
                </w:p>
              </w:tc>
            </w:tr>
          </w:tbl>
          <w:p w14:paraId="59C99250">
            <w:pPr>
              <w:pStyle w:val="11"/>
              <w:rPr>
                <w:rFonts w:hint="default"/>
                <w:lang w:val="en-US" w:eastAsia="zh-CN"/>
              </w:rPr>
            </w:pPr>
            <w:r>
              <w:rPr>
                <w:rFonts w:hint="eastAsia"/>
                <w:lang w:val="en-US" w:eastAsia="zh-CN"/>
              </w:rPr>
              <w:t>（2）生活污水</w:t>
            </w:r>
          </w:p>
          <w:p w14:paraId="7D70E42D">
            <w:pPr>
              <w:spacing w:line="360" w:lineRule="auto"/>
              <w:ind w:firstLine="480" w:firstLineChars="200"/>
              <w:jc w:val="left"/>
              <w:rPr>
                <w:color w:val="auto"/>
                <w:sz w:val="24"/>
                <w:u w:val="none" w:color="auto"/>
              </w:rPr>
            </w:pPr>
            <w:r>
              <w:rPr>
                <w:color w:val="auto"/>
                <w:sz w:val="24"/>
                <w:u w:val="none" w:color="auto"/>
              </w:rPr>
              <w:t>项目生活污水污染物浓度参照《排放源统计调查产排污核</w:t>
            </w:r>
            <w:r>
              <w:rPr>
                <w:rFonts w:hint="eastAsia"/>
                <w:color w:val="auto"/>
                <w:sz w:val="24"/>
                <w:u w:val="none" w:color="auto"/>
              </w:rPr>
              <w:t>算</w:t>
            </w:r>
            <w:r>
              <w:rPr>
                <w:color w:val="auto"/>
                <w:sz w:val="24"/>
                <w:u w:val="none" w:color="auto"/>
              </w:rPr>
              <w:t>方法和系数手册 生活源产排污核算方法和系数手册》五区系数进行核算（湖南地区属于五区）。</w:t>
            </w:r>
          </w:p>
          <w:p w14:paraId="1446E3ED">
            <w:pPr>
              <w:pStyle w:val="32"/>
              <w:ind w:left="0" w:leftChars="0" w:firstLine="0"/>
              <w:jc w:val="center"/>
              <w:rPr>
                <w:rFonts w:cs="Times New Roman"/>
                <w:color w:val="auto"/>
                <w:u w:val="none" w:color="auto"/>
                <w:lang w:val="en-US" w:eastAsia="zh-CN"/>
              </w:rPr>
            </w:pPr>
            <w:r>
              <w:rPr>
                <w:rFonts w:cs="Times New Roman"/>
                <w:color w:val="auto"/>
                <w:u w:val="none" w:color="auto"/>
                <w:lang w:val="en-US" w:eastAsia="zh-CN"/>
              </w:rPr>
              <w:t>表</w:t>
            </w:r>
            <w:r>
              <w:rPr>
                <w:rFonts w:hint="eastAsia" w:cs="Times New Roman"/>
                <w:color w:val="auto"/>
                <w:u w:val="none" w:color="auto"/>
                <w:lang w:val="en-US" w:eastAsia="zh-CN"/>
              </w:rPr>
              <w:t>2.7-10</w:t>
            </w:r>
            <w:r>
              <w:rPr>
                <w:rFonts w:cs="Times New Roman"/>
                <w:color w:val="auto"/>
                <w:u w:val="none" w:color="auto"/>
                <w:lang w:val="en-US" w:eastAsia="zh-CN"/>
              </w:rPr>
              <w:t xml:space="preserve"> </w:t>
            </w:r>
            <w:r>
              <w:rPr>
                <w:rFonts w:hint="eastAsia" w:cs="Times New Roman"/>
                <w:color w:val="auto"/>
                <w:u w:val="none" w:color="auto"/>
                <w:lang w:val="en-US" w:eastAsia="zh-CN"/>
              </w:rPr>
              <w:t>现有工程生活</w:t>
            </w:r>
            <w:r>
              <w:rPr>
                <w:rFonts w:cs="Times New Roman"/>
                <w:color w:val="auto"/>
                <w:u w:val="none" w:color="auto"/>
                <w:lang w:val="en-US" w:eastAsia="zh-CN"/>
              </w:rPr>
              <w:t>污水产排</w:t>
            </w:r>
            <w:r>
              <w:rPr>
                <w:rFonts w:hint="eastAsia" w:cs="Times New Roman"/>
                <w:color w:val="auto"/>
                <w:u w:val="none" w:color="auto"/>
                <w:lang w:val="en-US" w:eastAsia="zh-CN"/>
              </w:rPr>
              <w:t>污</w:t>
            </w:r>
            <w:r>
              <w:rPr>
                <w:rFonts w:cs="Times New Roman"/>
                <w:color w:val="auto"/>
                <w:u w:val="none" w:color="auto"/>
                <w:lang w:val="en-US" w:eastAsia="zh-CN"/>
              </w:rPr>
              <w:t>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338"/>
              <w:gridCol w:w="1403"/>
              <w:gridCol w:w="831"/>
              <w:gridCol w:w="1150"/>
              <w:gridCol w:w="1311"/>
              <w:gridCol w:w="1333"/>
            </w:tblGrid>
            <w:tr w14:paraId="61DD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restart"/>
                  <w:noWrap w:val="0"/>
                  <w:vAlign w:val="center"/>
                </w:tcPr>
                <w:p w14:paraId="739081A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620" w:type="pct"/>
                  <w:gridSpan w:val="2"/>
                  <w:noWrap w:val="0"/>
                  <w:vAlign w:val="center"/>
                </w:tcPr>
                <w:p w14:paraId="36934C0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s="Times New Roman"/>
                      <w:color w:val="auto"/>
                      <w:sz w:val="21"/>
                      <w:szCs w:val="21"/>
                      <w:u w:val="none" w:color="auto"/>
                      <w:lang w:val="en-US" w:eastAsia="zh-CN"/>
                    </w:rPr>
                    <w:t>817.6</w:t>
                  </w:r>
                  <w:r>
                    <w:rPr>
                      <w:rFonts w:hint="eastAsia"/>
                      <w:color w:val="auto"/>
                      <w:sz w:val="21"/>
                      <w:szCs w:val="21"/>
                      <w:u w:val="none" w:color="auto"/>
                      <w:lang w:val="en-US" w:eastAsia="zh-CN"/>
                    </w:rPr>
                    <w:t xml:space="preserve"> </w:t>
                  </w:r>
                  <w:r>
                    <w:rPr>
                      <w:color w:val="auto"/>
                      <w:sz w:val="21"/>
                      <w:szCs w:val="21"/>
                      <w:u w:val="none" w:color="auto"/>
                    </w:rPr>
                    <w:t>t/a）</w:t>
                  </w:r>
                </w:p>
              </w:tc>
              <w:tc>
                <w:tcPr>
                  <w:tcW w:w="1171" w:type="pct"/>
                  <w:gridSpan w:val="2"/>
                  <w:noWrap w:val="0"/>
                  <w:vAlign w:val="center"/>
                </w:tcPr>
                <w:p w14:paraId="2667F35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563" w:type="pct"/>
                  <w:gridSpan w:val="2"/>
                  <w:noWrap w:val="0"/>
                  <w:vAlign w:val="center"/>
                </w:tcPr>
                <w:p w14:paraId="611E992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olor w:val="auto"/>
                      <w:sz w:val="21"/>
                      <w:szCs w:val="21"/>
                      <w:u w:val="none" w:color="auto"/>
                      <w:lang w:eastAsia="zh-CN"/>
                    </w:rPr>
                    <w:t>（</w:t>
                  </w:r>
                  <w:r>
                    <w:rPr>
                      <w:rFonts w:hint="eastAsia" w:cs="Times New Roman"/>
                      <w:color w:val="auto"/>
                      <w:sz w:val="21"/>
                      <w:szCs w:val="21"/>
                      <w:u w:val="none" w:color="auto"/>
                      <w:lang w:val="en-US" w:eastAsia="zh-CN"/>
                    </w:rPr>
                    <w:t>817.6</w:t>
                  </w:r>
                  <w:r>
                    <w:rPr>
                      <w:rFonts w:hint="eastAsia"/>
                      <w:color w:val="auto"/>
                      <w:sz w:val="21"/>
                      <w:szCs w:val="21"/>
                      <w:u w:val="none" w:color="auto"/>
                      <w:lang w:val="en-US" w:eastAsia="zh-CN"/>
                    </w:rPr>
                    <w:t xml:space="preserve"> </w:t>
                  </w:r>
                  <w:r>
                    <w:rPr>
                      <w:color w:val="auto"/>
                      <w:sz w:val="21"/>
                      <w:szCs w:val="21"/>
                      <w:u w:val="none" w:color="auto"/>
                    </w:rPr>
                    <w:t>t/a）</w:t>
                  </w:r>
                </w:p>
              </w:tc>
            </w:tr>
            <w:tr w14:paraId="34CC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vMerge w:val="continue"/>
                  <w:noWrap w:val="0"/>
                  <w:vAlign w:val="center"/>
                </w:tcPr>
                <w:p w14:paraId="11876BA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791" w:type="pct"/>
                  <w:noWrap w:val="0"/>
                  <w:vAlign w:val="center"/>
                </w:tcPr>
                <w:p w14:paraId="00FD20A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829" w:type="pct"/>
                  <w:noWrap w:val="0"/>
                  <w:vAlign w:val="center"/>
                </w:tcPr>
                <w:p w14:paraId="7063620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491" w:type="pct"/>
                  <w:noWrap w:val="0"/>
                  <w:vAlign w:val="center"/>
                </w:tcPr>
                <w:p w14:paraId="22C52D1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679" w:type="pct"/>
                  <w:noWrap w:val="0"/>
                  <w:vAlign w:val="center"/>
                </w:tcPr>
                <w:p w14:paraId="7E89746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775" w:type="pct"/>
                  <w:noWrap w:val="0"/>
                  <w:vAlign w:val="center"/>
                </w:tcPr>
                <w:p w14:paraId="08000DC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7" w:type="pct"/>
                  <w:noWrap w:val="0"/>
                  <w:vAlign w:val="center"/>
                </w:tcPr>
                <w:p w14:paraId="04F31F2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0560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15AF549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791" w:type="pct"/>
                  <w:shd w:val="clear" w:color="auto" w:fill="auto"/>
                  <w:noWrap w:val="0"/>
                  <w:vAlign w:val="center"/>
                </w:tcPr>
                <w:p w14:paraId="697DF8A3">
                  <w:pPr>
                    <w:autoSpaceDE w:val="0"/>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285</w:t>
                  </w:r>
                </w:p>
              </w:tc>
              <w:tc>
                <w:tcPr>
                  <w:tcW w:w="1430" w:type="dxa"/>
                  <w:noWrap w:val="0"/>
                  <w:vAlign w:val="center"/>
                </w:tcPr>
                <w:p w14:paraId="7E80FDBE">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0.2330 </w:t>
                  </w:r>
                </w:p>
              </w:tc>
              <w:tc>
                <w:tcPr>
                  <w:tcW w:w="491" w:type="pct"/>
                  <w:vMerge w:val="restart"/>
                  <w:noWrap w:val="0"/>
                  <w:vAlign w:val="center"/>
                </w:tcPr>
                <w:p w14:paraId="41CC4D4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化粪池</w:t>
                  </w:r>
                  <w:r>
                    <w:rPr>
                      <w:rFonts w:hint="eastAsia" w:ascii="Times New Roman" w:hAnsi="Times New Roman" w:cs="Times New Roman"/>
                      <w:color w:val="auto"/>
                      <w:sz w:val="21"/>
                      <w:szCs w:val="21"/>
                      <w:u w:val="none" w:color="auto"/>
                      <w:lang w:val="en-US" w:eastAsia="zh-CN"/>
                    </w:rPr>
                    <w:t>、隔油池</w:t>
                  </w:r>
                </w:p>
              </w:tc>
              <w:tc>
                <w:tcPr>
                  <w:tcW w:w="679" w:type="pct"/>
                  <w:shd w:val="clear" w:color="auto" w:fill="auto"/>
                  <w:noWrap w:val="0"/>
                  <w:vAlign w:val="center"/>
                </w:tcPr>
                <w:p w14:paraId="6BEC4A7D">
                  <w:pPr>
                    <w:autoSpaceDE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15</w:t>
                  </w:r>
                </w:p>
              </w:tc>
              <w:tc>
                <w:tcPr>
                  <w:tcW w:w="1337" w:type="dxa"/>
                  <w:shd w:val="clear" w:color="auto" w:fill="auto"/>
                  <w:noWrap w:val="0"/>
                  <w:vAlign w:val="center"/>
                </w:tcPr>
                <w:p w14:paraId="3BD832F6">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242.25</w:t>
                  </w:r>
                </w:p>
              </w:tc>
              <w:tc>
                <w:tcPr>
                  <w:tcW w:w="1361" w:type="dxa"/>
                  <w:noWrap w:val="0"/>
                  <w:vAlign w:val="center"/>
                </w:tcPr>
                <w:p w14:paraId="3B2BE648">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0.1981 </w:t>
                  </w:r>
                </w:p>
              </w:tc>
            </w:tr>
            <w:tr w14:paraId="4B65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1038C7A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791" w:type="pct"/>
                  <w:shd w:val="clear" w:color="auto" w:fill="auto"/>
                  <w:noWrap w:val="0"/>
                  <w:vAlign w:val="center"/>
                </w:tcPr>
                <w:p w14:paraId="0E6F654B">
                  <w:pPr>
                    <w:autoSpaceDE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129</w:t>
                  </w:r>
                </w:p>
              </w:tc>
              <w:tc>
                <w:tcPr>
                  <w:tcW w:w="1430" w:type="dxa"/>
                  <w:noWrap w:val="0"/>
                  <w:vAlign w:val="center"/>
                </w:tcPr>
                <w:p w14:paraId="011E22D7">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0.1055 </w:t>
                  </w:r>
                </w:p>
              </w:tc>
              <w:tc>
                <w:tcPr>
                  <w:tcW w:w="491" w:type="pct"/>
                  <w:vMerge w:val="continue"/>
                  <w:noWrap w:val="0"/>
                  <w:vAlign w:val="center"/>
                </w:tcPr>
                <w:p w14:paraId="3C0A9ED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79" w:type="pct"/>
                  <w:shd w:val="clear" w:color="auto" w:fill="auto"/>
                  <w:noWrap w:val="0"/>
                  <w:vAlign w:val="center"/>
                </w:tcPr>
                <w:p w14:paraId="51133221">
                  <w:pPr>
                    <w:autoSpaceDE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9</w:t>
                  </w:r>
                </w:p>
              </w:tc>
              <w:tc>
                <w:tcPr>
                  <w:tcW w:w="1337" w:type="dxa"/>
                  <w:shd w:val="clear" w:color="auto" w:fill="auto"/>
                  <w:noWrap w:val="0"/>
                  <w:vAlign w:val="center"/>
                </w:tcPr>
                <w:p w14:paraId="1573E5D8">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117.39</w:t>
                  </w:r>
                </w:p>
              </w:tc>
              <w:tc>
                <w:tcPr>
                  <w:tcW w:w="1361" w:type="dxa"/>
                  <w:noWrap w:val="0"/>
                  <w:vAlign w:val="center"/>
                </w:tcPr>
                <w:p w14:paraId="237135CF">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0.0960 </w:t>
                  </w:r>
                </w:p>
              </w:tc>
            </w:tr>
            <w:tr w14:paraId="4B24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52FA9B4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NH</w:t>
                  </w:r>
                  <w:r>
                    <w:rPr>
                      <w:color w:val="auto"/>
                      <w:sz w:val="21"/>
                      <w:szCs w:val="21"/>
                      <w:u w:val="none" w:color="auto"/>
                      <w:vertAlign w:val="subscript"/>
                    </w:rPr>
                    <w:t>3</w:t>
                  </w:r>
                  <w:r>
                    <w:rPr>
                      <w:color w:val="auto"/>
                      <w:sz w:val="21"/>
                      <w:szCs w:val="21"/>
                      <w:u w:val="none" w:color="auto"/>
                    </w:rPr>
                    <w:t>-N</w:t>
                  </w:r>
                </w:p>
              </w:tc>
              <w:tc>
                <w:tcPr>
                  <w:tcW w:w="791" w:type="pct"/>
                  <w:shd w:val="clear" w:color="auto" w:fill="auto"/>
                  <w:noWrap w:val="0"/>
                  <w:vAlign w:val="center"/>
                </w:tcPr>
                <w:p w14:paraId="530EE032">
                  <w:pPr>
                    <w:autoSpaceDE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25</w:t>
                  </w:r>
                </w:p>
              </w:tc>
              <w:tc>
                <w:tcPr>
                  <w:tcW w:w="1430" w:type="dxa"/>
                  <w:noWrap w:val="0"/>
                  <w:vAlign w:val="center"/>
                </w:tcPr>
                <w:p w14:paraId="03780F3F">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0.0204 </w:t>
                  </w:r>
                </w:p>
              </w:tc>
              <w:tc>
                <w:tcPr>
                  <w:tcW w:w="491" w:type="pct"/>
                  <w:vMerge w:val="continue"/>
                  <w:noWrap w:val="0"/>
                  <w:vAlign w:val="center"/>
                </w:tcPr>
                <w:p w14:paraId="3549DD1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79" w:type="pct"/>
                  <w:shd w:val="clear" w:color="auto" w:fill="auto"/>
                  <w:noWrap w:val="0"/>
                  <w:vAlign w:val="center"/>
                </w:tcPr>
                <w:p w14:paraId="79C6E113">
                  <w:pPr>
                    <w:autoSpaceDE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3</w:t>
                  </w:r>
                </w:p>
              </w:tc>
              <w:tc>
                <w:tcPr>
                  <w:tcW w:w="1337" w:type="dxa"/>
                  <w:shd w:val="clear" w:color="auto" w:fill="auto"/>
                  <w:noWrap w:val="0"/>
                  <w:vAlign w:val="center"/>
                </w:tcPr>
                <w:p w14:paraId="51525DB9">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24.25</w:t>
                  </w:r>
                </w:p>
              </w:tc>
              <w:tc>
                <w:tcPr>
                  <w:tcW w:w="1361" w:type="dxa"/>
                  <w:noWrap w:val="0"/>
                  <w:vAlign w:val="center"/>
                </w:tcPr>
                <w:p w14:paraId="218DEF89">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0.0198 </w:t>
                  </w:r>
                </w:p>
              </w:tc>
            </w:tr>
            <w:tr w14:paraId="09F9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49FA71A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791" w:type="pct"/>
                  <w:shd w:val="clear" w:color="auto" w:fill="auto"/>
                  <w:noWrap w:val="0"/>
                  <w:vAlign w:val="center"/>
                </w:tcPr>
                <w:p w14:paraId="0C34575B">
                  <w:pPr>
                    <w:autoSpaceDE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200</w:t>
                  </w:r>
                </w:p>
              </w:tc>
              <w:tc>
                <w:tcPr>
                  <w:tcW w:w="1430" w:type="dxa"/>
                  <w:noWrap w:val="0"/>
                  <w:vAlign w:val="center"/>
                </w:tcPr>
                <w:p w14:paraId="1B1D9DFE">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0.1635 </w:t>
                  </w:r>
                </w:p>
              </w:tc>
              <w:tc>
                <w:tcPr>
                  <w:tcW w:w="491" w:type="pct"/>
                  <w:vMerge w:val="continue"/>
                  <w:noWrap w:val="0"/>
                  <w:vAlign w:val="center"/>
                </w:tcPr>
                <w:p w14:paraId="54EB9E2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79" w:type="pct"/>
                  <w:shd w:val="clear" w:color="auto" w:fill="auto"/>
                  <w:noWrap w:val="0"/>
                  <w:vAlign w:val="center"/>
                </w:tcPr>
                <w:p w14:paraId="16A192CD">
                  <w:pPr>
                    <w:autoSpaceDE w:val="0"/>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50</w:t>
                  </w:r>
                </w:p>
              </w:tc>
              <w:tc>
                <w:tcPr>
                  <w:tcW w:w="1337" w:type="dxa"/>
                  <w:shd w:val="clear" w:color="auto" w:fill="auto"/>
                  <w:noWrap w:val="0"/>
                  <w:vAlign w:val="center"/>
                </w:tcPr>
                <w:p w14:paraId="2C56DBEE">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100</w:t>
                  </w:r>
                </w:p>
              </w:tc>
              <w:tc>
                <w:tcPr>
                  <w:tcW w:w="1361" w:type="dxa"/>
                  <w:noWrap w:val="0"/>
                  <w:vAlign w:val="center"/>
                </w:tcPr>
                <w:p w14:paraId="6FA7ED51">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0.0818 </w:t>
                  </w:r>
                </w:p>
              </w:tc>
            </w:tr>
            <w:tr w14:paraId="395A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pct"/>
                  <w:noWrap w:val="0"/>
                  <w:vAlign w:val="center"/>
                </w:tcPr>
                <w:p w14:paraId="446B1AA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动植物油</w:t>
                  </w:r>
                </w:p>
              </w:tc>
              <w:tc>
                <w:tcPr>
                  <w:tcW w:w="791" w:type="pct"/>
                  <w:shd w:val="clear" w:color="auto" w:fill="auto"/>
                  <w:noWrap w:val="0"/>
                  <w:vAlign w:val="center"/>
                </w:tcPr>
                <w:p w14:paraId="48197998">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50</w:t>
                  </w:r>
                </w:p>
              </w:tc>
              <w:tc>
                <w:tcPr>
                  <w:tcW w:w="1430" w:type="dxa"/>
                  <w:noWrap w:val="0"/>
                  <w:vAlign w:val="center"/>
                </w:tcPr>
                <w:p w14:paraId="7290C7CB">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0.0409 </w:t>
                  </w:r>
                </w:p>
              </w:tc>
              <w:tc>
                <w:tcPr>
                  <w:tcW w:w="491" w:type="pct"/>
                  <w:vMerge w:val="continue"/>
                  <w:noWrap w:val="0"/>
                  <w:vAlign w:val="center"/>
                </w:tcPr>
                <w:p w14:paraId="4C5E7F7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79" w:type="pct"/>
                  <w:shd w:val="clear" w:color="auto" w:fill="auto"/>
                  <w:noWrap w:val="0"/>
                  <w:vAlign w:val="center"/>
                </w:tcPr>
                <w:p w14:paraId="0A4DCA81">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40</w:t>
                  </w:r>
                </w:p>
              </w:tc>
              <w:tc>
                <w:tcPr>
                  <w:tcW w:w="1337" w:type="dxa"/>
                  <w:shd w:val="clear" w:color="auto" w:fill="auto"/>
                  <w:noWrap w:val="0"/>
                  <w:vAlign w:val="center"/>
                </w:tcPr>
                <w:p w14:paraId="697D436A">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30</w:t>
                  </w:r>
                </w:p>
              </w:tc>
              <w:tc>
                <w:tcPr>
                  <w:tcW w:w="1361" w:type="dxa"/>
                  <w:noWrap w:val="0"/>
                  <w:vAlign w:val="center"/>
                </w:tcPr>
                <w:p w14:paraId="170D29F1">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0.0245 </w:t>
                  </w:r>
                </w:p>
              </w:tc>
            </w:tr>
          </w:tbl>
          <w:p w14:paraId="3AB56038">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（3）车辆清洗废水</w:t>
            </w:r>
          </w:p>
          <w:p w14:paraId="77AECFF0">
            <w:pPr>
              <w:pStyle w:val="11"/>
              <w:rPr>
                <w:rFonts w:hint="default" w:ascii="Times New Roman" w:hAnsi="Times New Roman" w:cs="Times New Roman"/>
                <w:color w:val="auto"/>
                <w:sz w:val="24"/>
                <w:szCs w:val="24"/>
                <w:u w:val="none" w:color="auto"/>
                <w:lang w:val="en-US" w:eastAsia="zh-CN"/>
              </w:rPr>
            </w:pPr>
            <w:r>
              <w:rPr>
                <w:rFonts w:hint="eastAsia" w:cs="Times New Roman"/>
                <w:color w:val="auto"/>
                <w:sz w:val="24"/>
                <w:szCs w:val="24"/>
                <w:u w:val="none" w:color="auto"/>
                <w:lang w:val="en-US" w:eastAsia="zh-CN"/>
              </w:rPr>
              <w:t>车辆清洗废水</w:t>
            </w:r>
            <w:r>
              <w:rPr>
                <w:rFonts w:hint="eastAsia"/>
                <w:color w:val="auto"/>
                <w:sz w:val="24"/>
                <w:szCs w:val="24"/>
                <w:u w:val="none" w:color="auto"/>
              </w:rPr>
              <w:t>各污染物的产生浓度分别</w:t>
            </w:r>
            <w:r>
              <w:rPr>
                <w:rFonts w:hint="eastAsia"/>
                <w:color w:val="auto"/>
                <w:sz w:val="24"/>
                <w:szCs w:val="24"/>
                <w:u w:val="none" w:color="auto"/>
                <w:lang w:val="en-US" w:eastAsia="zh-CN"/>
              </w:rPr>
              <w:t>按</w:t>
            </w:r>
            <w:r>
              <w:rPr>
                <w:rFonts w:hint="eastAsia"/>
                <w:color w:val="auto"/>
                <w:sz w:val="24"/>
                <w:szCs w:val="24"/>
                <w:u w:val="none" w:color="auto"/>
              </w:rPr>
              <w:t>COD：20</w:t>
            </w:r>
            <w:r>
              <w:rPr>
                <w:rFonts w:hint="eastAsia"/>
                <w:color w:val="auto"/>
                <w:sz w:val="24"/>
                <w:szCs w:val="24"/>
                <w:u w:val="none" w:color="auto"/>
                <w:lang w:val="en-US" w:eastAsia="zh-CN"/>
              </w:rPr>
              <w:t xml:space="preserve">0 </w:t>
            </w:r>
            <w:r>
              <w:rPr>
                <w:rFonts w:hint="eastAsia"/>
                <w:color w:val="auto"/>
                <w:sz w:val="24"/>
                <w:szCs w:val="24"/>
                <w:u w:val="none" w:color="auto"/>
              </w:rPr>
              <w:t>mg/L，BOD</w:t>
            </w:r>
            <w:r>
              <w:rPr>
                <w:rFonts w:hint="eastAsia"/>
                <w:color w:val="auto"/>
                <w:sz w:val="24"/>
                <w:szCs w:val="24"/>
                <w:u w:val="none" w:color="auto"/>
                <w:vertAlign w:val="subscript"/>
              </w:rPr>
              <w:t>5</w:t>
            </w:r>
            <w:r>
              <w:rPr>
                <w:rFonts w:hint="eastAsia"/>
                <w:color w:val="auto"/>
                <w:sz w:val="24"/>
                <w:szCs w:val="24"/>
                <w:u w:val="none" w:color="auto"/>
              </w:rPr>
              <w:t>：100</w:t>
            </w:r>
            <w:r>
              <w:rPr>
                <w:rFonts w:hint="eastAsia"/>
                <w:color w:val="auto"/>
                <w:sz w:val="24"/>
                <w:szCs w:val="24"/>
                <w:u w:val="none" w:color="auto"/>
                <w:lang w:val="en-US" w:eastAsia="zh-CN"/>
              </w:rPr>
              <w:t xml:space="preserve"> </w:t>
            </w:r>
            <w:r>
              <w:rPr>
                <w:rFonts w:hint="eastAsia"/>
                <w:color w:val="auto"/>
                <w:sz w:val="24"/>
                <w:szCs w:val="24"/>
                <w:u w:val="none" w:color="auto"/>
              </w:rPr>
              <w:t>mg/L，SS：</w:t>
            </w:r>
            <w:r>
              <w:rPr>
                <w:rFonts w:hint="eastAsia"/>
                <w:color w:val="auto"/>
                <w:sz w:val="24"/>
                <w:szCs w:val="24"/>
                <w:u w:val="none" w:color="auto"/>
                <w:lang w:val="en-US" w:eastAsia="zh-CN"/>
              </w:rPr>
              <w:t>5</w:t>
            </w:r>
            <w:r>
              <w:rPr>
                <w:rFonts w:hint="eastAsia"/>
                <w:color w:val="auto"/>
                <w:sz w:val="24"/>
                <w:szCs w:val="24"/>
                <w:u w:val="none" w:color="auto"/>
              </w:rPr>
              <w:t>00</w:t>
            </w:r>
            <w:r>
              <w:rPr>
                <w:rFonts w:hint="eastAsia"/>
                <w:color w:val="auto"/>
                <w:sz w:val="24"/>
                <w:szCs w:val="24"/>
                <w:u w:val="none" w:color="auto"/>
                <w:lang w:val="en-US" w:eastAsia="zh-CN"/>
              </w:rPr>
              <w:t xml:space="preserve"> </w:t>
            </w:r>
            <w:r>
              <w:rPr>
                <w:rFonts w:hint="eastAsia"/>
                <w:color w:val="auto"/>
                <w:sz w:val="24"/>
                <w:szCs w:val="24"/>
                <w:u w:val="none" w:color="auto"/>
              </w:rPr>
              <w:t>mg/L，NH</w:t>
            </w:r>
            <w:r>
              <w:rPr>
                <w:rFonts w:hint="eastAsia"/>
                <w:color w:val="auto"/>
                <w:sz w:val="24"/>
                <w:szCs w:val="24"/>
                <w:u w:val="none" w:color="auto"/>
                <w:vertAlign w:val="subscript"/>
              </w:rPr>
              <w:t>3</w:t>
            </w:r>
            <w:r>
              <w:rPr>
                <w:rFonts w:hint="eastAsia"/>
                <w:color w:val="auto"/>
                <w:sz w:val="24"/>
                <w:szCs w:val="24"/>
                <w:u w:val="none" w:color="auto"/>
              </w:rPr>
              <w:t>-N：</w:t>
            </w:r>
            <w:r>
              <w:rPr>
                <w:rFonts w:hint="eastAsia"/>
                <w:color w:val="auto"/>
                <w:sz w:val="24"/>
                <w:szCs w:val="24"/>
                <w:u w:val="none" w:color="auto"/>
                <w:lang w:val="en-US" w:eastAsia="zh-CN"/>
              </w:rPr>
              <w:t xml:space="preserve">16 </w:t>
            </w:r>
            <w:r>
              <w:rPr>
                <w:rFonts w:hint="eastAsia"/>
                <w:color w:val="auto"/>
                <w:sz w:val="24"/>
                <w:szCs w:val="24"/>
                <w:u w:val="none" w:color="auto"/>
              </w:rPr>
              <w:t>mg/L，</w:t>
            </w:r>
            <w:r>
              <w:rPr>
                <w:rFonts w:hint="eastAsia"/>
                <w:color w:val="auto"/>
                <w:sz w:val="24"/>
                <w:szCs w:val="24"/>
                <w:u w:val="none" w:color="auto"/>
                <w:lang w:val="en-US" w:eastAsia="zh-CN"/>
              </w:rPr>
              <w:t>石油类</w:t>
            </w:r>
            <w:r>
              <w:rPr>
                <w:rFonts w:hint="eastAsia"/>
                <w:color w:val="auto"/>
                <w:sz w:val="24"/>
                <w:szCs w:val="24"/>
                <w:u w:val="none" w:color="auto"/>
              </w:rPr>
              <w:t>：</w:t>
            </w:r>
            <w:r>
              <w:rPr>
                <w:rFonts w:hint="eastAsia"/>
                <w:color w:val="auto"/>
                <w:sz w:val="24"/>
                <w:szCs w:val="24"/>
                <w:u w:val="none" w:color="auto"/>
                <w:lang w:val="en-US" w:eastAsia="zh-CN"/>
              </w:rPr>
              <w:t xml:space="preserve">25 </w:t>
            </w:r>
            <w:r>
              <w:rPr>
                <w:rFonts w:hint="eastAsia"/>
                <w:color w:val="auto"/>
                <w:sz w:val="24"/>
                <w:szCs w:val="24"/>
                <w:u w:val="none" w:color="auto"/>
              </w:rPr>
              <w:t>mg/L</w:t>
            </w:r>
            <w:r>
              <w:rPr>
                <w:rFonts w:hint="eastAsia"/>
                <w:color w:val="auto"/>
                <w:sz w:val="24"/>
                <w:szCs w:val="24"/>
                <w:u w:val="none" w:color="auto"/>
                <w:lang w:val="en-US" w:eastAsia="zh-CN"/>
              </w:rPr>
              <w:t>计</w:t>
            </w:r>
            <w:r>
              <w:rPr>
                <w:rFonts w:hint="eastAsia"/>
                <w:color w:val="auto"/>
                <w:sz w:val="24"/>
                <w:szCs w:val="24"/>
                <w:u w:color="auto"/>
              </w:rPr>
              <w:t>。</w:t>
            </w:r>
          </w:p>
          <w:p w14:paraId="2B0070C7">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表2.7-11 现有工程车辆清洗废水产排污情况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230"/>
              <w:gridCol w:w="1472"/>
              <w:gridCol w:w="1168"/>
              <w:gridCol w:w="953"/>
              <w:gridCol w:w="1433"/>
              <w:gridCol w:w="1235"/>
            </w:tblGrid>
            <w:tr w14:paraId="0B2D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noWrap w:val="0"/>
                  <w:vAlign w:val="center"/>
                </w:tcPr>
                <w:p w14:paraId="4F24D7D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597" w:type="pct"/>
                  <w:gridSpan w:val="2"/>
                  <w:noWrap w:val="0"/>
                  <w:vAlign w:val="center"/>
                </w:tcPr>
                <w:p w14:paraId="7E8D2AF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s="Times New Roman"/>
                      <w:color w:val="auto"/>
                      <w:sz w:val="21"/>
                      <w:szCs w:val="21"/>
                      <w:u w:val="none" w:color="auto"/>
                      <w:lang w:val="en-US" w:eastAsia="zh-CN"/>
                    </w:rPr>
                    <w:t>1168</w:t>
                  </w:r>
                  <w:r>
                    <w:rPr>
                      <w:rFonts w:hint="eastAsia"/>
                      <w:color w:val="auto"/>
                      <w:sz w:val="21"/>
                      <w:szCs w:val="21"/>
                      <w:u w:val="none" w:color="auto"/>
                      <w:lang w:val="en-US" w:eastAsia="zh-CN"/>
                    </w:rPr>
                    <w:t xml:space="preserve"> </w:t>
                  </w:r>
                  <w:r>
                    <w:rPr>
                      <w:color w:val="auto"/>
                      <w:sz w:val="21"/>
                      <w:szCs w:val="21"/>
                      <w:u w:val="none" w:color="auto"/>
                    </w:rPr>
                    <w:t>t/a）</w:t>
                  </w:r>
                </w:p>
              </w:tc>
              <w:tc>
                <w:tcPr>
                  <w:tcW w:w="1253" w:type="pct"/>
                  <w:gridSpan w:val="2"/>
                  <w:noWrap w:val="0"/>
                  <w:vAlign w:val="center"/>
                </w:tcPr>
                <w:p w14:paraId="5276653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577" w:type="pct"/>
                  <w:gridSpan w:val="2"/>
                  <w:noWrap w:val="0"/>
                  <w:vAlign w:val="center"/>
                </w:tcPr>
                <w:p w14:paraId="6C6523D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s="Times New Roman"/>
                      <w:color w:val="auto"/>
                      <w:sz w:val="21"/>
                      <w:szCs w:val="21"/>
                      <w:u w:val="none" w:color="auto"/>
                      <w:lang w:val="en-US" w:eastAsia="zh-CN"/>
                    </w:rPr>
                    <w:t>1168</w:t>
                  </w:r>
                  <w:r>
                    <w:rPr>
                      <w:rFonts w:hint="eastAsia"/>
                      <w:color w:val="auto"/>
                      <w:sz w:val="21"/>
                      <w:szCs w:val="21"/>
                      <w:u w:val="none" w:color="auto"/>
                      <w:lang w:val="en-US" w:eastAsia="zh-CN"/>
                    </w:rPr>
                    <w:t xml:space="preserve"> </w:t>
                  </w:r>
                  <w:r>
                    <w:rPr>
                      <w:color w:val="auto"/>
                      <w:sz w:val="21"/>
                      <w:szCs w:val="21"/>
                      <w:u w:val="none" w:color="auto"/>
                    </w:rPr>
                    <w:t>t/a）</w:t>
                  </w:r>
                </w:p>
              </w:tc>
            </w:tr>
            <w:tr w14:paraId="675B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70" w:type="pct"/>
                  <w:vMerge w:val="continue"/>
                  <w:noWrap w:val="0"/>
                  <w:vAlign w:val="center"/>
                </w:tcPr>
                <w:p w14:paraId="4664108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727" w:type="pct"/>
                  <w:noWrap w:val="0"/>
                  <w:vAlign w:val="center"/>
                </w:tcPr>
                <w:p w14:paraId="6DAC5D2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870" w:type="pct"/>
                  <w:noWrap w:val="0"/>
                  <w:vAlign w:val="center"/>
                </w:tcPr>
                <w:p w14:paraId="023BDE2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690" w:type="pct"/>
                  <w:noWrap w:val="0"/>
                  <w:vAlign w:val="center"/>
                </w:tcPr>
                <w:p w14:paraId="67F41EC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563" w:type="pct"/>
                  <w:noWrap w:val="0"/>
                  <w:vAlign w:val="center"/>
                </w:tcPr>
                <w:p w14:paraId="6F66451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847" w:type="pct"/>
                  <w:noWrap w:val="0"/>
                  <w:vAlign w:val="center"/>
                </w:tcPr>
                <w:p w14:paraId="411F0F2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30" w:type="pct"/>
                  <w:noWrap w:val="0"/>
                  <w:vAlign w:val="center"/>
                </w:tcPr>
                <w:p w14:paraId="4DBF1CD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2030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noWrap w:val="0"/>
                  <w:vAlign w:val="center"/>
                </w:tcPr>
                <w:p w14:paraId="4CE154F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727" w:type="pct"/>
                  <w:noWrap w:val="0"/>
                  <w:vAlign w:val="center"/>
                </w:tcPr>
                <w:p w14:paraId="04E11C8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200</w:t>
                  </w:r>
                </w:p>
              </w:tc>
              <w:tc>
                <w:tcPr>
                  <w:tcW w:w="1504" w:type="dxa"/>
                  <w:noWrap w:val="0"/>
                  <w:vAlign w:val="center"/>
                </w:tcPr>
                <w:p w14:paraId="226974C2">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0.2336 </w:t>
                  </w:r>
                </w:p>
              </w:tc>
              <w:tc>
                <w:tcPr>
                  <w:tcW w:w="690" w:type="pct"/>
                  <w:vMerge w:val="restart"/>
                  <w:noWrap w:val="0"/>
                  <w:vAlign w:val="center"/>
                </w:tcPr>
                <w:p w14:paraId="08FBCF3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格栅+混凝絮凝+厌氧+三级好氧+沉淀+消毒池</w:t>
                  </w:r>
                </w:p>
              </w:tc>
              <w:tc>
                <w:tcPr>
                  <w:tcW w:w="563" w:type="pct"/>
                  <w:shd w:val="clear" w:color="auto" w:fill="auto"/>
                  <w:noWrap w:val="0"/>
                  <w:vAlign w:val="center"/>
                </w:tcPr>
                <w:p w14:paraId="7020DF0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80</w:t>
                  </w:r>
                </w:p>
              </w:tc>
              <w:tc>
                <w:tcPr>
                  <w:tcW w:w="1464" w:type="dxa"/>
                  <w:noWrap w:val="0"/>
                  <w:vAlign w:val="center"/>
                </w:tcPr>
                <w:p w14:paraId="3F0AAA36">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40</w:t>
                  </w:r>
                </w:p>
              </w:tc>
              <w:tc>
                <w:tcPr>
                  <w:tcW w:w="1263" w:type="dxa"/>
                  <w:noWrap w:val="0"/>
                  <w:vAlign w:val="center"/>
                </w:tcPr>
                <w:p w14:paraId="1F421017">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0.0467 </w:t>
                  </w:r>
                </w:p>
              </w:tc>
            </w:tr>
            <w:tr w14:paraId="6A1A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noWrap w:val="0"/>
                  <w:vAlign w:val="center"/>
                </w:tcPr>
                <w:p w14:paraId="2E3550B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727" w:type="pct"/>
                  <w:noWrap w:val="0"/>
                  <w:vAlign w:val="center"/>
                </w:tcPr>
                <w:p w14:paraId="44FA5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100</w:t>
                  </w:r>
                </w:p>
              </w:tc>
              <w:tc>
                <w:tcPr>
                  <w:tcW w:w="1504" w:type="dxa"/>
                  <w:noWrap w:val="0"/>
                  <w:vAlign w:val="center"/>
                </w:tcPr>
                <w:p w14:paraId="6B488F22">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0.1168 </w:t>
                  </w:r>
                </w:p>
              </w:tc>
              <w:tc>
                <w:tcPr>
                  <w:tcW w:w="690" w:type="pct"/>
                  <w:vMerge w:val="continue"/>
                  <w:noWrap w:val="0"/>
                  <w:vAlign w:val="center"/>
                </w:tcPr>
                <w:p w14:paraId="35677BC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563" w:type="pct"/>
                  <w:shd w:val="clear" w:color="auto" w:fill="auto"/>
                  <w:noWrap w:val="0"/>
                  <w:vAlign w:val="center"/>
                </w:tcPr>
                <w:p w14:paraId="5A28816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75</w:t>
                  </w:r>
                </w:p>
              </w:tc>
              <w:tc>
                <w:tcPr>
                  <w:tcW w:w="1464" w:type="dxa"/>
                  <w:noWrap w:val="0"/>
                  <w:vAlign w:val="center"/>
                </w:tcPr>
                <w:p w14:paraId="391F3AB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25</w:t>
                  </w:r>
                </w:p>
              </w:tc>
              <w:tc>
                <w:tcPr>
                  <w:tcW w:w="1263" w:type="dxa"/>
                  <w:noWrap w:val="0"/>
                  <w:vAlign w:val="center"/>
                </w:tcPr>
                <w:p w14:paraId="7D2C37EF">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0.0292 </w:t>
                  </w:r>
                </w:p>
              </w:tc>
            </w:tr>
            <w:tr w14:paraId="0BCA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noWrap w:val="0"/>
                  <w:vAlign w:val="center"/>
                </w:tcPr>
                <w:p w14:paraId="01F5A39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727" w:type="pct"/>
                  <w:noWrap w:val="0"/>
                  <w:vAlign w:val="center"/>
                </w:tcPr>
                <w:p w14:paraId="31DC9EC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500</w:t>
                  </w:r>
                </w:p>
              </w:tc>
              <w:tc>
                <w:tcPr>
                  <w:tcW w:w="1504" w:type="dxa"/>
                  <w:noWrap w:val="0"/>
                  <w:vAlign w:val="center"/>
                </w:tcPr>
                <w:p w14:paraId="3E58B73E">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0.5840 </w:t>
                  </w:r>
                </w:p>
              </w:tc>
              <w:tc>
                <w:tcPr>
                  <w:tcW w:w="690" w:type="pct"/>
                  <w:vMerge w:val="continue"/>
                  <w:noWrap w:val="0"/>
                  <w:vAlign w:val="center"/>
                </w:tcPr>
                <w:p w14:paraId="164C611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563" w:type="pct"/>
                  <w:shd w:val="clear" w:color="auto" w:fill="auto"/>
                  <w:noWrap w:val="0"/>
                  <w:vAlign w:val="center"/>
                </w:tcPr>
                <w:p w14:paraId="2DB7DF0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80</w:t>
                  </w:r>
                </w:p>
              </w:tc>
              <w:tc>
                <w:tcPr>
                  <w:tcW w:w="1464" w:type="dxa"/>
                  <w:noWrap w:val="0"/>
                  <w:vAlign w:val="center"/>
                </w:tcPr>
                <w:p w14:paraId="64437590">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100</w:t>
                  </w:r>
                </w:p>
              </w:tc>
              <w:tc>
                <w:tcPr>
                  <w:tcW w:w="1263" w:type="dxa"/>
                  <w:noWrap w:val="0"/>
                  <w:vAlign w:val="center"/>
                </w:tcPr>
                <w:p w14:paraId="5609A968">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0.1168 </w:t>
                  </w:r>
                </w:p>
              </w:tc>
            </w:tr>
            <w:tr w14:paraId="21FC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noWrap w:val="0"/>
                  <w:vAlign w:val="center"/>
                </w:tcPr>
                <w:p w14:paraId="69C7BE7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727" w:type="pct"/>
                  <w:noWrap w:val="0"/>
                  <w:vAlign w:val="center"/>
                </w:tcPr>
                <w:p w14:paraId="51C4E2F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bidi="ar-SA"/>
                    </w:rPr>
                    <w:t>16</w:t>
                  </w:r>
                </w:p>
              </w:tc>
              <w:tc>
                <w:tcPr>
                  <w:tcW w:w="1504" w:type="dxa"/>
                  <w:noWrap w:val="0"/>
                  <w:vAlign w:val="center"/>
                </w:tcPr>
                <w:p w14:paraId="188A339D">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0.0187 </w:t>
                  </w:r>
                </w:p>
              </w:tc>
              <w:tc>
                <w:tcPr>
                  <w:tcW w:w="690" w:type="pct"/>
                  <w:vMerge w:val="continue"/>
                  <w:noWrap w:val="0"/>
                  <w:vAlign w:val="center"/>
                </w:tcPr>
                <w:p w14:paraId="590116D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563" w:type="pct"/>
                  <w:shd w:val="clear" w:color="auto" w:fill="auto"/>
                  <w:noWrap w:val="0"/>
                  <w:vAlign w:val="center"/>
                </w:tcPr>
                <w:p w14:paraId="760B5D0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55</w:t>
                  </w:r>
                </w:p>
              </w:tc>
              <w:tc>
                <w:tcPr>
                  <w:tcW w:w="1464" w:type="dxa"/>
                  <w:noWrap w:val="0"/>
                  <w:vAlign w:val="center"/>
                </w:tcPr>
                <w:p w14:paraId="674A595F">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7.2</w:t>
                  </w:r>
                </w:p>
              </w:tc>
              <w:tc>
                <w:tcPr>
                  <w:tcW w:w="1263" w:type="dxa"/>
                  <w:noWrap w:val="0"/>
                  <w:vAlign w:val="center"/>
                </w:tcPr>
                <w:p w14:paraId="0D100D2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0.0084 </w:t>
                  </w:r>
                </w:p>
              </w:tc>
            </w:tr>
            <w:tr w14:paraId="129F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noWrap w:val="0"/>
                  <w:vAlign w:val="center"/>
                </w:tcPr>
                <w:p w14:paraId="6879F54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石油类</w:t>
                  </w:r>
                </w:p>
              </w:tc>
              <w:tc>
                <w:tcPr>
                  <w:tcW w:w="727" w:type="pct"/>
                  <w:noWrap w:val="0"/>
                  <w:vAlign w:val="center"/>
                </w:tcPr>
                <w:p w14:paraId="09D3CBD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25</w:t>
                  </w:r>
                </w:p>
              </w:tc>
              <w:tc>
                <w:tcPr>
                  <w:tcW w:w="1504" w:type="dxa"/>
                  <w:noWrap w:val="0"/>
                  <w:vAlign w:val="center"/>
                </w:tcPr>
                <w:p w14:paraId="0690ABA7">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0.0292 </w:t>
                  </w:r>
                </w:p>
              </w:tc>
              <w:tc>
                <w:tcPr>
                  <w:tcW w:w="690" w:type="pct"/>
                  <w:vMerge w:val="continue"/>
                  <w:noWrap w:val="0"/>
                  <w:vAlign w:val="center"/>
                </w:tcPr>
                <w:p w14:paraId="7F9A6CB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563" w:type="pct"/>
                  <w:shd w:val="clear" w:color="auto" w:fill="auto"/>
                  <w:noWrap w:val="0"/>
                  <w:vAlign w:val="center"/>
                </w:tcPr>
                <w:p w14:paraId="0BCB245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1464" w:type="dxa"/>
                  <w:shd w:val="clear" w:color="auto" w:fill="auto"/>
                  <w:noWrap w:val="0"/>
                  <w:vAlign w:val="center"/>
                </w:tcPr>
                <w:p w14:paraId="5CC6209C">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22.5</w:t>
                  </w:r>
                </w:p>
              </w:tc>
              <w:tc>
                <w:tcPr>
                  <w:tcW w:w="1263" w:type="dxa"/>
                  <w:noWrap w:val="0"/>
                  <w:vAlign w:val="center"/>
                </w:tcPr>
                <w:p w14:paraId="1F89E7BE">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0.0263 </w:t>
                  </w:r>
                </w:p>
              </w:tc>
            </w:tr>
          </w:tbl>
          <w:p w14:paraId="53EADF74">
            <w:pPr>
              <w:keepNext w:val="0"/>
              <w:keepLines w:val="0"/>
              <w:widowControl/>
              <w:suppressLineNumbers w:val="0"/>
              <w:ind w:left="0" w:leftChars="0" w:firstLine="480" w:firstLineChars="200"/>
              <w:jc w:val="both"/>
              <w:rPr>
                <w:rFonts w:hint="default" w:ascii="Times New Roman" w:hAnsi="Times New Roman"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现有工程废水混合后排放量及排放浓度如下表所示：</w:t>
            </w:r>
          </w:p>
          <w:p w14:paraId="49962937">
            <w:pPr>
              <w:keepNext w:val="0"/>
              <w:keepLines w:val="0"/>
              <w:widowControl/>
              <w:suppressLineNumbers w:val="0"/>
              <w:ind w:left="0" w:leftChars="0" w:firstLine="0" w:firstLineChars="0"/>
              <w:jc w:val="center"/>
              <w:rPr>
                <w:rFonts w:hint="default" w:ascii="Times New Roman" w:hAnsi="Times New Roman" w:cs="Times New Roman"/>
                <w:color w:val="auto"/>
                <w:kern w:val="2"/>
                <w:sz w:val="24"/>
                <w:szCs w:val="24"/>
                <w:u w:val="none" w:color="auto"/>
                <w:lang w:val="en-US" w:eastAsia="zh-CN" w:bidi="ar-SA"/>
              </w:rPr>
            </w:pPr>
            <w:r>
              <w:rPr>
                <w:rFonts w:hint="default" w:ascii="Times New Roman" w:hAnsi="Times New Roman" w:cs="Times New Roman"/>
                <w:color w:val="auto"/>
                <w:kern w:val="2"/>
                <w:sz w:val="24"/>
                <w:szCs w:val="24"/>
                <w:u w:val="none" w:color="auto"/>
                <w:lang w:val="en-US" w:eastAsia="zh-CN" w:bidi="ar-SA"/>
              </w:rPr>
              <w:t>表</w:t>
            </w:r>
            <w:r>
              <w:rPr>
                <w:rFonts w:hint="eastAsia" w:cs="Times New Roman"/>
                <w:color w:val="auto"/>
                <w:kern w:val="2"/>
                <w:sz w:val="24"/>
                <w:szCs w:val="24"/>
                <w:u w:val="none" w:color="auto"/>
                <w:lang w:val="en-US" w:eastAsia="zh-CN" w:bidi="ar-SA"/>
              </w:rPr>
              <w:t>2</w:t>
            </w:r>
            <w:r>
              <w:rPr>
                <w:rFonts w:hint="default" w:ascii="Times New Roman" w:hAnsi="Times New Roman"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7</w:t>
            </w:r>
            <w:r>
              <w:rPr>
                <w:rFonts w:hint="default" w:ascii="Times New Roman" w:hAnsi="Times New Roman"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12</w:t>
            </w:r>
            <w:r>
              <w:rPr>
                <w:rFonts w:hint="default" w:ascii="Times New Roman" w:hAnsi="Times New Roman" w:cs="Times New Roman"/>
                <w:color w:val="auto"/>
                <w:kern w:val="2"/>
                <w:sz w:val="24"/>
                <w:szCs w:val="24"/>
                <w:u w:val="none" w:color="auto"/>
                <w:lang w:val="en-US" w:eastAsia="zh-CN" w:bidi="ar-SA"/>
              </w:rPr>
              <w:t xml:space="preserve"> 项目营运期废水</w:t>
            </w:r>
            <w:r>
              <w:rPr>
                <w:rFonts w:hint="eastAsia" w:cs="Times New Roman"/>
                <w:color w:val="auto"/>
                <w:kern w:val="2"/>
                <w:sz w:val="24"/>
                <w:szCs w:val="24"/>
                <w:u w:val="none" w:color="auto"/>
                <w:lang w:val="en-US" w:eastAsia="zh-CN" w:bidi="ar-SA"/>
              </w:rPr>
              <w:t>混合后</w:t>
            </w:r>
            <w:r>
              <w:rPr>
                <w:rFonts w:hint="default" w:ascii="Times New Roman" w:hAnsi="Times New Roman" w:cs="Times New Roman"/>
                <w:color w:val="auto"/>
                <w:kern w:val="2"/>
                <w:sz w:val="24"/>
                <w:szCs w:val="24"/>
                <w:u w:val="none" w:color="auto"/>
                <w:lang w:val="en-US" w:eastAsia="zh-CN" w:bidi="ar-SA"/>
              </w:rPr>
              <w:t>水污染物排污情况</w:t>
            </w:r>
            <w:r>
              <w:rPr>
                <w:rFonts w:hint="eastAsia" w:cs="Times New Roman"/>
                <w:color w:val="auto"/>
                <w:kern w:val="2"/>
                <w:sz w:val="24"/>
                <w:szCs w:val="24"/>
                <w:u w:val="none" w:color="auto"/>
                <w:lang w:val="en-US" w:eastAsia="zh-CN" w:bidi="ar-SA"/>
              </w:rPr>
              <w:t>汇总</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500"/>
              <w:gridCol w:w="1536"/>
              <w:gridCol w:w="1107"/>
              <w:gridCol w:w="986"/>
              <w:gridCol w:w="1191"/>
              <w:gridCol w:w="1027"/>
            </w:tblGrid>
            <w:tr w14:paraId="76F2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Merge w:val="restart"/>
                  <w:noWrap w:val="0"/>
                  <w:vAlign w:val="center"/>
                </w:tcPr>
                <w:p w14:paraId="14438AEF">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污染物名称</w:t>
                  </w:r>
                </w:p>
              </w:tc>
              <w:tc>
                <w:tcPr>
                  <w:tcW w:w="3736" w:type="pct"/>
                  <w:gridSpan w:val="5"/>
                  <w:noWrap w:val="0"/>
                  <w:vAlign w:val="center"/>
                </w:tcPr>
                <w:p w14:paraId="4CD372A1">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混合后</w:t>
                  </w:r>
                  <w:r>
                    <w:rPr>
                      <w:rFonts w:ascii="Times New Roman" w:hAnsi="Times New Roman" w:cs="Times New Roman"/>
                      <w:color w:val="auto"/>
                      <w:sz w:val="21"/>
                      <w:szCs w:val="21"/>
                      <w:u w:val="none" w:color="auto"/>
                    </w:rPr>
                    <w:t>排放量（</w:t>
                  </w:r>
                  <w:r>
                    <w:rPr>
                      <w:rFonts w:hint="eastAsia" w:cs="Times New Roman"/>
                      <w:color w:val="auto"/>
                      <w:sz w:val="21"/>
                      <w:szCs w:val="21"/>
                      <w:u w:val="none" w:color="auto"/>
                      <w:lang w:val="en-US" w:eastAsia="zh-CN"/>
                    </w:rPr>
                    <w:t>53433.06</w:t>
                  </w:r>
                  <w:r>
                    <w:rPr>
                      <w:rFonts w:hint="default" w:ascii="Times New Roman" w:hAnsi="Times New Roman" w:cs="Times New Roman"/>
                      <w:color w:val="auto"/>
                      <w:sz w:val="21"/>
                      <w:szCs w:val="21"/>
                      <w:u w:val="none" w:color="auto"/>
                      <w:lang w:val="en-US" w:eastAsia="zh-CN"/>
                    </w:rPr>
                    <w:t xml:space="preserve"> </w:t>
                  </w:r>
                  <w:r>
                    <w:rPr>
                      <w:rFonts w:ascii="Times New Roman" w:hAnsi="Times New Roman" w:cs="Times New Roman"/>
                      <w:color w:val="auto"/>
                      <w:sz w:val="21"/>
                      <w:szCs w:val="21"/>
                      <w:u w:val="none" w:color="auto"/>
                    </w:rPr>
                    <w:t>t/a）</w:t>
                  </w:r>
                </w:p>
              </w:tc>
              <w:tc>
                <w:tcPr>
                  <w:tcW w:w="607" w:type="pct"/>
                  <w:vMerge w:val="restart"/>
                  <w:noWrap w:val="0"/>
                  <w:vAlign w:val="center"/>
                </w:tcPr>
                <w:p w14:paraId="11A5A0F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执行标准</w:t>
                  </w:r>
                  <w:r>
                    <w:rPr>
                      <w:rFonts w:ascii="Times New Roman" w:hAnsi="Times New Roman" w:cs="Times New Roman"/>
                      <w:color w:val="auto"/>
                      <w:sz w:val="21"/>
                      <w:szCs w:val="21"/>
                      <w:u w:val="none" w:color="auto"/>
                    </w:rPr>
                    <w:t>（mg/L）</w:t>
                  </w:r>
                </w:p>
              </w:tc>
            </w:tr>
            <w:tr w14:paraId="5D1C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5" w:type="pct"/>
                  <w:vMerge w:val="continue"/>
                  <w:noWrap w:val="0"/>
                  <w:vAlign w:val="center"/>
                </w:tcPr>
                <w:p w14:paraId="5A0C1C04">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3032" w:type="pct"/>
                  <w:gridSpan w:val="4"/>
                  <w:noWrap w:val="0"/>
                  <w:vAlign w:val="center"/>
                </w:tcPr>
                <w:p w14:paraId="786D97B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排放</w:t>
                  </w:r>
                  <w:r>
                    <w:rPr>
                      <w:rFonts w:ascii="Times New Roman" w:hAnsi="Times New Roman" w:cs="Times New Roman"/>
                      <w:color w:val="auto"/>
                      <w:sz w:val="21"/>
                      <w:szCs w:val="21"/>
                      <w:u w:val="none" w:color="auto"/>
                    </w:rPr>
                    <w:t>量（t/a）</w:t>
                  </w:r>
                </w:p>
              </w:tc>
              <w:tc>
                <w:tcPr>
                  <w:tcW w:w="704" w:type="pct"/>
                  <w:vMerge w:val="restart"/>
                  <w:noWrap w:val="0"/>
                  <w:vAlign w:val="center"/>
                </w:tcPr>
                <w:p w14:paraId="09A830AA">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混合后</w:t>
                  </w:r>
                  <w:r>
                    <w:rPr>
                      <w:rFonts w:ascii="Times New Roman" w:hAnsi="Times New Roman" w:cs="Times New Roman"/>
                      <w:color w:val="auto"/>
                      <w:sz w:val="21"/>
                      <w:szCs w:val="21"/>
                      <w:u w:val="none" w:color="auto"/>
                    </w:rPr>
                    <w:t>浓度（mg/L）</w:t>
                  </w:r>
                </w:p>
              </w:tc>
              <w:tc>
                <w:tcPr>
                  <w:tcW w:w="607" w:type="pct"/>
                  <w:vMerge w:val="continue"/>
                  <w:shd w:val="clear" w:color="auto" w:fill="auto"/>
                  <w:noWrap w:val="0"/>
                  <w:vAlign w:val="center"/>
                </w:tcPr>
                <w:p w14:paraId="60562CF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r>
            <w:tr w14:paraId="188E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5" w:type="pct"/>
                  <w:vMerge w:val="continue"/>
                  <w:noWrap w:val="0"/>
                  <w:vAlign w:val="center"/>
                </w:tcPr>
                <w:p w14:paraId="1BC409EB">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color w:val="auto"/>
                    </w:rPr>
                  </w:pPr>
                </w:p>
              </w:tc>
              <w:tc>
                <w:tcPr>
                  <w:tcW w:w="886" w:type="pct"/>
                  <w:noWrap w:val="0"/>
                  <w:vAlign w:val="center"/>
                </w:tcPr>
                <w:p w14:paraId="37BBD1D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屠宰生产废水</w:t>
                  </w:r>
                </w:p>
              </w:tc>
              <w:tc>
                <w:tcPr>
                  <w:tcW w:w="908" w:type="pct"/>
                  <w:noWrap w:val="0"/>
                  <w:vAlign w:val="center"/>
                </w:tcPr>
                <w:p w14:paraId="15BC6A7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车辆清洗废水</w:t>
                  </w:r>
                </w:p>
              </w:tc>
              <w:tc>
                <w:tcPr>
                  <w:tcW w:w="654" w:type="pct"/>
                  <w:noWrap w:val="0"/>
                  <w:vAlign w:val="center"/>
                </w:tcPr>
                <w:p w14:paraId="36F9282A">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生活污水</w:t>
                  </w:r>
                </w:p>
              </w:tc>
              <w:tc>
                <w:tcPr>
                  <w:tcW w:w="583" w:type="pct"/>
                  <w:noWrap w:val="0"/>
                  <w:vAlign w:val="center"/>
                </w:tcPr>
                <w:p w14:paraId="4434ABC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合计</w:t>
                  </w:r>
                </w:p>
              </w:tc>
              <w:tc>
                <w:tcPr>
                  <w:tcW w:w="704" w:type="pct"/>
                  <w:vMerge w:val="continue"/>
                  <w:noWrap w:val="0"/>
                  <w:vAlign w:val="center"/>
                </w:tcPr>
                <w:p w14:paraId="75FF0BE7">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607" w:type="pct"/>
                  <w:vMerge w:val="continue"/>
                  <w:noWrap w:val="0"/>
                  <w:vAlign w:val="center"/>
                </w:tcPr>
                <w:p w14:paraId="15D6733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r>
            <w:tr w14:paraId="01E9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5" w:type="pct"/>
                  <w:shd w:val="clear" w:color="auto" w:fill="auto"/>
                  <w:noWrap w:val="0"/>
                  <w:vAlign w:val="center"/>
                </w:tcPr>
                <w:p w14:paraId="4B497DB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stheme="minorBidi"/>
                      <w:color w:val="auto"/>
                      <w:kern w:val="2"/>
                      <w:sz w:val="21"/>
                      <w:szCs w:val="21"/>
                      <w:u w:val="none" w:color="auto"/>
                      <w:lang w:val="en-US" w:eastAsia="zh-CN" w:bidi="ar-SA"/>
                    </w:rPr>
                  </w:pPr>
                  <w:r>
                    <w:rPr>
                      <w:color w:val="auto"/>
                      <w:sz w:val="21"/>
                      <w:szCs w:val="21"/>
                      <w:u w:val="none" w:color="auto"/>
                    </w:rPr>
                    <w:t>COD</w:t>
                  </w:r>
                  <w:r>
                    <w:rPr>
                      <w:color w:val="auto"/>
                      <w:sz w:val="21"/>
                      <w:szCs w:val="21"/>
                      <w:u w:val="none" w:color="auto"/>
                      <w:vertAlign w:val="subscript"/>
                    </w:rPr>
                    <w:t>Cr</w:t>
                  </w:r>
                </w:p>
              </w:tc>
              <w:tc>
                <w:tcPr>
                  <w:tcW w:w="886" w:type="pct"/>
                  <w:shd w:val="clear" w:color="auto" w:fill="auto"/>
                  <w:noWrap w:val="0"/>
                  <w:vAlign w:val="center"/>
                </w:tcPr>
                <w:p w14:paraId="3351289B">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20.7713 </w:t>
                  </w:r>
                </w:p>
              </w:tc>
              <w:tc>
                <w:tcPr>
                  <w:tcW w:w="908" w:type="pct"/>
                  <w:shd w:val="clear" w:color="auto" w:fill="auto"/>
                  <w:noWrap w:val="0"/>
                  <w:vAlign w:val="center"/>
                </w:tcPr>
                <w:p w14:paraId="409E3D1B">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0.0467 </w:t>
                  </w:r>
                </w:p>
              </w:tc>
              <w:tc>
                <w:tcPr>
                  <w:tcW w:w="654" w:type="pct"/>
                  <w:shd w:val="clear" w:color="auto" w:fill="auto"/>
                  <w:noWrap w:val="0"/>
                  <w:vAlign w:val="center"/>
                </w:tcPr>
                <w:p w14:paraId="17A1AF91">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0.1981 </w:t>
                  </w:r>
                </w:p>
              </w:tc>
              <w:tc>
                <w:tcPr>
                  <w:tcW w:w="986" w:type="dxa"/>
                  <w:noWrap w:val="0"/>
                  <w:vAlign w:val="center"/>
                </w:tcPr>
                <w:p w14:paraId="5CCC256C">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21.0161</w:t>
                  </w:r>
                </w:p>
              </w:tc>
              <w:tc>
                <w:tcPr>
                  <w:tcW w:w="1191" w:type="dxa"/>
                  <w:noWrap w:val="0"/>
                  <w:vAlign w:val="center"/>
                </w:tcPr>
                <w:p w14:paraId="113E7F42">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393.32 </w:t>
                  </w:r>
                </w:p>
              </w:tc>
              <w:tc>
                <w:tcPr>
                  <w:tcW w:w="607" w:type="pct"/>
                  <w:shd w:val="clear" w:color="auto" w:fill="auto"/>
                  <w:noWrap w:val="0"/>
                  <w:vAlign w:val="center"/>
                </w:tcPr>
                <w:p w14:paraId="27C98EF8">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500</w:t>
                  </w:r>
                </w:p>
              </w:tc>
            </w:tr>
            <w:tr w14:paraId="5D1E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55" w:type="pct"/>
                  <w:shd w:val="clear" w:color="auto" w:fill="auto"/>
                  <w:noWrap w:val="0"/>
                  <w:vAlign w:val="center"/>
                </w:tcPr>
                <w:p w14:paraId="64742C8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stheme="minorBidi"/>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886" w:type="pct"/>
                  <w:shd w:val="clear" w:color="auto" w:fill="auto"/>
                  <w:noWrap w:val="0"/>
                  <w:vAlign w:val="center"/>
                </w:tcPr>
                <w:p w14:paraId="4428456C">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12.8619 </w:t>
                  </w:r>
                </w:p>
              </w:tc>
              <w:tc>
                <w:tcPr>
                  <w:tcW w:w="908" w:type="pct"/>
                  <w:shd w:val="clear" w:color="auto" w:fill="auto"/>
                  <w:noWrap w:val="0"/>
                  <w:vAlign w:val="center"/>
                </w:tcPr>
                <w:p w14:paraId="1AB68EF4">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0.0292 </w:t>
                  </w:r>
                </w:p>
              </w:tc>
              <w:tc>
                <w:tcPr>
                  <w:tcW w:w="654" w:type="pct"/>
                  <w:shd w:val="clear" w:color="auto" w:fill="auto"/>
                  <w:noWrap w:val="0"/>
                  <w:vAlign w:val="center"/>
                </w:tcPr>
                <w:p w14:paraId="5680A360">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0.0960 </w:t>
                  </w:r>
                </w:p>
              </w:tc>
              <w:tc>
                <w:tcPr>
                  <w:tcW w:w="986" w:type="dxa"/>
                  <w:noWrap w:val="0"/>
                  <w:vAlign w:val="center"/>
                </w:tcPr>
                <w:p w14:paraId="427F7A1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12.9871</w:t>
                  </w:r>
                </w:p>
              </w:tc>
              <w:tc>
                <w:tcPr>
                  <w:tcW w:w="1191" w:type="dxa"/>
                  <w:noWrap w:val="0"/>
                  <w:vAlign w:val="center"/>
                </w:tcPr>
                <w:p w14:paraId="2019D6EA">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243.05 </w:t>
                  </w:r>
                </w:p>
              </w:tc>
              <w:tc>
                <w:tcPr>
                  <w:tcW w:w="607" w:type="pct"/>
                  <w:shd w:val="clear" w:color="auto" w:fill="auto"/>
                  <w:noWrap w:val="0"/>
                  <w:vAlign w:val="center"/>
                </w:tcPr>
                <w:p w14:paraId="58D446D2">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300</w:t>
                  </w:r>
                </w:p>
              </w:tc>
            </w:tr>
            <w:tr w14:paraId="68BE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55" w:type="pct"/>
                  <w:shd w:val="clear" w:color="auto" w:fill="auto"/>
                  <w:noWrap w:val="0"/>
                  <w:vAlign w:val="center"/>
                </w:tcPr>
                <w:p w14:paraId="076AAC4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rPr>
                    <w:t>SS</w:t>
                  </w:r>
                </w:p>
              </w:tc>
              <w:tc>
                <w:tcPr>
                  <w:tcW w:w="886" w:type="pct"/>
                  <w:shd w:val="clear" w:color="auto" w:fill="auto"/>
                  <w:noWrap w:val="0"/>
                  <w:vAlign w:val="center"/>
                </w:tcPr>
                <w:p w14:paraId="038AA197">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10.2895 </w:t>
                  </w:r>
                </w:p>
              </w:tc>
              <w:tc>
                <w:tcPr>
                  <w:tcW w:w="908" w:type="pct"/>
                  <w:shd w:val="clear" w:color="auto" w:fill="auto"/>
                  <w:noWrap w:val="0"/>
                  <w:vAlign w:val="center"/>
                </w:tcPr>
                <w:p w14:paraId="1C036555">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0.1168 </w:t>
                  </w:r>
                </w:p>
              </w:tc>
              <w:tc>
                <w:tcPr>
                  <w:tcW w:w="654" w:type="pct"/>
                  <w:shd w:val="clear" w:color="auto" w:fill="auto"/>
                  <w:noWrap w:val="0"/>
                  <w:vAlign w:val="center"/>
                </w:tcPr>
                <w:p w14:paraId="06DD5A36">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0.0818 </w:t>
                  </w:r>
                </w:p>
              </w:tc>
              <w:tc>
                <w:tcPr>
                  <w:tcW w:w="986" w:type="dxa"/>
                  <w:noWrap w:val="0"/>
                  <w:vAlign w:val="center"/>
                </w:tcPr>
                <w:p w14:paraId="1394125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10.4881</w:t>
                  </w:r>
                </w:p>
              </w:tc>
              <w:tc>
                <w:tcPr>
                  <w:tcW w:w="1191" w:type="dxa"/>
                  <w:noWrap w:val="0"/>
                  <w:vAlign w:val="center"/>
                </w:tcPr>
                <w:p w14:paraId="78581EBC">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196.28 </w:t>
                  </w:r>
                </w:p>
              </w:tc>
              <w:tc>
                <w:tcPr>
                  <w:tcW w:w="607" w:type="pct"/>
                  <w:shd w:val="clear" w:color="auto" w:fill="auto"/>
                  <w:noWrap w:val="0"/>
                  <w:vAlign w:val="center"/>
                </w:tcPr>
                <w:p w14:paraId="345CE194">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400</w:t>
                  </w:r>
                </w:p>
              </w:tc>
            </w:tr>
            <w:tr w14:paraId="5700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shd w:val="clear" w:color="auto" w:fill="auto"/>
                  <w:noWrap w:val="0"/>
                  <w:vAlign w:val="center"/>
                </w:tcPr>
                <w:p w14:paraId="47DC5C8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886" w:type="pct"/>
                  <w:shd w:val="clear" w:color="auto" w:fill="auto"/>
                  <w:noWrap w:val="0"/>
                  <w:vAlign w:val="center"/>
                </w:tcPr>
                <w:p w14:paraId="71C76EDD">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1.9656 </w:t>
                  </w:r>
                </w:p>
              </w:tc>
              <w:tc>
                <w:tcPr>
                  <w:tcW w:w="908" w:type="pct"/>
                  <w:shd w:val="clear" w:color="auto" w:fill="auto"/>
                  <w:noWrap w:val="0"/>
                  <w:vAlign w:val="center"/>
                </w:tcPr>
                <w:p w14:paraId="514D509A">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0.0084 </w:t>
                  </w:r>
                </w:p>
              </w:tc>
              <w:tc>
                <w:tcPr>
                  <w:tcW w:w="654" w:type="pct"/>
                  <w:shd w:val="clear" w:color="auto" w:fill="auto"/>
                  <w:noWrap w:val="0"/>
                  <w:vAlign w:val="center"/>
                </w:tcPr>
                <w:p w14:paraId="54D34DF2">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0.0198 </w:t>
                  </w:r>
                </w:p>
              </w:tc>
              <w:tc>
                <w:tcPr>
                  <w:tcW w:w="986" w:type="dxa"/>
                  <w:noWrap w:val="0"/>
                  <w:vAlign w:val="center"/>
                </w:tcPr>
                <w:p w14:paraId="3FB18B0D">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1.9938</w:t>
                  </w:r>
                </w:p>
              </w:tc>
              <w:tc>
                <w:tcPr>
                  <w:tcW w:w="1191" w:type="dxa"/>
                  <w:noWrap w:val="0"/>
                  <w:vAlign w:val="center"/>
                </w:tcPr>
                <w:p w14:paraId="61AC45B7">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37.31 </w:t>
                  </w:r>
                </w:p>
              </w:tc>
              <w:tc>
                <w:tcPr>
                  <w:tcW w:w="607" w:type="pct"/>
                  <w:shd w:val="clear" w:color="auto" w:fill="auto"/>
                  <w:noWrap w:val="0"/>
                  <w:vAlign w:val="center"/>
                </w:tcPr>
                <w:p w14:paraId="59EB450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45</w:t>
                  </w:r>
                </w:p>
              </w:tc>
            </w:tr>
            <w:tr w14:paraId="1539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shd w:val="clear" w:color="auto" w:fill="auto"/>
                  <w:vAlign w:val="center"/>
                </w:tcPr>
                <w:p w14:paraId="5D1BF2F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动植物油</w:t>
                  </w:r>
                </w:p>
              </w:tc>
              <w:tc>
                <w:tcPr>
                  <w:tcW w:w="886" w:type="pct"/>
                  <w:shd w:val="clear" w:color="auto" w:fill="auto"/>
                  <w:vAlign w:val="center"/>
                </w:tcPr>
                <w:p w14:paraId="301FB4FF">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4.6303 </w:t>
                  </w:r>
                </w:p>
              </w:tc>
              <w:tc>
                <w:tcPr>
                  <w:tcW w:w="908" w:type="pct"/>
                  <w:shd w:val="clear" w:color="auto" w:fill="auto"/>
                  <w:vAlign w:val="center"/>
                </w:tcPr>
                <w:p w14:paraId="5FA3EA00">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i w:val="0"/>
                      <w:iCs w:val="0"/>
                      <w:color w:val="auto"/>
                      <w:kern w:val="2"/>
                      <w:sz w:val="21"/>
                      <w:szCs w:val="21"/>
                      <w:u w:val="none" w:color="auto"/>
                      <w:lang w:val="en-US" w:eastAsia="zh-CN" w:bidi="ar-SA"/>
                    </w:rPr>
                    <w:t>/</w:t>
                  </w:r>
                </w:p>
              </w:tc>
              <w:tc>
                <w:tcPr>
                  <w:tcW w:w="654" w:type="pct"/>
                  <w:shd w:val="clear" w:color="auto" w:fill="auto"/>
                  <w:vAlign w:val="center"/>
                </w:tcPr>
                <w:p w14:paraId="2987C32D">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default" w:ascii="Times New Roman" w:hAnsi="Times New Roman" w:eastAsia="宋体" w:cs="Times New Roman"/>
                      <w:i w:val="0"/>
                      <w:iCs w:val="0"/>
                      <w:color w:val="auto"/>
                      <w:kern w:val="2"/>
                      <w:sz w:val="21"/>
                      <w:szCs w:val="21"/>
                      <w:u w:val="none" w:color="auto"/>
                      <w:lang w:val="en-US" w:eastAsia="zh-CN" w:bidi="ar"/>
                    </w:rPr>
                    <w:t xml:space="preserve">0.0245 </w:t>
                  </w:r>
                </w:p>
              </w:tc>
              <w:tc>
                <w:tcPr>
                  <w:tcW w:w="986" w:type="dxa"/>
                  <w:vAlign w:val="center"/>
                </w:tcPr>
                <w:p w14:paraId="6C493B88">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4.6548</w:t>
                  </w:r>
                </w:p>
              </w:tc>
              <w:tc>
                <w:tcPr>
                  <w:tcW w:w="1191" w:type="dxa"/>
                  <w:vAlign w:val="center"/>
                </w:tcPr>
                <w:p w14:paraId="46FB923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87.11 </w:t>
                  </w:r>
                </w:p>
              </w:tc>
              <w:tc>
                <w:tcPr>
                  <w:tcW w:w="607" w:type="pct"/>
                  <w:shd w:val="clear" w:color="auto" w:fill="auto"/>
                  <w:vAlign w:val="center"/>
                </w:tcPr>
                <w:p w14:paraId="5D0BCD6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100</w:t>
                  </w:r>
                </w:p>
              </w:tc>
            </w:tr>
            <w:tr w14:paraId="6C65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shd w:val="clear" w:color="auto" w:fill="auto"/>
                  <w:vAlign w:val="center"/>
                </w:tcPr>
                <w:p w14:paraId="7917A47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TN</w:t>
                  </w:r>
                </w:p>
              </w:tc>
              <w:tc>
                <w:tcPr>
                  <w:tcW w:w="886" w:type="pct"/>
                  <w:shd w:val="clear" w:color="auto" w:fill="auto"/>
                  <w:vAlign w:val="center"/>
                </w:tcPr>
                <w:p w14:paraId="56E8728D">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3.5761 </w:t>
                  </w:r>
                </w:p>
              </w:tc>
              <w:tc>
                <w:tcPr>
                  <w:tcW w:w="908" w:type="pct"/>
                </w:tcPr>
                <w:p w14:paraId="5552D60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c>
                <w:tcPr>
                  <w:tcW w:w="654" w:type="pct"/>
                </w:tcPr>
                <w:p w14:paraId="71488CF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c>
                <w:tcPr>
                  <w:tcW w:w="986" w:type="dxa"/>
                  <w:vAlign w:val="center"/>
                </w:tcPr>
                <w:p w14:paraId="2CAD9CF8">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3.5761</w:t>
                  </w:r>
                </w:p>
              </w:tc>
              <w:tc>
                <w:tcPr>
                  <w:tcW w:w="1191" w:type="dxa"/>
                  <w:vAlign w:val="center"/>
                </w:tcPr>
                <w:p w14:paraId="780D45E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66.93 </w:t>
                  </w:r>
                </w:p>
              </w:tc>
              <w:tc>
                <w:tcPr>
                  <w:tcW w:w="607" w:type="pct"/>
                  <w:shd w:val="clear" w:color="auto" w:fill="auto"/>
                  <w:vAlign w:val="center"/>
                </w:tcPr>
                <w:p w14:paraId="0A0DE20B">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70</w:t>
                  </w:r>
                </w:p>
              </w:tc>
            </w:tr>
            <w:tr w14:paraId="7399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shd w:val="clear" w:color="auto" w:fill="auto"/>
                  <w:vAlign w:val="center"/>
                </w:tcPr>
                <w:p w14:paraId="10AAE5E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TP</w:t>
                  </w:r>
                </w:p>
              </w:tc>
              <w:tc>
                <w:tcPr>
                  <w:tcW w:w="1500" w:type="dxa"/>
                  <w:shd w:val="clear" w:color="auto" w:fill="auto"/>
                  <w:vAlign w:val="center"/>
                </w:tcPr>
                <w:p w14:paraId="138432F3">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0.3848 </w:t>
                  </w:r>
                </w:p>
              </w:tc>
              <w:tc>
                <w:tcPr>
                  <w:tcW w:w="908" w:type="pct"/>
                </w:tcPr>
                <w:p w14:paraId="7AAAEEB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c>
                <w:tcPr>
                  <w:tcW w:w="654" w:type="pct"/>
                </w:tcPr>
                <w:p w14:paraId="06CD0E4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c>
                <w:tcPr>
                  <w:tcW w:w="986" w:type="dxa"/>
                  <w:vAlign w:val="center"/>
                </w:tcPr>
                <w:p w14:paraId="42AAFF2A">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0.3848 </w:t>
                  </w:r>
                </w:p>
              </w:tc>
              <w:tc>
                <w:tcPr>
                  <w:tcW w:w="1191" w:type="dxa"/>
                  <w:vAlign w:val="center"/>
                </w:tcPr>
                <w:p w14:paraId="325F8229">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cs="Times New Roman"/>
                      <w:i w:val="0"/>
                      <w:iCs w:val="0"/>
                      <w:color w:val="auto"/>
                      <w:kern w:val="2"/>
                      <w:sz w:val="21"/>
                      <w:szCs w:val="21"/>
                      <w:u w:val="none" w:color="auto"/>
                      <w:lang w:val="en-US" w:eastAsia="zh-CN" w:bidi="ar-SA"/>
                    </w:rPr>
                    <w:t>7.2</w:t>
                  </w:r>
                  <w:r>
                    <w:rPr>
                      <w:rFonts w:hint="eastAsia" w:ascii="Times New Roman" w:hAnsi="Times New Roman" w:eastAsia="宋体" w:cs="Times New Roman"/>
                      <w:i w:val="0"/>
                      <w:iCs w:val="0"/>
                      <w:color w:val="auto"/>
                      <w:kern w:val="2"/>
                      <w:sz w:val="21"/>
                      <w:szCs w:val="21"/>
                      <w:u w:val="none" w:color="auto"/>
                      <w:lang w:val="en-US" w:eastAsia="zh-CN" w:bidi="ar-SA"/>
                    </w:rPr>
                    <w:t xml:space="preserve">0 </w:t>
                  </w:r>
                </w:p>
              </w:tc>
              <w:tc>
                <w:tcPr>
                  <w:tcW w:w="607" w:type="pct"/>
                  <w:shd w:val="clear" w:color="auto" w:fill="auto"/>
                  <w:vAlign w:val="center"/>
                </w:tcPr>
                <w:p w14:paraId="69899C4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8</w:t>
                  </w:r>
                </w:p>
              </w:tc>
            </w:tr>
            <w:tr w14:paraId="1C58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shd w:val="clear" w:color="auto" w:fill="auto"/>
                  <w:vAlign w:val="center"/>
                </w:tcPr>
                <w:p w14:paraId="183AEE3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石油类</w:t>
                  </w:r>
                </w:p>
              </w:tc>
              <w:tc>
                <w:tcPr>
                  <w:tcW w:w="886" w:type="pct"/>
                </w:tcPr>
                <w:p w14:paraId="4218E4C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c>
                <w:tcPr>
                  <w:tcW w:w="908" w:type="pct"/>
                </w:tcPr>
                <w:p w14:paraId="5BAA7C9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0.0263 </w:t>
                  </w:r>
                </w:p>
              </w:tc>
              <w:tc>
                <w:tcPr>
                  <w:tcW w:w="654" w:type="pct"/>
                </w:tcPr>
                <w:p w14:paraId="01B28D8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i w:val="0"/>
                      <w:iCs w:val="0"/>
                      <w:color w:val="auto"/>
                      <w:kern w:val="2"/>
                      <w:sz w:val="21"/>
                      <w:szCs w:val="21"/>
                      <w:u w:val="none" w:color="auto"/>
                      <w:lang w:val="en-US" w:eastAsia="zh-CN" w:bidi="ar"/>
                    </w:rPr>
                  </w:pPr>
                  <w:r>
                    <w:rPr>
                      <w:rFonts w:hint="eastAsia" w:cs="Times New Roman"/>
                      <w:i w:val="0"/>
                      <w:iCs w:val="0"/>
                      <w:color w:val="auto"/>
                      <w:kern w:val="2"/>
                      <w:sz w:val="21"/>
                      <w:szCs w:val="21"/>
                      <w:u w:val="none" w:color="auto"/>
                      <w:lang w:val="en-US" w:eastAsia="zh-CN" w:bidi="ar"/>
                    </w:rPr>
                    <w:t>/</w:t>
                  </w:r>
                </w:p>
              </w:tc>
              <w:tc>
                <w:tcPr>
                  <w:tcW w:w="986" w:type="dxa"/>
                  <w:vAlign w:val="center"/>
                </w:tcPr>
                <w:p w14:paraId="4FE14B44">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0.0263</w:t>
                  </w:r>
                </w:p>
              </w:tc>
              <w:tc>
                <w:tcPr>
                  <w:tcW w:w="1191" w:type="dxa"/>
                  <w:vAlign w:val="center"/>
                </w:tcPr>
                <w:p w14:paraId="7246FFB2">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0.49 </w:t>
                  </w:r>
                </w:p>
              </w:tc>
              <w:tc>
                <w:tcPr>
                  <w:tcW w:w="607" w:type="pct"/>
                  <w:shd w:val="clear" w:color="auto" w:fill="auto"/>
                  <w:vAlign w:val="center"/>
                </w:tcPr>
                <w:p w14:paraId="4D6FB516">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20</w:t>
                  </w:r>
                </w:p>
              </w:tc>
            </w:tr>
          </w:tbl>
          <w:p w14:paraId="672F0826">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现有项目产排污情况详见下表。</w:t>
            </w:r>
          </w:p>
          <w:p w14:paraId="6A8B8BF0">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表2.7-</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 xml:space="preserve"> 现有项目产排污情况一览表</w:t>
            </w:r>
          </w:p>
          <w:tbl>
            <w:tblPr>
              <w:tblStyle w:val="23"/>
              <w:tblW w:w="8469"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434"/>
              <w:gridCol w:w="1657"/>
              <w:gridCol w:w="1914"/>
              <w:gridCol w:w="1500"/>
              <w:gridCol w:w="1302"/>
            </w:tblGrid>
            <w:tr w14:paraId="56B4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14:paraId="58A1A3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内容类型</w:t>
                  </w:r>
                </w:p>
              </w:tc>
              <w:tc>
                <w:tcPr>
                  <w:tcW w:w="1434" w:type="dxa"/>
                  <w:vAlign w:val="center"/>
                </w:tcPr>
                <w:p w14:paraId="66D894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排放源</w:t>
                  </w:r>
                </w:p>
              </w:tc>
              <w:tc>
                <w:tcPr>
                  <w:tcW w:w="1657" w:type="dxa"/>
                  <w:vAlign w:val="center"/>
                </w:tcPr>
                <w:p w14:paraId="4D663A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污染物名称</w:t>
                  </w:r>
                </w:p>
              </w:tc>
              <w:tc>
                <w:tcPr>
                  <w:tcW w:w="1914" w:type="dxa"/>
                  <w:vAlign w:val="center"/>
                </w:tcPr>
                <w:p w14:paraId="02C1B7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污染物防治措施</w:t>
                  </w:r>
                </w:p>
              </w:tc>
              <w:tc>
                <w:tcPr>
                  <w:tcW w:w="1500" w:type="dxa"/>
                  <w:vAlign w:val="center"/>
                </w:tcPr>
                <w:p w14:paraId="712F56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现有工程</w:t>
                  </w:r>
                  <w:r>
                    <w:rPr>
                      <w:rFonts w:hint="eastAsia" w:cs="Times New Roman"/>
                      <w:color w:val="auto"/>
                      <w:sz w:val="21"/>
                      <w:szCs w:val="21"/>
                      <w:u w:val="none" w:color="auto"/>
                      <w:vertAlign w:val="baseline"/>
                      <w:lang w:val="en-US" w:eastAsia="zh-CN"/>
                    </w:rPr>
                    <w:t>实际</w:t>
                  </w:r>
                  <w:r>
                    <w:rPr>
                      <w:rFonts w:hint="default" w:ascii="Times New Roman" w:hAnsi="Times New Roman" w:cs="Times New Roman"/>
                      <w:color w:val="auto"/>
                      <w:sz w:val="21"/>
                      <w:szCs w:val="21"/>
                      <w:u w:val="none" w:color="auto"/>
                      <w:vertAlign w:val="baseline"/>
                      <w:lang w:val="en-US" w:eastAsia="zh-CN"/>
                    </w:rPr>
                    <w:t>排放浓度</w:t>
                  </w:r>
                </w:p>
              </w:tc>
              <w:tc>
                <w:tcPr>
                  <w:tcW w:w="1302" w:type="dxa"/>
                  <w:vAlign w:val="center"/>
                </w:tcPr>
                <w:p w14:paraId="40C159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现有工程</w:t>
                  </w:r>
                  <w:r>
                    <w:rPr>
                      <w:rFonts w:hint="eastAsia" w:cs="Times New Roman"/>
                      <w:color w:val="auto"/>
                      <w:sz w:val="21"/>
                      <w:szCs w:val="21"/>
                      <w:highlight w:val="none"/>
                      <w:u w:val="none" w:color="auto"/>
                      <w:vertAlign w:val="baseline"/>
                      <w:lang w:val="en-US" w:eastAsia="zh-CN"/>
                    </w:rPr>
                    <w:t>理论</w:t>
                  </w:r>
                  <w:r>
                    <w:rPr>
                      <w:rFonts w:hint="default" w:ascii="Times New Roman" w:hAnsi="Times New Roman" w:cs="Times New Roman"/>
                      <w:color w:val="auto"/>
                      <w:sz w:val="21"/>
                      <w:szCs w:val="21"/>
                      <w:highlight w:val="none"/>
                      <w:u w:val="none" w:color="auto"/>
                      <w:vertAlign w:val="baseline"/>
                      <w:lang w:val="en-US" w:eastAsia="zh-CN"/>
                    </w:rPr>
                    <w:t>排放量</w:t>
                  </w:r>
                </w:p>
              </w:tc>
            </w:tr>
            <w:tr w14:paraId="692F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62" w:type="dxa"/>
                  <w:vMerge w:val="restart"/>
                  <w:vAlign w:val="center"/>
                </w:tcPr>
                <w:p w14:paraId="4BE86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bookmarkStart w:id="101" w:name="OLE_LINK244" w:colFirst="3" w:colLast="3"/>
                  <w:r>
                    <w:rPr>
                      <w:rFonts w:hint="default" w:ascii="Times New Roman" w:hAnsi="Times New Roman" w:cs="Times New Roman"/>
                      <w:color w:val="auto"/>
                      <w:sz w:val="21"/>
                      <w:szCs w:val="21"/>
                      <w:u w:val="none" w:color="auto"/>
                      <w:vertAlign w:val="baseline"/>
                      <w:lang w:val="en-US" w:eastAsia="zh-CN"/>
                    </w:rPr>
                    <w:t>大气污染物</w:t>
                  </w:r>
                </w:p>
              </w:tc>
              <w:tc>
                <w:tcPr>
                  <w:tcW w:w="1434" w:type="dxa"/>
                  <w:vMerge w:val="restart"/>
                  <w:vAlign w:val="center"/>
                </w:tcPr>
                <w:p w14:paraId="69913546">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污水处理站恶臭、</w:t>
                  </w:r>
                  <w:r>
                    <w:rPr>
                      <w:rFonts w:hint="default" w:cs="Times New Roman"/>
                      <w:color w:val="auto"/>
                      <w:sz w:val="21"/>
                      <w:szCs w:val="21"/>
                      <w:u w:val="none" w:color="auto"/>
                      <w:lang w:val="en-US" w:eastAsia="zh-CN"/>
                    </w:rPr>
                    <w:t>待宰间恶臭</w:t>
                  </w:r>
                  <w:r>
                    <w:rPr>
                      <w:rFonts w:hint="eastAsia" w:cs="Times New Roman"/>
                      <w:color w:val="auto"/>
                      <w:sz w:val="21"/>
                      <w:szCs w:val="21"/>
                      <w:u w:val="none" w:color="auto"/>
                      <w:lang w:val="en-US" w:eastAsia="zh-CN"/>
                    </w:rPr>
                    <w:t>及</w:t>
                  </w:r>
                  <w:r>
                    <w:rPr>
                      <w:rFonts w:hint="default" w:cs="Times New Roman"/>
                      <w:color w:val="auto"/>
                      <w:sz w:val="21"/>
                      <w:szCs w:val="21"/>
                      <w:u w:val="none" w:color="auto"/>
                      <w:lang w:val="en-US" w:eastAsia="zh-CN"/>
                    </w:rPr>
                    <w:t>屠宰间、急宰间恶臭</w:t>
                  </w:r>
                </w:p>
              </w:tc>
              <w:tc>
                <w:tcPr>
                  <w:tcW w:w="1657" w:type="dxa"/>
                  <w:vAlign w:val="center"/>
                </w:tcPr>
                <w:p w14:paraId="1B447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臭气浓度</w:t>
                  </w:r>
                </w:p>
              </w:tc>
              <w:tc>
                <w:tcPr>
                  <w:tcW w:w="1914" w:type="dxa"/>
                  <w:vAlign w:val="center"/>
                </w:tcPr>
                <w:p w14:paraId="763CB8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无组织排放</w:t>
                  </w:r>
                </w:p>
              </w:tc>
              <w:tc>
                <w:tcPr>
                  <w:tcW w:w="1500" w:type="dxa"/>
                  <w:vAlign w:val="center"/>
                </w:tcPr>
                <w:p w14:paraId="12E116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c>
                <w:tcPr>
                  <w:tcW w:w="1302" w:type="dxa"/>
                  <w:vAlign w:val="center"/>
                </w:tcPr>
                <w:p w14:paraId="602C9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少量</w:t>
                  </w:r>
                </w:p>
              </w:tc>
            </w:tr>
            <w:tr w14:paraId="3345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62" w:type="dxa"/>
                  <w:vMerge w:val="continue"/>
                  <w:vAlign w:val="center"/>
                </w:tcPr>
                <w:p w14:paraId="421447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434" w:type="dxa"/>
                  <w:vMerge w:val="continue"/>
                  <w:vAlign w:val="center"/>
                </w:tcPr>
                <w:p w14:paraId="5A28CA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657" w:type="dxa"/>
                  <w:vAlign w:val="center"/>
                </w:tcPr>
                <w:p w14:paraId="36DAEF9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color w:val="auto"/>
                      <w:sz w:val="21"/>
                      <w:szCs w:val="21"/>
                      <w:u w:val="none" w:color="auto"/>
                      <w:vertAlign w:val="baseline"/>
                      <w:lang w:val="en-US" w:eastAsia="zh-CN"/>
                    </w:rPr>
                  </w:pPr>
                  <w:r>
                    <w:rPr>
                      <w:rFonts w:hint="eastAsia" w:cs="Times New Roman"/>
                      <w:color w:val="auto"/>
                      <w:u w:val="none" w:color="auto"/>
                      <w:lang w:val="en-US" w:eastAsia="zh-CN"/>
                    </w:rPr>
                    <w:t>硫化氢</w:t>
                  </w:r>
                </w:p>
              </w:tc>
              <w:tc>
                <w:tcPr>
                  <w:tcW w:w="1914" w:type="dxa"/>
                  <w:vAlign w:val="center"/>
                </w:tcPr>
                <w:p w14:paraId="71093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无组织排放</w:t>
                  </w:r>
                </w:p>
              </w:tc>
              <w:tc>
                <w:tcPr>
                  <w:tcW w:w="1500" w:type="dxa"/>
                  <w:vAlign w:val="center"/>
                </w:tcPr>
                <w:p w14:paraId="554C6E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0.003</w:t>
                  </w:r>
                  <w:r>
                    <w:rPr>
                      <w:rFonts w:hint="eastAsia" w:cs="Times New Roman"/>
                      <w:color w:val="auto"/>
                      <w:sz w:val="21"/>
                      <w:szCs w:val="21"/>
                      <w:u w:val="none" w:color="auto"/>
                      <w:vertAlign w:val="baseline"/>
                      <w:lang w:val="en-US" w:eastAsia="zh-CN"/>
                    </w:rPr>
                    <w:t xml:space="preserve"> mg/m</w:t>
                  </w:r>
                  <w:r>
                    <w:rPr>
                      <w:rFonts w:hint="eastAsia" w:cs="Times New Roman"/>
                      <w:color w:val="auto"/>
                      <w:sz w:val="21"/>
                      <w:szCs w:val="21"/>
                      <w:u w:val="none" w:color="auto"/>
                      <w:vertAlign w:val="superscript"/>
                      <w:lang w:val="en-US" w:eastAsia="zh-CN"/>
                    </w:rPr>
                    <w:t>3</w:t>
                  </w:r>
                </w:p>
              </w:tc>
              <w:tc>
                <w:tcPr>
                  <w:tcW w:w="1302" w:type="dxa"/>
                  <w:shd w:val="clear" w:color="auto" w:fill="auto"/>
                  <w:vAlign w:val="center"/>
                </w:tcPr>
                <w:p w14:paraId="320A1E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0.028 t/a</w:t>
                  </w:r>
                </w:p>
              </w:tc>
            </w:tr>
            <w:tr w14:paraId="33F2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62" w:type="dxa"/>
                  <w:vMerge w:val="continue"/>
                  <w:vAlign w:val="center"/>
                </w:tcPr>
                <w:p w14:paraId="3B727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34" w:type="dxa"/>
                  <w:vMerge w:val="continue"/>
                  <w:vAlign w:val="center"/>
                </w:tcPr>
                <w:p w14:paraId="0306F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657" w:type="dxa"/>
                  <w:vAlign w:val="center"/>
                </w:tcPr>
                <w:p w14:paraId="27FDCEF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color w:val="auto"/>
                      <w:sz w:val="21"/>
                      <w:szCs w:val="21"/>
                      <w:u w:val="none" w:color="auto"/>
                      <w:vertAlign w:val="baseline"/>
                      <w:lang w:val="en-US" w:eastAsia="zh-CN"/>
                    </w:rPr>
                  </w:pPr>
                  <w:r>
                    <w:rPr>
                      <w:rFonts w:hint="eastAsia" w:cs="Times New Roman"/>
                      <w:color w:val="auto"/>
                      <w:u w:val="none" w:color="auto"/>
                      <w:lang w:val="en-US" w:eastAsia="zh-CN"/>
                    </w:rPr>
                    <w:t>氨</w:t>
                  </w:r>
                </w:p>
              </w:tc>
              <w:tc>
                <w:tcPr>
                  <w:tcW w:w="1914" w:type="dxa"/>
                  <w:vAlign w:val="center"/>
                </w:tcPr>
                <w:p w14:paraId="19CE0E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无组织排放</w:t>
                  </w:r>
                </w:p>
              </w:tc>
              <w:tc>
                <w:tcPr>
                  <w:tcW w:w="1500" w:type="dxa"/>
                  <w:vAlign w:val="center"/>
                </w:tcPr>
                <w:p w14:paraId="2401B6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0.12 mg/m</w:t>
                  </w:r>
                  <w:r>
                    <w:rPr>
                      <w:rFonts w:hint="eastAsia" w:cs="Times New Roman"/>
                      <w:color w:val="auto"/>
                      <w:sz w:val="21"/>
                      <w:szCs w:val="21"/>
                      <w:u w:val="none" w:color="auto"/>
                      <w:vertAlign w:val="superscript"/>
                      <w:lang w:val="en-US" w:eastAsia="zh-CN"/>
                    </w:rPr>
                    <w:t>3</w:t>
                  </w:r>
                </w:p>
              </w:tc>
              <w:tc>
                <w:tcPr>
                  <w:tcW w:w="1302" w:type="dxa"/>
                  <w:shd w:val="clear" w:color="auto" w:fill="auto"/>
                  <w:vAlign w:val="center"/>
                </w:tcPr>
                <w:p w14:paraId="4A523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0.685 t/a</w:t>
                  </w:r>
                </w:p>
              </w:tc>
            </w:tr>
            <w:bookmarkEnd w:id="101"/>
            <w:tr w14:paraId="4059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62" w:type="dxa"/>
                  <w:vMerge w:val="continue"/>
                  <w:vAlign w:val="center"/>
                </w:tcPr>
                <w:p w14:paraId="3ED39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bookmarkStart w:id="102" w:name="OLE_LINK246" w:colFirst="2" w:colLast="3"/>
                </w:p>
              </w:tc>
              <w:tc>
                <w:tcPr>
                  <w:tcW w:w="1434" w:type="dxa"/>
                  <w:vMerge w:val="restart"/>
                  <w:vAlign w:val="center"/>
                </w:tcPr>
                <w:p w14:paraId="76D0A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锅炉废气</w:t>
                  </w:r>
                </w:p>
              </w:tc>
              <w:tc>
                <w:tcPr>
                  <w:tcW w:w="1657" w:type="dxa"/>
                  <w:vAlign w:val="center"/>
                </w:tcPr>
                <w:p w14:paraId="791C521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u w:val="none" w:color="auto"/>
                      <w:lang w:val="en-US" w:eastAsia="zh-CN"/>
                    </w:rPr>
                  </w:pPr>
                  <w:r>
                    <w:rPr>
                      <w:rFonts w:hint="eastAsia" w:cs="Times New Roman"/>
                      <w:color w:val="auto"/>
                      <w:u w:val="none" w:color="auto"/>
                      <w:lang w:val="en-US" w:eastAsia="zh-CN"/>
                    </w:rPr>
                    <w:t>二氧化硫</w:t>
                  </w:r>
                </w:p>
              </w:tc>
              <w:tc>
                <w:tcPr>
                  <w:tcW w:w="1914" w:type="dxa"/>
                  <w:vMerge w:val="restart"/>
                  <w:vAlign w:val="center"/>
                </w:tcPr>
                <w:p w14:paraId="395AE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20 m排气筒</w:t>
                  </w:r>
                </w:p>
              </w:tc>
              <w:tc>
                <w:tcPr>
                  <w:tcW w:w="1500" w:type="dxa"/>
                  <w:vAlign w:val="center"/>
                </w:tcPr>
                <w:p w14:paraId="3E597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未测</w:t>
                  </w:r>
                </w:p>
              </w:tc>
              <w:tc>
                <w:tcPr>
                  <w:tcW w:w="1302" w:type="dxa"/>
                  <w:shd w:val="clear" w:color="auto" w:fill="auto"/>
                  <w:vAlign w:val="center"/>
                </w:tcPr>
                <w:p w14:paraId="49CA3DEE">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kern w:val="2"/>
                      <w:sz w:val="21"/>
                      <w:szCs w:val="24"/>
                      <w:u w:val="none" w:color="auto"/>
                      <w:lang w:val="en-US" w:eastAsia="zh-CN" w:bidi="ar-SA"/>
                    </w:rPr>
                  </w:pPr>
                  <w:bookmarkStart w:id="103" w:name="_Toc6002"/>
                  <w:r>
                    <w:rPr>
                      <w:rFonts w:hint="eastAsia" w:cs="Times New Roman"/>
                      <w:color w:val="auto"/>
                      <w:u w:val="none" w:color="auto"/>
                      <w:lang w:val="en-US" w:eastAsia="zh-CN"/>
                    </w:rPr>
                    <w:t>5.76</w:t>
                  </w:r>
                  <w:bookmarkEnd w:id="103"/>
                </w:p>
              </w:tc>
            </w:tr>
            <w:tr w14:paraId="28B0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2" w:type="dxa"/>
                  <w:vMerge w:val="continue"/>
                  <w:vAlign w:val="center"/>
                </w:tcPr>
                <w:p w14:paraId="04692A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434" w:type="dxa"/>
                  <w:vMerge w:val="continue"/>
                  <w:vAlign w:val="center"/>
                </w:tcPr>
                <w:p w14:paraId="4CC35C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657" w:type="dxa"/>
                  <w:vAlign w:val="center"/>
                </w:tcPr>
                <w:p w14:paraId="2DCA08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氮氧化物</w:t>
                  </w:r>
                </w:p>
              </w:tc>
              <w:tc>
                <w:tcPr>
                  <w:tcW w:w="1914" w:type="dxa"/>
                  <w:vMerge w:val="continue"/>
                  <w:vAlign w:val="center"/>
                </w:tcPr>
                <w:p w14:paraId="31B62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500" w:type="dxa"/>
                  <w:vAlign w:val="center"/>
                </w:tcPr>
                <w:p w14:paraId="0F68C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未测</w:t>
                  </w:r>
                </w:p>
              </w:tc>
              <w:tc>
                <w:tcPr>
                  <w:tcW w:w="1302" w:type="dxa"/>
                  <w:shd w:val="clear" w:color="auto" w:fill="auto"/>
                  <w:vAlign w:val="center"/>
                </w:tcPr>
                <w:p w14:paraId="0E5035E5">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kern w:val="2"/>
                      <w:sz w:val="21"/>
                      <w:szCs w:val="24"/>
                      <w:u w:val="none" w:color="auto"/>
                      <w:lang w:val="en-US" w:eastAsia="zh-CN" w:bidi="ar-SA"/>
                    </w:rPr>
                  </w:pPr>
                  <w:bookmarkStart w:id="104" w:name="_Toc16233"/>
                  <w:r>
                    <w:rPr>
                      <w:rFonts w:hint="eastAsia" w:cs="Times New Roman"/>
                      <w:color w:val="auto"/>
                      <w:u w:val="none" w:color="auto"/>
                      <w:lang w:val="en-US" w:eastAsia="zh-CN"/>
                    </w:rPr>
                    <w:t>0.4</w:t>
                  </w:r>
                  <w:bookmarkEnd w:id="104"/>
                </w:p>
              </w:tc>
            </w:tr>
            <w:tr w14:paraId="69BA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62" w:type="dxa"/>
                  <w:vMerge w:val="continue"/>
                  <w:vAlign w:val="center"/>
                </w:tcPr>
                <w:p w14:paraId="3554B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34" w:type="dxa"/>
                  <w:vMerge w:val="continue"/>
                  <w:vAlign w:val="center"/>
                </w:tcPr>
                <w:p w14:paraId="2D6FC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657" w:type="dxa"/>
                  <w:vAlign w:val="center"/>
                </w:tcPr>
                <w:p w14:paraId="12EDD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颗粒物</w:t>
                  </w:r>
                </w:p>
              </w:tc>
              <w:tc>
                <w:tcPr>
                  <w:tcW w:w="1914" w:type="dxa"/>
                  <w:vMerge w:val="continue"/>
                  <w:vAlign w:val="center"/>
                </w:tcPr>
                <w:p w14:paraId="665414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500" w:type="dxa"/>
                  <w:vAlign w:val="center"/>
                </w:tcPr>
                <w:p w14:paraId="4A7842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未测</w:t>
                  </w:r>
                </w:p>
              </w:tc>
              <w:tc>
                <w:tcPr>
                  <w:tcW w:w="1302" w:type="dxa"/>
                  <w:shd w:val="clear" w:color="auto" w:fill="auto"/>
                  <w:vAlign w:val="center"/>
                </w:tcPr>
                <w:p w14:paraId="141B4464">
                  <w:pPr>
                    <w:pStyle w:val="44"/>
                    <w:keepNext/>
                    <w:keepLines/>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kern w:val="2"/>
                      <w:sz w:val="21"/>
                      <w:szCs w:val="24"/>
                      <w:u w:val="none" w:color="auto"/>
                      <w:lang w:val="en-US" w:eastAsia="zh-CN" w:bidi="ar-SA"/>
                    </w:rPr>
                  </w:pPr>
                  <w:bookmarkStart w:id="105" w:name="_Toc32314"/>
                  <w:r>
                    <w:rPr>
                      <w:rFonts w:hint="eastAsia" w:cs="Times New Roman"/>
                      <w:color w:val="auto"/>
                      <w:u w:val="none" w:color="auto"/>
                      <w:lang w:val="en-US" w:eastAsia="zh-CN"/>
                    </w:rPr>
                    <w:t>2.25</w:t>
                  </w:r>
                  <w:bookmarkEnd w:id="105"/>
                </w:p>
              </w:tc>
            </w:tr>
            <w:tr w14:paraId="103E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35EC8C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34" w:type="dxa"/>
                  <w:vAlign w:val="center"/>
                </w:tcPr>
                <w:p w14:paraId="55793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食堂</w:t>
                  </w:r>
                </w:p>
              </w:tc>
              <w:tc>
                <w:tcPr>
                  <w:tcW w:w="1657" w:type="dxa"/>
                  <w:vAlign w:val="center"/>
                </w:tcPr>
                <w:p w14:paraId="67E6299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食堂油烟</w:t>
                  </w:r>
                </w:p>
              </w:tc>
              <w:tc>
                <w:tcPr>
                  <w:tcW w:w="1914" w:type="dxa"/>
                  <w:shd w:val="clear" w:color="auto" w:fill="auto"/>
                  <w:vAlign w:val="center"/>
                </w:tcPr>
                <w:p w14:paraId="7EC0D94C">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lang w:val="en-US" w:eastAsia="zh-CN" w:bidi="ar"/>
                    </w:rPr>
                    <w:t>经油烟净化器处理后引至屋顶排放</w:t>
                  </w:r>
                </w:p>
              </w:tc>
              <w:tc>
                <w:tcPr>
                  <w:tcW w:w="1500" w:type="dxa"/>
                  <w:vAlign w:val="center"/>
                </w:tcPr>
                <w:p w14:paraId="44AEF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1302" w:type="dxa"/>
                  <w:vAlign w:val="center"/>
                </w:tcPr>
                <w:p w14:paraId="5BFEB8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0.00434</w:t>
                  </w:r>
                </w:p>
              </w:tc>
            </w:tr>
            <w:bookmarkEnd w:id="102"/>
            <w:tr w14:paraId="7BC4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62" w:type="dxa"/>
                  <w:vMerge w:val="restart"/>
                  <w:vAlign w:val="center"/>
                </w:tcPr>
                <w:p w14:paraId="34447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水污染物</w:t>
                  </w:r>
                </w:p>
              </w:tc>
              <w:tc>
                <w:tcPr>
                  <w:tcW w:w="1434" w:type="dxa"/>
                  <w:vMerge w:val="restart"/>
                  <w:vAlign w:val="center"/>
                </w:tcPr>
                <w:p w14:paraId="5B7E0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废水总排口</w:t>
                  </w:r>
                </w:p>
              </w:tc>
              <w:tc>
                <w:tcPr>
                  <w:tcW w:w="1657" w:type="dxa"/>
                  <w:shd w:val="clear" w:color="auto" w:fill="auto"/>
                  <w:vAlign w:val="center"/>
                </w:tcPr>
                <w:p w14:paraId="33AB5B58">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sz w:val="21"/>
                      <w:szCs w:val="21"/>
                      <w:u w:val="none" w:color="auto"/>
                    </w:rPr>
                    <w:t>pH</w:t>
                  </w:r>
                </w:p>
              </w:tc>
              <w:tc>
                <w:tcPr>
                  <w:tcW w:w="1914" w:type="dxa"/>
                  <w:vMerge w:val="restart"/>
                  <w:vAlign w:val="center"/>
                </w:tcPr>
                <w:p w14:paraId="6BABE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污水处理站</w:t>
                  </w:r>
                  <w:r>
                    <w:rPr>
                      <w:rFonts w:hint="eastAsia" w:cs="Times New Roman"/>
                      <w:color w:val="auto"/>
                      <w:sz w:val="21"/>
                      <w:szCs w:val="21"/>
                      <w:u w:val="none" w:color="auto"/>
                      <w:vertAlign w:val="baseline"/>
                      <w:lang w:val="en-US" w:eastAsia="zh-CN"/>
                    </w:rPr>
                    <w:t>及化粪池、隔油池（生活污水）</w:t>
                  </w:r>
                </w:p>
              </w:tc>
              <w:tc>
                <w:tcPr>
                  <w:tcW w:w="1500" w:type="dxa"/>
                  <w:shd w:val="clear" w:color="auto" w:fill="auto"/>
                  <w:vAlign w:val="center"/>
                </w:tcPr>
                <w:p w14:paraId="296500C6">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6.4</w:t>
                  </w:r>
                </w:p>
              </w:tc>
              <w:tc>
                <w:tcPr>
                  <w:tcW w:w="1302" w:type="dxa"/>
                  <w:shd w:val="clear" w:color="auto" w:fill="auto"/>
                  <w:vAlign w:val="center"/>
                </w:tcPr>
                <w:p w14:paraId="0BD24DF2">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sz w:val="21"/>
                      <w:szCs w:val="21"/>
                      <w:u w:val="none" w:color="auto"/>
                    </w:rPr>
                    <w:t>/</w:t>
                  </w:r>
                </w:p>
              </w:tc>
            </w:tr>
            <w:tr w14:paraId="492B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0796D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34" w:type="dxa"/>
                  <w:vMerge w:val="continue"/>
                  <w:vAlign w:val="center"/>
                </w:tcPr>
                <w:p w14:paraId="4209B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657" w:type="dxa"/>
                  <w:shd w:val="clear" w:color="auto" w:fill="auto"/>
                  <w:vAlign w:val="center"/>
                </w:tcPr>
                <w:p w14:paraId="51B8714E">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sz w:val="21"/>
                      <w:szCs w:val="21"/>
                      <w:u w:val="none" w:color="auto"/>
                    </w:rPr>
                    <w:t>化学需氧量</w:t>
                  </w:r>
                </w:p>
              </w:tc>
              <w:tc>
                <w:tcPr>
                  <w:tcW w:w="1914" w:type="dxa"/>
                  <w:vMerge w:val="continue"/>
                  <w:vAlign w:val="center"/>
                </w:tcPr>
                <w:p w14:paraId="2EC62C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500" w:type="dxa"/>
                  <w:shd w:val="clear" w:color="auto" w:fill="auto"/>
                  <w:vAlign w:val="center"/>
                </w:tcPr>
                <w:p w14:paraId="54EB465C">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18.33 mg/L</w:t>
                  </w:r>
                </w:p>
              </w:tc>
              <w:tc>
                <w:tcPr>
                  <w:tcW w:w="1302" w:type="dxa"/>
                  <w:shd w:val="clear" w:color="auto" w:fill="auto"/>
                  <w:vAlign w:val="center"/>
                </w:tcPr>
                <w:p w14:paraId="6821E76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0.9618</w:t>
                  </w:r>
                  <w:r>
                    <w:rPr>
                      <w:rFonts w:hint="eastAsia" w:cs="Times New Roman"/>
                      <w:color w:val="auto"/>
                      <w:sz w:val="21"/>
                      <w:szCs w:val="21"/>
                      <w:u w:val="none" w:color="auto"/>
                      <w:vertAlign w:val="baseline"/>
                      <w:lang w:val="en-US" w:eastAsia="zh-CN"/>
                    </w:rPr>
                    <w:t xml:space="preserve"> t/a</w:t>
                  </w:r>
                </w:p>
              </w:tc>
            </w:tr>
            <w:tr w14:paraId="251E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4079D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34" w:type="dxa"/>
                  <w:vMerge w:val="continue"/>
                  <w:vAlign w:val="center"/>
                </w:tcPr>
                <w:p w14:paraId="022127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657" w:type="dxa"/>
                  <w:shd w:val="clear" w:color="auto" w:fill="auto"/>
                  <w:vAlign w:val="center"/>
                </w:tcPr>
                <w:p w14:paraId="475054E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sz w:val="21"/>
                      <w:szCs w:val="21"/>
                      <w:u w:val="none" w:color="auto"/>
                    </w:rPr>
                    <w:t>五日生化需氧量</w:t>
                  </w:r>
                </w:p>
              </w:tc>
              <w:tc>
                <w:tcPr>
                  <w:tcW w:w="1914" w:type="dxa"/>
                  <w:vMerge w:val="continue"/>
                  <w:vAlign w:val="center"/>
                </w:tcPr>
                <w:p w14:paraId="73CB1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500" w:type="dxa"/>
                  <w:shd w:val="clear" w:color="auto" w:fill="auto"/>
                  <w:vAlign w:val="center"/>
                </w:tcPr>
                <w:p w14:paraId="22BA2612">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5.372 mg/L</w:t>
                  </w:r>
                </w:p>
              </w:tc>
              <w:tc>
                <w:tcPr>
                  <w:tcW w:w="1302" w:type="dxa"/>
                  <w:shd w:val="clear" w:color="auto" w:fill="auto"/>
                  <w:vAlign w:val="center"/>
                </w:tcPr>
                <w:p w14:paraId="4F71AD5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0.2779</w:t>
                  </w:r>
                  <w:r>
                    <w:rPr>
                      <w:rFonts w:hint="eastAsia" w:cs="Times New Roman"/>
                      <w:color w:val="auto"/>
                      <w:sz w:val="21"/>
                      <w:szCs w:val="21"/>
                      <w:u w:val="none" w:color="auto"/>
                      <w:vertAlign w:val="baseline"/>
                      <w:lang w:val="en-US" w:eastAsia="zh-CN"/>
                    </w:rPr>
                    <w:t xml:space="preserve"> t/a</w:t>
                  </w:r>
                </w:p>
              </w:tc>
            </w:tr>
            <w:tr w14:paraId="1640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6694D8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34" w:type="dxa"/>
                  <w:vMerge w:val="continue"/>
                  <w:vAlign w:val="center"/>
                </w:tcPr>
                <w:p w14:paraId="0BF53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657" w:type="dxa"/>
                  <w:shd w:val="clear" w:color="auto" w:fill="auto"/>
                  <w:vAlign w:val="center"/>
                </w:tcPr>
                <w:p w14:paraId="443F830D">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sz w:val="21"/>
                      <w:szCs w:val="21"/>
                      <w:u w:val="none" w:color="auto"/>
                    </w:rPr>
                    <w:t>氨氮</w:t>
                  </w:r>
                </w:p>
              </w:tc>
              <w:tc>
                <w:tcPr>
                  <w:tcW w:w="1914" w:type="dxa"/>
                  <w:vMerge w:val="continue"/>
                  <w:vAlign w:val="center"/>
                </w:tcPr>
                <w:p w14:paraId="447CA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500" w:type="dxa"/>
                  <w:shd w:val="clear" w:color="auto" w:fill="auto"/>
                  <w:vAlign w:val="center"/>
                </w:tcPr>
                <w:p w14:paraId="41795FE7">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10.73 mg/L</w:t>
                  </w:r>
                </w:p>
              </w:tc>
              <w:tc>
                <w:tcPr>
                  <w:tcW w:w="1302" w:type="dxa"/>
                  <w:shd w:val="clear" w:color="auto" w:fill="auto"/>
                  <w:vAlign w:val="center"/>
                </w:tcPr>
                <w:p w14:paraId="3854AC41">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0.5771</w:t>
                  </w:r>
                  <w:r>
                    <w:rPr>
                      <w:rFonts w:hint="eastAsia" w:cs="Times New Roman"/>
                      <w:color w:val="auto"/>
                      <w:sz w:val="21"/>
                      <w:szCs w:val="21"/>
                      <w:u w:val="none" w:color="auto"/>
                      <w:vertAlign w:val="baseline"/>
                      <w:lang w:val="en-US" w:eastAsia="zh-CN"/>
                    </w:rPr>
                    <w:t xml:space="preserve"> t/a</w:t>
                  </w:r>
                </w:p>
              </w:tc>
            </w:tr>
            <w:tr w14:paraId="4C7C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2DD66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34" w:type="dxa"/>
                  <w:vMerge w:val="continue"/>
                  <w:vAlign w:val="center"/>
                </w:tcPr>
                <w:p w14:paraId="1BEF4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657" w:type="dxa"/>
                  <w:shd w:val="clear" w:color="auto" w:fill="auto"/>
                  <w:vAlign w:val="center"/>
                </w:tcPr>
                <w:p w14:paraId="31197465">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default" w:ascii="Times New Roman" w:hAnsi="Times New Roman" w:eastAsia="宋体" w:cs="Times New Roman"/>
                      <w:bCs/>
                      <w:color w:val="auto"/>
                      <w:sz w:val="21"/>
                      <w:szCs w:val="21"/>
                      <w:u w:val="none" w:color="auto"/>
                    </w:rPr>
                    <w:t>总磷</w:t>
                  </w:r>
                </w:p>
              </w:tc>
              <w:tc>
                <w:tcPr>
                  <w:tcW w:w="1914" w:type="dxa"/>
                  <w:vMerge w:val="continue"/>
                  <w:vAlign w:val="center"/>
                </w:tcPr>
                <w:p w14:paraId="3AB21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500" w:type="dxa"/>
                  <w:shd w:val="clear" w:color="auto" w:fill="auto"/>
                  <w:vAlign w:val="center"/>
                </w:tcPr>
                <w:p w14:paraId="3C8526AD">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9.3 mg/L</w:t>
                  </w:r>
                </w:p>
              </w:tc>
              <w:tc>
                <w:tcPr>
                  <w:tcW w:w="1302" w:type="dxa"/>
                  <w:shd w:val="clear" w:color="auto" w:fill="auto"/>
                  <w:vAlign w:val="center"/>
                </w:tcPr>
                <w:p w14:paraId="69800998">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0.4713</w:t>
                  </w:r>
                  <w:r>
                    <w:rPr>
                      <w:rFonts w:hint="eastAsia" w:cs="Times New Roman"/>
                      <w:color w:val="auto"/>
                      <w:sz w:val="21"/>
                      <w:szCs w:val="21"/>
                      <w:u w:val="none" w:color="auto"/>
                      <w:vertAlign w:val="baseline"/>
                      <w:lang w:val="en-US" w:eastAsia="zh-CN"/>
                    </w:rPr>
                    <w:t xml:space="preserve"> t/a</w:t>
                  </w:r>
                </w:p>
              </w:tc>
            </w:tr>
            <w:tr w14:paraId="52BF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529FB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34" w:type="dxa"/>
                  <w:vMerge w:val="continue"/>
                  <w:vAlign w:val="center"/>
                </w:tcPr>
                <w:p w14:paraId="3A91A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657" w:type="dxa"/>
                  <w:shd w:val="clear" w:color="auto" w:fill="auto"/>
                  <w:vAlign w:val="center"/>
                </w:tcPr>
                <w:p w14:paraId="5D3A46CE">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悬浮物</w:t>
                  </w:r>
                </w:p>
              </w:tc>
              <w:tc>
                <w:tcPr>
                  <w:tcW w:w="1914" w:type="dxa"/>
                  <w:vMerge w:val="continue"/>
                  <w:vAlign w:val="center"/>
                </w:tcPr>
                <w:p w14:paraId="6E642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500" w:type="dxa"/>
                  <w:shd w:val="clear" w:color="auto" w:fill="auto"/>
                  <w:vAlign w:val="center"/>
                </w:tcPr>
                <w:p w14:paraId="03C1F6C4">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43.33 mg/L</w:t>
                  </w:r>
                </w:p>
              </w:tc>
              <w:tc>
                <w:tcPr>
                  <w:tcW w:w="1302" w:type="dxa"/>
                  <w:shd w:val="clear" w:color="auto" w:fill="auto"/>
                  <w:vAlign w:val="center"/>
                </w:tcPr>
                <w:p w14:paraId="0AD77870">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2.4045</w:t>
                  </w:r>
                  <w:r>
                    <w:rPr>
                      <w:rFonts w:hint="eastAsia" w:cs="Times New Roman"/>
                      <w:color w:val="auto"/>
                      <w:sz w:val="21"/>
                      <w:szCs w:val="21"/>
                      <w:u w:val="none" w:color="auto"/>
                      <w:vertAlign w:val="baseline"/>
                      <w:lang w:val="en-US" w:eastAsia="zh-CN"/>
                    </w:rPr>
                    <w:t xml:space="preserve"> t/a</w:t>
                  </w:r>
                </w:p>
              </w:tc>
            </w:tr>
            <w:tr w14:paraId="2BBD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2B0239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bookmarkStart w:id="106" w:name="OLE_LINK199" w:colFirst="3" w:colLast="3"/>
                </w:p>
              </w:tc>
              <w:tc>
                <w:tcPr>
                  <w:tcW w:w="1434" w:type="dxa"/>
                  <w:vMerge w:val="continue"/>
                  <w:vAlign w:val="center"/>
                </w:tcPr>
                <w:p w14:paraId="106BB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657" w:type="dxa"/>
                  <w:shd w:val="clear" w:color="auto" w:fill="auto"/>
                  <w:vAlign w:val="center"/>
                </w:tcPr>
                <w:p w14:paraId="75CFBC09">
                  <w:pPr>
                    <w:adjustRightInd w:val="0"/>
                    <w:snapToGrid w:val="0"/>
                    <w:spacing w:line="240" w:lineRule="auto"/>
                    <w:ind w:firstLine="0" w:firstLineChars="0"/>
                    <w:jc w:val="center"/>
                    <w:rPr>
                      <w:rFonts w:hint="eastAsia"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动植物油</w:t>
                  </w:r>
                </w:p>
              </w:tc>
              <w:tc>
                <w:tcPr>
                  <w:tcW w:w="1914" w:type="dxa"/>
                  <w:vMerge w:val="continue"/>
                  <w:vAlign w:val="center"/>
                </w:tcPr>
                <w:p w14:paraId="6B4B3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500" w:type="dxa"/>
                  <w:shd w:val="clear" w:color="auto" w:fill="auto"/>
                  <w:vAlign w:val="center"/>
                </w:tcPr>
                <w:p w14:paraId="76102037">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u w:val="none" w:color="auto"/>
                      <w:lang w:val="en-US" w:eastAsia="zh-CN" w:bidi="ar-SA"/>
                    </w:rPr>
                  </w:pPr>
                  <w:r>
                    <w:rPr>
                      <w:rFonts w:hint="eastAsia" w:cs="Times New Roman"/>
                      <w:bCs/>
                      <w:color w:val="auto"/>
                      <w:sz w:val="21"/>
                      <w:szCs w:val="21"/>
                      <w:u w:val="none" w:color="auto"/>
                      <w:lang w:val="en-US" w:eastAsia="zh-CN"/>
                    </w:rPr>
                    <w:t>0.9 mg/L</w:t>
                  </w:r>
                </w:p>
              </w:tc>
              <w:tc>
                <w:tcPr>
                  <w:tcW w:w="1302" w:type="dxa"/>
                  <w:shd w:val="clear" w:color="auto" w:fill="auto"/>
                  <w:vAlign w:val="center"/>
                </w:tcPr>
                <w:p w14:paraId="15B4C19E">
                  <w:pPr>
                    <w:adjustRightInd w:val="0"/>
                    <w:snapToGrid w:val="0"/>
                    <w:spacing w:line="240" w:lineRule="auto"/>
                    <w:ind w:firstLine="0" w:firstLineChars="0"/>
                    <w:jc w:val="center"/>
                    <w:rPr>
                      <w:rFonts w:hint="eastAsia"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0.0481 t/a</w:t>
                  </w:r>
                </w:p>
              </w:tc>
            </w:tr>
            <w:tr w14:paraId="284F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1A9AA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34" w:type="dxa"/>
                  <w:vMerge w:val="continue"/>
                  <w:vAlign w:val="center"/>
                </w:tcPr>
                <w:p w14:paraId="1BBCC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657" w:type="dxa"/>
                  <w:shd w:val="clear" w:color="auto" w:fill="auto"/>
                  <w:vAlign w:val="center"/>
                </w:tcPr>
                <w:p w14:paraId="365BDB7A">
                  <w:pPr>
                    <w:adjustRightInd w:val="0"/>
                    <w:snapToGrid w:val="0"/>
                    <w:spacing w:line="240" w:lineRule="auto"/>
                    <w:ind w:firstLine="0" w:firstLineChars="0"/>
                    <w:jc w:val="center"/>
                    <w:rPr>
                      <w:rFonts w:hint="default"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粪大肠菌群</w:t>
                  </w:r>
                </w:p>
              </w:tc>
              <w:tc>
                <w:tcPr>
                  <w:tcW w:w="1914" w:type="dxa"/>
                  <w:vMerge w:val="continue"/>
                  <w:vAlign w:val="center"/>
                </w:tcPr>
                <w:p w14:paraId="0F034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500" w:type="dxa"/>
                  <w:shd w:val="clear" w:color="auto" w:fill="auto"/>
                  <w:vAlign w:val="center"/>
                </w:tcPr>
                <w:p w14:paraId="64096A1B">
                  <w:pPr>
                    <w:adjustRightInd w:val="0"/>
                    <w:snapToGrid w:val="0"/>
                    <w:spacing w:line="240" w:lineRule="auto"/>
                    <w:ind w:firstLine="0" w:firstLineChars="0"/>
                    <w:jc w:val="center"/>
                    <w:rPr>
                      <w:rFonts w:hint="default"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＞1600</w:t>
                  </w:r>
                </w:p>
              </w:tc>
              <w:tc>
                <w:tcPr>
                  <w:tcW w:w="1302" w:type="dxa"/>
                  <w:shd w:val="clear" w:color="auto" w:fill="auto"/>
                  <w:vAlign w:val="center"/>
                </w:tcPr>
                <w:p w14:paraId="11AFD650">
                  <w:pPr>
                    <w:adjustRightInd w:val="0"/>
                    <w:snapToGrid w:val="0"/>
                    <w:spacing w:line="240" w:lineRule="auto"/>
                    <w:ind w:firstLine="0" w:firstLineChars="0"/>
                    <w:jc w:val="center"/>
                    <w:rPr>
                      <w:rFonts w:hint="default" w:cs="Times New Roman"/>
                      <w:bCs/>
                      <w:color w:val="auto"/>
                      <w:sz w:val="21"/>
                      <w:szCs w:val="21"/>
                      <w:u w:val="none" w:color="auto"/>
                      <w:lang w:val="en-US" w:eastAsia="zh-CN"/>
                    </w:rPr>
                  </w:pPr>
                  <w:r>
                    <w:rPr>
                      <w:rFonts w:hint="eastAsia" w:cs="Times New Roman"/>
                      <w:bCs/>
                      <w:color w:val="auto"/>
                      <w:sz w:val="21"/>
                      <w:szCs w:val="21"/>
                      <w:u w:val="none" w:color="auto"/>
                      <w:lang w:val="en-US" w:eastAsia="zh-CN"/>
                    </w:rPr>
                    <w:t>/</w:t>
                  </w:r>
                </w:p>
              </w:tc>
            </w:tr>
            <w:tr w14:paraId="4D54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62" w:type="dxa"/>
                  <w:vMerge w:val="restart"/>
                  <w:vAlign w:val="center"/>
                </w:tcPr>
                <w:p w14:paraId="40B624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固体废物</w:t>
                  </w:r>
                </w:p>
              </w:tc>
              <w:tc>
                <w:tcPr>
                  <w:tcW w:w="3091" w:type="dxa"/>
                  <w:gridSpan w:val="2"/>
                  <w:vAlign w:val="center"/>
                </w:tcPr>
                <w:p w14:paraId="7889E81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生活垃圾</w:t>
                  </w:r>
                </w:p>
              </w:tc>
              <w:tc>
                <w:tcPr>
                  <w:tcW w:w="1914" w:type="dxa"/>
                  <w:vAlign w:val="center"/>
                </w:tcPr>
                <w:p w14:paraId="084D42A5">
                  <w:pPr>
                    <w:pStyle w:val="49"/>
                    <w:snapToGrid/>
                    <w:spacing w:line="240" w:lineRule="auto"/>
                    <w:ind w:firstLine="0" w:firstLineChars="0"/>
                    <w:jc w:val="center"/>
                    <w:rPr>
                      <w:rFonts w:hint="default" w:ascii="Times New Roman" w:hAnsi="Times New Roman" w:eastAsia="宋体" w:cs="Times New Roman"/>
                      <w:color w:val="auto"/>
                      <w:u w:val="none" w:color="auto"/>
                      <w:lang w:val="en-US" w:eastAsia="zh-CN"/>
                    </w:rPr>
                  </w:pPr>
                  <w:r>
                    <w:rPr>
                      <w:rFonts w:hint="eastAsia" w:cs="Times New Roman"/>
                      <w:color w:val="auto"/>
                      <w:spacing w:val="0"/>
                      <w:sz w:val="21"/>
                      <w:szCs w:val="21"/>
                      <w:u w:val="none" w:color="auto"/>
                      <w:lang w:val="en-US" w:eastAsia="zh-CN"/>
                    </w:rPr>
                    <w:t>交由环卫部门统一清运</w:t>
                  </w:r>
                </w:p>
              </w:tc>
              <w:tc>
                <w:tcPr>
                  <w:tcW w:w="1500" w:type="dxa"/>
                  <w:vAlign w:val="center"/>
                </w:tcPr>
                <w:p w14:paraId="0F46A0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1302" w:type="dxa"/>
                  <w:vAlign w:val="center"/>
                </w:tcPr>
                <w:p w14:paraId="7C9C5D46">
                  <w:pPr>
                    <w:pStyle w:val="49"/>
                    <w:snapToGrid/>
                    <w:spacing w:line="240" w:lineRule="auto"/>
                    <w:ind w:firstLine="0" w:firstLineChars="0"/>
                    <w:jc w:val="center"/>
                    <w:rPr>
                      <w:rFonts w:hint="default" w:ascii="Times New Roman" w:hAnsi="Times New Roman" w:eastAsia="宋体" w:cs="Times New Roman"/>
                      <w:color w:val="auto"/>
                      <w:u w:val="none" w:color="auto"/>
                      <w:lang w:val="en-US" w:eastAsia="zh-CN"/>
                    </w:rPr>
                  </w:pPr>
                  <w:r>
                    <w:rPr>
                      <w:rFonts w:hint="eastAsia" w:cs="Times New Roman"/>
                      <w:color w:val="auto"/>
                      <w:spacing w:val="0"/>
                      <w:sz w:val="21"/>
                      <w:szCs w:val="21"/>
                      <w:u w:val="none" w:color="auto"/>
                      <w:lang w:val="en-US" w:eastAsia="zh-CN"/>
                    </w:rPr>
                    <w:t>6.9 t/a</w:t>
                  </w:r>
                </w:p>
              </w:tc>
            </w:tr>
            <w:bookmarkEnd w:id="106"/>
            <w:tr w14:paraId="2F4D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62" w:type="dxa"/>
                  <w:vMerge w:val="continue"/>
                  <w:vAlign w:val="center"/>
                </w:tcPr>
                <w:p w14:paraId="127CE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1434" w:type="dxa"/>
                  <w:vMerge w:val="restart"/>
                  <w:vAlign w:val="center"/>
                </w:tcPr>
                <w:p w14:paraId="7DE6B19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tc>
              <w:tc>
                <w:tcPr>
                  <w:tcW w:w="1657" w:type="dxa"/>
                  <w:shd w:val="clear" w:color="auto" w:fill="auto"/>
                  <w:vAlign w:val="center"/>
                </w:tcPr>
                <w:p w14:paraId="416255B7">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猪胃内容物、不可食用部分（除胃内容物外）</w:t>
                  </w:r>
                </w:p>
              </w:tc>
              <w:tc>
                <w:tcPr>
                  <w:tcW w:w="1914" w:type="dxa"/>
                  <w:shd w:val="clear" w:color="auto" w:fill="auto"/>
                  <w:vAlign w:val="center"/>
                </w:tcPr>
                <w:p w14:paraId="28CD2496">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
                    </w:rPr>
                  </w:pPr>
                  <w:r>
                    <w:rPr>
                      <w:rFonts w:hint="eastAsia" w:cs="Times New Roman"/>
                      <w:color w:val="auto"/>
                      <w:kern w:val="2"/>
                      <w:sz w:val="21"/>
                      <w:szCs w:val="21"/>
                      <w:u w:val="none" w:color="auto"/>
                      <w:vertAlign w:val="baseline"/>
                      <w:lang w:val="en-US" w:eastAsia="zh-CN" w:bidi="ar"/>
                    </w:rPr>
                    <w:t>猪胃内容物</w:t>
                  </w:r>
                  <w:r>
                    <w:rPr>
                      <w:rFonts w:hint="eastAsia" w:ascii="Times New Roman" w:hAnsi="Times New Roman" w:eastAsia="宋体" w:cs="Times New Roman"/>
                      <w:color w:val="auto"/>
                      <w:kern w:val="2"/>
                      <w:sz w:val="21"/>
                      <w:szCs w:val="21"/>
                      <w:u w:val="none" w:color="auto"/>
                      <w:lang w:val="en-US" w:eastAsia="zh-CN" w:bidi="ar"/>
                    </w:rPr>
                    <w:t>，收集后外售给</w:t>
                  </w:r>
                  <w:r>
                    <w:rPr>
                      <w:rFonts w:hint="default"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r>
                    <w:rPr>
                      <w:rFonts w:hint="default" w:cs="Times New Roman"/>
                      <w:color w:val="auto"/>
                      <w:kern w:val="2"/>
                      <w:sz w:val="21"/>
                      <w:szCs w:val="21"/>
                      <w:u w:val="none" w:color="auto"/>
                      <w:lang w:val="en-US" w:eastAsia="zh-CN" w:bidi="ar"/>
                    </w:rPr>
                    <w:t>；</w:t>
                  </w:r>
                  <w:r>
                    <w:rPr>
                      <w:rFonts w:hint="eastAsia" w:cs="Times New Roman"/>
                      <w:color w:val="auto"/>
                      <w:kern w:val="2"/>
                      <w:sz w:val="21"/>
                      <w:szCs w:val="21"/>
                      <w:u w:val="none" w:color="auto"/>
                      <w:vertAlign w:val="baseline"/>
                      <w:lang w:val="en-US" w:eastAsia="zh-CN" w:bidi="ar"/>
                    </w:rPr>
                    <w:t>不可食用部分（除胃内容物外）</w:t>
                  </w:r>
                  <w:r>
                    <w:rPr>
                      <w:rFonts w:hint="default" w:cs="Times New Roman"/>
                      <w:color w:val="auto"/>
                      <w:kern w:val="2"/>
                      <w:sz w:val="21"/>
                      <w:szCs w:val="21"/>
                      <w:u w:val="none" w:color="auto"/>
                      <w:vertAlign w:val="baseline"/>
                      <w:lang w:val="en-US" w:eastAsia="zh-CN" w:bidi="ar"/>
                    </w:rPr>
                    <w:t>交由有资质的单位进行无害化处理</w:t>
                  </w:r>
                </w:p>
              </w:tc>
              <w:tc>
                <w:tcPr>
                  <w:tcW w:w="1500" w:type="dxa"/>
                  <w:vAlign w:val="center"/>
                </w:tcPr>
                <w:p w14:paraId="1768E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0EA06870">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153.2 t/a</w:t>
                  </w:r>
                </w:p>
              </w:tc>
            </w:tr>
            <w:tr w14:paraId="3FC2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62" w:type="dxa"/>
                  <w:vMerge w:val="continue"/>
                  <w:vAlign w:val="center"/>
                </w:tcPr>
                <w:p w14:paraId="757C7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bookmarkStart w:id="107" w:name="OLE_LINK201" w:colFirst="5" w:colLast="5"/>
                </w:p>
              </w:tc>
              <w:tc>
                <w:tcPr>
                  <w:tcW w:w="1434" w:type="dxa"/>
                  <w:vMerge w:val="continue"/>
                  <w:vAlign w:val="center"/>
                </w:tcPr>
                <w:p w14:paraId="527B18B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p>
              </w:tc>
              <w:tc>
                <w:tcPr>
                  <w:tcW w:w="1657" w:type="dxa"/>
                  <w:shd w:val="clear" w:color="auto" w:fill="auto"/>
                  <w:vAlign w:val="center"/>
                </w:tcPr>
                <w:p w14:paraId="3E13DDF6">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碎肉渣</w:t>
                  </w:r>
                </w:p>
              </w:tc>
              <w:tc>
                <w:tcPr>
                  <w:tcW w:w="1914" w:type="dxa"/>
                  <w:shd w:val="clear" w:color="auto" w:fill="auto"/>
                  <w:vAlign w:val="center"/>
                </w:tcPr>
                <w:p w14:paraId="7526A9E9">
                  <w:pPr>
                    <w:pStyle w:val="49"/>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
                    </w:rPr>
                  </w:pPr>
                  <w:r>
                    <w:rPr>
                      <w:rFonts w:hint="eastAsia" w:ascii="Times New Roman" w:hAnsi="Times New Roman" w:eastAsia="宋体" w:cs="Times New Roman"/>
                      <w:color w:val="auto"/>
                      <w:kern w:val="2"/>
                      <w:sz w:val="21"/>
                      <w:szCs w:val="21"/>
                      <w:u w:val="none" w:color="auto"/>
                      <w:lang w:val="en-US" w:eastAsia="zh-CN" w:bidi="ar"/>
                    </w:rPr>
                    <w:t>外售给</w:t>
                  </w:r>
                  <w:r>
                    <w:rPr>
                      <w:rFonts w:hint="eastAsia"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p>
              </w:tc>
              <w:tc>
                <w:tcPr>
                  <w:tcW w:w="1500" w:type="dxa"/>
                  <w:vAlign w:val="center"/>
                </w:tcPr>
                <w:p w14:paraId="4C49BC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1302" w:type="dxa"/>
                  <w:shd w:val="clear" w:color="auto" w:fill="auto"/>
                  <w:vAlign w:val="center"/>
                </w:tcPr>
                <w:p w14:paraId="03F28CCF">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0.8 t/a</w:t>
                  </w:r>
                </w:p>
              </w:tc>
            </w:tr>
            <w:tr w14:paraId="487C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62" w:type="dxa"/>
                  <w:vMerge w:val="continue"/>
                  <w:vAlign w:val="center"/>
                </w:tcPr>
                <w:p w14:paraId="660811AD">
                  <w:pPr>
                    <w:pStyle w:val="49"/>
                    <w:snapToGrid/>
                    <w:spacing w:line="240" w:lineRule="auto"/>
                    <w:ind w:firstLine="0" w:firstLineChars="0"/>
                    <w:jc w:val="center"/>
                    <w:rPr>
                      <w:color w:val="auto"/>
                    </w:rPr>
                  </w:pPr>
                </w:p>
              </w:tc>
              <w:tc>
                <w:tcPr>
                  <w:tcW w:w="1434" w:type="dxa"/>
                  <w:vMerge w:val="continue"/>
                  <w:vAlign w:val="center"/>
                </w:tcPr>
                <w:p w14:paraId="0EF0D6F5">
                  <w:pPr>
                    <w:pStyle w:val="49"/>
                    <w:snapToGrid/>
                    <w:spacing w:line="240" w:lineRule="auto"/>
                    <w:ind w:firstLine="0" w:firstLineChars="0"/>
                    <w:jc w:val="center"/>
                    <w:rPr>
                      <w:color w:val="auto"/>
                    </w:rPr>
                  </w:pPr>
                </w:p>
              </w:tc>
              <w:tc>
                <w:tcPr>
                  <w:tcW w:w="1657" w:type="dxa"/>
                  <w:shd w:val="clear" w:color="auto" w:fill="auto"/>
                  <w:vAlign w:val="center"/>
                </w:tcPr>
                <w:p w14:paraId="6D1AFE65">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猪待宰期间产生的粪便</w:t>
                  </w:r>
                </w:p>
              </w:tc>
              <w:tc>
                <w:tcPr>
                  <w:tcW w:w="1914" w:type="dxa"/>
                  <w:shd w:val="clear" w:color="auto" w:fill="auto"/>
                  <w:vAlign w:val="center"/>
                </w:tcPr>
                <w:p w14:paraId="76CE2CCA">
                  <w:pPr>
                    <w:pStyle w:val="49"/>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color w:val="auto"/>
                      <w:kern w:val="2"/>
                      <w:sz w:val="21"/>
                      <w:szCs w:val="21"/>
                      <w:u w:val="none" w:color="auto"/>
                      <w:lang w:val="en-US" w:eastAsia="zh-CN" w:bidi="ar"/>
                    </w:rPr>
                    <w:t>外售给</w:t>
                  </w:r>
                  <w:r>
                    <w:rPr>
                      <w:rFonts w:hint="eastAsia"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p>
              </w:tc>
              <w:tc>
                <w:tcPr>
                  <w:tcW w:w="1500" w:type="dxa"/>
                  <w:vAlign w:val="center"/>
                </w:tcPr>
                <w:p w14:paraId="38B96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sz w:val="21"/>
                      <w:szCs w:val="21"/>
                      <w:u w:val="none" w:color="auto"/>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551D2DF6">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146 t/a</w:t>
                  </w:r>
                </w:p>
              </w:tc>
            </w:tr>
            <w:tr w14:paraId="66AF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62" w:type="dxa"/>
                  <w:vMerge w:val="continue"/>
                  <w:vAlign w:val="center"/>
                </w:tcPr>
                <w:p w14:paraId="60867A86">
                  <w:pPr>
                    <w:pStyle w:val="49"/>
                    <w:snapToGrid/>
                    <w:spacing w:line="240" w:lineRule="auto"/>
                    <w:ind w:firstLine="0" w:firstLineChars="0"/>
                    <w:jc w:val="center"/>
                    <w:rPr>
                      <w:rFonts w:hint="eastAsia" w:cs="Times New Roman"/>
                      <w:color w:val="auto"/>
                      <w:spacing w:val="0"/>
                      <w:sz w:val="21"/>
                      <w:szCs w:val="21"/>
                      <w:u w:val="none" w:color="auto"/>
                      <w:lang w:val="en-US" w:eastAsia="zh-CN"/>
                    </w:rPr>
                  </w:pPr>
                </w:p>
              </w:tc>
              <w:tc>
                <w:tcPr>
                  <w:tcW w:w="1434" w:type="dxa"/>
                  <w:vMerge w:val="continue"/>
                  <w:vAlign w:val="center"/>
                </w:tcPr>
                <w:p w14:paraId="58745F49">
                  <w:pPr>
                    <w:pStyle w:val="49"/>
                    <w:snapToGrid/>
                    <w:spacing w:line="240" w:lineRule="auto"/>
                    <w:ind w:firstLine="0" w:firstLineChars="0"/>
                    <w:jc w:val="center"/>
                    <w:rPr>
                      <w:rFonts w:hint="eastAsia" w:cs="Times New Roman"/>
                      <w:color w:val="auto"/>
                      <w:spacing w:val="0"/>
                      <w:sz w:val="21"/>
                      <w:szCs w:val="21"/>
                      <w:u w:val="none" w:color="auto"/>
                      <w:lang w:val="en-US" w:eastAsia="zh-CN"/>
                    </w:rPr>
                  </w:pPr>
                </w:p>
              </w:tc>
              <w:tc>
                <w:tcPr>
                  <w:tcW w:w="1657" w:type="dxa"/>
                  <w:shd w:val="clear" w:color="auto" w:fill="auto"/>
                  <w:vAlign w:val="center"/>
                </w:tcPr>
                <w:p w14:paraId="68D52F0C">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污水处理站污泥</w:t>
                  </w:r>
                </w:p>
              </w:tc>
              <w:tc>
                <w:tcPr>
                  <w:tcW w:w="1914" w:type="dxa"/>
                  <w:shd w:val="clear" w:color="auto" w:fill="auto"/>
                  <w:vAlign w:val="center"/>
                </w:tcPr>
                <w:p w14:paraId="6171F6F6">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
                    </w:rPr>
                    <w:t>外售给</w:t>
                  </w:r>
                  <w:r>
                    <w:rPr>
                      <w:rFonts w:hint="eastAsia" w:cs="Times New Roman"/>
                      <w:color w:val="auto"/>
                      <w:kern w:val="2"/>
                      <w:sz w:val="21"/>
                      <w:szCs w:val="21"/>
                      <w:u w:val="none" w:color="auto"/>
                      <w:lang w:val="en-US" w:eastAsia="zh-CN" w:bidi="ar"/>
                    </w:rPr>
                    <w:t>化肥厂综合</w:t>
                  </w:r>
                  <w:r>
                    <w:rPr>
                      <w:rFonts w:hint="eastAsia" w:ascii="Times New Roman" w:hAnsi="Times New Roman" w:eastAsia="宋体" w:cs="Times New Roman"/>
                      <w:color w:val="auto"/>
                      <w:kern w:val="2"/>
                      <w:sz w:val="21"/>
                      <w:szCs w:val="21"/>
                      <w:u w:val="none" w:color="auto"/>
                      <w:lang w:val="en-US" w:eastAsia="zh-CN" w:bidi="ar"/>
                    </w:rPr>
                    <w:t>利用</w:t>
                  </w:r>
                </w:p>
              </w:tc>
              <w:tc>
                <w:tcPr>
                  <w:tcW w:w="1500" w:type="dxa"/>
                  <w:vAlign w:val="center"/>
                </w:tcPr>
                <w:p w14:paraId="0F0B3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sz w:val="21"/>
                      <w:szCs w:val="21"/>
                      <w:u w:val="none" w:color="auto"/>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3132F928">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5 t/a</w:t>
                  </w:r>
                </w:p>
              </w:tc>
            </w:tr>
            <w:tr w14:paraId="3D22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62" w:type="dxa"/>
                  <w:vMerge w:val="continue"/>
                  <w:vAlign w:val="center"/>
                </w:tcPr>
                <w:p w14:paraId="4CABB545">
                  <w:pPr>
                    <w:pStyle w:val="49"/>
                    <w:snapToGrid/>
                    <w:spacing w:line="240" w:lineRule="auto"/>
                    <w:ind w:firstLine="0" w:firstLineChars="0"/>
                    <w:jc w:val="center"/>
                    <w:rPr>
                      <w:rFonts w:hint="eastAsia" w:cs="Times New Roman"/>
                      <w:color w:val="auto"/>
                      <w:spacing w:val="0"/>
                      <w:sz w:val="21"/>
                      <w:szCs w:val="21"/>
                      <w:u w:val="none" w:color="auto"/>
                      <w:lang w:val="en-US" w:eastAsia="zh-CN"/>
                    </w:rPr>
                  </w:pPr>
                </w:p>
              </w:tc>
              <w:tc>
                <w:tcPr>
                  <w:tcW w:w="1434" w:type="dxa"/>
                  <w:vMerge w:val="continue"/>
                  <w:vAlign w:val="center"/>
                </w:tcPr>
                <w:p w14:paraId="7EB630E9">
                  <w:pPr>
                    <w:pStyle w:val="49"/>
                    <w:snapToGrid/>
                    <w:spacing w:line="240" w:lineRule="auto"/>
                    <w:ind w:firstLine="0" w:firstLineChars="0"/>
                    <w:jc w:val="center"/>
                    <w:rPr>
                      <w:rFonts w:hint="eastAsia" w:cs="Times New Roman"/>
                      <w:color w:val="auto"/>
                      <w:spacing w:val="0"/>
                      <w:sz w:val="21"/>
                      <w:szCs w:val="21"/>
                      <w:u w:val="none" w:color="auto"/>
                      <w:lang w:val="en-US" w:eastAsia="zh-CN"/>
                    </w:rPr>
                  </w:pPr>
                </w:p>
              </w:tc>
              <w:tc>
                <w:tcPr>
                  <w:tcW w:w="1657" w:type="dxa"/>
                  <w:shd w:val="clear" w:color="auto" w:fill="auto"/>
                  <w:vAlign w:val="center"/>
                </w:tcPr>
                <w:p w14:paraId="31AD2868">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不合格品</w:t>
                  </w:r>
                </w:p>
              </w:tc>
              <w:tc>
                <w:tcPr>
                  <w:tcW w:w="1914" w:type="dxa"/>
                  <w:shd w:val="clear" w:color="auto" w:fill="auto"/>
                  <w:vAlign w:val="center"/>
                </w:tcPr>
                <w:p w14:paraId="7A67F254">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bidi="ar"/>
                    </w:rPr>
                    <w:t>交由有资质的单位进行无害化处理</w:t>
                  </w:r>
                </w:p>
              </w:tc>
              <w:tc>
                <w:tcPr>
                  <w:tcW w:w="1500" w:type="dxa"/>
                  <w:vAlign w:val="center"/>
                </w:tcPr>
                <w:p w14:paraId="0F70F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0"/>
                      <w:sz w:val="21"/>
                      <w:szCs w:val="21"/>
                      <w:u w:val="none" w:color="auto"/>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459CA801">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8 t/a</w:t>
                  </w:r>
                </w:p>
              </w:tc>
            </w:tr>
            <w:bookmarkEnd w:id="107"/>
            <w:tr w14:paraId="528D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62" w:type="dxa"/>
                  <w:vMerge w:val="continue"/>
                  <w:vAlign w:val="center"/>
                </w:tcPr>
                <w:p w14:paraId="12C9A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1434" w:type="dxa"/>
                  <w:vMerge w:val="continue"/>
                  <w:vAlign w:val="center"/>
                </w:tcPr>
                <w:p w14:paraId="37B8C64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p>
              </w:tc>
              <w:tc>
                <w:tcPr>
                  <w:tcW w:w="1657" w:type="dxa"/>
                  <w:shd w:val="clear" w:color="auto" w:fill="auto"/>
                  <w:vAlign w:val="center"/>
                </w:tcPr>
                <w:p w14:paraId="7623FEAA">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格栅处理的废物</w:t>
                  </w:r>
                </w:p>
              </w:tc>
              <w:tc>
                <w:tcPr>
                  <w:tcW w:w="1914" w:type="dxa"/>
                  <w:shd w:val="clear" w:color="auto" w:fill="auto"/>
                  <w:vAlign w:val="center"/>
                </w:tcPr>
                <w:p w14:paraId="178ED782">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交由物资回收部门综合利用</w:t>
                  </w:r>
                </w:p>
              </w:tc>
              <w:tc>
                <w:tcPr>
                  <w:tcW w:w="1500" w:type="dxa"/>
                  <w:vAlign w:val="center"/>
                </w:tcPr>
                <w:p w14:paraId="2BE5F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60B88B7C">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39.14 t/a</w:t>
                  </w:r>
                </w:p>
              </w:tc>
            </w:tr>
            <w:tr w14:paraId="5C47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62" w:type="dxa"/>
                  <w:vMerge w:val="continue"/>
                  <w:vAlign w:val="center"/>
                </w:tcPr>
                <w:p w14:paraId="565A5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1434" w:type="dxa"/>
                  <w:vMerge w:val="continue"/>
                  <w:vAlign w:val="center"/>
                </w:tcPr>
                <w:p w14:paraId="785FD48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p>
              </w:tc>
              <w:tc>
                <w:tcPr>
                  <w:tcW w:w="1657" w:type="dxa"/>
                  <w:shd w:val="clear" w:color="auto" w:fill="auto"/>
                  <w:vAlign w:val="center"/>
                </w:tcPr>
                <w:p w14:paraId="06C7E0B4">
                  <w:pPr>
                    <w:pStyle w:val="49"/>
                    <w:snapToGrid/>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rPr>
                    <w:t>病死猪</w:t>
                  </w:r>
                </w:p>
              </w:tc>
              <w:tc>
                <w:tcPr>
                  <w:tcW w:w="1914" w:type="dxa"/>
                  <w:shd w:val="clear" w:color="auto" w:fill="auto"/>
                  <w:vAlign w:val="center"/>
                </w:tcPr>
                <w:p w14:paraId="789C1604">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bidi="ar"/>
                    </w:rPr>
                    <w:t>交由有资质的单位进行无害化处理</w:t>
                  </w:r>
                </w:p>
              </w:tc>
              <w:tc>
                <w:tcPr>
                  <w:tcW w:w="1500" w:type="dxa"/>
                  <w:vAlign w:val="center"/>
                </w:tcPr>
                <w:p w14:paraId="45695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7D2B33A2">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80 t/a</w:t>
                  </w:r>
                </w:p>
              </w:tc>
            </w:tr>
            <w:tr w14:paraId="45EC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62" w:type="dxa"/>
                  <w:vMerge w:val="continue"/>
                  <w:vAlign w:val="center"/>
                </w:tcPr>
                <w:p w14:paraId="4EE23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1434" w:type="dxa"/>
                  <w:vMerge w:val="continue"/>
                  <w:vAlign w:val="center"/>
                </w:tcPr>
                <w:p w14:paraId="0AFA5ED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p>
              </w:tc>
              <w:tc>
                <w:tcPr>
                  <w:tcW w:w="1657" w:type="dxa"/>
                  <w:shd w:val="clear" w:color="auto" w:fill="auto"/>
                  <w:vAlign w:val="center"/>
                </w:tcPr>
                <w:p w14:paraId="5F89B512">
                  <w:pPr>
                    <w:pStyle w:val="49"/>
                    <w:snapToGrid/>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rPr>
                    <w:t>未沾染有毒有害物质的废包装材料</w:t>
                  </w:r>
                </w:p>
              </w:tc>
              <w:tc>
                <w:tcPr>
                  <w:tcW w:w="1914" w:type="dxa"/>
                  <w:shd w:val="clear" w:color="auto" w:fill="auto"/>
                  <w:vAlign w:val="center"/>
                </w:tcPr>
                <w:p w14:paraId="2EC732E7">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交由物资回收部门综合利用</w:t>
                  </w:r>
                </w:p>
              </w:tc>
              <w:tc>
                <w:tcPr>
                  <w:tcW w:w="1500" w:type="dxa"/>
                  <w:vAlign w:val="center"/>
                </w:tcPr>
                <w:p w14:paraId="2BBF7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71F70058">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0.05 t/a</w:t>
                  </w:r>
                </w:p>
              </w:tc>
            </w:tr>
            <w:tr w14:paraId="1249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62" w:type="dxa"/>
                  <w:vMerge w:val="continue"/>
                  <w:vAlign w:val="center"/>
                </w:tcPr>
                <w:p w14:paraId="58F1B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1434" w:type="dxa"/>
                  <w:vMerge w:val="continue"/>
                  <w:vAlign w:val="center"/>
                </w:tcPr>
                <w:p w14:paraId="68C96A0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p>
              </w:tc>
              <w:tc>
                <w:tcPr>
                  <w:tcW w:w="1657" w:type="dxa"/>
                  <w:shd w:val="clear" w:color="auto" w:fill="auto"/>
                  <w:vAlign w:val="center"/>
                </w:tcPr>
                <w:p w14:paraId="7F6A86AF">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rPr>
                    <w:t>锅炉炉渣</w:t>
                  </w:r>
                </w:p>
              </w:tc>
              <w:tc>
                <w:tcPr>
                  <w:tcW w:w="1914" w:type="dxa"/>
                  <w:shd w:val="clear" w:color="auto" w:fill="auto"/>
                  <w:vAlign w:val="center"/>
                </w:tcPr>
                <w:p w14:paraId="76C9A724">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交由物资回收部门综合利用</w:t>
                  </w:r>
                </w:p>
              </w:tc>
              <w:tc>
                <w:tcPr>
                  <w:tcW w:w="1500" w:type="dxa"/>
                  <w:vAlign w:val="center"/>
                </w:tcPr>
                <w:p w14:paraId="0ED25E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shd w:val="clear" w:color="auto" w:fill="auto"/>
                  <w:vAlign w:val="center"/>
                </w:tcPr>
                <w:p w14:paraId="04E089A7">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18 t/a</w:t>
                  </w:r>
                </w:p>
              </w:tc>
            </w:tr>
            <w:tr w14:paraId="3CA7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62" w:type="dxa"/>
                  <w:vMerge w:val="continue"/>
                  <w:vAlign w:val="center"/>
                </w:tcPr>
                <w:p w14:paraId="2B8795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1434" w:type="dxa"/>
                  <w:vMerge w:val="restart"/>
                  <w:vAlign w:val="center"/>
                </w:tcPr>
                <w:p w14:paraId="62E5CE8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危险废物</w:t>
                  </w:r>
                </w:p>
              </w:tc>
              <w:tc>
                <w:tcPr>
                  <w:tcW w:w="1657" w:type="dxa"/>
                  <w:shd w:val="clear" w:color="auto" w:fill="auto"/>
                  <w:vAlign w:val="center"/>
                </w:tcPr>
                <w:p w14:paraId="5B78373B">
                  <w:pPr>
                    <w:pStyle w:val="49"/>
                    <w:snapToGrid/>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rPr>
                    <w:t>实验室、检疫室废弃物</w:t>
                  </w:r>
                </w:p>
              </w:tc>
              <w:tc>
                <w:tcPr>
                  <w:tcW w:w="1914" w:type="dxa"/>
                  <w:vAlign w:val="center"/>
                </w:tcPr>
                <w:p w14:paraId="6D0B061D">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kern w:val="2"/>
                      <w:sz w:val="21"/>
                      <w:szCs w:val="21"/>
                      <w:u w:val="none" w:color="auto"/>
                      <w:vertAlign w:val="baseline"/>
                      <w:lang w:val="en-US" w:eastAsia="zh-CN" w:bidi="ar"/>
                    </w:rPr>
                    <w:t>交由有资质的单位进行无害化处理</w:t>
                  </w:r>
                </w:p>
              </w:tc>
              <w:tc>
                <w:tcPr>
                  <w:tcW w:w="1500" w:type="dxa"/>
                  <w:vAlign w:val="center"/>
                </w:tcPr>
                <w:p w14:paraId="0DBF2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vAlign w:val="center"/>
                </w:tcPr>
                <w:p w14:paraId="0CB740AD">
                  <w:pPr>
                    <w:pStyle w:val="49"/>
                    <w:snapToGrid/>
                    <w:spacing w:line="240" w:lineRule="auto"/>
                    <w:ind w:firstLine="0" w:firstLineChars="0"/>
                    <w:jc w:val="center"/>
                    <w:rPr>
                      <w:rFonts w:hint="eastAsia" w:cs="Times New Roman"/>
                      <w:bCs/>
                      <w:color w:val="auto"/>
                      <w:sz w:val="21"/>
                      <w:szCs w:val="21"/>
                      <w:u w:val="none" w:color="auto"/>
                      <w:lang w:val="en-US" w:eastAsia="zh-CN"/>
                    </w:rPr>
                  </w:pPr>
                  <w:r>
                    <w:rPr>
                      <w:rFonts w:hint="eastAsia" w:cs="Times New Roman"/>
                      <w:color w:val="auto"/>
                      <w:spacing w:val="0"/>
                      <w:sz w:val="21"/>
                      <w:szCs w:val="21"/>
                      <w:u w:val="none" w:color="auto"/>
                      <w:lang w:val="en-US" w:eastAsia="zh-CN"/>
                    </w:rPr>
                    <w:t>5 t/a</w:t>
                  </w:r>
                </w:p>
              </w:tc>
            </w:tr>
            <w:tr w14:paraId="4AD8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62" w:type="dxa"/>
                  <w:vMerge w:val="continue"/>
                  <w:vAlign w:val="center"/>
                </w:tcPr>
                <w:p w14:paraId="71190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1434" w:type="dxa"/>
                  <w:vMerge w:val="continue"/>
                  <w:vAlign w:val="center"/>
                </w:tcPr>
                <w:p w14:paraId="18FBBAE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none" w:color="auto"/>
                      <w:lang w:val="en-US" w:eastAsia="zh-CN"/>
                    </w:rPr>
                  </w:pPr>
                </w:p>
              </w:tc>
              <w:tc>
                <w:tcPr>
                  <w:tcW w:w="1657" w:type="dxa"/>
                  <w:shd w:val="clear" w:color="auto" w:fill="auto"/>
                  <w:vAlign w:val="center"/>
                </w:tcPr>
                <w:p w14:paraId="563FED82">
                  <w:pPr>
                    <w:pStyle w:val="49"/>
                    <w:snapToGrid/>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rPr>
                    <w:t>沾染有毒有害物质的废包装材料</w:t>
                  </w:r>
                </w:p>
              </w:tc>
              <w:tc>
                <w:tcPr>
                  <w:tcW w:w="1914" w:type="dxa"/>
                  <w:vAlign w:val="center"/>
                </w:tcPr>
                <w:p w14:paraId="6F17D316">
                  <w:pPr>
                    <w:pStyle w:val="49"/>
                    <w:snapToGrid/>
                    <w:spacing w:line="240" w:lineRule="auto"/>
                    <w:ind w:firstLine="0" w:firstLineChars="0"/>
                    <w:jc w:val="center"/>
                    <w:rPr>
                      <w:rFonts w:hint="default" w:ascii="Times New Roman" w:hAnsi="Times New Roman" w:eastAsia="宋体" w:cs="Times New Roman"/>
                      <w:color w:val="auto"/>
                      <w:spacing w:val="0"/>
                      <w:sz w:val="21"/>
                      <w:szCs w:val="21"/>
                      <w:u w:val="none" w:color="auto"/>
                      <w:lang w:val="en-US" w:eastAsia="zh-CN"/>
                    </w:rPr>
                  </w:pPr>
                  <w:r>
                    <w:rPr>
                      <w:rFonts w:hint="eastAsia" w:cs="Times New Roman"/>
                      <w:color w:val="auto"/>
                      <w:spacing w:val="0"/>
                      <w:sz w:val="21"/>
                      <w:szCs w:val="21"/>
                      <w:u w:val="none" w:color="auto"/>
                      <w:lang w:val="en-US" w:eastAsia="zh-CN"/>
                    </w:rPr>
                    <w:t>交由环卫部门统一清运</w:t>
                  </w:r>
                </w:p>
              </w:tc>
              <w:tc>
                <w:tcPr>
                  <w:tcW w:w="1500" w:type="dxa"/>
                  <w:vAlign w:val="center"/>
                </w:tcPr>
                <w:p w14:paraId="0A6E4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302" w:type="dxa"/>
                  <w:vAlign w:val="center"/>
                </w:tcPr>
                <w:p w14:paraId="757AD1F6">
                  <w:pPr>
                    <w:pStyle w:val="49"/>
                    <w:snapToGrid/>
                    <w:spacing w:line="240" w:lineRule="auto"/>
                    <w:ind w:firstLine="0" w:firstLineChars="0"/>
                    <w:jc w:val="center"/>
                    <w:rPr>
                      <w:rFonts w:hint="eastAsia" w:cs="Times New Roman"/>
                      <w:bCs/>
                      <w:color w:val="auto"/>
                      <w:sz w:val="21"/>
                      <w:szCs w:val="21"/>
                      <w:u w:val="none" w:color="auto"/>
                      <w:lang w:val="en-US" w:eastAsia="zh-CN"/>
                    </w:rPr>
                  </w:pPr>
                  <w:r>
                    <w:rPr>
                      <w:rFonts w:hint="eastAsia" w:cs="Times New Roman"/>
                      <w:color w:val="auto"/>
                      <w:spacing w:val="0"/>
                      <w:sz w:val="21"/>
                      <w:szCs w:val="21"/>
                      <w:u w:val="none" w:color="auto"/>
                      <w:lang w:val="en-US" w:eastAsia="zh-CN"/>
                    </w:rPr>
                    <w:t>0.1 t/a</w:t>
                  </w:r>
                </w:p>
              </w:tc>
            </w:tr>
            <w:tr w14:paraId="64D5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469" w:type="dxa"/>
                  <w:gridSpan w:val="6"/>
                  <w:vAlign w:val="center"/>
                </w:tcPr>
                <w:p w14:paraId="4421C119">
                  <w:pPr>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注：</w:t>
                  </w:r>
                </w:p>
                <w:p w14:paraId="4F2B5199">
                  <w:pPr>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1.现有工程大气污染物实际排放浓度参考于企业提供的例行监测报告。</w:t>
                  </w:r>
                </w:p>
                <w:p w14:paraId="40C357F4">
                  <w:pPr>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2.因企业除锅炉废气外，其他废气均为无组织排放，无法计算其实际排放量，故本表所列排放量为理论排放量。</w:t>
                  </w:r>
                </w:p>
              </w:tc>
            </w:tr>
          </w:tbl>
          <w:p w14:paraId="275F8F50">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2.7.</w:t>
            </w:r>
            <w:r>
              <w:rPr>
                <w:rFonts w:hint="eastAsia" w:cs="Times New Roman"/>
                <w:b/>
                <w:bCs/>
                <w:color w:val="auto"/>
                <w:u w:val="none" w:color="auto"/>
                <w:lang w:val="en-US" w:eastAsia="zh-CN"/>
              </w:rPr>
              <w:t>4</w:t>
            </w:r>
            <w:r>
              <w:rPr>
                <w:rFonts w:hint="eastAsia" w:eastAsia="黑体" w:cs="Times New Roman"/>
                <w:b/>
                <w:bCs/>
                <w:color w:val="auto"/>
                <w:u w:val="none" w:color="auto"/>
                <w:lang w:val="en-US" w:eastAsia="zh-CN"/>
              </w:rPr>
              <w:t>企业建成以来的投诉</w:t>
            </w:r>
            <w:r>
              <w:rPr>
                <w:rFonts w:hint="default" w:ascii="Times New Roman" w:hAnsi="Times New Roman" w:eastAsia="黑体" w:cs="Times New Roman"/>
                <w:b/>
                <w:bCs/>
                <w:color w:val="auto"/>
                <w:u w:val="none" w:color="auto"/>
                <w:lang w:val="en-US" w:eastAsia="zh-CN"/>
              </w:rPr>
              <w:t>情况</w:t>
            </w:r>
          </w:p>
          <w:p w14:paraId="73C3E53A">
            <w:pPr>
              <w:bidi w:val="0"/>
              <w:ind w:left="0" w:leftChars="0" w:firstLine="480" w:firstLineChars="20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根据和企业了解并与当地生态环境主管部门核实，企业自建成以来，未受到周边居民的投诉。</w:t>
            </w:r>
            <w:r>
              <w:rPr>
                <w:rFonts w:hint="eastAsia"/>
                <w:color w:val="auto"/>
                <w:u w:val="none" w:color="auto"/>
                <w:lang w:val="en-US" w:eastAsia="zh-CN"/>
              </w:rPr>
              <w:t>根据现场调查，企业污染治理措施稳定运行，各项治理措施和管理措施到位，现有工程不存在原有污染问题。</w:t>
            </w:r>
          </w:p>
          <w:p w14:paraId="2D189F53">
            <w:pPr>
              <w:bidi w:val="0"/>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w:t>
            </w:r>
            <w:r>
              <w:rPr>
                <w:rFonts w:hint="eastAsia" w:ascii="Times New Roman" w:hAnsi="Times New Roman" w:cs="Times New Roman"/>
                <w:b/>
                <w:bCs/>
                <w:color w:val="auto"/>
                <w:lang w:val="en-US" w:eastAsia="zh-CN"/>
              </w:rPr>
              <w:t>.8</w:t>
            </w:r>
            <w:r>
              <w:rPr>
                <w:rFonts w:hint="default" w:ascii="Times New Roman" w:hAnsi="Times New Roman" w:eastAsia="黑体" w:cs="Times New Roman"/>
                <w:b/>
                <w:bCs/>
                <w:color w:val="auto"/>
                <w:lang w:val="en-US" w:eastAsia="zh-CN"/>
              </w:rPr>
              <w:t>企业现有工程主要环保问题及整改意见</w:t>
            </w:r>
          </w:p>
          <w:p w14:paraId="32B93081">
            <w:pPr>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根据现场踏勘，本项目主要环境问题及整改意见详见下表。</w:t>
            </w:r>
          </w:p>
          <w:p w14:paraId="0DE93A18">
            <w:pPr>
              <w:bidi w:val="0"/>
              <w:ind w:left="0" w:leftChars="0" w:firstLine="0" w:firstLineChars="0"/>
              <w:jc w:val="center"/>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lang w:val="en-US" w:eastAsia="zh-CN"/>
              </w:rPr>
              <w:t>表2</w:t>
            </w:r>
            <w:r>
              <w:rPr>
                <w:rFonts w:hint="eastAsia" w:cs="Times New Roman"/>
                <w:b w:val="0"/>
                <w:bCs w:val="0"/>
                <w:color w:val="auto"/>
                <w:highlight w:val="none"/>
                <w:lang w:val="en-US" w:eastAsia="zh-CN"/>
              </w:rPr>
              <w:t>.8-</w:t>
            </w:r>
            <w:r>
              <w:rPr>
                <w:rFonts w:hint="default" w:ascii="Times New Roman" w:hAnsi="Times New Roman" w:cs="Times New Roman"/>
                <w:b w:val="0"/>
                <w:bCs w:val="0"/>
                <w:color w:val="auto"/>
                <w:highlight w:val="none"/>
                <w:lang w:val="en-US" w:eastAsia="zh-CN"/>
              </w:rPr>
              <w:t>1 项目目前存在的环境问题及解决方案</w:t>
            </w:r>
          </w:p>
          <w:tbl>
            <w:tblPr>
              <w:tblStyle w:val="23"/>
              <w:tblW w:w="4998"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2512"/>
              <w:gridCol w:w="5516"/>
            </w:tblGrid>
            <w:tr w14:paraId="0C3C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53" w:type="pct"/>
                  <w:vAlign w:val="center"/>
                </w:tcPr>
                <w:p w14:paraId="15C60C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vertAlign w:val="baseline"/>
                      <w:lang w:val="en-US" w:eastAsia="zh-CN"/>
                    </w:rPr>
                  </w:pPr>
                  <w:r>
                    <w:rPr>
                      <w:rFonts w:hint="default" w:ascii="Times New Roman" w:hAnsi="Times New Roman" w:cs="Times New Roman"/>
                      <w:b w:val="0"/>
                      <w:bCs w:val="0"/>
                      <w:color w:val="auto"/>
                      <w:sz w:val="21"/>
                      <w:szCs w:val="21"/>
                      <w:highlight w:val="none"/>
                      <w:u w:val="single"/>
                      <w:vertAlign w:val="baseline"/>
                      <w:lang w:val="en-US" w:eastAsia="zh-CN"/>
                    </w:rPr>
                    <w:t>序号</w:t>
                  </w:r>
                </w:p>
              </w:tc>
              <w:tc>
                <w:tcPr>
                  <w:tcW w:w="1485" w:type="pct"/>
                  <w:vAlign w:val="center"/>
                </w:tcPr>
                <w:p w14:paraId="2D219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vertAlign w:val="baseline"/>
                      <w:lang w:val="en-US" w:eastAsia="zh-CN"/>
                    </w:rPr>
                  </w:pPr>
                  <w:r>
                    <w:rPr>
                      <w:rFonts w:hint="default" w:ascii="Times New Roman" w:hAnsi="Times New Roman" w:cs="Times New Roman"/>
                      <w:b w:val="0"/>
                      <w:bCs w:val="0"/>
                      <w:color w:val="auto"/>
                      <w:sz w:val="21"/>
                      <w:szCs w:val="21"/>
                      <w:highlight w:val="none"/>
                      <w:u w:val="single"/>
                      <w:vertAlign w:val="baseline"/>
                      <w:lang w:val="en-US" w:eastAsia="zh-CN"/>
                    </w:rPr>
                    <w:t>现有工程存在的环境问题</w:t>
                  </w:r>
                </w:p>
              </w:tc>
              <w:tc>
                <w:tcPr>
                  <w:tcW w:w="3261" w:type="pct"/>
                  <w:vAlign w:val="center"/>
                </w:tcPr>
                <w:p w14:paraId="36F07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vertAlign w:val="baseline"/>
                      <w:lang w:val="en-US" w:eastAsia="zh-CN"/>
                    </w:rPr>
                  </w:pPr>
                  <w:r>
                    <w:rPr>
                      <w:rFonts w:hint="default" w:ascii="Times New Roman" w:hAnsi="Times New Roman" w:cs="Times New Roman"/>
                      <w:b w:val="0"/>
                      <w:bCs w:val="0"/>
                      <w:color w:val="auto"/>
                      <w:sz w:val="21"/>
                      <w:szCs w:val="21"/>
                      <w:highlight w:val="none"/>
                      <w:u w:val="single"/>
                      <w:vertAlign w:val="baseline"/>
                      <w:lang w:val="en-US" w:eastAsia="zh-CN"/>
                    </w:rPr>
                    <w:t>建议措施</w:t>
                  </w:r>
                </w:p>
              </w:tc>
            </w:tr>
            <w:tr w14:paraId="3A81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01705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1</w:t>
                  </w:r>
                </w:p>
              </w:tc>
              <w:tc>
                <w:tcPr>
                  <w:tcW w:w="1485" w:type="pct"/>
                  <w:vAlign w:val="center"/>
                </w:tcPr>
                <w:p w14:paraId="610D8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未建设危废暂存间</w:t>
                  </w:r>
                </w:p>
              </w:tc>
              <w:tc>
                <w:tcPr>
                  <w:tcW w:w="3261" w:type="pct"/>
                  <w:vAlign w:val="center"/>
                </w:tcPr>
                <w:p w14:paraId="68C79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sz w:val="21"/>
                      <w:szCs w:val="21"/>
                      <w:highlight w:val="none"/>
                      <w:u w:val="single"/>
                      <w:vertAlign w:val="baseline"/>
                      <w:lang w:val="en-US" w:eastAsia="zh-CN"/>
                    </w:rPr>
                    <w:t>本评价要求企业建设危废暂存间</w:t>
                  </w:r>
                </w:p>
              </w:tc>
            </w:tr>
            <w:tr w14:paraId="1354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329ECF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2</w:t>
                  </w:r>
                </w:p>
              </w:tc>
              <w:tc>
                <w:tcPr>
                  <w:tcW w:w="1485" w:type="pct"/>
                  <w:shd w:val="clear" w:color="auto" w:fill="auto"/>
                  <w:vAlign w:val="center"/>
                </w:tcPr>
                <w:p w14:paraId="309EFF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sz w:val="21"/>
                      <w:szCs w:val="21"/>
                      <w:highlight w:val="none"/>
                      <w:u w:val="single"/>
                      <w:vertAlign w:val="baseline"/>
                      <w:lang w:val="en-US" w:eastAsia="zh-CN"/>
                    </w:rPr>
                    <w:t>未建设一般固废暂存间</w:t>
                  </w:r>
                </w:p>
              </w:tc>
              <w:tc>
                <w:tcPr>
                  <w:tcW w:w="3261" w:type="pct"/>
                  <w:shd w:val="clear" w:color="auto" w:fill="auto"/>
                  <w:vAlign w:val="center"/>
                </w:tcPr>
                <w:p w14:paraId="425D4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sz w:val="21"/>
                      <w:szCs w:val="21"/>
                      <w:highlight w:val="none"/>
                      <w:u w:val="single"/>
                      <w:vertAlign w:val="baseline"/>
                      <w:lang w:val="en-US" w:eastAsia="zh-CN"/>
                    </w:rPr>
                    <w:t>本评价要求企业建设一般固废暂存间</w:t>
                  </w:r>
                </w:p>
              </w:tc>
            </w:tr>
            <w:tr w14:paraId="2D95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103D8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3</w:t>
                  </w:r>
                </w:p>
              </w:tc>
              <w:tc>
                <w:tcPr>
                  <w:tcW w:w="1485" w:type="pct"/>
                  <w:shd w:val="clear" w:color="auto" w:fill="auto"/>
                  <w:vAlign w:val="center"/>
                </w:tcPr>
                <w:p w14:paraId="715EB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sz w:val="21"/>
                      <w:szCs w:val="21"/>
                      <w:highlight w:val="none"/>
                      <w:u w:val="single"/>
                      <w:vertAlign w:val="baseline"/>
                      <w:lang w:val="en-US" w:eastAsia="zh-CN"/>
                    </w:rPr>
                    <w:t>未签订危废协议</w:t>
                  </w:r>
                </w:p>
              </w:tc>
              <w:tc>
                <w:tcPr>
                  <w:tcW w:w="3261" w:type="pct"/>
                  <w:shd w:val="clear" w:color="auto" w:fill="auto"/>
                  <w:vAlign w:val="center"/>
                </w:tcPr>
                <w:p w14:paraId="3BB6B4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sz w:val="21"/>
                      <w:szCs w:val="21"/>
                      <w:highlight w:val="none"/>
                      <w:u w:val="single"/>
                      <w:vertAlign w:val="baseline"/>
                      <w:lang w:val="en-US" w:eastAsia="zh-CN"/>
                    </w:rPr>
                    <w:t>与有资质的单位签订危废协议</w:t>
                  </w:r>
                </w:p>
              </w:tc>
            </w:tr>
            <w:tr w14:paraId="6968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199751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4</w:t>
                  </w:r>
                </w:p>
              </w:tc>
              <w:tc>
                <w:tcPr>
                  <w:tcW w:w="1485" w:type="pct"/>
                  <w:shd w:val="clear" w:color="auto" w:fill="auto"/>
                  <w:vAlign w:val="center"/>
                </w:tcPr>
                <w:p w14:paraId="703E3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企业未办理突发环境事件应急预案相关手续</w:t>
                  </w:r>
                </w:p>
              </w:tc>
              <w:tc>
                <w:tcPr>
                  <w:tcW w:w="3261" w:type="pct"/>
                  <w:shd w:val="clear" w:color="auto" w:fill="auto"/>
                  <w:vAlign w:val="center"/>
                </w:tcPr>
                <w:p w14:paraId="770A2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highlight w:val="none"/>
                      <w:u w:val="single"/>
                      <w:vertAlign w:val="baseline"/>
                      <w:lang w:val="en-US" w:eastAsia="zh-CN"/>
                    </w:rPr>
                  </w:pPr>
                  <w:r>
                    <w:rPr>
                      <w:rFonts w:hint="eastAsia" w:ascii="Times New Roman" w:hAnsi="Times New Roman" w:cs="Times New Roman"/>
                      <w:b w:val="0"/>
                      <w:bCs w:val="0"/>
                      <w:color w:val="auto"/>
                      <w:sz w:val="21"/>
                      <w:szCs w:val="21"/>
                      <w:highlight w:val="none"/>
                      <w:u w:val="single"/>
                      <w:vertAlign w:val="baseline"/>
                      <w:lang w:val="en-US" w:eastAsia="zh-CN"/>
                    </w:rPr>
                    <w:t>本评价要求企业</w:t>
                  </w:r>
                  <w:r>
                    <w:rPr>
                      <w:rFonts w:hint="eastAsia" w:ascii="Times New Roman" w:hAnsi="Times New Roman" w:eastAsia="宋体" w:cs="Times New Roman"/>
                      <w:color w:val="auto"/>
                      <w:sz w:val="21"/>
                      <w:szCs w:val="21"/>
                      <w:highlight w:val="none"/>
                      <w:u w:val="single"/>
                      <w:lang w:val="en-US" w:eastAsia="zh-CN"/>
                    </w:rPr>
                    <w:t>依据《湖南省生态环境厅</w:t>
                  </w:r>
                  <w:r>
                    <w:rPr>
                      <w:rFonts w:hint="eastAsia" w:ascii="Times New Roman" w:hAnsi="Times New Roman" w:eastAsia="宋体" w:cs="Times New Roman"/>
                      <w:b w:val="0"/>
                      <w:bCs w:val="0"/>
                      <w:color w:val="auto"/>
                      <w:sz w:val="21"/>
                      <w:szCs w:val="21"/>
                      <w:highlight w:val="none"/>
                      <w:u w:val="single"/>
                    </w:rPr>
                    <w:t>关于印发</w:t>
                  </w:r>
                  <w:r>
                    <w:rPr>
                      <w:rFonts w:hint="eastAsia" w:ascii="Times New Roman" w:hAnsi="Times New Roman" w:eastAsia="宋体" w:cs="Times New Roman"/>
                      <w:b w:val="0"/>
                      <w:bCs w:val="0"/>
                      <w:color w:val="auto"/>
                      <w:sz w:val="21"/>
                      <w:szCs w:val="21"/>
                      <w:highlight w:val="none"/>
                      <w:u w:val="single"/>
                      <w:lang w:val="en-US" w:eastAsia="zh-CN"/>
                    </w:rPr>
                    <w:t>&lt;</w:t>
                  </w:r>
                  <w:r>
                    <w:rPr>
                      <w:rFonts w:hint="eastAsia" w:ascii="Times New Roman" w:hAnsi="Times New Roman" w:eastAsia="宋体" w:cs="Times New Roman"/>
                      <w:b w:val="0"/>
                      <w:bCs w:val="0"/>
                      <w:color w:val="auto"/>
                      <w:sz w:val="21"/>
                      <w:szCs w:val="21"/>
                      <w:highlight w:val="none"/>
                      <w:u w:val="single"/>
                    </w:rPr>
                    <w:t>湖南省突发环境事件应急预案管理办法（修订版）</w:t>
                  </w:r>
                  <w:r>
                    <w:rPr>
                      <w:rFonts w:hint="eastAsia" w:ascii="Times New Roman" w:hAnsi="Times New Roman" w:eastAsia="宋体" w:cs="Times New Roman"/>
                      <w:b w:val="0"/>
                      <w:bCs w:val="0"/>
                      <w:color w:val="auto"/>
                      <w:sz w:val="21"/>
                      <w:szCs w:val="21"/>
                      <w:highlight w:val="none"/>
                      <w:u w:val="single"/>
                      <w:lang w:val="en-US" w:eastAsia="zh-CN"/>
                    </w:rPr>
                    <w:t>&gt;</w:t>
                  </w:r>
                  <w:r>
                    <w:rPr>
                      <w:rFonts w:hint="eastAsia" w:ascii="Times New Roman" w:hAnsi="Times New Roman" w:eastAsia="宋体" w:cs="Times New Roman"/>
                      <w:b w:val="0"/>
                      <w:bCs w:val="0"/>
                      <w:color w:val="auto"/>
                      <w:sz w:val="21"/>
                      <w:szCs w:val="21"/>
                      <w:highlight w:val="none"/>
                      <w:u w:val="single"/>
                    </w:rPr>
                    <w:t>的通知</w:t>
                  </w:r>
                  <w:r>
                    <w:rPr>
                      <w:rFonts w:hint="eastAsia" w:ascii="Times New Roman" w:hAnsi="Times New Roman" w:eastAsia="宋体" w:cs="Times New Roman"/>
                      <w:b w:val="0"/>
                      <w:bCs w:val="0"/>
                      <w:color w:val="auto"/>
                      <w:sz w:val="21"/>
                      <w:szCs w:val="21"/>
                      <w:highlight w:val="none"/>
                      <w:u w:val="single"/>
                      <w:lang w:eastAsia="zh-CN"/>
                    </w:rPr>
                    <w:t>》（</w:t>
                  </w:r>
                  <w:r>
                    <w:rPr>
                      <w:rFonts w:hint="eastAsia" w:ascii="Times New Roman" w:hAnsi="Times New Roman" w:eastAsia="宋体" w:cs="Times New Roman"/>
                      <w:b w:val="0"/>
                      <w:bCs w:val="0"/>
                      <w:color w:val="auto"/>
                      <w:sz w:val="21"/>
                      <w:szCs w:val="21"/>
                      <w:highlight w:val="none"/>
                      <w:u w:val="single"/>
                      <w:lang w:val="en-US" w:eastAsia="zh-CN"/>
                    </w:rPr>
                    <w:t>湘环发[2024]49号）</w:t>
                  </w:r>
                  <w:r>
                    <w:rPr>
                      <w:rFonts w:hint="eastAsia" w:ascii="Times New Roman" w:hAnsi="Times New Roman" w:eastAsia="宋体" w:cs="Times New Roman"/>
                      <w:color w:val="auto"/>
                      <w:sz w:val="21"/>
                      <w:szCs w:val="21"/>
                      <w:highlight w:val="none"/>
                      <w:u w:val="single"/>
                      <w:lang w:val="en-US" w:eastAsia="zh-CN"/>
                    </w:rPr>
                    <w:t>及时编制突发环境事件应急预案</w:t>
                  </w:r>
                </w:p>
              </w:tc>
            </w:tr>
            <w:tr w14:paraId="5DE2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shd w:val="clear" w:color="auto" w:fill="auto"/>
                  <w:vAlign w:val="center"/>
                </w:tcPr>
                <w:p w14:paraId="7A257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eastAsia" w:cs="Times New Roman"/>
                      <w:b w:val="0"/>
                      <w:bCs w:val="0"/>
                      <w:color w:val="auto"/>
                      <w:sz w:val="21"/>
                      <w:szCs w:val="21"/>
                      <w:highlight w:val="none"/>
                      <w:u w:val="single"/>
                      <w:vertAlign w:val="baseline"/>
                      <w:lang w:val="en-US" w:eastAsia="zh-CN"/>
                    </w:rPr>
                    <w:t>5</w:t>
                  </w:r>
                </w:p>
              </w:tc>
              <w:tc>
                <w:tcPr>
                  <w:tcW w:w="1485" w:type="pct"/>
                  <w:shd w:val="clear" w:color="auto" w:fill="auto"/>
                  <w:vAlign w:val="center"/>
                </w:tcPr>
                <w:p w14:paraId="35054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现有燃煤锅炉无废气处理设施，仅通过20 m排气筒排放</w:t>
                  </w:r>
                </w:p>
              </w:tc>
              <w:tc>
                <w:tcPr>
                  <w:tcW w:w="3261" w:type="pct"/>
                  <w:shd w:val="clear" w:color="auto" w:fill="auto"/>
                  <w:vAlign w:val="center"/>
                </w:tcPr>
                <w:p w14:paraId="70E4D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本次进行技术改造，拆除燃煤锅炉，使用电锅炉进行供热</w:t>
                  </w:r>
                </w:p>
              </w:tc>
            </w:tr>
            <w:tr w14:paraId="360D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shd w:val="clear" w:color="auto" w:fill="auto"/>
                  <w:vAlign w:val="center"/>
                </w:tcPr>
                <w:p w14:paraId="62F2B7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6</w:t>
                  </w:r>
                </w:p>
              </w:tc>
              <w:tc>
                <w:tcPr>
                  <w:tcW w:w="1485" w:type="pct"/>
                  <w:shd w:val="clear" w:color="auto" w:fill="auto"/>
                  <w:vAlign w:val="center"/>
                </w:tcPr>
                <w:p w14:paraId="6F8FB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企业未办理排污权交易</w:t>
                  </w:r>
                </w:p>
              </w:tc>
              <w:tc>
                <w:tcPr>
                  <w:tcW w:w="3261" w:type="pct"/>
                  <w:shd w:val="clear" w:color="auto" w:fill="auto"/>
                  <w:vAlign w:val="center"/>
                </w:tcPr>
                <w:p w14:paraId="051EEA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本项目技改完成后，在竣工环境保护验收前及时进行排污权交易</w:t>
                  </w:r>
                </w:p>
              </w:tc>
            </w:tr>
            <w:tr w14:paraId="7137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shd w:val="clear" w:color="auto" w:fill="auto"/>
                  <w:vAlign w:val="center"/>
                </w:tcPr>
                <w:p w14:paraId="0C933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7</w:t>
                  </w:r>
                </w:p>
              </w:tc>
              <w:tc>
                <w:tcPr>
                  <w:tcW w:w="1485" w:type="pct"/>
                  <w:shd w:val="clear" w:color="auto" w:fill="auto"/>
                  <w:vAlign w:val="center"/>
                </w:tcPr>
                <w:p w14:paraId="3519C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企业未及时开展锅炉废气的例行监测</w:t>
                  </w:r>
                </w:p>
              </w:tc>
              <w:tc>
                <w:tcPr>
                  <w:tcW w:w="3261" w:type="pct"/>
                  <w:shd w:val="clear" w:color="auto" w:fill="auto"/>
                  <w:vAlign w:val="center"/>
                </w:tcPr>
                <w:p w14:paraId="12E94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本项目技改后，使用电锅炉供汽，电锅炉不会产生污染物，可不开展自行监测</w:t>
                  </w:r>
                </w:p>
              </w:tc>
            </w:tr>
            <w:tr w14:paraId="3020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shd w:val="clear" w:color="auto" w:fill="auto"/>
                  <w:vAlign w:val="center"/>
                </w:tcPr>
                <w:p w14:paraId="1130F1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8</w:t>
                  </w:r>
                </w:p>
              </w:tc>
              <w:tc>
                <w:tcPr>
                  <w:tcW w:w="1485" w:type="pct"/>
                  <w:shd w:val="clear" w:color="auto" w:fill="auto"/>
                  <w:vAlign w:val="center"/>
                </w:tcPr>
                <w:p w14:paraId="4FE77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企业2025年度未开展例行监测</w:t>
                  </w:r>
                </w:p>
              </w:tc>
              <w:tc>
                <w:tcPr>
                  <w:tcW w:w="3261" w:type="pct"/>
                  <w:shd w:val="clear" w:color="auto" w:fill="auto"/>
                  <w:vAlign w:val="center"/>
                </w:tcPr>
                <w:p w14:paraId="35C26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本评价要求企业在本项目技改完成后，及时开展例行监测</w:t>
                  </w:r>
                </w:p>
              </w:tc>
            </w:tr>
          </w:tbl>
          <w:p w14:paraId="2FC13611">
            <w:pPr>
              <w:pStyle w:val="11"/>
              <w:rPr>
                <w:rFonts w:hint="default" w:ascii="Times New Roman" w:hAnsi="Times New Roman" w:cs="Times New Roman"/>
                <w:color w:val="FF0000"/>
                <w:u w:val="none" w:color="auto"/>
                <w:lang w:val="en-US" w:eastAsia="zh-CN"/>
              </w:rPr>
            </w:pPr>
          </w:p>
          <w:p w14:paraId="34ADF40A">
            <w:pPr>
              <w:rPr>
                <w:rFonts w:hint="default"/>
                <w:color w:val="FF0000"/>
                <w:lang w:val="en-US" w:eastAsia="zh-CN"/>
              </w:rPr>
            </w:pPr>
          </w:p>
        </w:tc>
      </w:tr>
    </w:tbl>
    <w:p w14:paraId="22B98F58">
      <w:pPr>
        <w:pStyle w:val="2"/>
        <w:bidi w:val="0"/>
        <w:rPr>
          <w:rFonts w:hint="default" w:ascii="Times New Roman" w:hAnsi="Times New Roman" w:cs="Times New Roman"/>
          <w:color w:val="FF0000"/>
          <w:u w:val="none" w:color="auto"/>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0CE026E">
      <w:pPr>
        <w:pStyle w:val="2"/>
        <w:numPr>
          <w:ilvl w:val="0"/>
          <w:numId w:val="6"/>
        </w:numPr>
        <w:bidi w:val="0"/>
        <w:ind w:firstLine="0" w:firstLineChars="0"/>
        <w:jc w:val="left"/>
        <w:rPr>
          <w:rFonts w:hint="default" w:ascii="Times New Roman" w:hAnsi="Times New Roman" w:cs="Times New Roman"/>
          <w:b/>
          <w:bCs/>
          <w:color w:val="auto"/>
          <w:u w:val="none" w:color="auto"/>
          <w:lang w:val="en-US" w:eastAsia="zh-CN"/>
        </w:rPr>
      </w:pPr>
      <w:bookmarkStart w:id="108" w:name="_Toc2995"/>
      <w:bookmarkStart w:id="109" w:name="_Toc30197"/>
      <w:bookmarkStart w:id="110" w:name="_Toc10053"/>
      <w:bookmarkStart w:id="111" w:name="_Toc7188"/>
      <w:bookmarkStart w:id="112" w:name="_Toc4104"/>
      <w:bookmarkStart w:id="113" w:name="_Toc5565"/>
      <w:bookmarkStart w:id="114" w:name="_Toc19182"/>
      <w:bookmarkStart w:id="115" w:name="_Toc30742"/>
      <w:bookmarkStart w:id="116" w:name="_Toc3351"/>
      <w:bookmarkStart w:id="117" w:name="_Toc28589"/>
      <w:bookmarkStart w:id="118" w:name="_Toc1352"/>
      <w:bookmarkStart w:id="119" w:name="_Toc1540"/>
      <w:bookmarkStart w:id="120" w:name="_Toc15915"/>
      <w:bookmarkStart w:id="121" w:name="_Toc10803"/>
      <w:bookmarkStart w:id="122" w:name="_Toc22588"/>
      <w:bookmarkStart w:id="123" w:name="_Toc20794"/>
      <w:bookmarkStart w:id="124" w:name="_Toc19832"/>
      <w:bookmarkStart w:id="125" w:name="_Toc18428"/>
      <w:bookmarkStart w:id="126" w:name="_Toc3510"/>
      <w:bookmarkStart w:id="127" w:name="_Toc21194"/>
      <w:bookmarkStart w:id="128" w:name="_Toc20979"/>
      <w:bookmarkStart w:id="129" w:name="_Toc13507"/>
      <w:bookmarkStart w:id="130" w:name="_Toc14554"/>
      <w:bookmarkStart w:id="131" w:name="_Toc12948"/>
      <w:r>
        <w:rPr>
          <w:rFonts w:hint="default" w:ascii="Times New Roman" w:hAnsi="Times New Roman" w:cs="Times New Roman"/>
          <w:b/>
          <w:bCs/>
          <w:color w:val="auto"/>
          <w:u w:val="none" w:color="auto"/>
          <w:lang w:val="en-US" w:eastAsia="zh-CN"/>
        </w:rPr>
        <w:t>区域环境质量现状、环境保护目标及评价标准</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894"/>
      </w:tblGrid>
      <w:tr w14:paraId="33A6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94" w:type="dxa"/>
            <w:vAlign w:val="center"/>
          </w:tcPr>
          <w:p w14:paraId="55E8C7D3">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区域环境质量现状</w:t>
            </w:r>
          </w:p>
        </w:tc>
        <w:tc>
          <w:tcPr>
            <w:tcW w:w="8894" w:type="dxa"/>
            <w:vAlign w:val="center"/>
          </w:tcPr>
          <w:p w14:paraId="1312305D">
            <w:pPr>
              <w:numPr>
                <w:ilvl w:val="0"/>
                <w:numId w:val="0"/>
              </w:numPr>
              <w:bidi w:val="0"/>
              <w:rPr>
                <w:rFonts w:hint="default" w:ascii="Times New Roman" w:hAnsi="Times New Roman" w:eastAsia="黑体" w:cs="Times New Roman"/>
                <w:b/>
                <w:bCs/>
                <w:color w:val="auto"/>
                <w:u w:val="none" w:color="auto"/>
                <w:lang w:val="en-US" w:eastAsia="zh-CN"/>
              </w:rPr>
            </w:pPr>
            <w:r>
              <w:rPr>
                <w:rFonts w:hint="default" w:ascii="Times New Roman" w:hAnsi="Times New Roman" w:eastAsia="黑体" w:cs="Times New Roman"/>
                <w:b/>
                <w:bCs/>
                <w:color w:val="auto"/>
                <w:u w:val="none" w:color="auto"/>
                <w:lang w:val="en-US" w:eastAsia="zh-CN"/>
              </w:rPr>
              <w:t>3.1 环境空气质量现状</w:t>
            </w:r>
          </w:p>
          <w:p w14:paraId="74DC36EE">
            <w:pPr>
              <w:bidi w:val="0"/>
              <w:rPr>
                <w:rFonts w:hint="default" w:eastAsia="宋体"/>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w:t>
            </w:r>
            <w:r>
              <w:rPr>
                <w:rFonts w:hint="eastAsia"/>
                <w:color w:val="auto"/>
                <w:u w:val="none" w:color="auto"/>
                <w:lang w:val="en-US" w:eastAsia="zh-CN"/>
              </w:rPr>
              <w:t>常规因子</w:t>
            </w:r>
          </w:p>
          <w:p w14:paraId="6FBF3B2B">
            <w:pPr>
              <w:bidi w:val="0"/>
              <w:rPr>
                <w:rFonts w:hint="eastAsia"/>
                <w:color w:val="auto"/>
                <w:u w:val="none" w:color="auto"/>
              </w:rPr>
            </w:pPr>
            <w:r>
              <w:rPr>
                <w:color w:val="auto"/>
                <w:u w:val="none" w:color="auto"/>
              </w:rPr>
              <w:t>根据《建设项目环境影响报告表编制技术指南》（2021），常规污染物引用与建设项目距离近的有效数据，包括近3年的规划环境影响评价的监测数据，国家、地方环境空气质量监测网数据或生态环境主管部门公开发布的质量数据等。本项目环境空气环境质量现状引用</w:t>
            </w:r>
            <w:r>
              <w:rPr>
                <w:rFonts w:hint="default" w:ascii="Times New Roman" w:hAnsi="Times New Roman" w:eastAsia="宋体" w:cs="Times New Roman"/>
                <w:color w:val="auto"/>
                <w:sz w:val="24"/>
                <w:u w:val="none"/>
              </w:rPr>
              <w:t>怀化市生态环境局</w:t>
            </w:r>
            <w:r>
              <w:rPr>
                <w:rFonts w:hint="eastAsia"/>
                <w:color w:val="auto"/>
                <w:u w:val="none" w:color="auto"/>
                <w:lang w:val="en-US" w:eastAsia="zh-CN"/>
              </w:rPr>
              <w:t>于2025年2月7日</w:t>
            </w:r>
            <w:r>
              <w:rPr>
                <w:rFonts w:hint="default" w:ascii="Times New Roman" w:hAnsi="Times New Roman" w:eastAsia="宋体" w:cs="Times New Roman"/>
                <w:color w:val="auto"/>
                <w:sz w:val="24"/>
                <w:u w:val="none"/>
              </w:rPr>
              <w:t>公布的《202</w:t>
            </w:r>
            <w:r>
              <w:rPr>
                <w:rFonts w:hint="eastAsia" w:ascii="Times New Roman" w:hAnsi="Times New Roman" w:eastAsia="宋体" w:cs="Times New Roman"/>
                <w:color w:val="auto"/>
                <w:sz w:val="24"/>
                <w:u w:val="none"/>
                <w:lang w:val="en-US" w:eastAsia="zh-CN"/>
              </w:rPr>
              <w:t>4</w:t>
            </w:r>
            <w:r>
              <w:rPr>
                <w:rFonts w:hint="default" w:ascii="Times New Roman" w:hAnsi="Times New Roman" w:eastAsia="宋体" w:cs="Times New Roman"/>
                <w:color w:val="auto"/>
                <w:sz w:val="24"/>
                <w:u w:val="none"/>
              </w:rPr>
              <w:t>年</w:t>
            </w:r>
            <w:r>
              <w:rPr>
                <w:rFonts w:hint="eastAsia" w:ascii="Times New Roman" w:hAnsi="Times New Roman" w:eastAsia="宋体" w:cs="Times New Roman"/>
                <w:color w:val="auto"/>
                <w:sz w:val="24"/>
                <w:u w:val="none"/>
                <w:lang w:val="en-US" w:eastAsia="zh-CN"/>
              </w:rPr>
              <w:t>12月环境空气质量月报及</w:t>
            </w:r>
            <w:r>
              <w:rPr>
                <w:rFonts w:hint="default" w:ascii="Times New Roman" w:hAnsi="Times New Roman" w:eastAsia="宋体" w:cs="Times New Roman"/>
                <w:color w:val="auto"/>
                <w:sz w:val="24"/>
                <w:u w:val="none"/>
              </w:rPr>
              <w:t>空气质量年报》中</w:t>
            </w:r>
            <w:r>
              <w:rPr>
                <w:rFonts w:hint="eastAsia" w:ascii="Times New Roman" w:hAnsi="Times New Roman" w:eastAsia="宋体" w:cs="Times New Roman"/>
                <w:color w:val="auto"/>
                <w:sz w:val="24"/>
                <w:u w:val="none"/>
                <w:lang w:eastAsia="zh-CN"/>
              </w:rPr>
              <w:t>溆浦</w:t>
            </w:r>
            <w:r>
              <w:rPr>
                <w:rFonts w:hint="default" w:ascii="Times New Roman" w:hAnsi="Times New Roman" w:eastAsia="宋体" w:cs="Times New Roman"/>
                <w:color w:val="auto"/>
                <w:sz w:val="24"/>
                <w:u w:val="none"/>
              </w:rPr>
              <w:t>县的数据</w:t>
            </w:r>
            <w:r>
              <w:rPr>
                <w:rFonts w:hint="eastAsia"/>
                <w:color w:val="auto"/>
                <w:u w:val="none" w:color="auto"/>
                <w:lang w:eastAsia="zh-CN"/>
              </w:rPr>
              <w:t>，</w:t>
            </w:r>
            <w:r>
              <w:rPr>
                <w:color w:val="auto"/>
                <w:u w:val="none" w:color="auto"/>
              </w:rPr>
              <w:t>结果统计</w:t>
            </w:r>
            <w:r>
              <w:rPr>
                <w:rFonts w:hint="eastAsia"/>
                <w:color w:val="auto"/>
                <w:u w:val="none" w:color="auto"/>
              </w:rPr>
              <w:t>见表3</w:t>
            </w:r>
            <w:r>
              <w:rPr>
                <w:rFonts w:hint="eastAsia"/>
                <w:color w:val="auto"/>
                <w:u w:val="none" w:color="auto"/>
                <w:lang w:val="en-US" w:eastAsia="zh-CN"/>
              </w:rPr>
              <w:t>.1</w:t>
            </w:r>
            <w:r>
              <w:rPr>
                <w:rFonts w:hint="eastAsia"/>
                <w:color w:val="auto"/>
                <w:u w:val="none" w:color="auto"/>
              </w:rPr>
              <w:t>-1。</w:t>
            </w:r>
          </w:p>
          <w:p w14:paraId="54745FF5">
            <w:pPr>
              <w:bidi w:val="0"/>
              <w:ind w:left="0" w:leftChars="0" w:firstLine="0" w:firstLineChars="0"/>
              <w:jc w:val="center"/>
              <w:rPr>
                <w:rFonts w:hint="default"/>
                <w:color w:val="auto"/>
                <w:u w:val="none" w:color="auto"/>
                <w:vertAlign w:val="baseline"/>
                <w:lang w:val="en-US" w:eastAsia="zh-CN"/>
              </w:rPr>
            </w:pPr>
            <w:r>
              <w:rPr>
                <w:rFonts w:hint="eastAsia"/>
                <w:color w:val="auto"/>
                <w:u w:val="none" w:color="auto"/>
                <w:lang w:val="en-US" w:eastAsia="zh-CN"/>
              </w:rPr>
              <w:t>表3.1-1 2024年溆浦县环境空气质量一览表</w:t>
            </w:r>
            <w:r>
              <w:rPr>
                <w:rFonts w:hint="default" w:ascii="Times New Roman" w:hAnsi="Times New Roman" w:cs="Times New Roman"/>
                <w:color w:val="auto"/>
                <w:u w:val="none" w:color="auto"/>
                <w:lang w:val="en-US" w:eastAsia="zh-CN"/>
              </w:rPr>
              <w:t>（单位：μg/m</w:t>
            </w:r>
            <w:r>
              <w:rPr>
                <w:rFonts w:hint="default" w:ascii="Times New Roman" w:hAnsi="Times New Roman" w:cs="Times New Roman"/>
                <w:color w:val="auto"/>
                <w:u w:val="none" w:color="auto"/>
                <w:vertAlign w:val="superscript"/>
                <w:lang w:val="en-US" w:eastAsia="zh-CN"/>
              </w:rPr>
              <w:t>3</w:t>
            </w:r>
            <w:r>
              <w:rPr>
                <w:rFonts w:hint="eastAsia"/>
                <w:color w:val="auto"/>
                <w:u w:val="none" w:color="auto"/>
                <w:lang w:val="en-US" w:eastAsia="zh-CN"/>
              </w:rPr>
              <w:t>）</w:t>
            </w:r>
          </w:p>
          <w:tbl>
            <w:tblPr>
              <w:tblStyle w:val="23"/>
              <w:tblW w:w="863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3188"/>
              <w:gridCol w:w="1068"/>
              <w:gridCol w:w="882"/>
              <w:gridCol w:w="1275"/>
              <w:gridCol w:w="1129"/>
            </w:tblGrid>
            <w:tr w14:paraId="2193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0EA7F1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监测项目</w:t>
                  </w:r>
                </w:p>
              </w:tc>
              <w:tc>
                <w:tcPr>
                  <w:tcW w:w="3188" w:type="dxa"/>
                  <w:vAlign w:val="center"/>
                </w:tcPr>
                <w:p w14:paraId="12571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年评价指标</w:t>
                  </w:r>
                </w:p>
              </w:tc>
              <w:tc>
                <w:tcPr>
                  <w:tcW w:w="1068" w:type="dxa"/>
                  <w:vAlign w:val="center"/>
                </w:tcPr>
                <w:p w14:paraId="4E455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现状浓度</w:t>
                  </w:r>
                </w:p>
              </w:tc>
              <w:tc>
                <w:tcPr>
                  <w:tcW w:w="882" w:type="dxa"/>
                  <w:vAlign w:val="center"/>
                </w:tcPr>
                <w:p w14:paraId="350A6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标准值</w:t>
                  </w:r>
                </w:p>
              </w:tc>
              <w:tc>
                <w:tcPr>
                  <w:tcW w:w="1275" w:type="dxa"/>
                  <w:vAlign w:val="center"/>
                </w:tcPr>
                <w:p w14:paraId="1549E0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占标率（%）</w:t>
                  </w:r>
                </w:p>
              </w:tc>
              <w:tc>
                <w:tcPr>
                  <w:tcW w:w="1129" w:type="dxa"/>
                  <w:vAlign w:val="center"/>
                </w:tcPr>
                <w:p w14:paraId="5A1DC4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是否达标</w:t>
                  </w:r>
                </w:p>
              </w:tc>
            </w:tr>
            <w:tr w14:paraId="53AC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0FF0E5C4">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SO</w:t>
                  </w:r>
                  <w:r>
                    <w:rPr>
                      <w:color w:val="auto"/>
                      <w:sz w:val="21"/>
                      <w:szCs w:val="21"/>
                      <w:u w:val="none" w:color="auto"/>
                      <w:vertAlign w:val="subscript"/>
                    </w:rPr>
                    <w:t>2</w:t>
                  </w:r>
                </w:p>
              </w:tc>
              <w:tc>
                <w:tcPr>
                  <w:tcW w:w="3188" w:type="dxa"/>
                  <w:vAlign w:val="center"/>
                </w:tcPr>
                <w:p w14:paraId="585AA02D">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1068" w:type="dxa"/>
                  <w:shd w:val="clear" w:color="auto" w:fill="auto"/>
                  <w:vAlign w:val="center"/>
                </w:tcPr>
                <w:p w14:paraId="77F7B710">
                  <w:pPr>
                    <w:pStyle w:val="37"/>
                    <w:ind w:firstLine="0" w:firstLineChars="0"/>
                    <w:rPr>
                      <w:rFonts w:hint="default" w:ascii="Times New Roman" w:hAnsi="Times New Roman" w:eastAsia="宋体" w:cstheme="minorBidi"/>
                      <w:b w:val="0"/>
                      <w:bCs w:val="0"/>
                      <w:color w:val="auto"/>
                      <w:kern w:val="2"/>
                      <w:sz w:val="21"/>
                      <w:szCs w:val="21"/>
                      <w:u w:val="none" w:color="auto"/>
                      <w:lang w:val="en-US" w:eastAsia="zh-CN" w:bidi="ar-SA"/>
                    </w:rPr>
                  </w:pPr>
                  <w:r>
                    <w:rPr>
                      <w:rFonts w:hint="default" w:ascii="Times New Roman" w:hAnsi="Times New Roman" w:eastAsia="宋体" w:cstheme="minorBidi"/>
                      <w:b w:val="0"/>
                      <w:bCs w:val="0"/>
                      <w:color w:val="auto"/>
                      <w:sz w:val="21"/>
                      <w:szCs w:val="21"/>
                      <w:u w:val="none" w:color="auto"/>
                      <w:lang w:val="en-US" w:eastAsia="zh-CN"/>
                    </w:rPr>
                    <w:t>12</w:t>
                  </w:r>
                </w:p>
              </w:tc>
              <w:tc>
                <w:tcPr>
                  <w:tcW w:w="882" w:type="dxa"/>
                  <w:vAlign w:val="center"/>
                </w:tcPr>
                <w:p w14:paraId="31D4F958">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60</w:t>
                  </w:r>
                </w:p>
              </w:tc>
              <w:tc>
                <w:tcPr>
                  <w:tcW w:w="1275" w:type="dxa"/>
                  <w:vAlign w:val="center"/>
                </w:tcPr>
                <w:p w14:paraId="7F002B63">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20</w:t>
                  </w:r>
                </w:p>
              </w:tc>
              <w:tc>
                <w:tcPr>
                  <w:tcW w:w="1129" w:type="dxa"/>
                  <w:vAlign w:val="center"/>
                </w:tcPr>
                <w:p w14:paraId="1A34F662">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14:paraId="52BB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4C993B06">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NO</w:t>
                  </w:r>
                  <w:r>
                    <w:rPr>
                      <w:color w:val="auto"/>
                      <w:sz w:val="21"/>
                      <w:szCs w:val="21"/>
                      <w:u w:val="none" w:color="auto"/>
                      <w:vertAlign w:val="subscript"/>
                    </w:rPr>
                    <w:t>2</w:t>
                  </w:r>
                </w:p>
              </w:tc>
              <w:tc>
                <w:tcPr>
                  <w:tcW w:w="3188" w:type="dxa"/>
                  <w:vAlign w:val="center"/>
                </w:tcPr>
                <w:p w14:paraId="0F6C3904">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1068" w:type="dxa"/>
                  <w:shd w:val="clear" w:color="auto" w:fill="auto"/>
                  <w:vAlign w:val="center"/>
                </w:tcPr>
                <w:p w14:paraId="2C442F84">
                  <w:pPr>
                    <w:pStyle w:val="37"/>
                    <w:ind w:firstLine="0" w:firstLineChars="0"/>
                    <w:rPr>
                      <w:rFonts w:hint="default" w:ascii="Times New Roman" w:hAnsi="Times New Roman" w:eastAsia="宋体" w:cstheme="minorBidi"/>
                      <w:b w:val="0"/>
                      <w:bCs w:val="0"/>
                      <w:color w:val="auto"/>
                      <w:kern w:val="2"/>
                      <w:sz w:val="21"/>
                      <w:szCs w:val="21"/>
                      <w:u w:val="none" w:color="auto"/>
                      <w:lang w:val="en-US" w:eastAsia="zh-CN" w:bidi="ar-SA"/>
                    </w:rPr>
                  </w:pPr>
                  <w:r>
                    <w:rPr>
                      <w:rFonts w:hint="default" w:ascii="Times New Roman" w:hAnsi="Times New Roman" w:eastAsia="宋体" w:cstheme="minorBidi"/>
                      <w:b w:val="0"/>
                      <w:bCs w:val="0"/>
                      <w:color w:val="auto"/>
                      <w:sz w:val="21"/>
                      <w:szCs w:val="21"/>
                      <w:u w:val="none" w:color="auto"/>
                      <w:lang w:val="en-US" w:eastAsia="zh-CN"/>
                    </w:rPr>
                    <w:t>7</w:t>
                  </w:r>
                </w:p>
              </w:tc>
              <w:tc>
                <w:tcPr>
                  <w:tcW w:w="882" w:type="dxa"/>
                  <w:vAlign w:val="center"/>
                </w:tcPr>
                <w:p w14:paraId="5AF5AB87">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40</w:t>
                  </w:r>
                </w:p>
              </w:tc>
              <w:tc>
                <w:tcPr>
                  <w:tcW w:w="1275" w:type="dxa"/>
                  <w:vAlign w:val="center"/>
                </w:tcPr>
                <w:p w14:paraId="24A38D2D">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17.5</w:t>
                  </w:r>
                </w:p>
              </w:tc>
              <w:tc>
                <w:tcPr>
                  <w:tcW w:w="1129" w:type="dxa"/>
                  <w:vAlign w:val="center"/>
                </w:tcPr>
                <w:p w14:paraId="42554269">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14:paraId="50AD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4BA575D2">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PM</w:t>
                  </w:r>
                  <w:r>
                    <w:rPr>
                      <w:color w:val="auto"/>
                      <w:sz w:val="21"/>
                      <w:szCs w:val="21"/>
                      <w:u w:val="none" w:color="auto"/>
                      <w:vertAlign w:val="subscript"/>
                    </w:rPr>
                    <w:t>10</w:t>
                  </w:r>
                </w:p>
              </w:tc>
              <w:tc>
                <w:tcPr>
                  <w:tcW w:w="3188" w:type="dxa"/>
                  <w:vAlign w:val="center"/>
                </w:tcPr>
                <w:p w14:paraId="57074696">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1068" w:type="dxa"/>
                  <w:shd w:val="clear" w:color="auto" w:fill="auto"/>
                  <w:vAlign w:val="center"/>
                </w:tcPr>
                <w:p w14:paraId="71E64163">
                  <w:pPr>
                    <w:pStyle w:val="37"/>
                    <w:ind w:firstLine="0" w:firstLineChars="0"/>
                    <w:rPr>
                      <w:rFonts w:hint="default" w:ascii="Times New Roman" w:hAnsi="Times New Roman" w:eastAsia="宋体" w:cstheme="minorBidi"/>
                      <w:b w:val="0"/>
                      <w:bCs w:val="0"/>
                      <w:color w:val="auto"/>
                      <w:kern w:val="2"/>
                      <w:sz w:val="21"/>
                      <w:szCs w:val="21"/>
                      <w:u w:val="none" w:color="auto"/>
                      <w:lang w:val="en-US" w:eastAsia="zh-CN" w:bidi="ar-SA"/>
                    </w:rPr>
                  </w:pPr>
                  <w:r>
                    <w:rPr>
                      <w:rFonts w:hint="default" w:ascii="Times New Roman" w:hAnsi="Times New Roman" w:eastAsia="宋体" w:cstheme="minorBidi"/>
                      <w:b w:val="0"/>
                      <w:bCs w:val="0"/>
                      <w:color w:val="auto"/>
                      <w:sz w:val="21"/>
                      <w:szCs w:val="21"/>
                      <w:u w:val="none" w:color="auto"/>
                      <w:lang w:val="en-US" w:eastAsia="zh-CN"/>
                    </w:rPr>
                    <w:t>29</w:t>
                  </w:r>
                </w:p>
              </w:tc>
              <w:tc>
                <w:tcPr>
                  <w:tcW w:w="882" w:type="dxa"/>
                  <w:vAlign w:val="center"/>
                </w:tcPr>
                <w:p w14:paraId="2E68CE2F">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70</w:t>
                  </w:r>
                </w:p>
              </w:tc>
              <w:tc>
                <w:tcPr>
                  <w:tcW w:w="1275" w:type="dxa"/>
                  <w:vAlign w:val="center"/>
                </w:tcPr>
                <w:p w14:paraId="20C4462A">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41.43</w:t>
                  </w:r>
                </w:p>
              </w:tc>
              <w:tc>
                <w:tcPr>
                  <w:tcW w:w="1129" w:type="dxa"/>
                  <w:vAlign w:val="center"/>
                </w:tcPr>
                <w:p w14:paraId="0E0837D6">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14:paraId="0F95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64E2BC8B">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PM</w:t>
                  </w:r>
                  <w:r>
                    <w:rPr>
                      <w:color w:val="auto"/>
                      <w:sz w:val="21"/>
                      <w:szCs w:val="21"/>
                      <w:u w:val="none" w:color="auto"/>
                      <w:vertAlign w:val="subscript"/>
                    </w:rPr>
                    <w:t>2.5</w:t>
                  </w:r>
                </w:p>
              </w:tc>
              <w:tc>
                <w:tcPr>
                  <w:tcW w:w="3188" w:type="dxa"/>
                  <w:vAlign w:val="center"/>
                </w:tcPr>
                <w:p w14:paraId="2B277740">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1068" w:type="dxa"/>
                  <w:shd w:val="clear" w:color="auto" w:fill="auto"/>
                  <w:vAlign w:val="center"/>
                </w:tcPr>
                <w:p w14:paraId="6ADA68C6">
                  <w:pPr>
                    <w:pStyle w:val="37"/>
                    <w:ind w:firstLine="0" w:firstLineChars="0"/>
                    <w:rPr>
                      <w:rFonts w:hint="default" w:ascii="Times New Roman" w:hAnsi="Times New Roman" w:eastAsia="宋体" w:cstheme="minorBidi"/>
                      <w:b w:val="0"/>
                      <w:bCs w:val="0"/>
                      <w:color w:val="auto"/>
                      <w:kern w:val="2"/>
                      <w:sz w:val="21"/>
                      <w:szCs w:val="21"/>
                      <w:u w:val="none" w:color="auto"/>
                      <w:lang w:val="en-US" w:eastAsia="zh-CN" w:bidi="ar-SA"/>
                    </w:rPr>
                  </w:pPr>
                  <w:r>
                    <w:rPr>
                      <w:rFonts w:hint="default" w:ascii="Times New Roman" w:hAnsi="Times New Roman" w:eastAsia="宋体" w:cstheme="minorBidi"/>
                      <w:b w:val="0"/>
                      <w:bCs w:val="0"/>
                      <w:color w:val="auto"/>
                      <w:sz w:val="21"/>
                      <w:szCs w:val="21"/>
                      <w:u w:val="none" w:color="auto"/>
                      <w:lang w:val="en-US" w:eastAsia="zh-CN"/>
                    </w:rPr>
                    <w:t>23</w:t>
                  </w:r>
                </w:p>
              </w:tc>
              <w:tc>
                <w:tcPr>
                  <w:tcW w:w="882" w:type="dxa"/>
                  <w:vAlign w:val="center"/>
                </w:tcPr>
                <w:p w14:paraId="1E5DC732">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35</w:t>
                  </w:r>
                </w:p>
              </w:tc>
              <w:tc>
                <w:tcPr>
                  <w:tcW w:w="1275" w:type="dxa"/>
                  <w:vAlign w:val="center"/>
                </w:tcPr>
                <w:p w14:paraId="60B4E884">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65.71</w:t>
                  </w:r>
                </w:p>
              </w:tc>
              <w:tc>
                <w:tcPr>
                  <w:tcW w:w="1129" w:type="dxa"/>
                  <w:vAlign w:val="center"/>
                </w:tcPr>
                <w:p w14:paraId="3ED78F58">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14:paraId="45D0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16BA87E4">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CO</w:t>
                  </w:r>
                </w:p>
              </w:tc>
              <w:tc>
                <w:tcPr>
                  <w:tcW w:w="3188" w:type="dxa"/>
                  <w:vAlign w:val="center"/>
                </w:tcPr>
                <w:p w14:paraId="02FFF88A">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95百分位数日平均质量浓度</w:t>
                  </w:r>
                </w:p>
              </w:tc>
              <w:tc>
                <w:tcPr>
                  <w:tcW w:w="1068" w:type="dxa"/>
                  <w:shd w:val="clear" w:color="auto" w:fill="auto"/>
                  <w:vAlign w:val="center"/>
                </w:tcPr>
                <w:p w14:paraId="767D489D">
                  <w:pPr>
                    <w:pStyle w:val="37"/>
                    <w:ind w:firstLine="0" w:firstLineChars="0"/>
                    <w:rPr>
                      <w:rFonts w:hint="default" w:ascii="Times New Roman" w:hAnsi="Times New Roman" w:eastAsia="宋体" w:cstheme="minorBidi"/>
                      <w:b w:val="0"/>
                      <w:bCs w:val="0"/>
                      <w:color w:val="auto"/>
                      <w:kern w:val="2"/>
                      <w:sz w:val="21"/>
                      <w:szCs w:val="21"/>
                      <w:u w:val="none" w:color="auto"/>
                      <w:lang w:val="en-US" w:eastAsia="zh-CN" w:bidi="ar-SA"/>
                    </w:rPr>
                  </w:pPr>
                  <w:r>
                    <w:rPr>
                      <w:rFonts w:hint="default" w:ascii="Times New Roman" w:hAnsi="Times New Roman" w:eastAsia="宋体" w:cstheme="minorBidi"/>
                      <w:b w:val="0"/>
                      <w:bCs w:val="0"/>
                      <w:color w:val="auto"/>
                      <w:sz w:val="21"/>
                      <w:szCs w:val="21"/>
                      <w:u w:val="none" w:color="auto"/>
                    </w:rPr>
                    <w:t>9</w:t>
                  </w:r>
                  <w:r>
                    <w:rPr>
                      <w:rFonts w:hint="eastAsia" w:ascii="Times New Roman" w:hAnsi="Times New Roman" w:eastAsia="宋体" w:cstheme="minorBidi"/>
                      <w:b w:val="0"/>
                      <w:bCs w:val="0"/>
                      <w:color w:val="auto"/>
                      <w:sz w:val="21"/>
                      <w:szCs w:val="21"/>
                      <w:u w:val="none" w:color="auto"/>
                      <w:lang w:val="en-US" w:eastAsia="zh-CN"/>
                    </w:rPr>
                    <w:t>00</w:t>
                  </w:r>
                </w:p>
              </w:tc>
              <w:tc>
                <w:tcPr>
                  <w:tcW w:w="882" w:type="dxa"/>
                  <w:vAlign w:val="center"/>
                </w:tcPr>
                <w:p w14:paraId="4980D2E4">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4000</w:t>
                  </w:r>
                </w:p>
              </w:tc>
              <w:tc>
                <w:tcPr>
                  <w:tcW w:w="1275" w:type="dxa"/>
                  <w:vAlign w:val="center"/>
                </w:tcPr>
                <w:p w14:paraId="065E8042">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22.5</w:t>
                  </w:r>
                </w:p>
              </w:tc>
              <w:tc>
                <w:tcPr>
                  <w:tcW w:w="1129" w:type="dxa"/>
                  <w:vAlign w:val="center"/>
                </w:tcPr>
                <w:p w14:paraId="0684F5E4">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14:paraId="6CA1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0E7C7CBC">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O</w:t>
                  </w:r>
                  <w:r>
                    <w:rPr>
                      <w:color w:val="auto"/>
                      <w:sz w:val="21"/>
                      <w:szCs w:val="21"/>
                      <w:u w:val="none" w:color="auto"/>
                      <w:vertAlign w:val="subscript"/>
                    </w:rPr>
                    <w:t>3</w:t>
                  </w:r>
                </w:p>
              </w:tc>
              <w:tc>
                <w:tcPr>
                  <w:tcW w:w="3188" w:type="dxa"/>
                  <w:vAlign w:val="center"/>
                </w:tcPr>
                <w:p w14:paraId="4D671D2C">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90百分位数最大8小时平均质量浓度</w:t>
                  </w:r>
                </w:p>
              </w:tc>
              <w:tc>
                <w:tcPr>
                  <w:tcW w:w="1068" w:type="dxa"/>
                  <w:shd w:val="clear" w:color="auto" w:fill="auto"/>
                  <w:vAlign w:val="center"/>
                </w:tcPr>
                <w:p w14:paraId="5C96C446">
                  <w:pPr>
                    <w:pStyle w:val="37"/>
                    <w:ind w:firstLine="0" w:firstLineChars="0"/>
                    <w:rPr>
                      <w:rFonts w:hint="default" w:ascii="Times New Roman" w:hAnsi="Times New Roman" w:eastAsia="宋体" w:cstheme="minorBidi"/>
                      <w:b w:val="0"/>
                      <w:bCs w:val="0"/>
                      <w:color w:val="auto"/>
                      <w:kern w:val="2"/>
                      <w:sz w:val="21"/>
                      <w:szCs w:val="21"/>
                      <w:u w:val="none" w:color="auto"/>
                      <w:lang w:val="en-US" w:eastAsia="zh-CN" w:bidi="ar-SA"/>
                    </w:rPr>
                  </w:pPr>
                  <w:r>
                    <w:rPr>
                      <w:rFonts w:hint="default" w:ascii="Times New Roman" w:hAnsi="Times New Roman" w:eastAsia="宋体" w:cstheme="minorBidi"/>
                      <w:b w:val="0"/>
                      <w:bCs w:val="0"/>
                      <w:color w:val="auto"/>
                      <w:sz w:val="21"/>
                      <w:szCs w:val="21"/>
                      <w:u w:val="none" w:color="auto"/>
                      <w:lang w:val="en-US" w:eastAsia="zh-CN"/>
                    </w:rPr>
                    <w:t>123</w:t>
                  </w:r>
                </w:p>
              </w:tc>
              <w:tc>
                <w:tcPr>
                  <w:tcW w:w="882" w:type="dxa"/>
                  <w:vAlign w:val="center"/>
                </w:tcPr>
                <w:p w14:paraId="111938BD">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160</w:t>
                  </w:r>
                </w:p>
              </w:tc>
              <w:tc>
                <w:tcPr>
                  <w:tcW w:w="1275" w:type="dxa"/>
                  <w:vAlign w:val="center"/>
                </w:tcPr>
                <w:p w14:paraId="6C6D7DE2">
                  <w:pPr>
                    <w:pStyle w:val="37"/>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76.88</w:t>
                  </w:r>
                </w:p>
              </w:tc>
              <w:tc>
                <w:tcPr>
                  <w:tcW w:w="1129" w:type="dxa"/>
                  <w:vAlign w:val="center"/>
                </w:tcPr>
                <w:p w14:paraId="5C9371F8">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bl>
          <w:p w14:paraId="17EB3170">
            <w:pPr>
              <w:bidi w:val="0"/>
              <w:rPr>
                <w:color w:val="auto"/>
                <w:sz w:val="24"/>
                <w:u w:val="none" w:color="auto"/>
              </w:rPr>
            </w:pPr>
            <w:r>
              <w:rPr>
                <w:rFonts w:hint="default" w:ascii="Times New Roman" w:hAnsi="Times New Roman" w:eastAsia="宋体" w:cs="Times New Roman"/>
                <w:color w:val="auto"/>
                <w:sz w:val="24"/>
                <w:u w:val="none" w:color="auto"/>
                <w:lang w:val="en-US" w:eastAsia="zh-CN"/>
              </w:rPr>
              <w:t>由上表可知，</w:t>
            </w:r>
            <w:r>
              <w:rPr>
                <w:rFonts w:hint="eastAsia" w:cs="Times New Roman"/>
                <w:color w:val="auto"/>
                <w:sz w:val="24"/>
                <w:u w:val="none" w:color="auto"/>
                <w:lang w:val="en-US" w:eastAsia="zh-CN"/>
              </w:rPr>
              <w:t>怀化市溆浦县</w:t>
            </w:r>
            <w:r>
              <w:rPr>
                <w:rFonts w:hint="eastAsia" w:ascii="Times New Roman" w:hAnsi="Times New Roman" w:eastAsia="宋体" w:cs="Times New Roman"/>
                <w:color w:val="auto"/>
                <w:sz w:val="24"/>
                <w:u w:val="none" w:color="auto"/>
                <w:lang w:val="en-US" w:eastAsia="zh-CN"/>
              </w:rPr>
              <w:t>202</w:t>
            </w:r>
            <w:r>
              <w:rPr>
                <w:rFonts w:hint="eastAsia" w:cs="Times New Roman"/>
                <w:color w:val="auto"/>
                <w:sz w:val="24"/>
                <w:u w:val="none" w:color="auto"/>
                <w:lang w:val="en-US" w:eastAsia="zh-CN"/>
              </w:rPr>
              <w:t>4</w:t>
            </w:r>
            <w:r>
              <w:rPr>
                <w:rFonts w:hint="eastAsia" w:ascii="Times New Roman" w:hAnsi="Times New Roman" w:eastAsia="宋体" w:cs="Times New Roman"/>
                <w:color w:val="auto"/>
                <w:sz w:val="24"/>
                <w:u w:val="none" w:color="auto"/>
                <w:lang w:val="en-US" w:eastAsia="zh-CN"/>
              </w:rPr>
              <w:t>年</w:t>
            </w:r>
            <w:r>
              <w:rPr>
                <w:rFonts w:hint="default" w:ascii="Times New Roman" w:hAnsi="Times New Roman" w:eastAsia="宋体" w:cs="Times New Roman"/>
                <w:color w:val="auto"/>
                <w:sz w:val="24"/>
                <w:u w:val="none" w:color="auto"/>
                <w:lang w:val="en-US" w:eastAsia="zh-CN"/>
              </w:rPr>
              <w:t>空气质量监测因子中的SO</w:t>
            </w:r>
            <w:r>
              <w:rPr>
                <w:rFonts w:hint="default" w:ascii="Times New Roman" w:hAnsi="Times New Roman" w:eastAsia="宋体" w:cs="Times New Roman"/>
                <w:color w:val="auto"/>
                <w:sz w:val="24"/>
                <w:u w:val="none" w:color="auto"/>
                <w:vertAlign w:val="subscript"/>
                <w:lang w:val="en-US" w:eastAsia="zh-CN"/>
              </w:rPr>
              <w:t>2</w:t>
            </w:r>
            <w:r>
              <w:rPr>
                <w:rFonts w:hint="default" w:ascii="Times New Roman" w:hAnsi="Times New Roman" w:eastAsia="宋体" w:cs="Times New Roman"/>
                <w:color w:val="auto"/>
                <w:sz w:val="24"/>
                <w:u w:val="none" w:color="auto"/>
                <w:lang w:val="en-US" w:eastAsia="zh-CN"/>
              </w:rPr>
              <w:t>、NO</w:t>
            </w:r>
            <w:r>
              <w:rPr>
                <w:rFonts w:hint="default" w:ascii="Times New Roman" w:hAnsi="Times New Roman" w:eastAsia="宋体" w:cs="Times New Roman"/>
                <w:color w:val="auto"/>
                <w:sz w:val="24"/>
                <w:u w:val="none" w:color="auto"/>
                <w:vertAlign w:val="subscript"/>
                <w:lang w:val="en-US" w:eastAsia="zh-CN"/>
              </w:rPr>
              <w:t>2</w:t>
            </w:r>
            <w:r>
              <w:rPr>
                <w:rFonts w:hint="default" w:ascii="Times New Roman" w:hAnsi="Times New Roman" w:eastAsia="宋体"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PM</w:t>
            </w:r>
            <w:r>
              <w:rPr>
                <w:rFonts w:hint="eastAsia" w:ascii="Times New Roman" w:hAnsi="Times New Roman" w:eastAsia="宋体" w:cs="Times New Roman"/>
                <w:color w:val="auto"/>
                <w:sz w:val="24"/>
                <w:u w:val="none" w:color="auto"/>
                <w:vertAlign w:val="subscript"/>
                <w:lang w:val="en-US" w:eastAsia="zh-CN"/>
              </w:rPr>
              <w:t>2.5</w:t>
            </w:r>
            <w:r>
              <w:rPr>
                <w:rFonts w:hint="eastAsia" w:cs="Times New Roman"/>
                <w:color w:val="auto"/>
                <w:sz w:val="24"/>
                <w:u w:val="none" w:color="auto"/>
                <w:lang w:val="en-US" w:eastAsia="zh-CN"/>
              </w:rPr>
              <w:t>、</w:t>
            </w:r>
            <w:r>
              <w:rPr>
                <w:rFonts w:hint="default" w:ascii="Times New Roman" w:hAnsi="Times New Roman" w:eastAsia="宋体" w:cs="Times New Roman"/>
                <w:color w:val="auto"/>
                <w:sz w:val="24"/>
                <w:u w:val="none" w:color="auto"/>
                <w:lang w:val="en-US" w:eastAsia="zh-CN"/>
              </w:rPr>
              <w:t>PM</w:t>
            </w:r>
            <w:r>
              <w:rPr>
                <w:rFonts w:hint="default" w:ascii="Times New Roman" w:hAnsi="Times New Roman" w:eastAsia="宋体" w:cs="Times New Roman"/>
                <w:color w:val="auto"/>
                <w:sz w:val="24"/>
                <w:u w:val="none" w:color="auto"/>
                <w:vertAlign w:val="subscript"/>
                <w:lang w:val="en-US" w:eastAsia="zh-CN"/>
              </w:rPr>
              <w:t>10</w:t>
            </w:r>
            <w:r>
              <w:rPr>
                <w:rFonts w:hint="default" w:ascii="Times New Roman" w:hAnsi="Times New Roman" w:eastAsia="宋体" w:cs="Times New Roman"/>
                <w:color w:val="auto"/>
                <w:sz w:val="24"/>
                <w:u w:val="none" w:color="auto"/>
                <w:lang w:val="en-US" w:eastAsia="zh-CN"/>
              </w:rPr>
              <w:t>年平均</w:t>
            </w:r>
            <w:r>
              <w:rPr>
                <w:rFonts w:hint="eastAsia" w:ascii="Times New Roman" w:hAnsi="Times New Roman" w:eastAsia="宋体" w:cs="Times New Roman"/>
                <w:color w:val="auto"/>
                <w:sz w:val="24"/>
                <w:u w:val="none" w:color="auto"/>
                <w:lang w:val="en-US" w:eastAsia="zh-CN"/>
              </w:rPr>
              <w:t>质量</w:t>
            </w:r>
            <w:r>
              <w:rPr>
                <w:rFonts w:hint="default" w:ascii="Times New Roman" w:hAnsi="Times New Roman" w:eastAsia="宋体" w:cs="Times New Roman"/>
                <w:color w:val="auto"/>
                <w:sz w:val="24"/>
                <w:u w:val="none" w:color="auto"/>
                <w:lang w:val="en-US" w:eastAsia="zh-CN"/>
              </w:rPr>
              <w:t>浓度、O</w:t>
            </w:r>
            <w:r>
              <w:rPr>
                <w:rFonts w:hint="eastAsia" w:ascii="Times New Roman" w:hAnsi="Times New Roman" w:eastAsia="宋体" w:cs="Times New Roman"/>
                <w:color w:val="auto"/>
                <w:sz w:val="24"/>
                <w:u w:val="none" w:color="auto"/>
                <w:vertAlign w:val="subscript"/>
                <w:lang w:val="en-US" w:eastAsia="zh-CN"/>
              </w:rPr>
              <w:t>3</w:t>
            </w:r>
            <w:r>
              <w:rPr>
                <w:rFonts w:hint="eastAsia" w:ascii="Times New Roman" w:hAnsi="Times New Roman" w:eastAsia="宋体" w:cs="Times New Roman"/>
                <w:color w:val="auto"/>
                <w:sz w:val="24"/>
                <w:u w:val="none" w:color="auto"/>
                <w:lang w:val="en-US" w:eastAsia="zh-CN"/>
              </w:rPr>
              <w:t>日最大8小时滑动平均值第90百分位数浓度、CO日均值第95百分位数浓度</w:t>
            </w:r>
            <w:r>
              <w:rPr>
                <w:rFonts w:hint="default" w:ascii="Times New Roman" w:hAnsi="Times New Roman" w:eastAsia="宋体" w:cs="Times New Roman"/>
                <w:color w:val="auto"/>
                <w:sz w:val="24"/>
                <w:u w:val="none" w:color="auto"/>
                <w:lang w:val="en-US" w:eastAsia="zh-CN"/>
              </w:rPr>
              <w:t>均符合《环境空气质量标准》（GB</w:t>
            </w:r>
            <w:r>
              <w:rPr>
                <w:rFonts w:hint="eastAsia" w:ascii="Times New Roman" w:hAnsi="Times New Roman" w:eastAsia="宋体" w:cs="Times New Roman"/>
                <w:color w:val="auto"/>
                <w:sz w:val="24"/>
                <w:u w:val="none" w:color="auto"/>
                <w:lang w:val="en-US" w:eastAsia="zh-CN"/>
              </w:rPr>
              <w:t xml:space="preserve"> </w:t>
            </w:r>
            <w:r>
              <w:rPr>
                <w:rFonts w:hint="default" w:ascii="Times New Roman" w:hAnsi="Times New Roman" w:eastAsia="宋体" w:cs="Times New Roman"/>
                <w:color w:val="auto"/>
                <w:sz w:val="24"/>
                <w:u w:val="none" w:color="auto"/>
                <w:lang w:val="en-US" w:eastAsia="zh-CN"/>
              </w:rPr>
              <w:t>3095-2012）中的二级标准要求</w:t>
            </w:r>
            <w:r>
              <w:rPr>
                <w:rFonts w:hint="eastAsia"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项目所在区域判定为大气</w:t>
            </w:r>
            <w:r>
              <w:rPr>
                <w:rFonts w:hint="default" w:ascii="Times New Roman" w:hAnsi="Times New Roman" w:eastAsia="宋体" w:cs="Times New Roman"/>
                <w:color w:val="auto"/>
                <w:sz w:val="24"/>
                <w:u w:val="none" w:color="auto"/>
                <w:lang w:val="en-US" w:eastAsia="zh-CN"/>
              </w:rPr>
              <w:t>环境质量达标区。</w:t>
            </w:r>
          </w:p>
          <w:p w14:paraId="60075052">
            <w:pPr>
              <w:bidi w:val="0"/>
              <w:rPr>
                <w:rFonts w:hint="default"/>
                <w:color w:val="auto"/>
                <w:u w:val="none" w:color="auto"/>
                <w:lang w:val="en-US" w:eastAsia="zh-CN"/>
              </w:rPr>
            </w:pPr>
            <w:r>
              <w:rPr>
                <w:rFonts w:hint="eastAsia"/>
                <w:color w:val="auto"/>
                <w:u w:val="none" w:color="auto"/>
                <w:lang w:val="en-US" w:eastAsia="zh-CN"/>
              </w:rPr>
              <w:t>（2）特征因子现状检测评价</w:t>
            </w:r>
          </w:p>
          <w:p w14:paraId="58D9C9E3">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3.2 </w:t>
            </w:r>
            <w:r>
              <w:rPr>
                <w:rFonts w:hint="default" w:ascii="Times New Roman" w:hAnsi="Times New Roman" w:eastAsia="黑体" w:cs="Times New Roman"/>
                <w:b/>
                <w:bCs/>
                <w:color w:val="auto"/>
                <w:u w:val="none" w:color="auto"/>
                <w:lang w:val="en-US" w:eastAsia="zh-CN"/>
              </w:rPr>
              <w:t>地表水环境质量现状</w:t>
            </w:r>
          </w:p>
          <w:p w14:paraId="65D1EBBA">
            <w:pPr>
              <w:snapToGrid w:val="0"/>
              <w:spacing w:line="360" w:lineRule="auto"/>
              <w:ind w:firstLine="470" w:firstLineChars="196"/>
              <w:rPr>
                <w:bCs/>
                <w:color w:val="auto"/>
                <w:sz w:val="24"/>
                <w:u w:val="none" w:color="auto"/>
              </w:rPr>
            </w:pPr>
            <w:r>
              <w:rPr>
                <w:bCs/>
                <w:color w:val="auto"/>
                <w:sz w:val="24"/>
                <w:u w:val="none" w:color="auto"/>
              </w:rPr>
              <w:t>根据《建设项目环境影响报告表编制技术指南》（2021），地表水环境质量现状调查可引用与建设项目距离近的有效数据，包括近3年的规划环境影响评价的监测数据，所在流域控制单元内国家、地方控制断面监测数据，生态环境主管部门发布的水环境质量数据或地表水达标情况的结论。</w:t>
            </w:r>
          </w:p>
          <w:p w14:paraId="114C68FA">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根据怀化市生态环境局</w:t>
            </w:r>
            <w:r>
              <w:rPr>
                <w:rFonts w:hint="eastAsia"/>
                <w:color w:val="auto"/>
                <w:sz w:val="24"/>
                <w:lang w:val="en-US" w:eastAsia="zh-CN"/>
              </w:rPr>
              <w:t>2025年2月27日</w:t>
            </w:r>
            <w:r>
              <w:rPr>
                <w:rFonts w:hint="default"/>
                <w:color w:val="auto"/>
                <w:sz w:val="24"/>
              </w:rPr>
              <w:t>发布的《</w:t>
            </w:r>
            <w:r>
              <w:rPr>
                <w:rFonts w:hint="eastAsia"/>
                <w:color w:val="auto"/>
                <w:sz w:val="24"/>
              </w:rPr>
              <w:t>湖南省怀化市水环境质量年报（202</w:t>
            </w:r>
            <w:r>
              <w:rPr>
                <w:rFonts w:hint="eastAsia"/>
                <w:color w:val="auto"/>
                <w:sz w:val="24"/>
                <w:lang w:val="en-US" w:eastAsia="zh-CN"/>
              </w:rPr>
              <w:t>4</w:t>
            </w:r>
            <w:r>
              <w:rPr>
                <w:rFonts w:hint="eastAsia"/>
                <w:color w:val="auto"/>
                <w:sz w:val="24"/>
              </w:rPr>
              <w:t>年）</w:t>
            </w:r>
            <w:r>
              <w:rPr>
                <w:rFonts w:hint="default"/>
                <w:color w:val="auto"/>
                <w:sz w:val="24"/>
              </w:rPr>
              <w:t>》可知，全市共有4</w:t>
            </w:r>
            <w:r>
              <w:rPr>
                <w:rFonts w:hint="eastAsia"/>
                <w:color w:val="auto"/>
                <w:sz w:val="24"/>
              </w:rPr>
              <w:t>9</w:t>
            </w:r>
            <w:r>
              <w:rPr>
                <w:rFonts w:hint="default"/>
                <w:color w:val="auto"/>
                <w:sz w:val="24"/>
              </w:rPr>
              <w:t>个评价考核断面，其中</w:t>
            </w:r>
            <w:r>
              <w:rPr>
                <w:rFonts w:hint="eastAsia"/>
                <w:color w:val="auto"/>
                <w:sz w:val="24"/>
              </w:rPr>
              <w:t>47</w:t>
            </w:r>
            <w:r>
              <w:rPr>
                <w:rFonts w:hint="default"/>
                <w:color w:val="auto"/>
                <w:sz w:val="24"/>
              </w:rPr>
              <w:t>个位于本市境内，2个位于其他市州。</w:t>
            </w:r>
            <w:r>
              <w:rPr>
                <w:rFonts w:hint="eastAsia"/>
                <w:color w:val="auto"/>
                <w:sz w:val="24"/>
              </w:rPr>
              <w:t>202</w:t>
            </w:r>
            <w:r>
              <w:rPr>
                <w:rFonts w:hint="eastAsia"/>
                <w:color w:val="auto"/>
                <w:sz w:val="24"/>
                <w:lang w:val="en-US" w:eastAsia="zh-CN"/>
              </w:rPr>
              <w:t>4</w:t>
            </w:r>
            <w:r>
              <w:rPr>
                <w:rFonts w:hint="default"/>
                <w:color w:val="auto"/>
                <w:sz w:val="24"/>
              </w:rPr>
              <w:t>年全市地表水水质总体为优，</w:t>
            </w:r>
            <w:r>
              <w:rPr>
                <w:rFonts w:hint="eastAsia"/>
                <w:color w:val="auto"/>
                <w:sz w:val="24"/>
              </w:rPr>
              <w:t>49个考核断面</w:t>
            </w:r>
            <w:r>
              <w:rPr>
                <w:rFonts w:hint="eastAsia"/>
                <w:color w:val="auto"/>
                <w:sz w:val="24"/>
                <w:lang w:val="en-US" w:eastAsia="zh-CN"/>
              </w:rPr>
              <w:t>中1个断面符合</w:t>
            </w:r>
            <w:r>
              <w:rPr>
                <w:rFonts w:hint="eastAsia" w:ascii="宋体" w:hAnsi="宋体" w:eastAsia="宋体" w:cs="宋体"/>
                <w:color w:val="auto"/>
                <w:sz w:val="24"/>
                <w:lang w:val="en-US" w:eastAsia="zh-CN"/>
              </w:rPr>
              <w:t>Ⅰ</w:t>
            </w:r>
            <w:r>
              <w:rPr>
                <w:rFonts w:hint="eastAsia"/>
                <w:color w:val="auto"/>
                <w:sz w:val="24"/>
              </w:rPr>
              <w:t>类水质</w:t>
            </w:r>
            <w:r>
              <w:rPr>
                <w:rFonts w:hint="eastAsia"/>
                <w:color w:val="auto"/>
                <w:sz w:val="24"/>
                <w:lang w:eastAsia="zh-CN"/>
              </w:rPr>
              <w:t>，</w:t>
            </w:r>
            <w:r>
              <w:rPr>
                <w:rFonts w:hint="eastAsia"/>
                <w:color w:val="auto"/>
                <w:sz w:val="24"/>
                <w:lang w:val="en-US" w:eastAsia="zh-CN"/>
              </w:rPr>
              <w:t>48个断面</w:t>
            </w:r>
            <w:r>
              <w:rPr>
                <w:rFonts w:hint="eastAsia"/>
                <w:color w:val="auto"/>
                <w:sz w:val="24"/>
              </w:rPr>
              <w:t>符合II类水质，I~III类水质比例为100%。溆水水质总体为优，4个考核断面均符合II类水质。</w:t>
            </w:r>
          </w:p>
          <w:p w14:paraId="0043F40E">
            <w:pPr>
              <w:snapToGrid w:val="0"/>
              <w:spacing w:line="360" w:lineRule="auto"/>
              <w:ind w:firstLine="470" w:firstLineChars="196"/>
              <w:rPr>
                <w:rFonts w:hint="eastAsia"/>
                <w:color w:val="auto"/>
                <w:kern w:val="0"/>
                <w:sz w:val="24"/>
                <w:u w:val="none" w:color="auto"/>
                <w:lang w:bidi="ar"/>
              </w:rPr>
            </w:pPr>
            <w:r>
              <w:rPr>
                <w:bCs/>
                <w:color w:val="auto"/>
                <w:sz w:val="24"/>
                <w:u w:val="none" w:color="auto"/>
              </w:rPr>
              <w:t>项目区域地表水为</w:t>
            </w:r>
            <w:r>
              <w:rPr>
                <w:rFonts w:hint="eastAsia"/>
                <w:color w:val="auto"/>
                <w:sz w:val="24"/>
              </w:rPr>
              <w:t>溆水</w:t>
            </w:r>
            <w:r>
              <w:rPr>
                <w:bCs/>
                <w:color w:val="auto"/>
                <w:sz w:val="24"/>
                <w:u w:val="none" w:color="auto"/>
              </w:rPr>
              <w:t>，为详细了解</w:t>
            </w:r>
            <w:r>
              <w:rPr>
                <w:rFonts w:hint="eastAsia"/>
                <w:color w:val="auto"/>
                <w:sz w:val="24"/>
              </w:rPr>
              <w:t>溆水</w:t>
            </w:r>
            <w:r>
              <w:rPr>
                <w:bCs/>
                <w:color w:val="auto"/>
                <w:sz w:val="24"/>
                <w:u w:val="none" w:color="auto"/>
              </w:rPr>
              <w:t>的地表水质量现状，</w:t>
            </w:r>
            <w:r>
              <w:rPr>
                <w:rFonts w:hint="eastAsia"/>
                <w:bCs/>
                <w:color w:val="auto"/>
                <w:sz w:val="24"/>
              </w:rPr>
              <w:t>根据</w:t>
            </w:r>
            <w:r>
              <w:rPr>
                <w:rFonts w:hint="default"/>
                <w:color w:val="auto"/>
                <w:sz w:val="24"/>
              </w:rPr>
              <w:t>《</w:t>
            </w:r>
            <w:r>
              <w:rPr>
                <w:rFonts w:hint="eastAsia"/>
                <w:color w:val="auto"/>
                <w:sz w:val="24"/>
              </w:rPr>
              <w:t>湖南省怀化市水环境质量年报（202</w:t>
            </w:r>
            <w:r>
              <w:rPr>
                <w:rFonts w:hint="eastAsia"/>
                <w:color w:val="auto"/>
                <w:sz w:val="24"/>
                <w:lang w:val="en-US" w:eastAsia="zh-CN"/>
              </w:rPr>
              <w:t>4</w:t>
            </w:r>
            <w:r>
              <w:rPr>
                <w:rFonts w:hint="eastAsia"/>
                <w:color w:val="auto"/>
                <w:sz w:val="24"/>
              </w:rPr>
              <w:t>年）</w:t>
            </w:r>
            <w:r>
              <w:rPr>
                <w:rFonts w:hint="default"/>
                <w:color w:val="auto"/>
                <w:sz w:val="24"/>
              </w:rPr>
              <w:t>》</w:t>
            </w:r>
            <w:r>
              <w:rPr>
                <w:rFonts w:hint="eastAsia"/>
                <w:color w:val="auto"/>
                <w:sz w:val="24"/>
              </w:rPr>
              <w:t>显示，</w:t>
            </w:r>
            <w:r>
              <w:rPr>
                <w:rFonts w:hint="default"/>
                <w:bCs/>
                <w:color w:val="auto"/>
                <w:sz w:val="24"/>
              </w:rPr>
              <w:t>溆水</w:t>
            </w:r>
            <w:r>
              <w:rPr>
                <w:rFonts w:hint="eastAsia"/>
                <w:bCs/>
                <w:color w:val="auto"/>
                <w:sz w:val="24"/>
              </w:rPr>
              <w:t>四</w:t>
            </w:r>
            <w:r>
              <w:rPr>
                <w:rFonts w:hint="default"/>
                <w:bCs/>
                <w:color w:val="auto"/>
                <w:sz w:val="24"/>
              </w:rPr>
              <w:t>个监测断面水质均达到《地表水环境质量标准》（GB3838-2002）</w:t>
            </w:r>
            <w:r>
              <w:rPr>
                <w:rFonts w:hint="default"/>
                <w:color w:val="auto"/>
                <w:sz w:val="24"/>
              </w:rPr>
              <w:t>Ⅱ</w:t>
            </w:r>
            <w:r>
              <w:rPr>
                <w:rFonts w:hint="default"/>
                <w:bCs/>
                <w:color w:val="auto"/>
                <w:sz w:val="24"/>
              </w:rPr>
              <w:t>类标准。</w:t>
            </w:r>
            <w:r>
              <w:rPr>
                <w:rFonts w:hint="eastAsia"/>
                <w:color w:val="auto"/>
                <w:kern w:val="0"/>
                <w:sz w:val="24"/>
                <w:u w:val="none" w:color="auto"/>
                <w:lang w:bidi="ar"/>
              </w:rPr>
              <w:t>具体见下表。</w:t>
            </w:r>
          </w:p>
          <w:p w14:paraId="6BF00EA2">
            <w:pPr>
              <w:bidi w:val="0"/>
              <w:ind w:left="0" w:leftChars="0" w:firstLine="0" w:firstLineChars="0"/>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表</w:t>
            </w:r>
            <w:r>
              <w:rPr>
                <w:rFonts w:hint="eastAsia" w:cs="Times New Roman"/>
                <w:color w:val="auto"/>
                <w:u w:val="none" w:color="auto"/>
                <w:lang w:val="en-US" w:eastAsia="zh-CN"/>
              </w:rPr>
              <w:t>3.2-1</w:t>
            </w:r>
            <w:r>
              <w:rPr>
                <w:rFonts w:hint="eastAsia" w:ascii="Times New Roman" w:hAnsi="Times New Roman" w:cs="Times New Roman"/>
                <w:color w:val="auto"/>
                <w:u w:val="none" w:color="auto"/>
                <w:lang w:val="en-US" w:eastAsia="zh-CN"/>
              </w:rPr>
              <w:t xml:space="preserve"> </w:t>
            </w:r>
            <w:r>
              <w:rPr>
                <w:rFonts w:hint="eastAsia"/>
                <w:color w:val="auto"/>
                <w:sz w:val="24"/>
                <w:szCs w:val="24"/>
                <w:u w:val="none" w:color="auto"/>
                <w:lang w:val="en-US" w:eastAsia="zh-CN"/>
              </w:rPr>
              <w:t>溆浦县溆水环境质量情况</w:t>
            </w:r>
          </w:p>
          <w:tbl>
            <w:tblPr>
              <w:tblStyle w:val="22"/>
              <w:tblW w:w="4999" w:type="pct"/>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1"/>
              <w:gridCol w:w="943"/>
              <w:gridCol w:w="999"/>
              <w:gridCol w:w="1659"/>
              <w:gridCol w:w="1237"/>
              <w:gridCol w:w="761"/>
              <w:gridCol w:w="1120"/>
              <w:gridCol w:w="1181"/>
            </w:tblGrid>
            <w:tr w14:paraId="6FD52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7" w:hRule="atLeast"/>
              </w:trPr>
              <w:tc>
                <w:tcPr>
                  <w:tcW w:w="403" w:type="pct"/>
                  <w:vMerge w:val="restart"/>
                  <w:tcBorders>
                    <w:tl2br w:val="nil"/>
                    <w:tr2bl w:val="nil"/>
                  </w:tcBorders>
                  <w:noWrap w:val="0"/>
                  <w:vAlign w:val="center"/>
                </w:tcPr>
                <w:p w14:paraId="5D6C9444">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序号</w:t>
                  </w:r>
                </w:p>
              </w:tc>
              <w:tc>
                <w:tcPr>
                  <w:tcW w:w="499" w:type="pct"/>
                  <w:vMerge w:val="restart"/>
                  <w:tcBorders>
                    <w:tl2br w:val="nil"/>
                    <w:tr2bl w:val="nil"/>
                  </w:tcBorders>
                  <w:noWrap w:val="0"/>
                  <w:vAlign w:val="center"/>
                </w:tcPr>
                <w:p w14:paraId="0C636A22">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河流名称</w:t>
                  </w:r>
                </w:p>
              </w:tc>
              <w:tc>
                <w:tcPr>
                  <w:tcW w:w="529" w:type="pct"/>
                  <w:vMerge w:val="restart"/>
                  <w:tcBorders>
                    <w:tl2br w:val="nil"/>
                    <w:tr2bl w:val="nil"/>
                  </w:tcBorders>
                  <w:noWrap w:val="0"/>
                  <w:vAlign w:val="center"/>
                </w:tcPr>
                <w:p w14:paraId="3D5446EE">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断面所属地</w:t>
                  </w:r>
                </w:p>
              </w:tc>
              <w:tc>
                <w:tcPr>
                  <w:tcW w:w="878" w:type="pct"/>
                  <w:vMerge w:val="restart"/>
                  <w:tcBorders>
                    <w:tl2br w:val="nil"/>
                    <w:tr2bl w:val="nil"/>
                  </w:tcBorders>
                  <w:noWrap w:val="0"/>
                  <w:vAlign w:val="center"/>
                </w:tcPr>
                <w:p w14:paraId="324681A2">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断面名称</w:t>
                  </w:r>
                </w:p>
              </w:tc>
              <w:tc>
                <w:tcPr>
                  <w:tcW w:w="655" w:type="pct"/>
                  <w:vMerge w:val="restart"/>
                  <w:tcBorders>
                    <w:tl2br w:val="nil"/>
                    <w:tr2bl w:val="nil"/>
                  </w:tcBorders>
                  <w:noWrap w:val="0"/>
                  <w:vAlign w:val="center"/>
                </w:tcPr>
                <w:p w14:paraId="34D6426D">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断面性质</w:t>
                  </w:r>
                </w:p>
              </w:tc>
              <w:tc>
                <w:tcPr>
                  <w:tcW w:w="1621" w:type="pct"/>
                  <w:gridSpan w:val="3"/>
                  <w:tcBorders>
                    <w:tl2br w:val="nil"/>
                    <w:tr2bl w:val="nil"/>
                  </w:tcBorders>
                  <w:noWrap w:val="0"/>
                  <w:vAlign w:val="center"/>
                </w:tcPr>
                <w:p w14:paraId="07CD2B99">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达到水质类别</w:t>
                  </w:r>
                </w:p>
              </w:tc>
            </w:tr>
            <w:tr w14:paraId="02D91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3" w:type="pct"/>
                  <w:vMerge w:val="continue"/>
                  <w:tcBorders>
                    <w:tl2br w:val="nil"/>
                    <w:tr2bl w:val="nil"/>
                  </w:tcBorders>
                  <w:noWrap w:val="0"/>
                  <w:vAlign w:val="center"/>
                </w:tcPr>
                <w:p w14:paraId="72073085">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499" w:type="pct"/>
                  <w:vMerge w:val="continue"/>
                  <w:tcBorders>
                    <w:tl2br w:val="nil"/>
                    <w:tr2bl w:val="nil"/>
                  </w:tcBorders>
                  <w:noWrap w:val="0"/>
                  <w:vAlign w:val="center"/>
                </w:tcPr>
                <w:p w14:paraId="78F77D50">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529" w:type="pct"/>
                  <w:vMerge w:val="continue"/>
                  <w:tcBorders>
                    <w:tl2br w:val="nil"/>
                    <w:tr2bl w:val="nil"/>
                  </w:tcBorders>
                  <w:noWrap w:val="0"/>
                  <w:vAlign w:val="center"/>
                </w:tcPr>
                <w:p w14:paraId="6A28FC51">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878" w:type="pct"/>
                  <w:vMerge w:val="continue"/>
                  <w:tcBorders>
                    <w:tl2br w:val="nil"/>
                    <w:tr2bl w:val="nil"/>
                  </w:tcBorders>
                  <w:noWrap w:val="0"/>
                  <w:vAlign w:val="center"/>
                </w:tcPr>
                <w:p w14:paraId="6D482209">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655" w:type="pct"/>
                  <w:vMerge w:val="continue"/>
                  <w:tcBorders>
                    <w:tl2br w:val="nil"/>
                    <w:tr2bl w:val="nil"/>
                  </w:tcBorders>
                  <w:noWrap w:val="0"/>
                  <w:vAlign w:val="center"/>
                </w:tcPr>
                <w:p w14:paraId="050E81A2">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403" w:type="pct"/>
                  <w:tcBorders>
                    <w:tl2br w:val="nil"/>
                    <w:tr2bl w:val="nil"/>
                  </w:tcBorders>
                  <w:noWrap w:val="0"/>
                  <w:vAlign w:val="center"/>
                </w:tcPr>
                <w:p w14:paraId="7AB938E6">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本年</w:t>
                  </w:r>
                </w:p>
              </w:tc>
              <w:tc>
                <w:tcPr>
                  <w:tcW w:w="593" w:type="pct"/>
                  <w:tcBorders>
                    <w:tl2br w:val="nil"/>
                    <w:tr2bl w:val="nil"/>
                  </w:tcBorders>
                  <w:noWrap w:val="0"/>
                  <w:vAlign w:val="center"/>
                </w:tcPr>
                <w:p w14:paraId="5D7CC71B">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上年</w:t>
                  </w:r>
                </w:p>
              </w:tc>
              <w:tc>
                <w:tcPr>
                  <w:tcW w:w="625" w:type="pct"/>
                  <w:tcBorders>
                    <w:tl2br w:val="nil"/>
                    <w:tr2bl w:val="nil"/>
                  </w:tcBorders>
                  <w:noWrap w:val="0"/>
                  <w:vAlign w:val="center"/>
                </w:tcPr>
                <w:p w14:paraId="7E92B004">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同比变化</w:t>
                  </w:r>
                </w:p>
              </w:tc>
            </w:tr>
            <w:tr w14:paraId="4C80D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3" w:type="pct"/>
                  <w:tcBorders>
                    <w:tl2br w:val="nil"/>
                    <w:tr2bl w:val="nil"/>
                  </w:tcBorders>
                  <w:noWrap w:val="0"/>
                  <w:vAlign w:val="center"/>
                </w:tcPr>
                <w:p w14:paraId="55FC36B5">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1</w:t>
                  </w:r>
                </w:p>
              </w:tc>
              <w:tc>
                <w:tcPr>
                  <w:tcW w:w="499" w:type="pct"/>
                  <w:vMerge w:val="restart"/>
                  <w:tcBorders>
                    <w:tl2br w:val="nil"/>
                    <w:tr2bl w:val="nil"/>
                  </w:tcBorders>
                  <w:noWrap w:val="0"/>
                  <w:vAlign w:val="center"/>
                </w:tcPr>
                <w:p w14:paraId="07B9BC01">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溆水</w:t>
                  </w:r>
                </w:p>
              </w:tc>
              <w:tc>
                <w:tcPr>
                  <w:tcW w:w="529" w:type="pct"/>
                  <w:vMerge w:val="restart"/>
                  <w:tcBorders>
                    <w:tl2br w:val="nil"/>
                    <w:tr2bl w:val="nil"/>
                  </w:tcBorders>
                  <w:noWrap w:val="0"/>
                  <w:vAlign w:val="center"/>
                </w:tcPr>
                <w:p w14:paraId="41D77400">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溆浦县</w:t>
                  </w:r>
                </w:p>
              </w:tc>
              <w:tc>
                <w:tcPr>
                  <w:tcW w:w="878" w:type="pct"/>
                  <w:tcBorders>
                    <w:tl2br w:val="nil"/>
                    <w:tr2bl w:val="nil"/>
                  </w:tcBorders>
                  <w:noWrap w:val="0"/>
                  <w:vAlign w:val="center"/>
                </w:tcPr>
                <w:p w14:paraId="3E169391">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龙潭</w:t>
                  </w:r>
                </w:p>
              </w:tc>
              <w:tc>
                <w:tcPr>
                  <w:tcW w:w="655" w:type="pct"/>
                  <w:tcBorders>
                    <w:tl2br w:val="nil"/>
                    <w:tr2bl w:val="nil"/>
                  </w:tcBorders>
                  <w:noWrap w:val="0"/>
                  <w:vAlign w:val="center"/>
                </w:tcPr>
                <w:p w14:paraId="1DF4A325">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省控</w:t>
                  </w:r>
                </w:p>
              </w:tc>
              <w:tc>
                <w:tcPr>
                  <w:tcW w:w="403" w:type="pct"/>
                  <w:tcBorders>
                    <w:tl2br w:val="nil"/>
                    <w:tr2bl w:val="nil"/>
                  </w:tcBorders>
                  <w:noWrap w:val="0"/>
                  <w:vAlign w:val="center"/>
                </w:tcPr>
                <w:p w14:paraId="05715489">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593" w:type="pct"/>
                  <w:tcBorders>
                    <w:tl2br w:val="nil"/>
                    <w:tr2bl w:val="nil"/>
                  </w:tcBorders>
                  <w:noWrap w:val="0"/>
                  <w:vAlign w:val="center"/>
                </w:tcPr>
                <w:p w14:paraId="2E489F4E">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625" w:type="pct"/>
                  <w:tcBorders>
                    <w:tl2br w:val="nil"/>
                    <w:tr2bl w:val="nil"/>
                  </w:tcBorders>
                  <w:noWrap w:val="0"/>
                  <w:vAlign w:val="center"/>
                </w:tcPr>
                <w:p w14:paraId="14447975">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无变化</w:t>
                  </w:r>
                </w:p>
              </w:tc>
            </w:tr>
            <w:tr w14:paraId="031AF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3" w:type="pct"/>
                  <w:tcBorders>
                    <w:tl2br w:val="nil"/>
                    <w:tr2bl w:val="nil"/>
                  </w:tcBorders>
                  <w:noWrap w:val="0"/>
                  <w:vAlign w:val="center"/>
                </w:tcPr>
                <w:p w14:paraId="1BED2F41">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2</w:t>
                  </w:r>
                </w:p>
              </w:tc>
              <w:tc>
                <w:tcPr>
                  <w:tcW w:w="499" w:type="pct"/>
                  <w:vMerge w:val="continue"/>
                  <w:tcBorders>
                    <w:tl2br w:val="nil"/>
                    <w:tr2bl w:val="nil"/>
                  </w:tcBorders>
                  <w:noWrap w:val="0"/>
                  <w:vAlign w:val="center"/>
                </w:tcPr>
                <w:p w14:paraId="181EDCB9">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529" w:type="pct"/>
                  <w:vMerge w:val="continue"/>
                  <w:tcBorders>
                    <w:tl2br w:val="nil"/>
                    <w:tr2bl w:val="nil"/>
                  </w:tcBorders>
                  <w:noWrap w:val="0"/>
                  <w:vAlign w:val="center"/>
                </w:tcPr>
                <w:p w14:paraId="4AD10771">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878" w:type="pct"/>
                  <w:tcBorders>
                    <w:tl2br w:val="nil"/>
                    <w:tr2bl w:val="nil"/>
                  </w:tcBorders>
                  <w:noWrap w:val="0"/>
                  <w:vAlign w:val="center"/>
                </w:tcPr>
                <w:p w14:paraId="753048F2">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溆浦县水厂</w:t>
                  </w:r>
                </w:p>
              </w:tc>
              <w:tc>
                <w:tcPr>
                  <w:tcW w:w="655" w:type="pct"/>
                  <w:tcBorders>
                    <w:tl2br w:val="nil"/>
                    <w:tr2bl w:val="nil"/>
                  </w:tcBorders>
                  <w:noWrap w:val="0"/>
                  <w:vAlign w:val="center"/>
                </w:tcPr>
                <w:p w14:paraId="21CD49CE">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省控</w:t>
                  </w:r>
                </w:p>
              </w:tc>
              <w:tc>
                <w:tcPr>
                  <w:tcW w:w="403" w:type="pct"/>
                  <w:tcBorders>
                    <w:tl2br w:val="nil"/>
                    <w:tr2bl w:val="nil"/>
                  </w:tcBorders>
                  <w:noWrap w:val="0"/>
                  <w:vAlign w:val="center"/>
                </w:tcPr>
                <w:p w14:paraId="1B11FFE1">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593" w:type="pct"/>
                  <w:tcBorders>
                    <w:tl2br w:val="nil"/>
                    <w:tr2bl w:val="nil"/>
                  </w:tcBorders>
                  <w:noWrap w:val="0"/>
                  <w:vAlign w:val="center"/>
                </w:tcPr>
                <w:p w14:paraId="37363870">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625" w:type="pct"/>
                  <w:tcBorders>
                    <w:tl2br w:val="nil"/>
                    <w:tr2bl w:val="nil"/>
                  </w:tcBorders>
                  <w:noWrap w:val="0"/>
                  <w:vAlign w:val="center"/>
                </w:tcPr>
                <w:p w14:paraId="5E7F4547">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无变化</w:t>
                  </w:r>
                </w:p>
              </w:tc>
            </w:tr>
            <w:tr w14:paraId="2DA1A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3" w:type="pct"/>
                  <w:tcBorders>
                    <w:tl2br w:val="nil"/>
                    <w:tr2bl w:val="nil"/>
                  </w:tcBorders>
                  <w:noWrap w:val="0"/>
                  <w:vAlign w:val="center"/>
                </w:tcPr>
                <w:p w14:paraId="711FE470">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3</w:t>
                  </w:r>
                </w:p>
              </w:tc>
              <w:tc>
                <w:tcPr>
                  <w:tcW w:w="499" w:type="pct"/>
                  <w:vMerge w:val="continue"/>
                  <w:tcBorders>
                    <w:tl2br w:val="nil"/>
                    <w:tr2bl w:val="nil"/>
                  </w:tcBorders>
                  <w:noWrap w:val="0"/>
                  <w:vAlign w:val="center"/>
                </w:tcPr>
                <w:p w14:paraId="00297C9B">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529" w:type="pct"/>
                  <w:vMerge w:val="continue"/>
                  <w:tcBorders>
                    <w:tl2br w:val="nil"/>
                    <w:tr2bl w:val="nil"/>
                  </w:tcBorders>
                  <w:noWrap w:val="0"/>
                  <w:vAlign w:val="center"/>
                </w:tcPr>
                <w:p w14:paraId="7554D772">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878" w:type="pct"/>
                  <w:tcBorders>
                    <w:tl2br w:val="nil"/>
                    <w:tr2bl w:val="nil"/>
                  </w:tcBorders>
                  <w:noWrap w:val="0"/>
                  <w:vAlign w:val="center"/>
                </w:tcPr>
                <w:p w14:paraId="7BC23484">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仲夏村</w:t>
                  </w:r>
                </w:p>
              </w:tc>
              <w:tc>
                <w:tcPr>
                  <w:tcW w:w="655" w:type="pct"/>
                  <w:tcBorders>
                    <w:tl2br w:val="nil"/>
                    <w:tr2bl w:val="nil"/>
                  </w:tcBorders>
                  <w:noWrap w:val="0"/>
                  <w:vAlign w:val="center"/>
                </w:tcPr>
                <w:p w14:paraId="442CB5DB">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省控</w:t>
                  </w:r>
                </w:p>
              </w:tc>
              <w:tc>
                <w:tcPr>
                  <w:tcW w:w="403" w:type="pct"/>
                  <w:tcBorders>
                    <w:tl2br w:val="nil"/>
                    <w:tr2bl w:val="nil"/>
                  </w:tcBorders>
                  <w:noWrap w:val="0"/>
                  <w:vAlign w:val="center"/>
                </w:tcPr>
                <w:p w14:paraId="6C4ED915">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593" w:type="pct"/>
                  <w:tcBorders>
                    <w:tl2br w:val="nil"/>
                    <w:tr2bl w:val="nil"/>
                  </w:tcBorders>
                  <w:noWrap w:val="0"/>
                  <w:vAlign w:val="center"/>
                </w:tcPr>
                <w:p w14:paraId="0A33149D">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625" w:type="pct"/>
                  <w:tcBorders>
                    <w:tl2br w:val="nil"/>
                    <w:tr2bl w:val="nil"/>
                  </w:tcBorders>
                  <w:noWrap w:val="0"/>
                  <w:vAlign w:val="center"/>
                </w:tcPr>
                <w:p w14:paraId="4378EFE3">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无变化</w:t>
                  </w:r>
                </w:p>
              </w:tc>
            </w:tr>
            <w:tr w14:paraId="7FF96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03" w:type="pct"/>
                  <w:tcBorders>
                    <w:tl2br w:val="nil"/>
                    <w:tr2bl w:val="nil"/>
                  </w:tcBorders>
                  <w:noWrap w:val="0"/>
                  <w:vAlign w:val="center"/>
                </w:tcPr>
                <w:p w14:paraId="4FF79502">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4</w:t>
                  </w:r>
                </w:p>
              </w:tc>
              <w:tc>
                <w:tcPr>
                  <w:tcW w:w="499" w:type="pct"/>
                  <w:vMerge w:val="continue"/>
                  <w:tcBorders>
                    <w:tl2br w:val="nil"/>
                    <w:tr2bl w:val="nil"/>
                  </w:tcBorders>
                  <w:noWrap w:val="0"/>
                  <w:vAlign w:val="center"/>
                </w:tcPr>
                <w:p w14:paraId="670FA1AF">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529" w:type="pct"/>
                  <w:vMerge w:val="continue"/>
                  <w:tcBorders>
                    <w:tl2br w:val="nil"/>
                    <w:tr2bl w:val="nil"/>
                  </w:tcBorders>
                  <w:noWrap w:val="0"/>
                  <w:vAlign w:val="center"/>
                </w:tcPr>
                <w:p w14:paraId="19EE2FC5">
                  <w:pPr>
                    <w:keepNext w:val="0"/>
                    <w:keepLines w:val="0"/>
                    <w:suppressLineNumbers w:val="0"/>
                    <w:spacing w:before="0" w:beforeLines="0" w:beforeAutospacing="0" w:after="0" w:afterLines="0" w:afterAutospacing="0" w:line="240" w:lineRule="auto"/>
                    <w:ind w:left="0" w:right="0" w:firstLine="0" w:firstLineChars="0"/>
                    <w:rPr>
                      <w:rFonts w:hint="default"/>
                      <w:b w:val="0"/>
                      <w:bCs/>
                      <w:color w:val="auto"/>
                      <w:sz w:val="21"/>
                      <w:szCs w:val="21"/>
                    </w:rPr>
                  </w:pPr>
                </w:p>
              </w:tc>
              <w:tc>
                <w:tcPr>
                  <w:tcW w:w="878" w:type="pct"/>
                  <w:tcBorders>
                    <w:tl2br w:val="nil"/>
                    <w:tr2bl w:val="nil"/>
                  </w:tcBorders>
                  <w:noWrap w:val="0"/>
                  <w:vAlign w:val="center"/>
                </w:tcPr>
                <w:p w14:paraId="314FD7C6">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溆水入沅江口</w:t>
                  </w:r>
                </w:p>
              </w:tc>
              <w:tc>
                <w:tcPr>
                  <w:tcW w:w="655" w:type="pct"/>
                  <w:tcBorders>
                    <w:tl2br w:val="nil"/>
                    <w:tr2bl w:val="nil"/>
                  </w:tcBorders>
                  <w:noWrap w:val="0"/>
                  <w:vAlign w:val="center"/>
                </w:tcPr>
                <w:p w14:paraId="776A1AF6">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国控</w:t>
                  </w:r>
                </w:p>
              </w:tc>
              <w:tc>
                <w:tcPr>
                  <w:tcW w:w="403" w:type="pct"/>
                  <w:tcBorders>
                    <w:tl2br w:val="nil"/>
                    <w:tr2bl w:val="nil"/>
                  </w:tcBorders>
                  <w:noWrap w:val="0"/>
                  <w:vAlign w:val="center"/>
                </w:tcPr>
                <w:p w14:paraId="01F80329">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593" w:type="pct"/>
                  <w:tcBorders>
                    <w:tl2br w:val="nil"/>
                    <w:tr2bl w:val="nil"/>
                  </w:tcBorders>
                  <w:noWrap w:val="0"/>
                  <w:vAlign w:val="center"/>
                </w:tcPr>
                <w:p w14:paraId="5F4257D8">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eastAsia="zh-CN"/>
                    </w:rPr>
                  </w:pPr>
                  <w:r>
                    <w:rPr>
                      <w:rFonts w:hint="default" w:ascii="Times New Roman" w:hAnsi="Times New Roman" w:eastAsia="宋体" w:cs="Times New Roman"/>
                      <w:b w:val="0"/>
                      <w:bCs/>
                      <w:color w:val="auto"/>
                      <w:position w:val="0"/>
                      <w:sz w:val="21"/>
                      <w:szCs w:val="21"/>
                      <w:u w:val="none"/>
                      <w:vertAlign w:val="baseline"/>
                      <w:lang w:eastAsia="zh-CN"/>
                    </w:rPr>
                    <w:t>Ⅱ类</w:t>
                  </w:r>
                </w:p>
              </w:tc>
              <w:tc>
                <w:tcPr>
                  <w:tcW w:w="625" w:type="pct"/>
                  <w:tcBorders>
                    <w:tl2br w:val="nil"/>
                    <w:tr2bl w:val="nil"/>
                  </w:tcBorders>
                  <w:noWrap w:val="0"/>
                  <w:vAlign w:val="center"/>
                </w:tcPr>
                <w:p w14:paraId="3121E34D">
                  <w:pPr>
                    <w:keepNext w:val="0"/>
                    <w:keepLines w:val="0"/>
                    <w:widowControl w:val="0"/>
                    <w:suppressLineNumbers w:val="0"/>
                    <w:kinsoku/>
                    <w:overflowPunct/>
                    <w:bidi w:val="0"/>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position w:val="0"/>
                      <w:sz w:val="21"/>
                      <w:szCs w:val="21"/>
                      <w:u w:val="none"/>
                      <w:vertAlign w:val="baseline"/>
                      <w:lang w:val="en-US" w:eastAsia="zh-CN"/>
                    </w:rPr>
                  </w:pPr>
                  <w:r>
                    <w:rPr>
                      <w:rFonts w:hint="default" w:ascii="Times New Roman" w:hAnsi="Times New Roman" w:eastAsia="宋体" w:cs="Times New Roman"/>
                      <w:b w:val="0"/>
                      <w:bCs/>
                      <w:color w:val="auto"/>
                      <w:position w:val="0"/>
                      <w:sz w:val="21"/>
                      <w:szCs w:val="21"/>
                      <w:u w:val="none"/>
                      <w:vertAlign w:val="baseline"/>
                      <w:lang w:val="en-US" w:eastAsia="zh-CN"/>
                    </w:rPr>
                    <w:t>无变化</w:t>
                  </w:r>
                </w:p>
              </w:tc>
            </w:tr>
          </w:tbl>
          <w:p w14:paraId="3CAB4074">
            <w:pPr>
              <w:bidi w:val="0"/>
              <w:rPr>
                <w:rFonts w:ascii="Times New Roman" w:hAnsi="Times New Roman" w:cs="Times New Roman"/>
                <w:color w:val="auto"/>
                <w:u w:val="none" w:color="auto"/>
              </w:rPr>
            </w:pPr>
            <w:r>
              <w:rPr>
                <w:color w:val="auto"/>
                <w:u w:val="none" w:color="auto"/>
              </w:rPr>
              <w:t>由表3</w:t>
            </w:r>
            <w:r>
              <w:rPr>
                <w:rFonts w:hint="eastAsia"/>
                <w:color w:val="auto"/>
                <w:u w:val="none" w:color="auto"/>
                <w:lang w:val="en-US" w:eastAsia="zh-CN"/>
              </w:rPr>
              <w:t>.2-1</w:t>
            </w:r>
            <w:r>
              <w:rPr>
                <w:color w:val="auto"/>
                <w:u w:val="none" w:color="auto"/>
              </w:rPr>
              <w:t>可知，202</w:t>
            </w:r>
            <w:r>
              <w:rPr>
                <w:rFonts w:hint="eastAsia"/>
                <w:color w:val="auto"/>
                <w:u w:val="none" w:color="auto"/>
                <w:lang w:val="en-US" w:eastAsia="zh-CN"/>
              </w:rPr>
              <w:t>4</w:t>
            </w:r>
            <w:r>
              <w:rPr>
                <w:color w:val="auto"/>
                <w:u w:val="none" w:color="auto"/>
              </w:rPr>
              <w:t>年1</w:t>
            </w:r>
            <w:r>
              <w:rPr>
                <w:rFonts w:hint="eastAsia"/>
                <w:color w:val="auto"/>
                <w:u w:val="none" w:color="auto"/>
                <w:lang w:val="en-US" w:eastAsia="zh-CN"/>
              </w:rPr>
              <w:t>~</w:t>
            </w:r>
            <w:r>
              <w:rPr>
                <w:color w:val="auto"/>
                <w:u w:val="none" w:color="auto"/>
              </w:rPr>
              <w:t>12月</w:t>
            </w:r>
            <w:r>
              <w:rPr>
                <w:rFonts w:hint="eastAsia"/>
                <w:color w:val="auto"/>
                <w:u w:val="none" w:color="auto"/>
                <w:lang w:val="en-US" w:eastAsia="zh-CN"/>
              </w:rPr>
              <w:t>溆水</w:t>
            </w:r>
            <w:r>
              <w:rPr>
                <w:color w:val="auto"/>
                <w:u w:val="none" w:color="auto"/>
              </w:rPr>
              <w:t>地表水考核断面水质为《地表水环境质量标准》（GB</w:t>
            </w:r>
            <w:r>
              <w:rPr>
                <w:rFonts w:hint="eastAsia"/>
                <w:color w:val="auto"/>
                <w:u w:val="none" w:color="auto"/>
                <w:lang w:val="en-US" w:eastAsia="zh-CN"/>
              </w:rPr>
              <w:t xml:space="preserve"> </w:t>
            </w:r>
            <w:r>
              <w:rPr>
                <w:color w:val="auto"/>
                <w:u w:val="none" w:color="auto"/>
              </w:rPr>
              <w:t>3838-2002）的Ⅱ类标准。</w:t>
            </w:r>
          </w:p>
          <w:p w14:paraId="3B9B037C">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3.3 </w:t>
            </w:r>
            <w:r>
              <w:rPr>
                <w:rFonts w:hint="default" w:ascii="Times New Roman" w:hAnsi="Times New Roman" w:eastAsia="黑体" w:cs="Times New Roman"/>
                <w:b/>
                <w:bCs/>
                <w:color w:val="auto"/>
                <w:u w:val="none" w:color="auto"/>
                <w:lang w:val="en-US" w:eastAsia="zh-CN"/>
              </w:rPr>
              <w:t>声环境质量现状</w:t>
            </w:r>
          </w:p>
          <w:p w14:paraId="02555746">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3.4 </w:t>
            </w:r>
            <w:r>
              <w:rPr>
                <w:rFonts w:hint="default" w:ascii="Times New Roman" w:hAnsi="Times New Roman" w:eastAsia="黑体" w:cs="Times New Roman"/>
                <w:b/>
                <w:bCs/>
                <w:color w:val="auto"/>
                <w:u w:val="none" w:color="auto"/>
                <w:lang w:val="en-US" w:eastAsia="zh-CN"/>
              </w:rPr>
              <w:t>地下水、土壤环境质量现状</w:t>
            </w:r>
          </w:p>
          <w:p w14:paraId="6DEE2D03">
            <w:pPr>
              <w:bidi w:val="0"/>
              <w:rPr>
                <w:rFonts w:hint="default" w:ascii="Times New Roman" w:hAnsi="Times New Roman" w:cs="Times New Roman"/>
                <w:color w:val="auto"/>
                <w:u w:val="none" w:color="auto"/>
                <w:lang w:val="en-US" w:eastAsia="zh-CN"/>
              </w:rPr>
            </w:pPr>
            <w:r>
              <w:rPr>
                <w:rFonts w:hint="default" w:ascii="Times New Roman" w:hAnsi="Times New Roman" w:eastAsia="宋体" w:cs="Times New Roman"/>
                <w:color w:val="auto"/>
                <w:kern w:val="2"/>
                <w:sz w:val="24"/>
                <w:szCs w:val="24"/>
                <w:u w:val="none" w:color="auto"/>
                <w:lang w:val="en-US" w:eastAsia="zh-CN" w:bidi="ar-SA"/>
              </w:rPr>
              <w:t>根据《建设项目环境影响报告表编制技术指南（污染影响类）试行》中具体编制要求“原则上不开展环境质量现状调查。建设项目存在土壤、地下水环境污染途径的，应结合污染源、保护目标分布情况开展现状调查以留作背景值。”根据现场调查及工艺分析，项目</w:t>
            </w:r>
            <w:r>
              <w:rPr>
                <w:rFonts w:hint="eastAsia" w:cs="Times New Roman"/>
                <w:color w:val="auto"/>
                <w:kern w:val="2"/>
                <w:sz w:val="24"/>
                <w:szCs w:val="24"/>
                <w:u w:val="none" w:color="auto"/>
                <w:lang w:val="en-US" w:eastAsia="zh-CN" w:bidi="ar-SA"/>
              </w:rPr>
              <w:t>不新增生活</w:t>
            </w:r>
            <w:r>
              <w:rPr>
                <w:rFonts w:hint="default" w:ascii="Times New Roman" w:hAnsi="Times New Roman" w:eastAsia="宋体" w:cs="Times New Roman"/>
                <w:color w:val="auto"/>
                <w:kern w:val="2"/>
                <w:sz w:val="24"/>
                <w:szCs w:val="24"/>
                <w:u w:val="none" w:color="auto"/>
                <w:lang w:val="en-US" w:eastAsia="zh-CN" w:bidi="ar-SA"/>
              </w:rPr>
              <w:t>污水，</w:t>
            </w:r>
            <w:r>
              <w:rPr>
                <w:rFonts w:hint="eastAsia" w:cs="Times New Roman"/>
                <w:color w:val="auto"/>
                <w:sz w:val="24"/>
                <w:szCs w:val="24"/>
                <w:u w:val="none" w:color="auto"/>
                <w:lang w:val="en-US" w:eastAsia="zh-CN"/>
              </w:rPr>
              <w:t>屠宰生产废水经污水处理站处理后与车辆清洗废水一起通过市政污水管网进入卢峰镇污水处理厂处理</w:t>
            </w:r>
            <w:r>
              <w:rPr>
                <w:rFonts w:hint="default" w:ascii="Times New Roman" w:hAnsi="Times New Roman" w:eastAsia="宋体" w:cs="Times New Roman"/>
                <w:color w:val="auto"/>
                <w:kern w:val="2"/>
                <w:sz w:val="24"/>
                <w:szCs w:val="24"/>
                <w:u w:val="none" w:color="auto"/>
                <w:lang w:val="en-US" w:eastAsia="zh-CN" w:bidi="ar-SA"/>
              </w:rPr>
              <w:t>，</w:t>
            </w:r>
            <w:r>
              <w:rPr>
                <w:rFonts w:hint="default" w:ascii="Times New Roman" w:hAnsi="Times New Roman" w:eastAsia="宋体" w:cs="Times New Roman"/>
                <w:color w:val="auto"/>
                <w:u w:val="none" w:color="auto"/>
                <w:lang w:val="en-US" w:eastAsia="zh-CN"/>
              </w:rPr>
              <w:t>车间地面已全部硬化，</w:t>
            </w:r>
            <w:r>
              <w:rPr>
                <w:rFonts w:hint="eastAsia" w:cs="Times New Roman"/>
                <w:color w:val="auto"/>
                <w:u w:val="none" w:color="auto"/>
                <w:lang w:val="en-US" w:eastAsia="zh-CN"/>
              </w:rPr>
              <w:t>按照本评价规范建设危废暂存间及一般固废暂存间后，不存在污染土壤及地下水</w:t>
            </w:r>
            <w:r>
              <w:rPr>
                <w:rFonts w:hint="default" w:ascii="Times New Roman" w:hAnsi="Times New Roman" w:eastAsia="宋体" w:cs="Times New Roman"/>
                <w:color w:val="auto"/>
                <w:kern w:val="2"/>
                <w:sz w:val="24"/>
                <w:szCs w:val="24"/>
                <w:u w:val="none" w:color="auto"/>
                <w:lang w:val="en-US" w:eastAsia="zh-CN" w:bidi="ar-SA"/>
              </w:rPr>
              <w:t>，不会对地下水及土壤环境造</w:t>
            </w:r>
            <w:r>
              <w:rPr>
                <w:rFonts w:hint="default" w:ascii="Times New Roman" w:hAnsi="Times New Roman" w:cs="Times New Roman"/>
                <w:color w:val="auto"/>
                <w:kern w:val="2"/>
                <w:sz w:val="24"/>
                <w:szCs w:val="24"/>
                <w:u w:val="none" w:color="auto"/>
                <w:lang w:val="en-US" w:eastAsia="zh-CN" w:bidi="ar-SA"/>
              </w:rPr>
              <w:t>成影响</w:t>
            </w:r>
            <w:r>
              <w:rPr>
                <w:rFonts w:hint="default" w:ascii="Times New Roman" w:hAnsi="Times New Roman" w:eastAsia="宋体" w:cs="Times New Roman"/>
                <w:color w:val="auto"/>
                <w:kern w:val="2"/>
                <w:sz w:val="24"/>
                <w:szCs w:val="24"/>
                <w:u w:val="none" w:color="auto"/>
                <w:lang w:val="en-US" w:eastAsia="zh-CN" w:bidi="ar-SA"/>
              </w:rPr>
              <w:t>。因此，正常工况下项目不存在地下水和土壤环境污染途径，不开展地下水和土壤环境质量现状调查。</w:t>
            </w:r>
          </w:p>
          <w:p w14:paraId="54759915">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3.5 </w:t>
            </w:r>
            <w:r>
              <w:rPr>
                <w:rFonts w:hint="default" w:ascii="Times New Roman" w:hAnsi="Times New Roman" w:eastAsia="黑体" w:cs="Times New Roman"/>
                <w:b/>
                <w:bCs/>
                <w:color w:val="auto"/>
                <w:u w:val="none" w:color="auto"/>
                <w:lang w:val="en-US" w:eastAsia="zh-CN"/>
              </w:rPr>
              <w:t>生态环境现状</w:t>
            </w:r>
          </w:p>
          <w:p w14:paraId="582BF5A2">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本项目在</w:t>
            </w:r>
            <w:r>
              <w:rPr>
                <w:rFonts w:hint="eastAsia" w:cs="Times New Roman"/>
                <w:color w:val="auto"/>
                <w:u w:val="none" w:color="auto"/>
                <w:lang w:val="en-US" w:eastAsia="zh-CN"/>
              </w:rPr>
              <w:t>溆浦县金中定点屠宰场已建车间</w:t>
            </w:r>
            <w:r>
              <w:rPr>
                <w:rFonts w:hint="default" w:ascii="Times New Roman" w:hAnsi="Times New Roman" w:cs="Times New Roman"/>
                <w:color w:val="auto"/>
                <w:u w:val="none" w:color="auto"/>
                <w:lang w:val="en-US" w:eastAsia="zh-CN"/>
              </w:rPr>
              <w:t>内</w:t>
            </w:r>
            <w:r>
              <w:rPr>
                <w:rFonts w:hint="eastAsia" w:cs="Times New Roman"/>
                <w:color w:val="auto"/>
                <w:u w:val="none" w:color="auto"/>
                <w:lang w:val="en-US" w:eastAsia="zh-CN"/>
              </w:rPr>
              <w:t>进行技改建</w:t>
            </w:r>
            <w:r>
              <w:rPr>
                <w:rFonts w:hint="default" w:ascii="Times New Roman" w:hAnsi="Times New Roman" w:cs="Times New Roman"/>
                <w:color w:val="auto"/>
                <w:u w:val="none" w:color="auto"/>
                <w:lang w:val="en-US" w:eastAsia="zh-CN"/>
              </w:rPr>
              <w:t>，项目周边主要无珍稀、濒危植物及国家法规保护的植物资源，无环境敏感区。本项目不需要开展生态环境现状调查。</w:t>
            </w:r>
          </w:p>
          <w:p w14:paraId="6E6DC0EC">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3.6 </w:t>
            </w:r>
            <w:r>
              <w:rPr>
                <w:rFonts w:hint="default" w:ascii="Times New Roman" w:hAnsi="Times New Roman" w:eastAsia="黑体" w:cs="Times New Roman"/>
                <w:b/>
                <w:bCs/>
                <w:color w:val="auto"/>
                <w:u w:val="none" w:color="auto"/>
                <w:lang w:val="en-US" w:eastAsia="zh-CN"/>
              </w:rPr>
              <w:t>电磁辐射</w:t>
            </w:r>
          </w:p>
          <w:p w14:paraId="3F1D326C">
            <w:pPr>
              <w:bidi w:val="0"/>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none" w:color="auto"/>
                <w:lang w:val="en-US" w:eastAsia="zh-CN"/>
              </w:rPr>
              <w:t>本项目不属于电磁辐射类项目，可不对电磁辐射现状开展监测与评价。</w:t>
            </w:r>
          </w:p>
        </w:tc>
      </w:tr>
      <w:tr w14:paraId="3133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9" w:hRule="atLeast"/>
        </w:trPr>
        <w:tc>
          <w:tcPr>
            <w:tcW w:w="394" w:type="dxa"/>
            <w:vAlign w:val="center"/>
          </w:tcPr>
          <w:p w14:paraId="35A5891D">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环境保护目标</w:t>
            </w:r>
          </w:p>
        </w:tc>
        <w:tc>
          <w:tcPr>
            <w:tcW w:w="8894" w:type="dxa"/>
            <w:vAlign w:val="center"/>
          </w:tcPr>
          <w:p w14:paraId="2ABEEB0D">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3.7 </w:t>
            </w:r>
            <w:r>
              <w:rPr>
                <w:rFonts w:hint="default" w:ascii="Times New Roman" w:hAnsi="Times New Roman" w:eastAsia="黑体" w:cs="Times New Roman"/>
                <w:b/>
                <w:bCs/>
                <w:color w:val="auto"/>
                <w:u w:val="none" w:color="auto"/>
                <w:lang w:val="en-US" w:eastAsia="zh-CN"/>
              </w:rPr>
              <w:t>环境保护目标</w:t>
            </w:r>
          </w:p>
          <w:p w14:paraId="1574E012">
            <w:pPr>
              <w:bidi w:val="0"/>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u w:val="none" w:color="auto"/>
                <w:lang w:val="en-US" w:eastAsia="zh-CN"/>
              </w:rPr>
              <w:t>项目位于</w:t>
            </w:r>
            <w:r>
              <w:rPr>
                <w:rFonts w:hint="default" w:ascii="Times New Roman" w:hAnsi="Times New Roman" w:cs="Times New Roman"/>
                <w:color w:val="auto"/>
                <w:sz w:val="24"/>
                <w:szCs w:val="24"/>
                <w:u w:val="none" w:color="auto"/>
                <w:vertAlign w:val="baseline"/>
                <w:lang w:val="en-US" w:eastAsia="zh-CN"/>
              </w:rPr>
              <w:t>湖南省</w:t>
            </w:r>
            <w:r>
              <w:rPr>
                <w:rFonts w:hint="eastAsia" w:ascii="Times New Roman" w:hAnsi="Times New Roman" w:eastAsia="宋体" w:cs="Times New Roman"/>
                <w:color w:val="auto"/>
                <w:sz w:val="24"/>
                <w:u w:val="none"/>
                <w:lang w:eastAsia="zh-CN"/>
              </w:rPr>
              <w:t>怀化市</w:t>
            </w:r>
            <w:r>
              <w:rPr>
                <w:rFonts w:hint="default" w:ascii="Times New Roman" w:hAnsi="Times New Roman" w:eastAsia="宋体" w:cs="Times New Roman"/>
                <w:color w:val="auto"/>
                <w:sz w:val="24"/>
                <w:u w:val="none"/>
                <w:lang w:eastAsia="zh-CN"/>
              </w:rPr>
              <w:t>溆浦县卢峰镇</w:t>
            </w:r>
            <w:r>
              <w:rPr>
                <w:rFonts w:hint="eastAsia" w:cs="Times New Roman"/>
                <w:color w:val="auto"/>
                <w:sz w:val="24"/>
                <w:u w:val="none"/>
                <w:lang w:eastAsia="zh-CN"/>
              </w:rPr>
              <w:t>水田垅村</w:t>
            </w:r>
            <w:r>
              <w:rPr>
                <w:rFonts w:hint="default" w:ascii="Times New Roman" w:hAnsi="Times New Roman" w:cs="Times New Roman"/>
                <w:color w:val="auto"/>
                <w:sz w:val="24"/>
                <w:szCs w:val="24"/>
                <w:u w:val="none" w:color="auto"/>
                <w:vertAlign w:val="baseline"/>
                <w:lang w:val="en-US" w:eastAsia="zh-CN"/>
              </w:rPr>
              <w:t>。厂界外500米范围内无地下水集中式饮用水源和热水、矿泉水、温泉等特殊地下水资源，不涉及地下水环境保护目标、水生动物，不涉及生态环境保护目标。根据《</w:t>
            </w:r>
            <w:r>
              <w:rPr>
                <w:rFonts w:hint="default" w:ascii="Times New Roman" w:hAnsi="Times New Roman" w:cs="Times New Roman"/>
                <w:color w:val="auto"/>
                <w:sz w:val="24"/>
                <w:u w:val="none" w:color="auto"/>
              </w:rPr>
              <w:t>建设项目环境影响报告表编制技术指南（污染影响类）（试行）</w:t>
            </w:r>
            <w:r>
              <w:rPr>
                <w:rFonts w:hint="default" w:ascii="Times New Roman" w:hAnsi="Times New Roman" w:cs="Times New Roman"/>
                <w:color w:val="auto"/>
                <w:sz w:val="24"/>
                <w:szCs w:val="24"/>
                <w:u w:val="none" w:color="auto"/>
                <w:vertAlign w:val="baseline"/>
                <w:lang w:val="en-US" w:eastAsia="zh-CN"/>
              </w:rPr>
              <w:t>》，本次仅考虑500 m范围内大气环境保护目标和50 m范围内声环境保护目标</w:t>
            </w:r>
            <w:r>
              <w:rPr>
                <w:rFonts w:hint="eastAsia" w:cs="Times New Roman"/>
                <w:color w:val="auto"/>
                <w:sz w:val="24"/>
                <w:szCs w:val="24"/>
                <w:u w:val="none" w:color="auto"/>
                <w:vertAlign w:val="baseline"/>
                <w:lang w:val="en-US" w:eastAsia="zh-CN"/>
              </w:rPr>
              <w:t>，根据现场踏勘，</w:t>
            </w:r>
            <w:r>
              <w:rPr>
                <w:rFonts w:hint="default" w:ascii="Times New Roman" w:hAnsi="Times New Roman" w:cs="Times New Roman"/>
                <w:color w:val="auto"/>
                <w:sz w:val="24"/>
                <w:szCs w:val="24"/>
                <w:u w:val="none" w:color="auto"/>
                <w:vertAlign w:val="baseline"/>
                <w:lang w:val="en-US" w:eastAsia="zh-CN"/>
              </w:rPr>
              <w:t>本项目主要环境保护目标详见下表。</w:t>
            </w:r>
          </w:p>
          <w:p w14:paraId="1B114425">
            <w:pPr>
              <w:bidi w:val="0"/>
              <w:ind w:left="0" w:leftChars="0" w:firstLine="0" w:firstLineChars="0"/>
              <w:jc w:val="center"/>
              <w:rPr>
                <w:rFonts w:hint="default" w:ascii="Times New Roman" w:hAnsi="Times New Roman" w:cs="Times New Roman"/>
                <w:color w:val="auto"/>
                <w:sz w:val="24"/>
                <w:szCs w:val="24"/>
                <w:highlight w:val="none"/>
                <w:u w:val="none" w:color="auto"/>
                <w:vertAlign w:val="baseline"/>
                <w:lang w:val="en-US" w:eastAsia="zh-CN"/>
              </w:rPr>
            </w:pPr>
            <w:r>
              <w:rPr>
                <w:rFonts w:hint="default" w:ascii="Times New Roman" w:hAnsi="Times New Roman" w:cs="Times New Roman"/>
                <w:color w:val="auto"/>
                <w:sz w:val="24"/>
                <w:szCs w:val="24"/>
                <w:highlight w:val="none"/>
                <w:u w:val="none" w:color="auto"/>
                <w:vertAlign w:val="baseline"/>
                <w:lang w:val="en-US" w:eastAsia="zh-CN"/>
              </w:rPr>
              <w:t>表3.7-1 主要环境保护目标一览表</w:t>
            </w:r>
          </w:p>
          <w:tbl>
            <w:tblPr>
              <w:tblStyle w:val="23"/>
              <w:tblW w:w="869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680"/>
              <w:gridCol w:w="1675"/>
              <w:gridCol w:w="1062"/>
              <w:gridCol w:w="1805"/>
              <w:gridCol w:w="891"/>
              <w:gridCol w:w="929"/>
            </w:tblGrid>
            <w:tr w14:paraId="1637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50" w:type="dxa"/>
                  <w:vAlign w:val="center"/>
                </w:tcPr>
                <w:p w14:paraId="23BB7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项目</w:t>
                  </w:r>
                </w:p>
              </w:tc>
              <w:tc>
                <w:tcPr>
                  <w:tcW w:w="1680" w:type="dxa"/>
                  <w:vAlign w:val="center"/>
                </w:tcPr>
                <w:p w14:paraId="2EC6D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名称</w:t>
                  </w:r>
                </w:p>
              </w:tc>
              <w:tc>
                <w:tcPr>
                  <w:tcW w:w="1675" w:type="dxa"/>
                  <w:vAlign w:val="center"/>
                </w:tcPr>
                <w:p w14:paraId="5D559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中心坐标</w:t>
                  </w:r>
                </w:p>
              </w:tc>
              <w:tc>
                <w:tcPr>
                  <w:tcW w:w="1062" w:type="dxa"/>
                  <w:vAlign w:val="center"/>
                </w:tcPr>
                <w:p w14:paraId="5A404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保护内容</w:t>
                  </w:r>
                </w:p>
              </w:tc>
              <w:tc>
                <w:tcPr>
                  <w:tcW w:w="1805" w:type="dxa"/>
                  <w:vAlign w:val="center"/>
                </w:tcPr>
                <w:p w14:paraId="692BC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环境功能区</w:t>
                  </w:r>
                </w:p>
              </w:tc>
              <w:tc>
                <w:tcPr>
                  <w:tcW w:w="891" w:type="dxa"/>
                  <w:vAlign w:val="center"/>
                </w:tcPr>
                <w:p w14:paraId="057EF4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相对厂址方位</w:t>
                  </w:r>
                </w:p>
              </w:tc>
              <w:tc>
                <w:tcPr>
                  <w:tcW w:w="929" w:type="dxa"/>
                  <w:vAlign w:val="center"/>
                </w:tcPr>
                <w:p w14:paraId="07A13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距厂界/m</w:t>
                  </w:r>
                </w:p>
              </w:tc>
            </w:tr>
            <w:tr w14:paraId="4213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restart"/>
                  <w:vAlign w:val="center"/>
                </w:tcPr>
                <w:p w14:paraId="3255E9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大气环境</w:t>
                  </w:r>
                </w:p>
              </w:tc>
              <w:tc>
                <w:tcPr>
                  <w:tcW w:w="1680" w:type="dxa"/>
                  <w:vAlign w:val="center"/>
                </w:tcPr>
                <w:p w14:paraId="06466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散户居民点1</w:t>
                  </w:r>
                </w:p>
              </w:tc>
              <w:tc>
                <w:tcPr>
                  <w:tcW w:w="1675" w:type="dxa"/>
                  <w:vAlign w:val="center"/>
                </w:tcPr>
                <w:p w14:paraId="3FE46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110°34′22.28</w:t>
                  </w:r>
                  <w:r>
                    <w:rPr>
                      <w:rFonts w:hint="eastAsia" w:cs="Times New Roman"/>
                      <w:color w:val="auto"/>
                      <w:kern w:val="2"/>
                      <w:sz w:val="21"/>
                      <w:szCs w:val="21"/>
                      <w:u w:val="single" w:color="auto"/>
                      <w:vertAlign w:val="baseline"/>
                      <w:lang w:val="en-US" w:eastAsia="zh-CN" w:bidi="ar-SA"/>
                    </w:rPr>
                    <w:t>6</w:t>
                  </w:r>
                  <w:r>
                    <w:rPr>
                      <w:rFonts w:hint="default" w:ascii="Times New Roman" w:hAnsi="Times New Roman" w:eastAsia="宋体" w:cs="Times New Roman"/>
                      <w:color w:val="auto"/>
                      <w:kern w:val="2"/>
                      <w:sz w:val="21"/>
                      <w:szCs w:val="21"/>
                      <w:u w:val="single" w:color="auto"/>
                      <w:vertAlign w:val="baseline"/>
                      <w:lang w:val="en-US" w:eastAsia="zh-CN" w:bidi="ar-SA"/>
                    </w:rPr>
                    <w:t>″E</w:t>
                  </w:r>
                </w:p>
                <w:p w14:paraId="77FB1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27°54′10.00</w:t>
                  </w:r>
                  <w:r>
                    <w:rPr>
                      <w:rFonts w:hint="eastAsia" w:cs="Times New Roman"/>
                      <w:color w:val="auto"/>
                      <w:kern w:val="2"/>
                      <w:sz w:val="21"/>
                      <w:szCs w:val="21"/>
                      <w:u w:val="single" w:color="auto"/>
                      <w:vertAlign w:val="baseline"/>
                      <w:lang w:val="en-US" w:eastAsia="zh-CN" w:bidi="ar-SA"/>
                    </w:rPr>
                    <w:t>5</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vAlign w:val="center"/>
                </w:tcPr>
                <w:p w14:paraId="23867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居民</w:t>
                  </w:r>
                  <w:r>
                    <w:rPr>
                      <w:rFonts w:hint="default" w:ascii="Times New Roman" w:hAnsi="Times New Roman" w:cs="Times New Roman"/>
                      <w:color w:val="auto"/>
                      <w:sz w:val="21"/>
                      <w:szCs w:val="21"/>
                      <w:u w:val="single" w:color="auto"/>
                      <w:vertAlign w:val="baseline"/>
                      <w:lang w:val="en-US" w:eastAsia="zh-CN"/>
                    </w:rPr>
                    <w:t>，约</w:t>
                  </w:r>
                  <w:r>
                    <w:rPr>
                      <w:rFonts w:hint="eastAsia" w:cs="Times New Roman"/>
                      <w:color w:val="auto"/>
                      <w:sz w:val="21"/>
                      <w:szCs w:val="21"/>
                      <w:u w:val="single" w:color="auto"/>
                      <w:vertAlign w:val="baseline"/>
                      <w:lang w:val="en-US" w:eastAsia="zh-CN"/>
                    </w:rPr>
                    <w:t>2户</w:t>
                  </w:r>
                </w:p>
              </w:tc>
              <w:tc>
                <w:tcPr>
                  <w:tcW w:w="1805" w:type="dxa"/>
                  <w:vMerge w:val="restart"/>
                  <w:vAlign w:val="center"/>
                </w:tcPr>
                <w:p w14:paraId="732A6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《环境空气质量标准》（GB</w:t>
                  </w:r>
                  <w:r>
                    <w:rPr>
                      <w:rFonts w:hint="eastAsia" w:cs="Times New Roman"/>
                      <w:color w:val="auto"/>
                      <w:sz w:val="21"/>
                      <w:szCs w:val="21"/>
                      <w:u w:val="single" w:color="auto"/>
                      <w:vertAlign w:val="baseline"/>
                      <w:lang w:val="en-US" w:eastAsia="zh-CN"/>
                    </w:rPr>
                    <w:t xml:space="preserve"> </w:t>
                  </w:r>
                  <w:r>
                    <w:rPr>
                      <w:rFonts w:hint="default" w:ascii="Times New Roman" w:hAnsi="Times New Roman" w:cs="Times New Roman"/>
                      <w:color w:val="auto"/>
                      <w:sz w:val="21"/>
                      <w:szCs w:val="21"/>
                      <w:u w:val="single" w:color="auto"/>
                      <w:vertAlign w:val="baseline"/>
                      <w:lang w:val="en-US" w:eastAsia="zh-CN"/>
                    </w:rPr>
                    <w:t>3095-2012）二类区</w:t>
                  </w:r>
                </w:p>
              </w:tc>
              <w:tc>
                <w:tcPr>
                  <w:tcW w:w="891" w:type="dxa"/>
                  <w:vAlign w:val="center"/>
                </w:tcPr>
                <w:p w14:paraId="0617C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E</w:t>
                  </w:r>
                </w:p>
              </w:tc>
              <w:tc>
                <w:tcPr>
                  <w:tcW w:w="929" w:type="dxa"/>
                  <w:vAlign w:val="center"/>
                </w:tcPr>
                <w:p w14:paraId="27811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35-60</w:t>
                  </w:r>
                </w:p>
              </w:tc>
            </w:tr>
            <w:tr w14:paraId="0489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5A3ED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12BA8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①罗忠仁家</w:t>
                  </w:r>
                </w:p>
              </w:tc>
              <w:tc>
                <w:tcPr>
                  <w:tcW w:w="1675" w:type="dxa"/>
                  <w:vAlign w:val="center"/>
                </w:tcPr>
                <w:p w14:paraId="52DC5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110°34′22.114″E27°54′10.</w:t>
                  </w:r>
                  <w:r>
                    <w:rPr>
                      <w:rFonts w:hint="eastAsia" w:cs="Times New Roman"/>
                      <w:color w:val="auto"/>
                      <w:kern w:val="2"/>
                      <w:sz w:val="21"/>
                      <w:szCs w:val="21"/>
                      <w:u w:val="single" w:color="auto"/>
                      <w:vertAlign w:val="baseline"/>
                      <w:lang w:val="en-US" w:eastAsia="zh-CN" w:bidi="ar-SA"/>
                    </w:rPr>
                    <w:t>175</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vAlign w:val="center"/>
                </w:tcPr>
                <w:p w14:paraId="3A0FD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公参对象</w:t>
                  </w:r>
                </w:p>
              </w:tc>
              <w:tc>
                <w:tcPr>
                  <w:tcW w:w="1805" w:type="dxa"/>
                  <w:vMerge w:val="continue"/>
                  <w:vAlign w:val="center"/>
                </w:tcPr>
                <w:p w14:paraId="0865E6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3A857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E</w:t>
                  </w:r>
                </w:p>
              </w:tc>
              <w:tc>
                <w:tcPr>
                  <w:tcW w:w="929" w:type="dxa"/>
                  <w:vAlign w:val="center"/>
                </w:tcPr>
                <w:p w14:paraId="60577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35</w:t>
                  </w:r>
                </w:p>
              </w:tc>
            </w:tr>
            <w:tr w14:paraId="7BF2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46470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22BA1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②龚于军家</w:t>
                  </w:r>
                </w:p>
              </w:tc>
              <w:tc>
                <w:tcPr>
                  <w:tcW w:w="1675" w:type="dxa"/>
                  <w:shd w:val="clear" w:color="auto" w:fill="auto"/>
                  <w:vAlign w:val="center"/>
                </w:tcPr>
                <w:p w14:paraId="107A3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110°34′22.82</w:t>
                  </w:r>
                  <w:r>
                    <w:rPr>
                      <w:rFonts w:hint="eastAsia" w:cs="Times New Roman"/>
                      <w:color w:val="auto"/>
                      <w:kern w:val="2"/>
                      <w:sz w:val="21"/>
                      <w:szCs w:val="21"/>
                      <w:u w:val="single" w:color="auto"/>
                      <w:vertAlign w:val="baseline"/>
                      <w:lang w:val="en-US" w:eastAsia="zh-CN" w:bidi="ar-SA"/>
                    </w:rPr>
                    <w:t>9</w:t>
                  </w:r>
                  <w:r>
                    <w:rPr>
                      <w:rFonts w:hint="default" w:ascii="Times New Roman" w:hAnsi="Times New Roman" w:eastAsia="宋体" w:cs="Times New Roman"/>
                      <w:color w:val="auto"/>
                      <w:kern w:val="2"/>
                      <w:sz w:val="21"/>
                      <w:szCs w:val="21"/>
                      <w:u w:val="single" w:color="auto"/>
                      <w:vertAlign w:val="baseline"/>
                      <w:lang w:val="en-US" w:eastAsia="zh-CN" w:bidi="ar-SA"/>
                    </w:rPr>
                    <w:t>″E27°54′</w:t>
                  </w:r>
                  <w:r>
                    <w:rPr>
                      <w:rFonts w:hint="eastAsia" w:cs="Times New Roman"/>
                      <w:color w:val="auto"/>
                      <w:kern w:val="2"/>
                      <w:sz w:val="21"/>
                      <w:szCs w:val="21"/>
                      <w:u w:val="single" w:color="auto"/>
                      <w:vertAlign w:val="baseline"/>
                      <w:lang w:val="en-US" w:eastAsia="zh-CN" w:bidi="ar-SA"/>
                    </w:rPr>
                    <w:t>9.982</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shd w:val="clear" w:color="auto" w:fill="auto"/>
                  <w:vAlign w:val="center"/>
                </w:tcPr>
                <w:p w14:paraId="4A7FF8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公参对象</w:t>
                  </w:r>
                </w:p>
              </w:tc>
              <w:tc>
                <w:tcPr>
                  <w:tcW w:w="1805" w:type="dxa"/>
                  <w:vMerge w:val="continue"/>
                  <w:vAlign w:val="center"/>
                </w:tcPr>
                <w:p w14:paraId="20E0E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shd w:val="clear" w:color="auto" w:fill="auto"/>
                  <w:vAlign w:val="center"/>
                </w:tcPr>
                <w:p w14:paraId="2CDD78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E</w:t>
                  </w:r>
                </w:p>
              </w:tc>
              <w:tc>
                <w:tcPr>
                  <w:tcW w:w="929" w:type="dxa"/>
                  <w:shd w:val="clear" w:color="auto" w:fill="auto"/>
                  <w:vAlign w:val="center"/>
                </w:tcPr>
                <w:p w14:paraId="2B5B2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40</w:t>
                  </w:r>
                </w:p>
              </w:tc>
            </w:tr>
            <w:tr w14:paraId="5B03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78457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77428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散户居民点2</w:t>
                  </w:r>
                </w:p>
              </w:tc>
              <w:tc>
                <w:tcPr>
                  <w:tcW w:w="1675" w:type="dxa"/>
                  <w:shd w:val="clear" w:color="auto" w:fill="auto"/>
                  <w:vAlign w:val="center"/>
                </w:tcPr>
                <w:p w14:paraId="53C8F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110°34′17.38</w:t>
                  </w:r>
                  <w:r>
                    <w:rPr>
                      <w:rFonts w:hint="eastAsia" w:cs="Times New Roman"/>
                      <w:color w:val="auto"/>
                      <w:kern w:val="2"/>
                      <w:sz w:val="21"/>
                      <w:szCs w:val="21"/>
                      <w:u w:val="single" w:color="auto"/>
                      <w:vertAlign w:val="baseline"/>
                      <w:lang w:val="en-US" w:eastAsia="zh-CN" w:bidi="ar-SA"/>
                    </w:rPr>
                    <w:t>1</w:t>
                  </w:r>
                  <w:r>
                    <w:rPr>
                      <w:rFonts w:hint="default" w:ascii="Times New Roman" w:hAnsi="Times New Roman" w:eastAsia="宋体" w:cs="Times New Roman"/>
                      <w:color w:val="auto"/>
                      <w:kern w:val="2"/>
                      <w:sz w:val="21"/>
                      <w:szCs w:val="21"/>
                      <w:u w:val="single" w:color="auto"/>
                      <w:vertAlign w:val="baseline"/>
                      <w:lang w:val="en-US" w:eastAsia="zh-CN" w:bidi="ar-SA"/>
                    </w:rPr>
                    <w:t>″E</w:t>
                  </w:r>
                </w:p>
                <w:p w14:paraId="2175E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27°54′8.44</w:t>
                  </w:r>
                  <w:r>
                    <w:rPr>
                      <w:rFonts w:hint="eastAsia" w:cs="Times New Roman"/>
                      <w:color w:val="auto"/>
                      <w:kern w:val="2"/>
                      <w:sz w:val="21"/>
                      <w:szCs w:val="21"/>
                      <w:u w:val="single" w:color="auto"/>
                      <w:vertAlign w:val="baseline"/>
                      <w:lang w:val="en-US" w:eastAsia="zh-CN" w:bidi="ar-SA"/>
                    </w:rPr>
                    <w:t>1</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vAlign w:val="center"/>
                </w:tcPr>
                <w:p w14:paraId="719E9E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14</w:t>
                  </w:r>
                  <w:r>
                    <w:rPr>
                      <w:rFonts w:hint="default" w:ascii="Times New Roman" w:hAnsi="Times New Roman" w:cs="Times New Roman"/>
                      <w:color w:val="auto"/>
                      <w:sz w:val="21"/>
                      <w:szCs w:val="21"/>
                      <w:u w:val="single" w:color="auto"/>
                      <w:vertAlign w:val="baseline"/>
                      <w:lang w:val="en-US" w:eastAsia="zh-CN"/>
                    </w:rPr>
                    <w:t>户</w:t>
                  </w:r>
                </w:p>
              </w:tc>
              <w:tc>
                <w:tcPr>
                  <w:tcW w:w="1805" w:type="dxa"/>
                  <w:vMerge w:val="continue"/>
                  <w:vAlign w:val="center"/>
                </w:tcPr>
                <w:p w14:paraId="484ADF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7DCD9C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w:t>
                  </w:r>
                </w:p>
              </w:tc>
              <w:tc>
                <w:tcPr>
                  <w:tcW w:w="929" w:type="dxa"/>
                  <w:vAlign w:val="center"/>
                </w:tcPr>
                <w:p w14:paraId="3BDA9B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4</w:t>
                  </w:r>
                  <w:r>
                    <w:rPr>
                      <w:rFonts w:hint="default" w:ascii="Times New Roman" w:hAnsi="Times New Roman" w:cs="Times New Roman"/>
                      <w:color w:val="auto"/>
                      <w:sz w:val="21"/>
                      <w:szCs w:val="21"/>
                      <w:u w:val="single" w:color="auto"/>
                      <w:vertAlign w:val="baseline"/>
                      <w:lang w:val="en-US" w:eastAsia="zh-CN"/>
                    </w:rPr>
                    <w:t>-</w:t>
                  </w:r>
                  <w:r>
                    <w:rPr>
                      <w:rFonts w:hint="eastAsia" w:cs="Times New Roman"/>
                      <w:color w:val="auto"/>
                      <w:sz w:val="21"/>
                      <w:szCs w:val="21"/>
                      <w:u w:val="single" w:color="auto"/>
                      <w:vertAlign w:val="baseline"/>
                      <w:lang w:val="en-US" w:eastAsia="zh-CN"/>
                    </w:rPr>
                    <w:t>35</w:t>
                  </w:r>
                  <w:r>
                    <w:rPr>
                      <w:rFonts w:hint="default" w:ascii="Times New Roman" w:hAnsi="Times New Roman" w:cs="Times New Roman"/>
                      <w:color w:val="auto"/>
                      <w:sz w:val="21"/>
                      <w:szCs w:val="21"/>
                      <w:u w:val="single" w:color="auto"/>
                      <w:vertAlign w:val="baseline"/>
                      <w:lang w:val="en-US" w:eastAsia="zh-CN"/>
                    </w:rPr>
                    <w:t>0</w:t>
                  </w:r>
                </w:p>
              </w:tc>
            </w:tr>
            <w:tr w14:paraId="3BC7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17FB4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730CD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③石利华家</w:t>
                  </w:r>
                </w:p>
              </w:tc>
              <w:tc>
                <w:tcPr>
                  <w:tcW w:w="1675" w:type="dxa"/>
                  <w:shd w:val="clear" w:color="auto" w:fill="auto"/>
                  <w:vAlign w:val="center"/>
                </w:tcPr>
                <w:p w14:paraId="7B9C7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110°34′16.83</w:t>
                  </w:r>
                  <w:r>
                    <w:rPr>
                      <w:rFonts w:hint="eastAsia" w:cs="Times New Roman"/>
                      <w:color w:val="auto"/>
                      <w:kern w:val="2"/>
                      <w:sz w:val="21"/>
                      <w:szCs w:val="21"/>
                      <w:u w:val="single" w:color="auto"/>
                      <w:vertAlign w:val="baseline"/>
                      <w:lang w:val="en-US" w:eastAsia="zh-CN" w:bidi="ar-SA"/>
                    </w:rPr>
                    <w:t>3</w:t>
                  </w:r>
                  <w:r>
                    <w:rPr>
                      <w:rFonts w:hint="default" w:ascii="Times New Roman" w:hAnsi="Times New Roman" w:eastAsia="宋体" w:cs="Times New Roman"/>
                      <w:color w:val="auto"/>
                      <w:kern w:val="2"/>
                      <w:sz w:val="21"/>
                      <w:szCs w:val="21"/>
                      <w:u w:val="single" w:color="auto"/>
                      <w:vertAlign w:val="baseline"/>
                      <w:lang w:val="en-US" w:eastAsia="zh-CN" w:bidi="ar-SA"/>
                    </w:rPr>
                    <w:t>″E27°54′</w:t>
                  </w:r>
                  <w:r>
                    <w:rPr>
                      <w:rFonts w:hint="eastAsia" w:cs="Times New Roman"/>
                      <w:color w:val="auto"/>
                      <w:kern w:val="2"/>
                      <w:sz w:val="21"/>
                      <w:szCs w:val="21"/>
                      <w:u w:val="single" w:color="auto"/>
                      <w:vertAlign w:val="baseline"/>
                      <w:lang w:val="en-US" w:eastAsia="zh-CN" w:bidi="ar-SA"/>
                    </w:rPr>
                    <w:t>7.568</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shd w:val="clear" w:color="auto" w:fill="auto"/>
                  <w:vAlign w:val="center"/>
                </w:tcPr>
                <w:p w14:paraId="0FC8F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公参对象</w:t>
                  </w:r>
                </w:p>
              </w:tc>
              <w:tc>
                <w:tcPr>
                  <w:tcW w:w="1805" w:type="dxa"/>
                  <w:vMerge w:val="continue"/>
                  <w:vAlign w:val="center"/>
                </w:tcPr>
                <w:p w14:paraId="5E5196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7848C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w:t>
                  </w:r>
                </w:p>
              </w:tc>
              <w:tc>
                <w:tcPr>
                  <w:tcW w:w="929" w:type="dxa"/>
                  <w:vAlign w:val="center"/>
                </w:tcPr>
                <w:p w14:paraId="40F0D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4</w:t>
                  </w:r>
                </w:p>
              </w:tc>
            </w:tr>
            <w:tr w14:paraId="236F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53A4DE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3AD834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single" w:color="auto"/>
                      <w:vertAlign w:val="baseline"/>
                      <w:lang w:val="en-US" w:eastAsia="zh-CN"/>
                    </w:rPr>
                  </w:pPr>
                  <w:r>
                    <w:rPr>
                      <w:rFonts w:hint="eastAsia" w:cs="Times New Roman"/>
                      <w:color w:val="auto"/>
                      <w:sz w:val="18"/>
                      <w:szCs w:val="18"/>
                      <w:u w:val="single" w:color="auto"/>
                      <w:vertAlign w:val="baseline"/>
                      <w:lang w:val="en-US" w:eastAsia="zh-CN"/>
                    </w:rPr>
                    <w:t>④石绍平家</w:t>
                  </w:r>
                </w:p>
              </w:tc>
              <w:tc>
                <w:tcPr>
                  <w:tcW w:w="1675" w:type="dxa"/>
                  <w:shd w:val="clear" w:color="auto" w:fill="auto"/>
                  <w:vAlign w:val="center"/>
                </w:tcPr>
                <w:p w14:paraId="7AC58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110°34′17.315″E27°54′</w:t>
                  </w:r>
                  <w:r>
                    <w:rPr>
                      <w:rFonts w:hint="eastAsia" w:cs="Times New Roman"/>
                      <w:color w:val="auto"/>
                      <w:kern w:val="2"/>
                      <w:sz w:val="21"/>
                      <w:szCs w:val="21"/>
                      <w:u w:val="single" w:color="auto"/>
                      <w:vertAlign w:val="baseline"/>
                      <w:lang w:val="en-US" w:eastAsia="zh-CN" w:bidi="ar-SA"/>
                    </w:rPr>
                    <w:t>8.369</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shd w:val="clear" w:color="auto" w:fill="auto"/>
                  <w:vAlign w:val="center"/>
                </w:tcPr>
                <w:p w14:paraId="54330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公参对象</w:t>
                  </w:r>
                </w:p>
              </w:tc>
              <w:tc>
                <w:tcPr>
                  <w:tcW w:w="1805" w:type="dxa"/>
                  <w:vMerge w:val="continue"/>
                  <w:vAlign w:val="center"/>
                </w:tcPr>
                <w:p w14:paraId="6FCAD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3EF44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w:t>
                  </w:r>
                </w:p>
              </w:tc>
              <w:tc>
                <w:tcPr>
                  <w:tcW w:w="929" w:type="dxa"/>
                  <w:vAlign w:val="center"/>
                </w:tcPr>
                <w:p w14:paraId="7FCB5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6</w:t>
                  </w:r>
                </w:p>
              </w:tc>
            </w:tr>
            <w:tr w14:paraId="52B2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62709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7472A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散户居民点3</w:t>
                  </w:r>
                </w:p>
              </w:tc>
              <w:tc>
                <w:tcPr>
                  <w:tcW w:w="1675" w:type="dxa"/>
                  <w:shd w:val="clear" w:color="auto" w:fill="auto"/>
                  <w:vAlign w:val="center"/>
                </w:tcPr>
                <w:p w14:paraId="0224E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110°34′7.203″</w:t>
                  </w:r>
                  <w:r>
                    <w:rPr>
                      <w:rFonts w:hint="eastAsia" w:cs="Times New Roman"/>
                      <w:color w:val="auto"/>
                      <w:kern w:val="2"/>
                      <w:sz w:val="21"/>
                      <w:szCs w:val="21"/>
                      <w:u w:val="single" w:color="auto"/>
                      <w:vertAlign w:val="baseline"/>
                      <w:lang w:val="en-US" w:eastAsia="zh-CN" w:bidi="ar-SA"/>
                    </w:rPr>
                    <w:t>E</w:t>
                  </w:r>
                </w:p>
                <w:p w14:paraId="44A75B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default" w:cs="Times New Roman"/>
                      <w:color w:val="auto"/>
                      <w:kern w:val="2"/>
                      <w:sz w:val="21"/>
                      <w:szCs w:val="21"/>
                      <w:u w:val="single" w:color="auto"/>
                      <w:vertAlign w:val="baseline"/>
                      <w:lang w:val="en-US" w:eastAsia="zh-CN" w:bidi="ar-SA"/>
                    </w:rPr>
                    <w:t>27°54′12.43</w:t>
                  </w:r>
                  <w:r>
                    <w:rPr>
                      <w:rFonts w:hint="eastAsia" w:cs="Times New Roman"/>
                      <w:color w:val="auto"/>
                      <w:kern w:val="2"/>
                      <w:sz w:val="21"/>
                      <w:szCs w:val="21"/>
                      <w:u w:val="single" w:color="auto"/>
                      <w:vertAlign w:val="baseline"/>
                      <w:lang w:val="en-US" w:eastAsia="zh-CN" w:bidi="ar-SA"/>
                    </w:rPr>
                    <w:t>8</w:t>
                  </w:r>
                  <w:r>
                    <w:rPr>
                      <w:rFonts w:hint="default" w:cs="Times New Roman"/>
                      <w:color w:val="auto"/>
                      <w:kern w:val="2"/>
                      <w:sz w:val="21"/>
                      <w:szCs w:val="21"/>
                      <w:u w:val="single" w:color="auto"/>
                      <w:vertAlign w:val="baseline"/>
                      <w:lang w:val="en-US" w:eastAsia="zh-CN" w:bidi="ar-SA"/>
                    </w:rPr>
                    <w:t>″</w:t>
                  </w:r>
                  <w:r>
                    <w:rPr>
                      <w:rFonts w:hint="eastAsia" w:cs="Times New Roman"/>
                      <w:color w:val="auto"/>
                      <w:kern w:val="2"/>
                      <w:sz w:val="21"/>
                      <w:szCs w:val="21"/>
                      <w:u w:val="single" w:color="auto"/>
                      <w:vertAlign w:val="baseline"/>
                      <w:lang w:val="en-US" w:eastAsia="zh-CN" w:bidi="ar-SA"/>
                    </w:rPr>
                    <w:t>N</w:t>
                  </w:r>
                </w:p>
              </w:tc>
              <w:tc>
                <w:tcPr>
                  <w:tcW w:w="1062" w:type="dxa"/>
                  <w:vAlign w:val="center"/>
                </w:tcPr>
                <w:p w14:paraId="53AC6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60</w:t>
                  </w:r>
                  <w:r>
                    <w:rPr>
                      <w:rFonts w:hint="default" w:ascii="Times New Roman" w:hAnsi="Times New Roman" w:cs="Times New Roman"/>
                      <w:color w:val="auto"/>
                      <w:sz w:val="21"/>
                      <w:szCs w:val="21"/>
                      <w:u w:val="single" w:color="auto"/>
                      <w:vertAlign w:val="baseline"/>
                      <w:lang w:val="en-US" w:eastAsia="zh-CN"/>
                    </w:rPr>
                    <w:t>户</w:t>
                  </w:r>
                </w:p>
              </w:tc>
              <w:tc>
                <w:tcPr>
                  <w:tcW w:w="1805" w:type="dxa"/>
                  <w:vMerge w:val="continue"/>
                  <w:vAlign w:val="center"/>
                </w:tcPr>
                <w:p w14:paraId="52211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03B52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WN</w:t>
                  </w:r>
                </w:p>
              </w:tc>
              <w:tc>
                <w:tcPr>
                  <w:tcW w:w="929" w:type="dxa"/>
                  <w:vAlign w:val="center"/>
                </w:tcPr>
                <w:p w14:paraId="70D3C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100-500</w:t>
                  </w:r>
                </w:p>
              </w:tc>
            </w:tr>
            <w:tr w14:paraId="3EC4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18B81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728FA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18"/>
                      <w:szCs w:val="18"/>
                      <w:u w:val="single" w:color="auto"/>
                      <w:vertAlign w:val="baseline"/>
                      <w:lang w:val="en-US" w:eastAsia="zh-CN"/>
                    </w:rPr>
                    <w:t>⑤</w:t>
                  </w:r>
                  <w:r>
                    <w:rPr>
                      <w:rFonts w:hint="eastAsia" w:cs="Times New Roman"/>
                      <w:color w:val="auto"/>
                      <w:sz w:val="21"/>
                      <w:szCs w:val="21"/>
                      <w:u w:val="single" w:color="auto"/>
                      <w:vertAlign w:val="baseline"/>
                      <w:lang w:val="en-US" w:eastAsia="zh-CN"/>
                    </w:rPr>
                    <w:t>刘强家</w:t>
                  </w:r>
                </w:p>
              </w:tc>
              <w:tc>
                <w:tcPr>
                  <w:tcW w:w="1675" w:type="dxa"/>
                  <w:shd w:val="clear" w:color="auto" w:fill="auto"/>
                  <w:vAlign w:val="center"/>
                </w:tcPr>
                <w:p w14:paraId="21B8A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default" w:cs="Times New Roman"/>
                      <w:color w:val="auto"/>
                      <w:kern w:val="2"/>
                      <w:sz w:val="21"/>
                      <w:szCs w:val="21"/>
                      <w:u w:val="single" w:color="auto"/>
                      <w:vertAlign w:val="baseline"/>
                      <w:lang w:val="en-US" w:eastAsia="zh-CN" w:bidi="ar-SA"/>
                    </w:rPr>
                    <w:t>110°34′12.767″</w:t>
                  </w:r>
                  <w:r>
                    <w:rPr>
                      <w:rFonts w:hint="eastAsia" w:cs="Times New Roman"/>
                      <w:color w:val="auto"/>
                      <w:kern w:val="2"/>
                      <w:sz w:val="21"/>
                      <w:szCs w:val="21"/>
                      <w:u w:val="single" w:color="auto"/>
                      <w:vertAlign w:val="baseline"/>
                      <w:lang w:val="en-US" w:eastAsia="zh-CN" w:bidi="ar-SA"/>
                    </w:rPr>
                    <w:t>E</w:t>
                  </w:r>
                </w:p>
                <w:p w14:paraId="360DE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default" w:cs="Times New Roman"/>
                      <w:color w:val="auto"/>
                      <w:kern w:val="2"/>
                      <w:sz w:val="21"/>
                      <w:szCs w:val="21"/>
                      <w:u w:val="single" w:color="auto"/>
                      <w:vertAlign w:val="baseline"/>
                      <w:lang w:val="en-US" w:eastAsia="zh-CN" w:bidi="ar-SA"/>
                    </w:rPr>
                    <w:t>27°54′</w:t>
                  </w:r>
                  <w:r>
                    <w:rPr>
                      <w:rFonts w:hint="eastAsia" w:cs="Times New Roman"/>
                      <w:color w:val="auto"/>
                      <w:kern w:val="2"/>
                      <w:sz w:val="21"/>
                      <w:szCs w:val="21"/>
                      <w:u w:val="single" w:color="auto"/>
                      <w:vertAlign w:val="baseline"/>
                      <w:lang w:val="en-US" w:eastAsia="zh-CN" w:bidi="ar-SA"/>
                    </w:rPr>
                    <w:t>7.712</w:t>
                  </w:r>
                  <w:r>
                    <w:rPr>
                      <w:rFonts w:hint="default" w:cs="Times New Roman"/>
                      <w:color w:val="auto"/>
                      <w:kern w:val="2"/>
                      <w:sz w:val="21"/>
                      <w:szCs w:val="21"/>
                      <w:u w:val="single" w:color="auto"/>
                      <w:vertAlign w:val="baseline"/>
                      <w:lang w:val="en-US" w:eastAsia="zh-CN" w:bidi="ar-SA"/>
                    </w:rPr>
                    <w:t>″</w:t>
                  </w:r>
                  <w:r>
                    <w:rPr>
                      <w:rFonts w:hint="eastAsia" w:cs="Times New Roman"/>
                      <w:color w:val="auto"/>
                      <w:kern w:val="2"/>
                      <w:sz w:val="21"/>
                      <w:szCs w:val="21"/>
                      <w:u w:val="single" w:color="auto"/>
                      <w:vertAlign w:val="baseline"/>
                      <w:lang w:val="en-US" w:eastAsia="zh-CN" w:bidi="ar-SA"/>
                    </w:rPr>
                    <w:t>N</w:t>
                  </w:r>
                </w:p>
              </w:tc>
              <w:tc>
                <w:tcPr>
                  <w:tcW w:w="1062" w:type="dxa"/>
                  <w:vAlign w:val="center"/>
                </w:tcPr>
                <w:p w14:paraId="7E199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公参对象</w:t>
                  </w:r>
                </w:p>
              </w:tc>
              <w:tc>
                <w:tcPr>
                  <w:tcW w:w="1805" w:type="dxa"/>
                  <w:vMerge w:val="continue"/>
                  <w:vAlign w:val="center"/>
                </w:tcPr>
                <w:p w14:paraId="1289D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640B6F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WN</w:t>
                  </w:r>
                </w:p>
              </w:tc>
              <w:tc>
                <w:tcPr>
                  <w:tcW w:w="929" w:type="dxa"/>
                  <w:vAlign w:val="center"/>
                </w:tcPr>
                <w:p w14:paraId="0A3BC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100</w:t>
                  </w:r>
                </w:p>
              </w:tc>
            </w:tr>
            <w:tr w14:paraId="436E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2C098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6647FF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散户居民点4</w:t>
                  </w:r>
                </w:p>
              </w:tc>
              <w:tc>
                <w:tcPr>
                  <w:tcW w:w="1675" w:type="dxa"/>
                  <w:shd w:val="clear" w:color="auto" w:fill="auto"/>
                  <w:vAlign w:val="center"/>
                </w:tcPr>
                <w:p w14:paraId="03713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110°34′17.052″E</w:t>
                  </w:r>
                </w:p>
                <w:p w14:paraId="5476A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27°54′17.227″N</w:t>
                  </w:r>
                </w:p>
              </w:tc>
              <w:tc>
                <w:tcPr>
                  <w:tcW w:w="1062" w:type="dxa"/>
                  <w:shd w:val="clear" w:color="auto" w:fill="auto"/>
                  <w:vAlign w:val="center"/>
                </w:tcPr>
                <w:p w14:paraId="0E65A7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5</w:t>
                  </w:r>
                  <w:r>
                    <w:rPr>
                      <w:rFonts w:hint="default" w:ascii="Times New Roman" w:hAnsi="Times New Roman" w:cs="Times New Roman"/>
                      <w:color w:val="auto"/>
                      <w:sz w:val="21"/>
                      <w:szCs w:val="21"/>
                      <w:u w:val="single" w:color="auto"/>
                      <w:vertAlign w:val="baseline"/>
                      <w:lang w:val="en-US" w:eastAsia="zh-CN"/>
                    </w:rPr>
                    <w:t>0户</w:t>
                  </w:r>
                </w:p>
              </w:tc>
              <w:tc>
                <w:tcPr>
                  <w:tcW w:w="1805" w:type="dxa"/>
                  <w:vMerge w:val="continue"/>
                  <w:vAlign w:val="center"/>
                </w:tcPr>
                <w:p w14:paraId="787068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65C2B7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N</w:t>
                  </w:r>
                </w:p>
              </w:tc>
              <w:tc>
                <w:tcPr>
                  <w:tcW w:w="929" w:type="dxa"/>
                  <w:vAlign w:val="center"/>
                </w:tcPr>
                <w:p w14:paraId="4BC8B1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30-490</w:t>
                  </w:r>
                </w:p>
              </w:tc>
            </w:tr>
            <w:tr w14:paraId="6011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768F5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shd w:val="clear" w:color="auto" w:fill="auto"/>
                  <w:vAlign w:val="center"/>
                </w:tcPr>
                <w:p w14:paraId="12DB03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散户居民点5</w:t>
                  </w:r>
                </w:p>
              </w:tc>
              <w:tc>
                <w:tcPr>
                  <w:tcW w:w="1675" w:type="dxa"/>
                  <w:vAlign w:val="center"/>
                </w:tcPr>
                <w:p w14:paraId="607C0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110°34′26.6</w:t>
                  </w:r>
                  <w:r>
                    <w:rPr>
                      <w:rFonts w:hint="eastAsia" w:cs="Times New Roman"/>
                      <w:color w:val="auto"/>
                      <w:kern w:val="2"/>
                      <w:sz w:val="21"/>
                      <w:szCs w:val="21"/>
                      <w:u w:val="single" w:color="auto"/>
                      <w:vertAlign w:val="baseline"/>
                      <w:lang w:val="en-US" w:eastAsia="zh-CN" w:bidi="ar-SA"/>
                    </w:rPr>
                    <w:t>7</w:t>
                  </w:r>
                  <w:r>
                    <w:rPr>
                      <w:rFonts w:hint="default" w:ascii="Times New Roman" w:hAnsi="Times New Roman" w:eastAsia="宋体" w:cs="Times New Roman"/>
                      <w:color w:val="auto"/>
                      <w:kern w:val="2"/>
                      <w:sz w:val="21"/>
                      <w:szCs w:val="21"/>
                      <w:u w:val="single" w:color="auto"/>
                      <w:vertAlign w:val="baseline"/>
                      <w:lang w:val="en-US" w:eastAsia="zh-CN" w:bidi="ar-SA"/>
                    </w:rPr>
                    <w:t>0″E</w:t>
                  </w:r>
                </w:p>
                <w:p w14:paraId="60C312B4">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27°54′14.52</w:t>
                  </w:r>
                  <w:r>
                    <w:rPr>
                      <w:rFonts w:hint="eastAsia" w:cs="Times New Roman"/>
                      <w:color w:val="auto"/>
                      <w:sz w:val="21"/>
                      <w:szCs w:val="21"/>
                      <w:u w:val="single" w:color="auto"/>
                      <w:lang w:val="en-US" w:eastAsia="zh-CN"/>
                    </w:rPr>
                    <w:t>4</w:t>
                  </w:r>
                  <w:r>
                    <w:rPr>
                      <w:rFonts w:hint="default" w:ascii="Times New Roman" w:hAnsi="Times New Roman" w:eastAsia="宋体" w:cs="Times New Roman"/>
                      <w:color w:val="auto"/>
                      <w:sz w:val="21"/>
                      <w:szCs w:val="21"/>
                      <w:u w:val="single" w:color="auto"/>
                      <w:lang w:val="en-US" w:eastAsia="zh-CN"/>
                    </w:rPr>
                    <w:t>″N</w:t>
                  </w:r>
                </w:p>
              </w:tc>
              <w:tc>
                <w:tcPr>
                  <w:tcW w:w="1062" w:type="dxa"/>
                  <w:vAlign w:val="center"/>
                </w:tcPr>
                <w:p w14:paraId="3A607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居民，约30户</w:t>
                  </w:r>
                </w:p>
              </w:tc>
              <w:tc>
                <w:tcPr>
                  <w:tcW w:w="1805" w:type="dxa"/>
                  <w:vMerge w:val="continue"/>
                  <w:vAlign w:val="center"/>
                </w:tcPr>
                <w:p w14:paraId="4ADD3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6F005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EN</w:t>
                  </w:r>
                </w:p>
              </w:tc>
              <w:tc>
                <w:tcPr>
                  <w:tcW w:w="929" w:type="dxa"/>
                  <w:vAlign w:val="center"/>
                </w:tcPr>
                <w:p w14:paraId="0963F3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120-500</w:t>
                  </w:r>
                </w:p>
              </w:tc>
            </w:tr>
            <w:tr w14:paraId="6668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2F596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66A885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散户居民点6</w:t>
                  </w:r>
                </w:p>
              </w:tc>
              <w:tc>
                <w:tcPr>
                  <w:tcW w:w="1675" w:type="dxa"/>
                  <w:vAlign w:val="center"/>
                </w:tcPr>
                <w:p w14:paraId="634F6B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110°34′30.918″E</w:t>
                  </w:r>
                </w:p>
                <w:p w14:paraId="2AB9200E">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eastAsia="zh-CN"/>
                    </w:rPr>
                    <w:t>27°54′12.43</w:t>
                  </w: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″N</w:t>
                  </w:r>
                </w:p>
              </w:tc>
              <w:tc>
                <w:tcPr>
                  <w:tcW w:w="1062" w:type="dxa"/>
                  <w:shd w:val="clear" w:color="auto" w:fill="auto"/>
                  <w:vAlign w:val="center"/>
                </w:tcPr>
                <w:p w14:paraId="71CF74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居民，约100户</w:t>
                  </w:r>
                </w:p>
              </w:tc>
              <w:tc>
                <w:tcPr>
                  <w:tcW w:w="1805" w:type="dxa"/>
                  <w:vMerge w:val="continue"/>
                  <w:vAlign w:val="center"/>
                </w:tcPr>
                <w:p w14:paraId="37916F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0B7D5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E</w:t>
                  </w:r>
                </w:p>
              </w:tc>
              <w:tc>
                <w:tcPr>
                  <w:tcW w:w="929" w:type="dxa"/>
                  <w:vAlign w:val="center"/>
                </w:tcPr>
                <w:p w14:paraId="4A842A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110-500</w:t>
                  </w:r>
                </w:p>
              </w:tc>
            </w:tr>
            <w:tr w14:paraId="1FEF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0A93F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1E6DB3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老年大学</w:t>
                  </w:r>
                </w:p>
              </w:tc>
              <w:tc>
                <w:tcPr>
                  <w:tcW w:w="1675" w:type="dxa"/>
                  <w:vAlign w:val="center"/>
                </w:tcPr>
                <w:p w14:paraId="2E0F2B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110°34′15.08</w:t>
                  </w:r>
                  <w:r>
                    <w:rPr>
                      <w:rFonts w:hint="eastAsia" w:cs="Times New Roman"/>
                      <w:color w:val="auto"/>
                      <w:kern w:val="2"/>
                      <w:sz w:val="21"/>
                      <w:szCs w:val="21"/>
                      <w:u w:val="single" w:color="auto"/>
                      <w:vertAlign w:val="baseline"/>
                      <w:lang w:val="en-US" w:eastAsia="zh-CN" w:bidi="ar-SA"/>
                    </w:rPr>
                    <w:t>3</w:t>
                  </w:r>
                  <w:r>
                    <w:rPr>
                      <w:rFonts w:hint="default" w:ascii="Times New Roman" w:hAnsi="Times New Roman" w:eastAsia="宋体" w:cs="Times New Roman"/>
                      <w:color w:val="auto"/>
                      <w:kern w:val="2"/>
                      <w:sz w:val="21"/>
                      <w:szCs w:val="21"/>
                      <w:u w:val="single" w:color="auto"/>
                      <w:vertAlign w:val="baseline"/>
                      <w:lang w:val="en-US" w:eastAsia="zh-CN" w:bidi="ar-SA"/>
                    </w:rPr>
                    <w:t>″E</w:t>
                  </w:r>
                </w:p>
                <w:p w14:paraId="74BEF103">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eastAsia="zh-CN"/>
                    </w:rPr>
                    <w:t>27°54′10.62</w:t>
                  </w:r>
                  <w:r>
                    <w:rPr>
                      <w:rFonts w:hint="eastAsia" w:cs="Times New Roman"/>
                      <w:color w:val="auto"/>
                      <w:sz w:val="21"/>
                      <w:szCs w:val="21"/>
                      <w:u w:val="single" w:color="auto"/>
                      <w:lang w:val="en-US" w:eastAsia="zh-CN"/>
                    </w:rPr>
                    <w:t>3</w:t>
                  </w:r>
                  <w:r>
                    <w:rPr>
                      <w:rFonts w:hint="default" w:ascii="Times New Roman" w:hAnsi="Times New Roman" w:eastAsia="宋体" w:cs="Times New Roman"/>
                      <w:color w:val="auto"/>
                      <w:sz w:val="21"/>
                      <w:szCs w:val="21"/>
                      <w:u w:val="single" w:color="auto"/>
                      <w:lang w:val="en-US" w:eastAsia="zh-CN"/>
                    </w:rPr>
                    <w:t>″N</w:t>
                  </w:r>
                </w:p>
              </w:tc>
              <w:tc>
                <w:tcPr>
                  <w:tcW w:w="1062" w:type="dxa"/>
                  <w:shd w:val="clear" w:color="auto" w:fill="auto"/>
                  <w:vAlign w:val="center"/>
                </w:tcPr>
                <w:p w14:paraId="246C98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师生</w:t>
                  </w:r>
                  <w:r>
                    <w:rPr>
                      <w:rFonts w:hint="default" w:ascii="Times New Roman" w:hAnsi="Times New Roman" w:cs="Times New Roman"/>
                      <w:color w:val="auto"/>
                      <w:sz w:val="21"/>
                      <w:szCs w:val="21"/>
                      <w:u w:val="single" w:color="auto"/>
                      <w:vertAlign w:val="baseline"/>
                      <w:lang w:val="en-US" w:eastAsia="zh-CN"/>
                    </w:rPr>
                    <w:t>，约</w:t>
                  </w:r>
                  <w:r>
                    <w:rPr>
                      <w:rFonts w:hint="eastAsia" w:cs="Times New Roman"/>
                      <w:color w:val="auto"/>
                      <w:sz w:val="21"/>
                      <w:szCs w:val="21"/>
                      <w:u w:val="single" w:color="auto"/>
                      <w:vertAlign w:val="baseline"/>
                      <w:lang w:val="en-US" w:eastAsia="zh-CN"/>
                    </w:rPr>
                    <w:t>500人</w:t>
                  </w:r>
                </w:p>
              </w:tc>
              <w:tc>
                <w:tcPr>
                  <w:tcW w:w="1805" w:type="dxa"/>
                  <w:vMerge w:val="continue"/>
                  <w:vAlign w:val="center"/>
                </w:tcPr>
                <w:p w14:paraId="2F150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3222A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EN</w:t>
                  </w:r>
                </w:p>
              </w:tc>
              <w:tc>
                <w:tcPr>
                  <w:tcW w:w="929" w:type="dxa"/>
                  <w:vAlign w:val="center"/>
                </w:tcPr>
                <w:p w14:paraId="10E18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60-180</w:t>
                  </w:r>
                </w:p>
              </w:tc>
            </w:tr>
            <w:tr w14:paraId="390F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78D61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6CBA2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大盛悦府</w:t>
                  </w:r>
                </w:p>
              </w:tc>
              <w:tc>
                <w:tcPr>
                  <w:tcW w:w="1675" w:type="dxa"/>
                  <w:vAlign w:val="center"/>
                </w:tcPr>
                <w:p w14:paraId="0DCDC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110°34′24.93</w:t>
                  </w:r>
                  <w:r>
                    <w:rPr>
                      <w:rFonts w:hint="eastAsia" w:cs="Times New Roman"/>
                      <w:color w:val="auto"/>
                      <w:kern w:val="2"/>
                      <w:sz w:val="21"/>
                      <w:szCs w:val="21"/>
                      <w:u w:val="single" w:color="auto"/>
                      <w:vertAlign w:val="baseline"/>
                      <w:lang w:val="en-US" w:eastAsia="zh-CN" w:bidi="ar-SA"/>
                    </w:rPr>
                    <w:t>2</w:t>
                  </w:r>
                  <w:r>
                    <w:rPr>
                      <w:rFonts w:hint="default" w:ascii="Times New Roman" w:hAnsi="Times New Roman" w:eastAsia="宋体" w:cs="Times New Roman"/>
                      <w:color w:val="auto"/>
                      <w:kern w:val="2"/>
                      <w:sz w:val="21"/>
                      <w:szCs w:val="21"/>
                      <w:u w:val="single" w:color="auto"/>
                      <w:vertAlign w:val="baseline"/>
                      <w:lang w:val="en-US" w:eastAsia="zh-CN" w:bidi="ar-SA"/>
                    </w:rPr>
                    <w:t>″E</w:t>
                  </w:r>
                </w:p>
                <w:p w14:paraId="7433F263">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eastAsia="zh-CN"/>
                    </w:rPr>
                    <w:t>27°53′56.37</w:t>
                  </w: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″N</w:t>
                  </w:r>
                </w:p>
              </w:tc>
              <w:tc>
                <w:tcPr>
                  <w:tcW w:w="1062" w:type="dxa"/>
                  <w:shd w:val="clear" w:color="auto" w:fill="auto"/>
                  <w:vAlign w:val="center"/>
                </w:tcPr>
                <w:p w14:paraId="39CB6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11</w:t>
                  </w:r>
                  <w:r>
                    <w:rPr>
                      <w:rFonts w:hint="default" w:ascii="Times New Roman" w:hAnsi="Times New Roman" w:cs="Times New Roman"/>
                      <w:color w:val="auto"/>
                      <w:sz w:val="21"/>
                      <w:szCs w:val="21"/>
                      <w:u w:val="single" w:color="auto"/>
                      <w:vertAlign w:val="baseline"/>
                      <w:lang w:val="en-US" w:eastAsia="zh-CN"/>
                    </w:rPr>
                    <w:t>00户</w:t>
                  </w:r>
                </w:p>
              </w:tc>
              <w:tc>
                <w:tcPr>
                  <w:tcW w:w="1805" w:type="dxa"/>
                  <w:vMerge w:val="continue"/>
                  <w:vAlign w:val="center"/>
                </w:tcPr>
                <w:p w14:paraId="35E98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6EC72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S</w:t>
                  </w:r>
                </w:p>
              </w:tc>
              <w:tc>
                <w:tcPr>
                  <w:tcW w:w="929" w:type="dxa"/>
                  <w:vAlign w:val="center"/>
                </w:tcPr>
                <w:p w14:paraId="643B7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252-500</w:t>
                  </w:r>
                </w:p>
              </w:tc>
            </w:tr>
            <w:tr w14:paraId="1A3B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4D086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shd w:val="clear" w:color="auto" w:fill="auto"/>
                  <w:vAlign w:val="center"/>
                </w:tcPr>
                <w:p w14:paraId="17973A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溆水外滩</w:t>
                  </w:r>
                </w:p>
              </w:tc>
              <w:tc>
                <w:tcPr>
                  <w:tcW w:w="1675" w:type="dxa"/>
                  <w:shd w:val="clear" w:color="auto" w:fill="auto"/>
                  <w:vAlign w:val="center"/>
                </w:tcPr>
                <w:p w14:paraId="32D12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110°34′33.9</w:t>
                  </w:r>
                  <w:r>
                    <w:rPr>
                      <w:rFonts w:hint="eastAsia" w:cs="Times New Roman"/>
                      <w:color w:val="auto"/>
                      <w:kern w:val="2"/>
                      <w:sz w:val="21"/>
                      <w:szCs w:val="21"/>
                      <w:u w:val="single" w:color="auto"/>
                      <w:vertAlign w:val="baseline"/>
                      <w:lang w:val="en-US" w:eastAsia="zh-CN" w:bidi="ar-SA"/>
                    </w:rPr>
                    <w:t>7</w:t>
                  </w:r>
                  <w:r>
                    <w:rPr>
                      <w:rFonts w:hint="default" w:ascii="Times New Roman" w:hAnsi="Times New Roman" w:eastAsia="宋体" w:cs="Times New Roman"/>
                      <w:color w:val="auto"/>
                      <w:kern w:val="2"/>
                      <w:sz w:val="21"/>
                      <w:szCs w:val="21"/>
                      <w:u w:val="single" w:color="auto"/>
                      <w:vertAlign w:val="baseline"/>
                      <w:lang w:val="en-US" w:eastAsia="zh-CN" w:bidi="ar-SA"/>
                    </w:rPr>
                    <w:t>0″E</w:t>
                  </w:r>
                </w:p>
                <w:p w14:paraId="6AACDB52">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eastAsia="zh-CN"/>
                    </w:rPr>
                    <w:t>27°54′1.623″N</w:t>
                  </w:r>
                </w:p>
              </w:tc>
              <w:tc>
                <w:tcPr>
                  <w:tcW w:w="1062" w:type="dxa"/>
                  <w:shd w:val="clear" w:color="auto" w:fill="auto"/>
                  <w:vAlign w:val="center"/>
                </w:tcPr>
                <w:p w14:paraId="32CE9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100</w:t>
                  </w:r>
                  <w:r>
                    <w:rPr>
                      <w:rFonts w:hint="default" w:ascii="Times New Roman" w:hAnsi="Times New Roman" w:cs="Times New Roman"/>
                      <w:color w:val="auto"/>
                      <w:sz w:val="21"/>
                      <w:szCs w:val="21"/>
                      <w:u w:val="single" w:color="auto"/>
                      <w:vertAlign w:val="baseline"/>
                      <w:lang w:val="en-US" w:eastAsia="zh-CN"/>
                    </w:rPr>
                    <w:t>0户</w:t>
                  </w:r>
                </w:p>
              </w:tc>
              <w:tc>
                <w:tcPr>
                  <w:tcW w:w="1805" w:type="dxa"/>
                  <w:vMerge w:val="continue"/>
                  <w:vAlign w:val="center"/>
                </w:tcPr>
                <w:p w14:paraId="473DD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55CE8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ES</w:t>
                  </w:r>
                </w:p>
              </w:tc>
              <w:tc>
                <w:tcPr>
                  <w:tcW w:w="929" w:type="dxa"/>
                  <w:vAlign w:val="center"/>
                </w:tcPr>
                <w:p w14:paraId="6AB69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320-500</w:t>
                  </w:r>
                </w:p>
              </w:tc>
            </w:tr>
            <w:tr w14:paraId="4795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0" w:type="dxa"/>
                  <w:vMerge w:val="continue"/>
                  <w:vAlign w:val="center"/>
                </w:tcPr>
                <w:p w14:paraId="23B13E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680" w:type="dxa"/>
                  <w:vAlign w:val="center"/>
                </w:tcPr>
                <w:p w14:paraId="3CC606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灵翠山公园</w:t>
                  </w:r>
                </w:p>
              </w:tc>
              <w:tc>
                <w:tcPr>
                  <w:tcW w:w="1675" w:type="dxa"/>
                  <w:shd w:val="clear" w:color="auto" w:fill="auto"/>
                  <w:vAlign w:val="center"/>
                </w:tcPr>
                <w:p w14:paraId="5E9E68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110°34′25.5</w:t>
                  </w:r>
                  <w:r>
                    <w:rPr>
                      <w:rFonts w:hint="eastAsia" w:cs="Times New Roman"/>
                      <w:color w:val="auto"/>
                      <w:kern w:val="2"/>
                      <w:sz w:val="21"/>
                      <w:szCs w:val="21"/>
                      <w:u w:val="single" w:color="auto"/>
                      <w:vertAlign w:val="baseline"/>
                      <w:lang w:val="en-US" w:eastAsia="zh-CN" w:bidi="ar-SA"/>
                    </w:rPr>
                    <w:t>50</w:t>
                  </w:r>
                  <w:r>
                    <w:rPr>
                      <w:rFonts w:hint="default" w:ascii="Times New Roman" w:hAnsi="Times New Roman" w:eastAsia="宋体" w:cs="Times New Roman"/>
                      <w:color w:val="auto"/>
                      <w:kern w:val="2"/>
                      <w:sz w:val="21"/>
                      <w:szCs w:val="21"/>
                      <w:u w:val="single" w:color="auto"/>
                      <w:vertAlign w:val="baseline"/>
                      <w:lang w:val="en-US" w:eastAsia="zh-CN" w:bidi="ar-SA"/>
                    </w:rPr>
                    <w:t>″E</w:t>
                  </w:r>
                </w:p>
                <w:p w14:paraId="5A458DA0">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eastAsia="zh-CN"/>
                    </w:rPr>
                    <w:t>27°54′21.78</w:t>
                  </w:r>
                  <w:r>
                    <w:rPr>
                      <w:rFonts w:hint="eastAsia" w:cs="Times New Roman"/>
                      <w:color w:val="auto"/>
                      <w:sz w:val="21"/>
                      <w:szCs w:val="21"/>
                      <w:u w:val="single" w:color="auto"/>
                      <w:lang w:val="en-US" w:eastAsia="zh-CN"/>
                    </w:rPr>
                    <w:t>5</w:t>
                  </w:r>
                  <w:r>
                    <w:rPr>
                      <w:rFonts w:hint="default" w:ascii="Times New Roman" w:hAnsi="Times New Roman" w:eastAsia="宋体" w:cs="Times New Roman"/>
                      <w:color w:val="auto"/>
                      <w:sz w:val="21"/>
                      <w:szCs w:val="21"/>
                      <w:u w:val="single" w:color="auto"/>
                      <w:lang w:val="en-US" w:eastAsia="zh-CN"/>
                    </w:rPr>
                    <w:t>″N</w:t>
                  </w:r>
                </w:p>
              </w:tc>
              <w:tc>
                <w:tcPr>
                  <w:tcW w:w="1062" w:type="dxa"/>
                  <w:shd w:val="clear" w:color="auto" w:fill="auto"/>
                  <w:vAlign w:val="center"/>
                </w:tcPr>
                <w:p w14:paraId="15C5C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游客，约100人</w:t>
                  </w:r>
                </w:p>
              </w:tc>
              <w:tc>
                <w:tcPr>
                  <w:tcW w:w="1805" w:type="dxa"/>
                  <w:vMerge w:val="continue"/>
                  <w:vAlign w:val="center"/>
                </w:tcPr>
                <w:p w14:paraId="422F2B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18E49A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EN</w:t>
                  </w:r>
                </w:p>
              </w:tc>
              <w:tc>
                <w:tcPr>
                  <w:tcW w:w="929" w:type="dxa"/>
                  <w:vAlign w:val="center"/>
                </w:tcPr>
                <w:p w14:paraId="283B5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207-500</w:t>
                  </w:r>
                </w:p>
              </w:tc>
            </w:tr>
            <w:tr w14:paraId="4F2B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50" w:type="dxa"/>
                  <w:vMerge w:val="restart"/>
                  <w:vAlign w:val="center"/>
                </w:tcPr>
                <w:p w14:paraId="53ED0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声环境</w:t>
                  </w:r>
                </w:p>
              </w:tc>
              <w:tc>
                <w:tcPr>
                  <w:tcW w:w="1680" w:type="dxa"/>
                  <w:vAlign w:val="center"/>
                </w:tcPr>
                <w:p w14:paraId="223F1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散户居民点1</w:t>
                  </w:r>
                </w:p>
              </w:tc>
              <w:tc>
                <w:tcPr>
                  <w:tcW w:w="1675" w:type="dxa"/>
                  <w:vAlign w:val="center"/>
                </w:tcPr>
                <w:p w14:paraId="7CBB8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110°34′22.28</w:t>
                  </w:r>
                  <w:r>
                    <w:rPr>
                      <w:rFonts w:hint="eastAsia" w:cs="Times New Roman"/>
                      <w:color w:val="auto"/>
                      <w:kern w:val="2"/>
                      <w:sz w:val="21"/>
                      <w:szCs w:val="21"/>
                      <w:u w:val="single" w:color="auto"/>
                      <w:vertAlign w:val="baseline"/>
                      <w:lang w:val="en-US" w:eastAsia="zh-CN" w:bidi="ar-SA"/>
                    </w:rPr>
                    <w:t>6</w:t>
                  </w:r>
                  <w:r>
                    <w:rPr>
                      <w:rFonts w:hint="default" w:ascii="Times New Roman" w:hAnsi="Times New Roman" w:eastAsia="宋体" w:cs="Times New Roman"/>
                      <w:color w:val="auto"/>
                      <w:kern w:val="2"/>
                      <w:sz w:val="21"/>
                      <w:szCs w:val="21"/>
                      <w:u w:val="single" w:color="auto"/>
                      <w:vertAlign w:val="baseline"/>
                      <w:lang w:val="en-US" w:eastAsia="zh-CN" w:bidi="ar-SA"/>
                    </w:rPr>
                    <w:t>″E</w:t>
                  </w:r>
                </w:p>
                <w:p w14:paraId="070C1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27°54′10.00</w:t>
                  </w:r>
                  <w:r>
                    <w:rPr>
                      <w:rFonts w:hint="eastAsia" w:cs="Times New Roman"/>
                      <w:color w:val="auto"/>
                      <w:kern w:val="2"/>
                      <w:sz w:val="21"/>
                      <w:szCs w:val="21"/>
                      <w:u w:val="single" w:color="auto"/>
                      <w:vertAlign w:val="baseline"/>
                      <w:lang w:val="en-US" w:eastAsia="zh-CN" w:bidi="ar-SA"/>
                    </w:rPr>
                    <w:t>5</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vAlign w:val="center"/>
                </w:tcPr>
                <w:p w14:paraId="380593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居民</w:t>
                  </w:r>
                  <w:r>
                    <w:rPr>
                      <w:rFonts w:hint="default" w:ascii="Times New Roman" w:hAnsi="Times New Roman" w:cs="Times New Roman"/>
                      <w:color w:val="auto"/>
                      <w:sz w:val="21"/>
                      <w:szCs w:val="21"/>
                      <w:u w:val="single" w:color="auto"/>
                      <w:vertAlign w:val="baseline"/>
                      <w:lang w:val="en-US" w:eastAsia="zh-CN"/>
                    </w:rPr>
                    <w:t>，约</w:t>
                  </w:r>
                  <w:r>
                    <w:rPr>
                      <w:rFonts w:hint="eastAsia" w:cs="Times New Roman"/>
                      <w:color w:val="auto"/>
                      <w:sz w:val="21"/>
                      <w:szCs w:val="21"/>
                      <w:u w:val="single" w:color="auto"/>
                      <w:vertAlign w:val="baseline"/>
                      <w:lang w:val="en-US" w:eastAsia="zh-CN"/>
                    </w:rPr>
                    <w:t>2户</w:t>
                  </w:r>
                </w:p>
              </w:tc>
              <w:tc>
                <w:tcPr>
                  <w:tcW w:w="1805" w:type="dxa"/>
                  <w:vMerge w:val="restart"/>
                  <w:shd w:val="clear" w:color="auto" w:fill="auto"/>
                  <w:vAlign w:val="center"/>
                </w:tcPr>
                <w:p w14:paraId="2A41E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w:t>
                  </w:r>
                  <w:r>
                    <w:rPr>
                      <w:rFonts w:hint="eastAsia" w:ascii="Times New Roman" w:hAnsi="Times New Roman" w:cs="Times New Roman"/>
                      <w:color w:val="auto"/>
                      <w:sz w:val="21"/>
                      <w:szCs w:val="21"/>
                      <w:u w:val="single" w:color="auto"/>
                      <w:vertAlign w:val="baseline"/>
                      <w:lang w:val="en-US" w:eastAsia="zh-CN"/>
                    </w:rPr>
                    <w:t>声</w:t>
                  </w:r>
                  <w:r>
                    <w:rPr>
                      <w:rFonts w:hint="default" w:ascii="Times New Roman" w:hAnsi="Times New Roman" w:cs="Times New Roman"/>
                      <w:color w:val="auto"/>
                      <w:sz w:val="21"/>
                      <w:szCs w:val="21"/>
                      <w:u w:val="single" w:color="auto"/>
                      <w:vertAlign w:val="baseline"/>
                      <w:lang w:val="en-US" w:eastAsia="zh-CN"/>
                    </w:rPr>
                    <w:t>环境质量标准》（GB</w:t>
                  </w:r>
                  <w:r>
                    <w:rPr>
                      <w:rFonts w:hint="eastAsia" w:cs="Times New Roman"/>
                      <w:color w:val="auto"/>
                      <w:sz w:val="21"/>
                      <w:szCs w:val="21"/>
                      <w:u w:val="single" w:color="auto"/>
                      <w:vertAlign w:val="baseline"/>
                      <w:lang w:val="en-US" w:eastAsia="zh-CN"/>
                    </w:rPr>
                    <w:t xml:space="preserve"> </w:t>
                  </w:r>
                  <w:r>
                    <w:rPr>
                      <w:rFonts w:hint="default" w:ascii="Times New Roman" w:hAnsi="Times New Roman" w:cs="Times New Roman"/>
                      <w:color w:val="auto"/>
                      <w:sz w:val="21"/>
                      <w:szCs w:val="21"/>
                      <w:u w:val="single" w:color="auto"/>
                      <w:vertAlign w:val="baseline"/>
                      <w:lang w:val="en-US" w:eastAsia="zh-CN"/>
                    </w:rPr>
                    <w:t>309</w:t>
                  </w:r>
                  <w:r>
                    <w:rPr>
                      <w:rFonts w:hint="eastAsia" w:ascii="Times New Roman" w:hAnsi="Times New Roman" w:cs="Times New Roman"/>
                      <w:color w:val="auto"/>
                      <w:sz w:val="21"/>
                      <w:szCs w:val="21"/>
                      <w:u w:val="single" w:color="auto"/>
                      <w:vertAlign w:val="baseline"/>
                      <w:lang w:val="en-US" w:eastAsia="zh-CN"/>
                    </w:rPr>
                    <w:t>6</w:t>
                  </w:r>
                  <w:r>
                    <w:rPr>
                      <w:rFonts w:hint="default" w:ascii="Times New Roman" w:hAnsi="Times New Roman" w:cs="Times New Roman"/>
                      <w:color w:val="auto"/>
                      <w:sz w:val="21"/>
                      <w:szCs w:val="21"/>
                      <w:u w:val="single" w:color="auto"/>
                      <w:vertAlign w:val="baseline"/>
                      <w:lang w:val="en-US" w:eastAsia="zh-CN"/>
                    </w:rPr>
                    <w:t>-20</w:t>
                  </w:r>
                  <w:r>
                    <w:rPr>
                      <w:rFonts w:hint="eastAsia" w:ascii="Times New Roman" w:hAnsi="Times New Roman" w:cs="Times New Roman"/>
                      <w:color w:val="auto"/>
                      <w:sz w:val="21"/>
                      <w:szCs w:val="21"/>
                      <w:u w:val="single" w:color="auto"/>
                      <w:vertAlign w:val="baseline"/>
                      <w:lang w:val="en-US" w:eastAsia="zh-CN"/>
                    </w:rPr>
                    <w:t>08</w:t>
                  </w:r>
                  <w:r>
                    <w:rPr>
                      <w:rFonts w:hint="default" w:ascii="Times New Roman" w:hAnsi="Times New Roman" w:cs="Times New Roman"/>
                      <w:color w:val="auto"/>
                      <w:sz w:val="21"/>
                      <w:szCs w:val="21"/>
                      <w:u w:val="single" w:color="auto"/>
                      <w:vertAlign w:val="baseline"/>
                      <w:lang w:val="en-US" w:eastAsia="zh-CN"/>
                    </w:rPr>
                    <w:t>）</w:t>
                  </w:r>
                  <w:r>
                    <w:rPr>
                      <w:rFonts w:hint="eastAsia" w:cs="Times New Roman"/>
                      <w:color w:val="auto"/>
                      <w:sz w:val="21"/>
                      <w:szCs w:val="21"/>
                      <w:u w:val="single" w:color="auto"/>
                      <w:vertAlign w:val="baseline"/>
                      <w:lang w:val="en-US" w:eastAsia="zh-CN"/>
                    </w:rPr>
                    <w:t>2</w:t>
                  </w:r>
                  <w:r>
                    <w:rPr>
                      <w:rFonts w:hint="default" w:ascii="Times New Roman" w:hAnsi="Times New Roman" w:cs="Times New Roman"/>
                      <w:color w:val="auto"/>
                      <w:sz w:val="21"/>
                      <w:szCs w:val="21"/>
                      <w:u w:val="single" w:color="auto"/>
                      <w:vertAlign w:val="baseline"/>
                      <w:lang w:val="en-US" w:eastAsia="zh-CN"/>
                    </w:rPr>
                    <w:t>类</w:t>
                  </w:r>
                  <w:r>
                    <w:rPr>
                      <w:rFonts w:hint="eastAsia" w:ascii="Times New Roman" w:hAnsi="Times New Roman" w:cs="Times New Roman"/>
                      <w:color w:val="auto"/>
                      <w:sz w:val="21"/>
                      <w:szCs w:val="21"/>
                      <w:u w:val="single" w:color="auto"/>
                      <w:vertAlign w:val="baseline"/>
                      <w:lang w:val="en-US" w:eastAsia="zh-CN"/>
                    </w:rPr>
                    <w:t>声功能</w:t>
                  </w:r>
                  <w:r>
                    <w:rPr>
                      <w:rFonts w:hint="default" w:ascii="Times New Roman" w:hAnsi="Times New Roman" w:cs="Times New Roman"/>
                      <w:color w:val="auto"/>
                      <w:sz w:val="21"/>
                      <w:szCs w:val="21"/>
                      <w:u w:val="single" w:color="auto"/>
                      <w:vertAlign w:val="baseline"/>
                      <w:lang w:val="en-US" w:eastAsia="zh-CN"/>
                    </w:rPr>
                    <w:t>区</w:t>
                  </w:r>
                </w:p>
              </w:tc>
              <w:tc>
                <w:tcPr>
                  <w:tcW w:w="891" w:type="dxa"/>
                  <w:vAlign w:val="center"/>
                </w:tcPr>
                <w:p w14:paraId="0138B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E</w:t>
                  </w:r>
                </w:p>
              </w:tc>
              <w:tc>
                <w:tcPr>
                  <w:tcW w:w="929" w:type="dxa"/>
                  <w:vAlign w:val="center"/>
                </w:tcPr>
                <w:p w14:paraId="5FB66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35-50</w:t>
                  </w:r>
                </w:p>
              </w:tc>
            </w:tr>
            <w:tr w14:paraId="6F4E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50" w:type="dxa"/>
                  <w:vMerge w:val="continue"/>
                  <w:vAlign w:val="center"/>
                </w:tcPr>
                <w:p w14:paraId="792B0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1680" w:type="dxa"/>
                  <w:shd w:val="clear" w:color="auto" w:fill="auto"/>
                  <w:vAlign w:val="center"/>
                </w:tcPr>
                <w:p w14:paraId="00828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散户居民点2</w:t>
                  </w:r>
                </w:p>
              </w:tc>
              <w:tc>
                <w:tcPr>
                  <w:tcW w:w="1675" w:type="dxa"/>
                  <w:shd w:val="clear" w:color="auto" w:fill="auto"/>
                  <w:vAlign w:val="center"/>
                </w:tcPr>
                <w:p w14:paraId="2DDD6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110°34′17.38</w:t>
                  </w:r>
                  <w:r>
                    <w:rPr>
                      <w:rFonts w:hint="eastAsia" w:cs="Times New Roman"/>
                      <w:color w:val="auto"/>
                      <w:kern w:val="2"/>
                      <w:sz w:val="21"/>
                      <w:szCs w:val="21"/>
                      <w:u w:val="single" w:color="auto"/>
                      <w:vertAlign w:val="baseline"/>
                      <w:lang w:val="en-US" w:eastAsia="zh-CN" w:bidi="ar-SA"/>
                    </w:rPr>
                    <w:t>1</w:t>
                  </w:r>
                  <w:r>
                    <w:rPr>
                      <w:rFonts w:hint="default" w:ascii="Times New Roman" w:hAnsi="Times New Roman" w:eastAsia="宋体" w:cs="Times New Roman"/>
                      <w:color w:val="auto"/>
                      <w:kern w:val="2"/>
                      <w:sz w:val="21"/>
                      <w:szCs w:val="21"/>
                      <w:u w:val="single" w:color="auto"/>
                      <w:vertAlign w:val="baseline"/>
                      <w:lang w:val="en-US" w:eastAsia="zh-CN" w:bidi="ar-SA"/>
                    </w:rPr>
                    <w:t>″E</w:t>
                  </w:r>
                </w:p>
                <w:p w14:paraId="78FF6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27°54′8.44</w:t>
                  </w:r>
                  <w:r>
                    <w:rPr>
                      <w:rFonts w:hint="eastAsia" w:cs="Times New Roman"/>
                      <w:color w:val="auto"/>
                      <w:kern w:val="2"/>
                      <w:sz w:val="21"/>
                      <w:szCs w:val="21"/>
                      <w:u w:val="single" w:color="auto"/>
                      <w:vertAlign w:val="baseline"/>
                      <w:lang w:val="en-US" w:eastAsia="zh-CN" w:bidi="ar-SA"/>
                    </w:rPr>
                    <w:t>1</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vAlign w:val="center"/>
                </w:tcPr>
                <w:p w14:paraId="2440F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3</w:t>
                  </w:r>
                  <w:r>
                    <w:rPr>
                      <w:rFonts w:hint="default" w:ascii="Times New Roman" w:hAnsi="Times New Roman" w:cs="Times New Roman"/>
                      <w:color w:val="auto"/>
                      <w:sz w:val="21"/>
                      <w:szCs w:val="21"/>
                      <w:u w:val="single" w:color="auto"/>
                      <w:vertAlign w:val="baseline"/>
                      <w:lang w:val="en-US" w:eastAsia="zh-CN"/>
                    </w:rPr>
                    <w:t>户</w:t>
                  </w:r>
                </w:p>
              </w:tc>
              <w:tc>
                <w:tcPr>
                  <w:tcW w:w="1805" w:type="dxa"/>
                  <w:vMerge w:val="continue"/>
                  <w:shd w:val="clear" w:color="auto" w:fill="auto"/>
                  <w:vAlign w:val="center"/>
                </w:tcPr>
                <w:p w14:paraId="61314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891" w:type="dxa"/>
                  <w:vAlign w:val="center"/>
                </w:tcPr>
                <w:p w14:paraId="4C3AC5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w:t>
                  </w:r>
                </w:p>
              </w:tc>
              <w:tc>
                <w:tcPr>
                  <w:tcW w:w="929" w:type="dxa"/>
                  <w:vAlign w:val="center"/>
                </w:tcPr>
                <w:p w14:paraId="2B838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4</w:t>
                  </w:r>
                  <w:r>
                    <w:rPr>
                      <w:rFonts w:hint="default" w:ascii="Times New Roman" w:hAnsi="Times New Roman" w:cs="Times New Roman"/>
                      <w:color w:val="auto"/>
                      <w:sz w:val="21"/>
                      <w:szCs w:val="21"/>
                      <w:u w:val="single" w:color="auto"/>
                      <w:vertAlign w:val="baseline"/>
                      <w:lang w:val="en-US" w:eastAsia="zh-CN"/>
                    </w:rPr>
                    <w:t>-</w:t>
                  </w:r>
                  <w:r>
                    <w:rPr>
                      <w:rFonts w:hint="eastAsia" w:cs="Times New Roman"/>
                      <w:color w:val="auto"/>
                      <w:sz w:val="21"/>
                      <w:szCs w:val="21"/>
                      <w:u w:val="single" w:color="auto"/>
                      <w:vertAlign w:val="baseline"/>
                      <w:lang w:val="en-US" w:eastAsia="zh-CN"/>
                    </w:rPr>
                    <w:t>5</w:t>
                  </w:r>
                  <w:r>
                    <w:rPr>
                      <w:rFonts w:hint="default" w:ascii="Times New Roman" w:hAnsi="Times New Roman" w:cs="Times New Roman"/>
                      <w:color w:val="auto"/>
                      <w:sz w:val="21"/>
                      <w:szCs w:val="21"/>
                      <w:u w:val="single" w:color="auto"/>
                      <w:vertAlign w:val="baseline"/>
                      <w:lang w:val="en-US" w:eastAsia="zh-CN"/>
                    </w:rPr>
                    <w:t>0</w:t>
                  </w:r>
                </w:p>
              </w:tc>
            </w:tr>
            <w:tr w14:paraId="6D35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50" w:type="dxa"/>
                  <w:vMerge w:val="continue"/>
                  <w:vAlign w:val="center"/>
                </w:tcPr>
                <w:p w14:paraId="674A06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single" w:color="auto"/>
                    </w:rPr>
                  </w:pPr>
                </w:p>
              </w:tc>
              <w:tc>
                <w:tcPr>
                  <w:tcW w:w="1680" w:type="dxa"/>
                  <w:vAlign w:val="center"/>
                </w:tcPr>
                <w:p w14:paraId="2F1569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散户居民点4</w:t>
                  </w:r>
                </w:p>
              </w:tc>
              <w:tc>
                <w:tcPr>
                  <w:tcW w:w="1675" w:type="dxa"/>
                  <w:shd w:val="clear" w:color="auto" w:fill="auto"/>
                  <w:vAlign w:val="center"/>
                </w:tcPr>
                <w:p w14:paraId="72D53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110°34′21.098″E</w:t>
                  </w:r>
                </w:p>
                <w:p w14:paraId="6D587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27°54′11.20</w:t>
                  </w:r>
                  <w:r>
                    <w:rPr>
                      <w:rFonts w:hint="eastAsia" w:cs="Times New Roman"/>
                      <w:color w:val="auto"/>
                      <w:kern w:val="2"/>
                      <w:sz w:val="21"/>
                      <w:szCs w:val="21"/>
                      <w:u w:val="single" w:color="auto"/>
                      <w:vertAlign w:val="baseline"/>
                      <w:lang w:val="en-US" w:eastAsia="zh-CN" w:bidi="ar-SA"/>
                    </w:rPr>
                    <w:t>2</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062" w:type="dxa"/>
                  <w:shd w:val="clear" w:color="auto" w:fill="auto"/>
                  <w:vAlign w:val="center"/>
                </w:tcPr>
                <w:p w14:paraId="7E638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6</w:t>
                  </w:r>
                  <w:r>
                    <w:rPr>
                      <w:rFonts w:hint="default" w:ascii="Times New Roman" w:hAnsi="Times New Roman" w:cs="Times New Roman"/>
                      <w:color w:val="auto"/>
                      <w:sz w:val="21"/>
                      <w:szCs w:val="21"/>
                      <w:u w:val="single" w:color="auto"/>
                      <w:vertAlign w:val="baseline"/>
                      <w:lang w:val="en-US" w:eastAsia="zh-CN"/>
                    </w:rPr>
                    <w:t>户</w:t>
                  </w:r>
                </w:p>
              </w:tc>
              <w:tc>
                <w:tcPr>
                  <w:tcW w:w="1805" w:type="dxa"/>
                  <w:vMerge w:val="continue"/>
                  <w:shd w:val="clear" w:color="auto" w:fill="auto"/>
                  <w:vAlign w:val="center"/>
                </w:tcPr>
                <w:p w14:paraId="593238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u w:val="single" w:color="auto"/>
                      <w:vertAlign w:val="baseline"/>
                      <w:lang w:val="en-US" w:eastAsia="zh-CN" w:bidi="ar-SA"/>
                    </w:rPr>
                  </w:pPr>
                </w:p>
              </w:tc>
              <w:tc>
                <w:tcPr>
                  <w:tcW w:w="891" w:type="dxa"/>
                  <w:vAlign w:val="center"/>
                </w:tcPr>
                <w:p w14:paraId="5F760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EN</w:t>
                  </w:r>
                </w:p>
              </w:tc>
              <w:tc>
                <w:tcPr>
                  <w:tcW w:w="929" w:type="dxa"/>
                  <w:vAlign w:val="center"/>
                </w:tcPr>
                <w:p w14:paraId="4F135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30-50</w:t>
                  </w:r>
                </w:p>
              </w:tc>
            </w:tr>
            <w:tr w14:paraId="7ECB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692" w:type="dxa"/>
                  <w:gridSpan w:val="7"/>
                  <w:vAlign w:val="center"/>
                </w:tcPr>
                <w:p w14:paraId="630C5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注：散户居民点2除石绍平及石利华家外，其余房屋暂时闲置，无人居住，故未进行公参。</w:t>
                  </w:r>
                </w:p>
              </w:tc>
            </w:tr>
          </w:tbl>
          <w:p w14:paraId="14B4A71D">
            <w:pPr>
              <w:bidi w:val="0"/>
              <w:ind w:left="0" w:leftChars="0" w:firstLine="0" w:firstLineChars="0"/>
              <w:jc w:val="center"/>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表3.7-2 水、生态环境保护目标一览表</w:t>
            </w:r>
          </w:p>
          <w:tbl>
            <w:tblPr>
              <w:tblStyle w:val="23"/>
              <w:tblW w:w="86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771"/>
              <w:gridCol w:w="1115"/>
              <w:gridCol w:w="2131"/>
              <w:gridCol w:w="997"/>
              <w:gridCol w:w="2728"/>
            </w:tblGrid>
            <w:tr w14:paraId="3E5F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0" w:type="dxa"/>
                  <w:vAlign w:val="center"/>
                </w:tcPr>
                <w:p w14:paraId="03606F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项目</w:t>
                  </w:r>
                </w:p>
              </w:tc>
              <w:tc>
                <w:tcPr>
                  <w:tcW w:w="771" w:type="dxa"/>
                  <w:vAlign w:val="center"/>
                </w:tcPr>
                <w:p w14:paraId="205D1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保护目标</w:t>
                  </w:r>
                </w:p>
              </w:tc>
              <w:tc>
                <w:tcPr>
                  <w:tcW w:w="1115" w:type="dxa"/>
                  <w:vAlign w:val="center"/>
                </w:tcPr>
                <w:p w14:paraId="29DBB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相对方位及距离</w:t>
                  </w:r>
                </w:p>
              </w:tc>
              <w:tc>
                <w:tcPr>
                  <w:tcW w:w="2131" w:type="dxa"/>
                  <w:vAlign w:val="center"/>
                </w:tcPr>
                <w:p w14:paraId="55043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规模</w:t>
                  </w:r>
                </w:p>
              </w:tc>
              <w:tc>
                <w:tcPr>
                  <w:tcW w:w="997" w:type="dxa"/>
                  <w:vAlign w:val="center"/>
                </w:tcPr>
                <w:p w14:paraId="7A5E18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功能</w:t>
                  </w:r>
                </w:p>
              </w:tc>
              <w:tc>
                <w:tcPr>
                  <w:tcW w:w="2728" w:type="dxa"/>
                  <w:vAlign w:val="center"/>
                </w:tcPr>
                <w:p w14:paraId="75A51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级别</w:t>
                  </w:r>
                </w:p>
              </w:tc>
            </w:tr>
            <w:tr w14:paraId="5795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20" w:type="dxa"/>
                  <w:vMerge w:val="restart"/>
                  <w:vAlign w:val="center"/>
                </w:tcPr>
                <w:p w14:paraId="148A0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地表水</w:t>
                  </w:r>
                </w:p>
              </w:tc>
              <w:tc>
                <w:tcPr>
                  <w:tcW w:w="771" w:type="dxa"/>
                  <w:vAlign w:val="center"/>
                </w:tcPr>
                <w:p w14:paraId="3DE7F8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溆水</w:t>
                  </w:r>
                </w:p>
              </w:tc>
              <w:tc>
                <w:tcPr>
                  <w:tcW w:w="1115" w:type="dxa"/>
                  <w:vAlign w:val="center"/>
                </w:tcPr>
                <w:p w14:paraId="3CBB6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S，30 m</w:t>
                  </w:r>
                </w:p>
              </w:tc>
              <w:tc>
                <w:tcPr>
                  <w:tcW w:w="2131" w:type="dxa"/>
                  <w:vAlign w:val="center"/>
                </w:tcPr>
                <w:p w14:paraId="3B6C82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ascii="Times New Roman" w:hAnsi="Times New Roman" w:eastAsia="宋体" w:cs="Times New Roman"/>
                      <w:i w:val="0"/>
                      <w:iCs w:val="0"/>
                      <w:caps w:val="0"/>
                      <w:color w:val="auto"/>
                      <w:spacing w:val="0"/>
                      <w:sz w:val="21"/>
                      <w:szCs w:val="21"/>
                      <w:u w:val="none" w:color="auto"/>
                      <w:shd w:val="clear"/>
                    </w:rPr>
                    <w:t>溆水全长约</w:t>
                  </w:r>
                  <w:r>
                    <w:rPr>
                      <w:rFonts w:hint="default" w:ascii="Times New Roman" w:hAnsi="Times New Roman" w:eastAsia="宋体" w:cs="Times New Roman"/>
                      <w:b w:val="0"/>
                      <w:bCs w:val="0"/>
                      <w:i w:val="0"/>
                      <w:iCs w:val="0"/>
                      <w:caps w:val="0"/>
                      <w:color w:val="auto"/>
                      <w:spacing w:val="0"/>
                      <w:sz w:val="21"/>
                      <w:szCs w:val="21"/>
                      <w:u w:val="none" w:color="auto"/>
                      <w:shd w:val="clear"/>
                    </w:rPr>
                    <w:t>143公里</w:t>
                  </w:r>
                  <w:r>
                    <w:rPr>
                      <w:rFonts w:hint="default" w:ascii="Times New Roman" w:hAnsi="Times New Roman" w:eastAsia="宋体" w:cs="Times New Roman"/>
                      <w:i w:val="0"/>
                      <w:iCs w:val="0"/>
                      <w:caps w:val="0"/>
                      <w:color w:val="auto"/>
                      <w:spacing w:val="0"/>
                      <w:sz w:val="21"/>
                      <w:szCs w:val="21"/>
                      <w:u w:val="none" w:color="auto"/>
                      <w:shd w:val="clear"/>
                    </w:rPr>
                    <w:t>，流域面积约</w:t>
                  </w:r>
                  <w:r>
                    <w:rPr>
                      <w:rFonts w:hint="default" w:ascii="Times New Roman" w:hAnsi="Times New Roman" w:eastAsia="宋体" w:cs="Times New Roman"/>
                      <w:b w:val="0"/>
                      <w:bCs w:val="0"/>
                      <w:i w:val="0"/>
                      <w:iCs w:val="0"/>
                      <w:caps w:val="0"/>
                      <w:color w:val="auto"/>
                      <w:spacing w:val="0"/>
                      <w:sz w:val="21"/>
                      <w:szCs w:val="21"/>
                      <w:u w:val="none" w:color="auto"/>
                      <w:shd w:val="clear"/>
                    </w:rPr>
                    <w:t>3290平方公里</w:t>
                  </w:r>
                </w:p>
              </w:tc>
              <w:tc>
                <w:tcPr>
                  <w:tcW w:w="997" w:type="dxa"/>
                  <w:vAlign w:val="center"/>
                </w:tcPr>
                <w:p w14:paraId="3F4AB2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生活、农业、工业等多功能水体</w:t>
                  </w:r>
                </w:p>
              </w:tc>
              <w:tc>
                <w:tcPr>
                  <w:tcW w:w="2728" w:type="dxa"/>
                  <w:vAlign w:val="center"/>
                </w:tcPr>
                <w:p w14:paraId="552C0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cs="Times New Roman"/>
                      <w:color w:val="auto"/>
                      <w:sz w:val="21"/>
                      <w:szCs w:val="21"/>
                      <w:u w:val="none" w:color="auto"/>
                      <w:vertAlign w:val="baseline"/>
                      <w:lang w:val="en-US" w:eastAsia="zh-CN"/>
                    </w:rPr>
                    <w:t>《地表水环境质量标准》（</w:t>
                  </w:r>
                  <w:r>
                    <w:rPr>
                      <w:rFonts w:hint="default" w:ascii="Times New Roman" w:hAnsi="Times New Roman" w:eastAsia="宋体" w:cs="Times New Roman"/>
                      <w:i w:val="0"/>
                      <w:iCs w:val="0"/>
                      <w:caps w:val="0"/>
                      <w:color w:val="auto"/>
                      <w:spacing w:val="0"/>
                      <w:sz w:val="21"/>
                      <w:szCs w:val="21"/>
                      <w:u w:val="none" w:color="auto"/>
                      <w:shd w:val="clear"/>
                    </w:rPr>
                    <w:t>GB 3838-2002 </w:t>
                  </w:r>
                  <w:r>
                    <w:rPr>
                      <w:rFonts w:hint="default" w:cs="Times New Roman"/>
                      <w:color w:val="auto"/>
                      <w:sz w:val="21"/>
                      <w:szCs w:val="21"/>
                      <w:u w:val="none" w:color="auto"/>
                      <w:vertAlign w:val="baseline"/>
                      <w:lang w:val="en-US" w:eastAsia="zh-CN"/>
                    </w:rPr>
                    <w:t>）Ⅲ类标准</w:t>
                  </w:r>
                </w:p>
              </w:tc>
            </w:tr>
            <w:tr w14:paraId="4132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20" w:type="dxa"/>
                  <w:vMerge w:val="continue"/>
                  <w:vAlign w:val="center"/>
                </w:tcPr>
                <w:p w14:paraId="3D508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771" w:type="dxa"/>
                  <w:vAlign w:val="center"/>
                </w:tcPr>
                <w:p w14:paraId="601A3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思蒙湿地</w:t>
                  </w:r>
                </w:p>
              </w:tc>
              <w:tc>
                <w:tcPr>
                  <w:tcW w:w="1115" w:type="dxa"/>
                  <w:vAlign w:val="center"/>
                </w:tcPr>
                <w:p w14:paraId="63529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WS，9 km</w:t>
                  </w:r>
                </w:p>
              </w:tc>
              <w:tc>
                <w:tcPr>
                  <w:tcW w:w="2131" w:type="dxa"/>
                  <w:vAlign w:val="center"/>
                </w:tcPr>
                <w:p w14:paraId="7FBFB3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1018公顷</w:t>
                  </w:r>
                </w:p>
              </w:tc>
              <w:tc>
                <w:tcPr>
                  <w:tcW w:w="997" w:type="dxa"/>
                  <w:vAlign w:val="center"/>
                </w:tcPr>
                <w:p w14:paraId="2292D5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生态保护功能</w:t>
                  </w:r>
                </w:p>
              </w:tc>
              <w:tc>
                <w:tcPr>
                  <w:tcW w:w="2728" w:type="dxa"/>
                  <w:vAlign w:val="center"/>
                </w:tcPr>
                <w:p w14:paraId="63012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国家级湿地公园</w:t>
                  </w:r>
                </w:p>
              </w:tc>
            </w:tr>
            <w:tr w14:paraId="2B25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20" w:type="dxa"/>
                  <w:vAlign w:val="center"/>
                </w:tcPr>
                <w:p w14:paraId="769AF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地下水</w:t>
                  </w:r>
                </w:p>
              </w:tc>
              <w:tc>
                <w:tcPr>
                  <w:tcW w:w="5014" w:type="dxa"/>
                  <w:gridSpan w:val="4"/>
                  <w:vAlign w:val="center"/>
                </w:tcPr>
                <w:p w14:paraId="0DA971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厂界500米范围内无地下水集中式饮用水水源和热水、矿泉水、温泉等特殊地下水资源</w:t>
                  </w:r>
                </w:p>
              </w:tc>
              <w:tc>
                <w:tcPr>
                  <w:tcW w:w="2728" w:type="dxa"/>
                  <w:vAlign w:val="center"/>
                </w:tcPr>
                <w:p w14:paraId="53856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r>
            <w:tr w14:paraId="52B8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20" w:type="dxa"/>
                  <w:vAlign w:val="center"/>
                </w:tcPr>
                <w:p w14:paraId="3DB44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生态环境</w:t>
                  </w:r>
                </w:p>
              </w:tc>
              <w:tc>
                <w:tcPr>
                  <w:tcW w:w="771" w:type="dxa"/>
                  <w:vAlign w:val="center"/>
                </w:tcPr>
                <w:p w14:paraId="6627C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项目区内</w:t>
                  </w:r>
                </w:p>
              </w:tc>
              <w:tc>
                <w:tcPr>
                  <w:tcW w:w="6971" w:type="dxa"/>
                  <w:gridSpan w:val="4"/>
                  <w:vAlign w:val="center"/>
                </w:tcPr>
                <w:p w14:paraId="74F3F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未新增用地，项目地无珍稀动植物、水生动物</w:t>
                  </w:r>
                </w:p>
              </w:tc>
            </w:tr>
          </w:tbl>
          <w:p w14:paraId="22BC738F">
            <w:pPr>
              <w:bidi w:val="0"/>
              <w:ind w:left="0" w:leftChars="0" w:firstLine="0" w:firstLineChars="0"/>
              <w:jc w:val="both"/>
              <w:rPr>
                <w:rFonts w:hint="default" w:ascii="Times New Roman" w:hAnsi="Times New Roman" w:cs="Times New Roman"/>
                <w:color w:val="FF0000"/>
                <w:sz w:val="24"/>
                <w:szCs w:val="24"/>
                <w:u w:val="none" w:color="auto"/>
                <w:vertAlign w:val="baseline"/>
                <w:lang w:val="en-US" w:eastAsia="zh-CN"/>
              </w:rPr>
            </w:pPr>
          </w:p>
        </w:tc>
      </w:tr>
      <w:tr w14:paraId="4D40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 w:type="dxa"/>
            <w:vAlign w:val="center"/>
          </w:tcPr>
          <w:p w14:paraId="0782E3B1">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污染物排放控制标准</w:t>
            </w:r>
          </w:p>
        </w:tc>
        <w:tc>
          <w:tcPr>
            <w:tcW w:w="8894" w:type="dxa"/>
            <w:vAlign w:val="center"/>
          </w:tcPr>
          <w:p w14:paraId="6D24792C">
            <w:pPr>
              <w:numPr>
                <w:ilvl w:val="0"/>
                <w:numId w:val="0"/>
              </w:numPr>
              <w:bidi w:val="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3.8 </w:t>
            </w:r>
            <w:r>
              <w:rPr>
                <w:rFonts w:hint="default" w:ascii="Times New Roman" w:hAnsi="Times New Roman" w:eastAsia="黑体" w:cs="Times New Roman"/>
                <w:b/>
                <w:bCs/>
                <w:color w:val="auto"/>
                <w:u w:val="none" w:color="auto"/>
                <w:lang w:val="en-US" w:eastAsia="zh-CN"/>
              </w:rPr>
              <w:t>废水</w:t>
            </w:r>
          </w:p>
          <w:p w14:paraId="135C52A4">
            <w:pPr>
              <w:bidi w:val="0"/>
              <w:rPr>
                <w:rFonts w:hint="default"/>
                <w:color w:val="auto"/>
                <w:u w:val="none" w:color="auto"/>
                <w:lang w:val="en-US" w:eastAsia="zh-CN"/>
              </w:rPr>
            </w:pPr>
            <w:r>
              <w:rPr>
                <w:rFonts w:hint="eastAsia"/>
                <w:color w:val="auto"/>
                <w:u w:val="none" w:color="auto"/>
                <w:lang w:val="en-US" w:eastAsia="zh-CN"/>
              </w:rPr>
              <w:t>项目运营期废水主要为屠宰生产废水以及车辆清洗废水，屠宰生产废水与车辆清洗废水经</w:t>
            </w:r>
            <w:r>
              <w:rPr>
                <w:rFonts w:hint="eastAsia"/>
                <w:color w:val="auto"/>
                <w:sz w:val="24"/>
                <w:szCs w:val="24"/>
                <w:u w:val="none" w:color="auto"/>
                <w:vertAlign w:val="baseline"/>
                <w:lang w:val="en-US" w:eastAsia="zh-CN"/>
              </w:rPr>
              <w:t>污水处理站（</w:t>
            </w:r>
            <w:r>
              <w:rPr>
                <w:rFonts w:hint="eastAsia" w:cstheme="minorBidi"/>
                <w:color w:val="auto"/>
                <w:sz w:val="24"/>
                <w:szCs w:val="24"/>
                <w:u w:val="none" w:color="auto"/>
                <w:lang w:val="en-US" w:eastAsia="zh-CN"/>
              </w:rPr>
              <w:t>格栅+隔油+曝气+气浮+厌氧+好氧+沉淀+消毒池</w:t>
            </w:r>
            <w:r>
              <w:rPr>
                <w:rFonts w:hint="eastAsia"/>
                <w:color w:val="auto"/>
                <w:sz w:val="24"/>
                <w:szCs w:val="24"/>
                <w:u w:val="none" w:color="auto"/>
                <w:vertAlign w:val="baseline"/>
                <w:lang w:val="en-US" w:eastAsia="zh-CN"/>
              </w:rPr>
              <w:t>）处理后</w:t>
            </w:r>
            <w:r>
              <w:rPr>
                <w:rFonts w:hint="eastAsia" w:ascii="Times New Roman" w:hAnsi="Times New Roman" w:eastAsia="宋体"/>
                <w:color w:val="auto"/>
                <w:sz w:val="24"/>
                <w:szCs w:val="24"/>
                <w:u w:val="none" w:color="auto"/>
                <w:lang w:val="en-US" w:eastAsia="zh-CN"/>
              </w:rPr>
              <w:t>，达到</w:t>
            </w:r>
            <w:r>
              <w:rPr>
                <w:rFonts w:hint="eastAsia"/>
                <w:color w:val="000000"/>
                <w:sz w:val="24"/>
                <w:szCs w:val="24"/>
                <w:u w:val="none"/>
              </w:rPr>
              <w:t>《肉类加工工业水污染物排放标准》</w:t>
            </w:r>
            <w:r>
              <w:rPr>
                <w:rFonts w:hint="eastAsia"/>
                <w:color w:val="000000"/>
                <w:sz w:val="24"/>
                <w:szCs w:val="24"/>
                <w:u w:val="none"/>
                <w:lang w:eastAsia="zh-CN"/>
              </w:rPr>
              <w:t>（GB</w:t>
            </w:r>
            <w:r>
              <w:rPr>
                <w:rFonts w:hint="eastAsia"/>
                <w:color w:val="000000"/>
                <w:sz w:val="24"/>
                <w:szCs w:val="24"/>
                <w:u w:val="none"/>
                <w:lang w:val="en-US" w:eastAsia="zh-CN"/>
              </w:rPr>
              <w:t xml:space="preserve"> </w:t>
            </w:r>
            <w:r>
              <w:rPr>
                <w:rFonts w:hint="eastAsia"/>
                <w:color w:val="000000"/>
                <w:sz w:val="24"/>
                <w:szCs w:val="24"/>
                <w:u w:val="none"/>
                <w:lang w:eastAsia="zh-CN"/>
              </w:rPr>
              <w:t>13457-92）</w:t>
            </w:r>
            <w:r>
              <w:rPr>
                <w:rFonts w:hint="eastAsia"/>
                <w:color w:val="000000"/>
                <w:sz w:val="24"/>
                <w:szCs w:val="24"/>
                <w:u w:val="none"/>
              </w:rPr>
              <w:t>表3</w:t>
            </w:r>
            <w:r>
              <w:rPr>
                <w:rFonts w:hint="eastAsia"/>
                <w:color w:val="000000"/>
                <w:sz w:val="24"/>
                <w:szCs w:val="24"/>
                <w:u w:val="none"/>
                <w:lang w:val="en-US" w:eastAsia="zh-CN"/>
              </w:rPr>
              <w:t>禽</w:t>
            </w:r>
            <w:r>
              <w:rPr>
                <w:rFonts w:hint="eastAsia"/>
                <w:color w:val="000000"/>
                <w:sz w:val="24"/>
                <w:szCs w:val="24"/>
                <w:u w:val="none"/>
              </w:rPr>
              <w:t>类屠宰加工的三级标准</w:t>
            </w:r>
            <w:r>
              <w:rPr>
                <w:rFonts w:hint="eastAsia"/>
                <w:color w:val="000000"/>
                <w:sz w:val="24"/>
                <w:szCs w:val="24"/>
                <w:u w:val="none"/>
                <w:lang w:eastAsia="zh-CN"/>
              </w:rPr>
              <w:t>（</w:t>
            </w:r>
            <w:r>
              <w:rPr>
                <w:rFonts w:hint="eastAsia" w:cs="Times New Roman"/>
                <w:color w:val="auto"/>
                <w:sz w:val="24"/>
                <w:szCs w:val="24"/>
                <w:u w:val="none" w:color="auto"/>
                <w:lang w:val="en-US" w:eastAsia="zh-CN"/>
              </w:rPr>
              <w:t>2028年1月1日前执行</w:t>
            </w:r>
            <w:r>
              <w:rPr>
                <w:rFonts w:hint="eastAsia"/>
                <w:color w:val="000000"/>
                <w:sz w:val="24"/>
                <w:szCs w:val="24"/>
                <w:u w:val="none"/>
                <w:lang w:eastAsia="zh-CN"/>
              </w:rPr>
              <w:t>，</w:t>
            </w:r>
            <w:r>
              <w:rPr>
                <w:rFonts w:hint="eastAsia"/>
                <w:color w:val="000000"/>
                <w:sz w:val="24"/>
                <w:szCs w:val="24"/>
                <w:u w:val="none"/>
                <w:lang w:val="en-US" w:eastAsia="zh-CN"/>
              </w:rPr>
              <w:t>因本项目同时涉及禽类屠宰及畜类屠宰，故本项目从严执行</w:t>
            </w:r>
            <w:r>
              <w:rPr>
                <w:rFonts w:hint="eastAsia"/>
                <w:color w:val="000000"/>
                <w:sz w:val="24"/>
                <w:szCs w:val="24"/>
                <w:u w:val="none"/>
              </w:rPr>
              <w:t>表3</w:t>
            </w:r>
            <w:r>
              <w:rPr>
                <w:rFonts w:hint="eastAsia"/>
                <w:color w:val="000000"/>
                <w:sz w:val="24"/>
                <w:szCs w:val="24"/>
                <w:u w:val="none"/>
                <w:lang w:val="en-US" w:eastAsia="zh-CN"/>
              </w:rPr>
              <w:t>禽</w:t>
            </w:r>
            <w:r>
              <w:rPr>
                <w:rFonts w:hint="eastAsia"/>
                <w:color w:val="000000"/>
                <w:sz w:val="24"/>
                <w:szCs w:val="24"/>
                <w:u w:val="none"/>
              </w:rPr>
              <w:t>类屠宰加工的三级标准</w:t>
            </w:r>
            <w:r>
              <w:rPr>
                <w:rFonts w:hint="eastAsia"/>
                <w:color w:val="000000"/>
                <w:sz w:val="24"/>
                <w:szCs w:val="24"/>
                <w:u w:val="none"/>
                <w:lang w:eastAsia="zh-CN"/>
              </w:rPr>
              <w:t>）、</w:t>
            </w:r>
            <w:r>
              <w:rPr>
                <w:rFonts w:hint="eastAsia" w:cs="Times New Roman"/>
                <w:color w:val="auto"/>
                <w:sz w:val="24"/>
                <w:szCs w:val="24"/>
                <w:u w:val="none" w:color="auto"/>
                <w:lang w:val="en-US" w:eastAsia="zh-CN"/>
              </w:rPr>
              <w:t>《屠宰及肉类加工工业水污染物排放标准》（GB 13457-2025）</w:t>
            </w:r>
            <w:r>
              <w:rPr>
                <w:rFonts w:hint="eastAsia" w:cs="Times New Roman"/>
                <w:color w:val="auto"/>
                <w:sz w:val="24"/>
                <w:szCs w:val="24"/>
                <w:u w:val="none" w:color="auto"/>
              </w:rPr>
              <w:t>表</w:t>
            </w:r>
            <w:r>
              <w:rPr>
                <w:rFonts w:hint="eastAsia" w:cs="Times New Roman"/>
                <w:color w:val="auto"/>
                <w:sz w:val="24"/>
                <w:szCs w:val="24"/>
                <w:u w:val="none" w:color="auto"/>
                <w:lang w:val="en-US" w:eastAsia="zh-CN"/>
              </w:rPr>
              <w:t>1水污染物排放限值（2028年1月1日后执行）</w:t>
            </w:r>
            <w:r>
              <w:rPr>
                <w:rFonts w:hint="eastAsia" w:ascii="Times New Roman" w:hAnsi="Times New Roman" w:cs="Times New Roman"/>
                <w:color w:val="auto"/>
                <w:u w:val="none" w:color="auto"/>
                <w:vertAlign w:val="baseline"/>
                <w:lang w:val="en-US" w:eastAsia="zh-CN"/>
              </w:rPr>
              <w:t>（</w:t>
            </w:r>
            <w:r>
              <w:rPr>
                <w:rFonts w:hint="eastAsia" w:cs="Times New Roman"/>
                <w:color w:val="auto"/>
                <w:sz w:val="24"/>
                <w:szCs w:val="24"/>
                <w:u w:val="none" w:color="auto"/>
                <w:lang w:val="en-US" w:eastAsia="zh-CN"/>
              </w:rPr>
              <w:t>2028年1月1日前：</w:t>
            </w:r>
            <w:r>
              <w:rPr>
                <w:rFonts w:hint="eastAsia" w:ascii="Times New Roman" w:hAnsi="Times New Roman" w:cs="Times New Roman"/>
                <w:color w:val="auto"/>
                <w:u w:val="none" w:color="auto"/>
                <w:vertAlign w:val="baseline"/>
                <w:lang w:val="en-US" w:eastAsia="zh-CN"/>
              </w:rPr>
              <w:t>氨氮</w:t>
            </w:r>
            <w:r>
              <w:rPr>
                <w:rFonts w:hint="eastAsia" w:cs="Times New Roman"/>
                <w:color w:val="auto"/>
                <w:u w:val="none" w:color="auto"/>
                <w:vertAlign w:val="baseline"/>
                <w:lang w:val="en-US" w:eastAsia="zh-CN"/>
              </w:rPr>
              <w:t>、总氮、总磷</w:t>
            </w:r>
            <w:r>
              <w:rPr>
                <w:rFonts w:hint="eastAsia" w:ascii="Times New Roman" w:hAnsi="Times New Roman" w:cs="Times New Roman"/>
                <w:color w:val="auto"/>
                <w:u w:val="none" w:color="auto"/>
                <w:vertAlign w:val="baseline"/>
                <w:lang w:val="en-US" w:eastAsia="zh-CN"/>
              </w:rPr>
              <w:t>执行</w:t>
            </w:r>
            <w:r>
              <w:rPr>
                <w:rFonts w:hint="default" w:ascii="Times New Roman" w:hAnsi="Times New Roman" w:cs="Times New Roman"/>
                <w:color w:val="auto"/>
                <w:u w:val="none" w:color="auto"/>
                <w:vertAlign w:val="baseline"/>
                <w:lang w:val="en-US" w:eastAsia="zh-CN"/>
              </w:rPr>
              <w:t>《污水排入城镇下水道水质标准》（GB/T 31962-2015）</w:t>
            </w:r>
            <w:r>
              <w:rPr>
                <w:rFonts w:hint="eastAsia" w:cs="Times New Roman"/>
                <w:color w:val="auto"/>
                <w:u w:val="none" w:color="auto"/>
                <w:vertAlign w:val="baseline"/>
                <w:lang w:val="en-US" w:eastAsia="zh-CN"/>
              </w:rPr>
              <w:t>B级</w:t>
            </w:r>
            <w:r>
              <w:rPr>
                <w:rFonts w:hint="default" w:ascii="Times New Roman" w:hAnsi="Times New Roman" w:eastAsia="宋体" w:cs="Times New Roman"/>
                <w:color w:val="auto"/>
                <w:u w:val="none" w:color="auto"/>
                <w:vertAlign w:val="baseline"/>
                <w:lang w:val="en-US" w:eastAsia="zh-CN"/>
              </w:rPr>
              <w:t>排放标准</w:t>
            </w:r>
            <w:r>
              <w:rPr>
                <w:rFonts w:hint="eastAsia" w:cs="Times New Roman"/>
                <w:color w:val="auto"/>
                <w:u w:val="none" w:color="auto"/>
                <w:vertAlign w:val="baseline"/>
                <w:lang w:val="en-US" w:eastAsia="zh-CN"/>
              </w:rPr>
              <w:t>、石油类执行</w:t>
            </w:r>
            <w:r>
              <w:rPr>
                <w:rFonts w:hint="eastAsia"/>
                <w:color w:val="auto"/>
                <w:u w:val="none" w:color="auto"/>
                <w:lang w:val="en-US" w:eastAsia="zh-CN"/>
              </w:rPr>
              <w:t>《污水综合排放标准》（GB 8978-1996）表4中三级标</w:t>
            </w:r>
            <w:r>
              <w:rPr>
                <w:rFonts w:hint="default" w:cs="Times New Roman"/>
                <w:color w:val="auto"/>
                <w:u w:val="none" w:color="auto"/>
                <w:lang w:val="en-US" w:eastAsia="zh-CN"/>
              </w:rPr>
              <w:t>准；</w:t>
            </w:r>
            <w:r>
              <w:rPr>
                <w:rFonts w:hint="default" w:cs="Times New Roman"/>
                <w:color w:val="auto"/>
                <w:sz w:val="24"/>
                <w:szCs w:val="24"/>
                <w:u w:val="none" w:color="auto"/>
                <w:lang w:val="en-US" w:eastAsia="zh-CN"/>
              </w:rPr>
              <w:t>2028年1月1日后：</w:t>
            </w:r>
            <w:r>
              <w:rPr>
                <w:rFonts w:hint="default" w:ascii="Times New Roman" w:hAnsi="Times New Roman" w:cs="Times New Roman"/>
                <w:color w:val="auto"/>
                <w:sz w:val="24"/>
                <w:szCs w:val="24"/>
                <w:u w:val="none" w:color="auto"/>
                <w:vertAlign w:val="baseline"/>
                <w:lang w:val="en-US" w:eastAsia="zh-CN"/>
              </w:rPr>
              <w:t>石油类执行</w:t>
            </w:r>
            <w:r>
              <w:rPr>
                <w:rFonts w:hint="default" w:ascii="Times New Roman" w:hAnsi="Times New Roman" w:cs="Times New Roman"/>
                <w:color w:val="auto"/>
                <w:sz w:val="24"/>
                <w:szCs w:val="24"/>
                <w:u w:val="none" w:color="auto"/>
                <w:lang w:val="en-US" w:eastAsia="zh-CN"/>
              </w:rPr>
              <w:t>《污水综合排放标准》（GB 8978-1996）表4中三级标准</w:t>
            </w:r>
            <w:r>
              <w:rPr>
                <w:rFonts w:hint="default" w:ascii="Times New Roman" w:hAnsi="Times New Roman" w:cs="Times New Roman"/>
                <w:color w:val="auto"/>
                <w:u w:val="none" w:color="auto"/>
                <w:vertAlign w:val="baseline"/>
                <w:lang w:val="en-US" w:eastAsia="zh-CN"/>
              </w:rPr>
              <w:t>）</w:t>
            </w:r>
            <w:r>
              <w:rPr>
                <w:rFonts w:hint="eastAsia" w:cs="Times New Roman"/>
                <w:color w:val="auto"/>
                <w:u w:val="none" w:color="auto"/>
                <w:vertAlign w:val="baseline"/>
                <w:lang w:val="en-US" w:eastAsia="zh-CN"/>
              </w:rPr>
              <w:t>，</w:t>
            </w:r>
            <w:r>
              <w:rPr>
                <w:rFonts w:hint="eastAsia"/>
                <w:color w:val="auto"/>
                <w:u w:val="none" w:color="auto"/>
                <w:lang w:val="en-US" w:eastAsia="zh-CN"/>
              </w:rPr>
              <w:t>经市政污水</w:t>
            </w:r>
            <w:r>
              <w:rPr>
                <w:rFonts w:hint="eastAsia" w:cs="Times New Roman"/>
                <w:color w:val="auto"/>
                <w:u w:val="none" w:color="auto"/>
                <w:lang w:val="en-US" w:eastAsia="zh-CN"/>
              </w:rPr>
              <w:t>管网进入卢峰镇污水处理厂深度处理。（根据</w:t>
            </w:r>
            <w:r>
              <w:rPr>
                <w:rFonts w:hint="eastAsia" w:cs="Times New Roman"/>
                <w:color w:val="auto"/>
                <w:sz w:val="24"/>
                <w:szCs w:val="24"/>
                <w:u w:val="none" w:color="auto"/>
                <w:lang w:val="en-US" w:eastAsia="zh-CN"/>
              </w:rPr>
              <w:t>《屠宰及肉类加工工业水污染物排放标准》（GB 13457-2025）中4.1的要求，企业废水中污染物自2028年1月1日后方才应执行《屠宰及肉类加工工业水污染物排放标准》（GB 13457-2025）中表1的相关限值，故本项目废水在2028年1月1日前执行</w:t>
            </w:r>
            <w:r>
              <w:rPr>
                <w:rFonts w:hint="eastAsia" w:cs="Times New Roman"/>
                <w:color w:val="auto"/>
                <w:sz w:val="24"/>
                <w:szCs w:val="24"/>
                <w:u w:val="none" w:color="auto"/>
              </w:rPr>
              <w:t>《肉类加工工业水污染物排放标准》</w:t>
            </w:r>
            <w:r>
              <w:rPr>
                <w:rFonts w:hint="eastAsia" w:cs="Times New Roman"/>
                <w:color w:val="auto"/>
                <w:sz w:val="24"/>
                <w:szCs w:val="24"/>
                <w:u w:val="none" w:color="auto"/>
                <w:lang w:eastAsia="zh-CN"/>
              </w:rPr>
              <w:t>（GB</w:t>
            </w:r>
            <w:r>
              <w:rPr>
                <w:rFonts w:hint="eastAsia" w:cs="Times New Roman"/>
                <w:color w:val="auto"/>
                <w:sz w:val="24"/>
                <w:szCs w:val="24"/>
                <w:u w:val="none" w:color="auto"/>
                <w:lang w:val="en-US" w:eastAsia="zh-CN"/>
              </w:rPr>
              <w:t xml:space="preserve"> </w:t>
            </w:r>
            <w:r>
              <w:rPr>
                <w:rFonts w:hint="eastAsia" w:cs="Times New Roman"/>
                <w:color w:val="auto"/>
                <w:sz w:val="24"/>
                <w:szCs w:val="24"/>
                <w:u w:val="none" w:color="auto"/>
                <w:lang w:eastAsia="zh-CN"/>
              </w:rPr>
              <w:t>13457-92）</w:t>
            </w:r>
            <w:r>
              <w:rPr>
                <w:rFonts w:hint="eastAsia" w:cs="Times New Roman"/>
                <w:color w:val="auto"/>
                <w:sz w:val="24"/>
                <w:szCs w:val="24"/>
                <w:u w:val="none" w:color="auto"/>
              </w:rPr>
              <w:t>表3</w:t>
            </w:r>
            <w:r>
              <w:rPr>
                <w:rFonts w:hint="eastAsia" w:cs="Times New Roman"/>
                <w:color w:val="auto"/>
                <w:sz w:val="24"/>
                <w:szCs w:val="24"/>
                <w:u w:val="none" w:color="auto"/>
                <w:lang w:val="en-US" w:eastAsia="zh-CN"/>
              </w:rPr>
              <w:t>禽</w:t>
            </w:r>
            <w:r>
              <w:rPr>
                <w:rFonts w:hint="eastAsia" w:cs="Times New Roman"/>
                <w:color w:val="auto"/>
                <w:sz w:val="24"/>
                <w:szCs w:val="24"/>
                <w:u w:val="none" w:color="auto"/>
              </w:rPr>
              <w:t>类屠宰加工的三级标准</w:t>
            </w: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在2028年1月1日后执行《屠宰及肉类加工工业水污染物排放标准》（GB 13457-2025）</w:t>
            </w:r>
            <w:r>
              <w:rPr>
                <w:rFonts w:hint="eastAsia" w:cs="Times New Roman"/>
                <w:color w:val="auto"/>
                <w:sz w:val="24"/>
                <w:szCs w:val="24"/>
                <w:u w:val="none" w:color="auto"/>
              </w:rPr>
              <w:t>表</w:t>
            </w:r>
            <w:r>
              <w:rPr>
                <w:rFonts w:hint="eastAsia" w:cs="Times New Roman"/>
                <w:color w:val="auto"/>
                <w:sz w:val="24"/>
                <w:szCs w:val="24"/>
                <w:u w:val="none" w:color="auto"/>
                <w:lang w:val="en-US" w:eastAsia="zh-CN"/>
              </w:rPr>
              <w:t>1水污染物排放限值</w:t>
            </w:r>
            <w:r>
              <w:rPr>
                <w:rFonts w:hint="eastAsia" w:cs="Times New Roman"/>
                <w:color w:val="auto"/>
                <w:u w:val="none" w:color="auto"/>
                <w:lang w:val="en-US" w:eastAsia="zh-CN"/>
              </w:rPr>
              <w:t>）</w:t>
            </w:r>
          </w:p>
          <w:p w14:paraId="07FFB668">
            <w:pPr>
              <w:bidi w:val="0"/>
              <w:ind w:left="0" w:leftChars="0" w:firstLine="0" w:firstLineChars="0"/>
              <w:jc w:val="center"/>
              <w:rPr>
                <w:rFonts w:hint="default"/>
                <w:color w:val="auto"/>
                <w:u w:val="none" w:color="auto"/>
                <w:vertAlign w:val="baseline"/>
                <w:lang w:val="en-US" w:eastAsia="zh-CN"/>
              </w:rPr>
            </w:pPr>
            <w:r>
              <w:rPr>
                <w:rFonts w:hint="eastAsia"/>
                <w:color w:val="auto"/>
                <w:u w:val="none" w:color="auto"/>
                <w:lang w:val="en-US" w:eastAsia="zh-CN"/>
              </w:rPr>
              <w:t>表3.8-1 本项目水污染物排放限值</w:t>
            </w:r>
          </w:p>
          <w:tbl>
            <w:tblPr>
              <w:tblStyle w:val="23"/>
              <w:tblW w:w="864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14"/>
              <w:gridCol w:w="1729"/>
              <w:gridCol w:w="2028"/>
              <w:gridCol w:w="1053"/>
              <w:gridCol w:w="1054"/>
              <w:gridCol w:w="862"/>
            </w:tblGrid>
            <w:tr w14:paraId="14EF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5" w:type="dxa"/>
                  <w:vMerge w:val="restart"/>
                  <w:vAlign w:val="center"/>
                </w:tcPr>
                <w:p w14:paraId="608F0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废水类型</w:t>
                  </w:r>
                </w:p>
              </w:tc>
              <w:tc>
                <w:tcPr>
                  <w:tcW w:w="1214" w:type="dxa"/>
                  <w:vMerge w:val="restart"/>
                  <w:vAlign w:val="center"/>
                </w:tcPr>
                <w:p w14:paraId="64DCB6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污染</w:t>
                  </w:r>
                </w:p>
                <w:p w14:paraId="60FAB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因子</w:t>
                  </w:r>
                </w:p>
              </w:tc>
              <w:tc>
                <w:tcPr>
                  <w:tcW w:w="1729" w:type="dxa"/>
                  <w:vAlign w:val="center"/>
                </w:tcPr>
                <w:p w14:paraId="49685F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lang w:eastAsia="zh-CN"/>
                    </w:rPr>
                    <w:t>（GB</w:t>
                  </w:r>
                  <w:r>
                    <w:rPr>
                      <w:rFonts w:hint="eastAsia"/>
                      <w:color w:val="auto"/>
                      <w:sz w:val="21"/>
                      <w:szCs w:val="21"/>
                      <w:u w:val="single" w:color="auto"/>
                      <w:lang w:val="en-US" w:eastAsia="zh-CN"/>
                    </w:rPr>
                    <w:t xml:space="preserve"> </w:t>
                  </w:r>
                  <w:r>
                    <w:rPr>
                      <w:rFonts w:hint="eastAsia"/>
                      <w:color w:val="auto"/>
                      <w:sz w:val="21"/>
                      <w:szCs w:val="21"/>
                      <w:u w:val="single" w:color="auto"/>
                      <w:lang w:eastAsia="zh-CN"/>
                    </w:rPr>
                    <w:t>13457-92）</w:t>
                  </w:r>
                  <w:r>
                    <w:rPr>
                      <w:rFonts w:hint="eastAsia"/>
                      <w:color w:val="auto"/>
                      <w:sz w:val="21"/>
                      <w:szCs w:val="21"/>
                      <w:u w:val="single" w:color="auto"/>
                    </w:rPr>
                    <w:t>表3</w:t>
                  </w:r>
                  <w:r>
                    <w:rPr>
                      <w:rFonts w:hint="eastAsia"/>
                      <w:color w:val="auto"/>
                      <w:sz w:val="21"/>
                      <w:szCs w:val="21"/>
                      <w:u w:val="single" w:color="auto"/>
                      <w:lang w:val="en-US" w:eastAsia="zh-CN"/>
                    </w:rPr>
                    <w:t>禽</w:t>
                  </w:r>
                  <w:r>
                    <w:rPr>
                      <w:rFonts w:hint="eastAsia"/>
                      <w:color w:val="auto"/>
                      <w:sz w:val="21"/>
                      <w:szCs w:val="21"/>
                      <w:u w:val="single" w:color="auto"/>
                    </w:rPr>
                    <w:t>类屠宰加工的三级标准</w:t>
                  </w:r>
                </w:p>
              </w:tc>
              <w:tc>
                <w:tcPr>
                  <w:tcW w:w="2028" w:type="dxa"/>
                  <w:vAlign w:val="center"/>
                </w:tcPr>
                <w:p w14:paraId="730B6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eastAsia="zh-CN"/>
                    </w:rPr>
                  </w:pPr>
                  <w:r>
                    <w:rPr>
                      <w:rFonts w:hint="eastAsia" w:cstheme="minorBidi"/>
                      <w:color w:val="auto"/>
                      <w:sz w:val="21"/>
                      <w:szCs w:val="21"/>
                      <w:u w:val="single" w:color="auto"/>
                      <w:lang w:val="en-US" w:eastAsia="zh-CN"/>
                    </w:rPr>
                    <w:t>（GB 13457-2025）</w:t>
                  </w:r>
                  <w:r>
                    <w:rPr>
                      <w:rFonts w:hint="eastAsia" w:cstheme="minorBidi"/>
                      <w:color w:val="auto"/>
                      <w:sz w:val="21"/>
                      <w:szCs w:val="21"/>
                      <w:u w:val="single" w:color="auto"/>
                    </w:rPr>
                    <w:t>表</w:t>
                  </w:r>
                  <w:r>
                    <w:rPr>
                      <w:rFonts w:hint="eastAsia" w:cstheme="minorBidi"/>
                      <w:color w:val="auto"/>
                      <w:sz w:val="21"/>
                      <w:szCs w:val="21"/>
                      <w:u w:val="single" w:color="auto"/>
                      <w:lang w:val="en-US" w:eastAsia="zh-CN"/>
                    </w:rPr>
                    <w:t>1水污染物排放限值</w:t>
                  </w:r>
                </w:p>
              </w:tc>
              <w:tc>
                <w:tcPr>
                  <w:tcW w:w="2107" w:type="dxa"/>
                  <w:gridSpan w:val="2"/>
                  <w:vAlign w:val="center"/>
                </w:tcPr>
                <w:p w14:paraId="59F0D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本项目水污染物排放限值</w:t>
                  </w:r>
                </w:p>
              </w:tc>
              <w:tc>
                <w:tcPr>
                  <w:tcW w:w="862" w:type="dxa"/>
                  <w:vMerge w:val="restart"/>
                  <w:vAlign w:val="center"/>
                </w:tcPr>
                <w:p w14:paraId="648DB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单位</w:t>
                  </w:r>
                </w:p>
              </w:tc>
            </w:tr>
            <w:tr w14:paraId="55AE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5" w:type="dxa"/>
                  <w:vMerge w:val="continue"/>
                  <w:vAlign w:val="center"/>
                </w:tcPr>
                <w:p w14:paraId="13217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u w:val="single" w:color="auto"/>
                    </w:rPr>
                  </w:pPr>
                </w:p>
              </w:tc>
              <w:tc>
                <w:tcPr>
                  <w:tcW w:w="1214" w:type="dxa"/>
                  <w:vMerge w:val="continue"/>
                  <w:vAlign w:val="center"/>
                </w:tcPr>
                <w:p w14:paraId="2B26A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u w:val="single" w:color="auto"/>
                    </w:rPr>
                  </w:pPr>
                </w:p>
              </w:tc>
              <w:tc>
                <w:tcPr>
                  <w:tcW w:w="1729" w:type="dxa"/>
                  <w:vAlign w:val="center"/>
                </w:tcPr>
                <w:p w14:paraId="29F5CE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stheme="minorBidi"/>
                      <w:color w:val="auto"/>
                      <w:sz w:val="21"/>
                      <w:szCs w:val="21"/>
                      <w:u w:val="single" w:color="auto"/>
                      <w:lang w:val="en-US" w:eastAsia="zh-CN"/>
                    </w:rPr>
                    <w:t>2028年1月1日前执行</w:t>
                  </w:r>
                </w:p>
              </w:tc>
              <w:tc>
                <w:tcPr>
                  <w:tcW w:w="2028" w:type="dxa"/>
                  <w:shd w:val="clear" w:color="auto" w:fill="auto"/>
                  <w:vAlign w:val="center"/>
                </w:tcPr>
                <w:p w14:paraId="5D662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stheme="minorBidi"/>
                      <w:color w:val="auto"/>
                      <w:sz w:val="21"/>
                      <w:szCs w:val="21"/>
                      <w:u w:val="single" w:color="auto"/>
                      <w:lang w:val="en-US" w:eastAsia="zh-CN"/>
                    </w:rPr>
                    <w:t>2028年1月1日后执行</w:t>
                  </w:r>
                </w:p>
              </w:tc>
              <w:tc>
                <w:tcPr>
                  <w:tcW w:w="1053" w:type="dxa"/>
                  <w:vAlign w:val="center"/>
                </w:tcPr>
                <w:p w14:paraId="313DA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eastAsia="zh-CN"/>
                    </w:rPr>
                  </w:pPr>
                  <w:r>
                    <w:rPr>
                      <w:rFonts w:hint="eastAsia" w:cstheme="minorBidi"/>
                      <w:color w:val="auto"/>
                      <w:sz w:val="21"/>
                      <w:szCs w:val="21"/>
                      <w:u w:val="single" w:color="auto"/>
                      <w:lang w:val="en-US" w:eastAsia="zh-CN"/>
                    </w:rPr>
                    <w:t>2028年1月1日前执行</w:t>
                  </w:r>
                </w:p>
              </w:tc>
              <w:tc>
                <w:tcPr>
                  <w:tcW w:w="1054" w:type="dxa"/>
                  <w:vAlign w:val="center"/>
                </w:tcPr>
                <w:p w14:paraId="1F1DB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eastAsia="zh-CN"/>
                    </w:rPr>
                  </w:pPr>
                  <w:r>
                    <w:rPr>
                      <w:rFonts w:hint="eastAsia" w:cstheme="minorBidi"/>
                      <w:color w:val="auto"/>
                      <w:sz w:val="21"/>
                      <w:szCs w:val="21"/>
                      <w:u w:val="single" w:color="auto"/>
                      <w:lang w:val="en-US" w:eastAsia="zh-CN"/>
                    </w:rPr>
                    <w:t>2028年1月1日后执行</w:t>
                  </w:r>
                </w:p>
              </w:tc>
              <w:tc>
                <w:tcPr>
                  <w:tcW w:w="862" w:type="dxa"/>
                  <w:vMerge w:val="continue"/>
                  <w:vAlign w:val="center"/>
                </w:tcPr>
                <w:p w14:paraId="3781D5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eastAsia="zh-CN"/>
                    </w:rPr>
                  </w:pPr>
                </w:p>
              </w:tc>
            </w:tr>
            <w:tr w14:paraId="7C34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restart"/>
                  <w:vAlign w:val="center"/>
                </w:tcPr>
                <w:p w14:paraId="5F407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屠宰生产废水、车辆清洗废水</w:t>
                  </w:r>
                </w:p>
              </w:tc>
              <w:tc>
                <w:tcPr>
                  <w:tcW w:w="1214" w:type="dxa"/>
                  <w:vAlign w:val="center"/>
                </w:tcPr>
                <w:p w14:paraId="50F0F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pH</w:t>
                  </w:r>
                </w:p>
              </w:tc>
              <w:tc>
                <w:tcPr>
                  <w:tcW w:w="1729" w:type="dxa"/>
                  <w:vAlign w:val="center"/>
                </w:tcPr>
                <w:p w14:paraId="3652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6.0~8.5</w:t>
                  </w:r>
                </w:p>
              </w:tc>
              <w:tc>
                <w:tcPr>
                  <w:tcW w:w="2028" w:type="dxa"/>
                  <w:shd w:val="clear" w:color="auto" w:fill="auto"/>
                  <w:vAlign w:val="center"/>
                </w:tcPr>
                <w:p w14:paraId="25DA0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6~9</w:t>
                  </w:r>
                </w:p>
              </w:tc>
              <w:tc>
                <w:tcPr>
                  <w:tcW w:w="1053" w:type="dxa"/>
                  <w:shd w:val="clear" w:color="auto" w:fill="auto"/>
                  <w:vAlign w:val="center"/>
                </w:tcPr>
                <w:p w14:paraId="7E445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6.0~8.5</w:t>
                  </w:r>
                </w:p>
              </w:tc>
              <w:tc>
                <w:tcPr>
                  <w:tcW w:w="1054" w:type="dxa"/>
                  <w:shd w:val="clear" w:color="auto" w:fill="auto"/>
                  <w:vAlign w:val="center"/>
                </w:tcPr>
                <w:p w14:paraId="562C6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6~9</w:t>
                  </w:r>
                </w:p>
              </w:tc>
              <w:tc>
                <w:tcPr>
                  <w:tcW w:w="862" w:type="dxa"/>
                  <w:vAlign w:val="center"/>
                </w:tcPr>
                <w:p w14:paraId="12435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无量纲</w:t>
                  </w:r>
                </w:p>
              </w:tc>
            </w:tr>
            <w:tr w14:paraId="6D94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720FE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6D6227F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COD</w:t>
                  </w:r>
                  <w:r>
                    <w:rPr>
                      <w:color w:val="auto"/>
                      <w:sz w:val="21"/>
                      <w:szCs w:val="21"/>
                      <w:u w:val="single" w:color="auto"/>
                      <w:vertAlign w:val="subscript"/>
                    </w:rPr>
                    <w:t>Cr</w:t>
                  </w:r>
                </w:p>
              </w:tc>
              <w:tc>
                <w:tcPr>
                  <w:tcW w:w="1729" w:type="dxa"/>
                  <w:vAlign w:val="center"/>
                </w:tcPr>
                <w:p w14:paraId="17496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500</w:t>
                  </w:r>
                </w:p>
              </w:tc>
              <w:tc>
                <w:tcPr>
                  <w:tcW w:w="2028" w:type="dxa"/>
                  <w:vAlign w:val="center"/>
                </w:tcPr>
                <w:p w14:paraId="2EC33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500</w:t>
                  </w:r>
                </w:p>
              </w:tc>
              <w:tc>
                <w:tcPr>
                  <w:tcW w:w="1053" w:type="dxa"/>
                  <w:shd w:val="clear" w:color="auto" w:fill="auto"/>
                  <w:vAlign w:val="center"/>
                </w:tcPr>
                <w:p w14:paraId="10750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500</w:t>
                  </w:r>
                </w:p>
              </w:tc>
              <w:tc>
                <w:tcPr>
                  <w:tcW w:w="1054" w:type="dxa"/>
                  <w:shd w:val="clear" w:color="auto" w:fill="auto"/>
                  <w:vAlign w:val="center"/>
                </w:tcPr>
                <w:p w14:paraId="50968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500</w:t>
                  </w:r>
                </w:p>
              </w:tc>
              <w:tc>
                <w:tcPr>
                  <w:tcW w:w="862" w:type="dxa"/>
                  <w:vAlign w:val="center"/>
                </w:tcPr>
                <w:p w14:paraId="1BD91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389B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01628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5D3DDD1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BOD</w:t>
                  </w:r>
                  <w:r>
                    <w:rPr>
                      <w:color w:val="auto"/>
                      <w:sz w:val="21"/>
                      <w:szCs w:val="21"/>
                      <w:u w:val="single" w:color="auto"/>
                      <w:vertAlign w:val="subscript"/>
                    </w:rPr>
                    <w:t>5</w:t>
                  </w:r>
                </w:p>
              </w:tc>
              <w:tc>
                <w:tcPr>
                  <w:tcW w:w="1729" w:type="dxa"/>
                  <w:vAlign w:val="center"/>
                </w:tcPr>
                <w:p w14:paraId="033F1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250</w:t>
                  </w:r>
                </w:p>
              </w:tc>
              <w:tc>
                <w:tcPr>
                  <w:tcW w:w="2028" w:type="dxa"/>
                  <w:vAlign w:val="center"/>
                </w:tcPr>
                <w:p w14:paraId="46018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350</w:t>
                  </w:r>
                </w:p>
              </w:tc>
              <w:tc>
                <w:tcPr>
                  <w:tcW w:w="1053" w:type="dxa"/>
                  <w:shd w:val="clear" w:color="auto" w:fill="auto"/>
                  <w:vAlign w:val="center"/>
                </w:tcPr>
                <w:p w14:paraId="6BC4F9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250</w:t>
                  </w:r>
                </w:p>
              </w:tc>
              <w:tc>
                <w:tcPr>
                  <w:tcW w:w="1054" w:type="dxa"/>
                  <w:shd w:val="clear" w:color="auto" w:fill="auto"/>
                  <w:vAlign w:val="center"/>
                </w:tcPr>
                <w:p w14:paraId="59F4F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350</w:t>
                  </w:r>
                </w:p>
              </w:tc>
              <w:tc>
                <w:tcPr>
                  <w:tcW w:w="862" w:type="dxa"/>
                  <w:vAlign w:val="center"/>
                </w:tcPr>
                <w:p w14:paraId="53D61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55E9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232AC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156429B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SS</w:t>
                  </w:r>
                </w:p>
              </w:tc>
              <w:tc>
                <w:tcPr>
                  <w:tcW w:w="1729" w:type="dxa"/>
                  <w:vAlign w:val="center"/>
                </w:tcPr>
                <w:p w14:paraId="0D48BA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300</w:t>
                  </w:r>
                </w:p>
              </w:tc>
              <w:tc>
                <w:tcPr>
                  <w:tcW w:w="2028" w:type="dxa"/>
                  <w:vAlign w:val="center"/>
                </w:tcPr>
                <w:p w14:paraId="4AB1E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400</w:t>
                  </w:r>
                </w:p>
              </w:tc>
              <w:tc>
                <w:tcPr>
                  <w:tcW w:w="1053" w:type="dxa"/>
                  <w:shd w:val="clear" w:color="auto" w:fill="auto"/>
                  <w:vAlign w:val="center"/>
                </w:tcPr>
                <w:p w14:paraId="14426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300</w:t>
                  </w:r>
                </w:p>
              </w:tc>
              <w:tc>
                <w:tcPr>
                  <w:tcW w:w="1054" w:type="dxa"/>
                  <w:shd w:val="clear" w:color="auto" w:fill="auto"/>
                  <w:vAlign w:val="center"/>
                </w:tcPr>
                <w:p w14:paraId="401154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400</w:t>
                  </w:r>
                </w:p>
              </w:tc>
              <w:tc>
                <w:tcPr>
                  <w:tcW w:w="862" w:type="dxa"/>
                  <w:vAlign w:val="center"/>
                </w:tcPr>
                <w:p w14:paraId="2A3FC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5383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1711B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0AD5AD4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rPr>
                    <w:t>NH</w:t>
                  </w:r>
                  <w:r>
                    <w:rPr>
                      <w:rFonts w:hint="eastAsia"/>
                      <w:color w:val="auto"/>
                      <w:sz w:val="21"/>
                      <w:szCs w:val="21"/>
                      <w:u w:val="single" w:color="auto"/>
                      <w:vertAlign w:val="subscript"/>
                    </w:rPr>
                    <w:t>3</w:t>
                  </w:r>
                  <w:r>
                    <w:rPr>
                      <w:rFonts w:hint="eastAsia"/>
                      <w:color w:val="auto"/>
                      <w:sz w:val="21"/>
                      <w:szCs w:val="21"/>
                      <w:u w:val="single" w:color="auto"/>
                    </w:rPr>
                    <w:t>-N</w:t>
                  </w:r>
                </w:p>
              </w:tc>
              <w:tc>
                <w:tcPr>
                  <w:tcW w:w="1729" w:type="dxa"/>
                  <w:vAlign w:val="center"/>
                </w:tcPr>
                <w:p w14:paraId="65888B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w:t>
                  </w:r>
                </w:p>
              </w:tc>
              <w:tc>
                <w:tcPr>
                  <w:tcW w:w="2028" w:type="dxa"/>
                  <w:vAlign w:val="center"/>
                </w:tcPr>
                <w:p w14:paraId="495B7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45</w:t>
                  </w:r>
                </w:p>
              </w:tc>
              <w:tc>
                <w:tcPr>
                  <w:tcW w:w="1053" w:type="dxa"/>
                  <w:vAlign w:val="center"/>
                </w:tcPr>
                <w:p w14:paraId="48F561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45</w:t>
                  </w:r>
                </w:p>
              </w:tc>
              <w:tc>
                <w:tcPr>
                  <w:tcW w:w="1054" w:type="dxa"/>
                  <w:shd w:val="clear" w:color="auto" w:fill="auto"/>
                  <w:vAlign w:val="center"/>
                </w:tcPr>
                <w:p w14:paraId="1BE56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45</w:t>
                  </w:r>
                </w:p>
              </w:tc>
              <w:tc>
                <w:tcPr>
                  <w:tcW w:w="862" w:type="dxa"/>
                  <w:vAlign w:val="center"/>
                </w:tcPr>
                <w:p w14:paraId="24D96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11E2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23C3A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0A5DEFC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动植物油</w:t>
                  </w:r>
                </w:p>
              </w:tc>
              <w:tc>
                <w:tcPr>
                  <w:tcW w:w="1729" w:type="dxa"/>
                  <w:vAlign w:val="center"/>
                </w:tcPr>
                <w:p w14:paraId="6F1465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50</w:t>
                  </w:r>
                </w:p>
              </w:tc>
              <w:tc>
                <w:tcPr>
                  <w:tcW w:w="2028" w:type="dxa"/>
                  <w:vAlign w:val="center"/>
                </w:tcPr>
                <w:p w14:paraId="683C1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100</w:t>
                  </w:r>
                </w:p>
              </w:tc>
              <w:tc>
                <w:tcPr>
                  <w:tcW w:w="1053" w:type="dxa"/>
                  <w:vAlign w:val="center"/>
                </w:tcPr>
                <w:p w14:paraId="6056AA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50</w:t>
                  </w:r>
                </w:p>
              </w:tc>
              <w:tc>
                <w:tcPr>
                  <w:tcW w:w="1054" w:type="dxa"/>
                  <w:shd w:val="clear" w:color="auto" w:fill="auto"/>
                  <w:vAlign w:val="center"/>
                </w:tcPr>
                <w:p w14:paraId="7E976B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100</w:t>
                  </w:r>
                </w:p>
              </w:tc>
              <w:tc>
                <w:tcPr>
                  <w:tcW w:w="862" w:type="dxa"/>
                  <w:vAlign w:val="center"/>
                </w:tcPr>
                <w:p w14:paraId="1EA20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4498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79DF50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1E6044A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TN</w:t>
                  </w:r>
                </w:p>
              </w:tc>
              <w:tc>
                <w:tcPr>
                  <w:tcW w:w="1729" w:type="dxa"/>
                  <w:vAlign w:val="center"/>
                </w:tcPr>
                <w:p w14:paraId="32B1F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w:t>
                  </w:r>
                </w:p>
              </w:tc>
              <w:tc>
                <w:tcPr>
                  <w:tcW w:w="2028" w:type="dxa"/>
                  <w:vAlign w:val="center"/>
                </w:tcPr>
                <w:p w14:paraId="298A4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70</w:t>
                  </w:r>
                </w:p>
              </w:tc>
              <w:tc>
                <w:tcPr>
                  <w:tcW w:w="1053" w:type="dxa"/>
                  <w:vAlign w:val="center"/>
                </w:tcPr>
                <w:p w14:paraId="39FAE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70</w:t>
                  </w:r>
                </w:p>
              </w:tc>
              <w:tc>
                <w:tcPr>
                  <w:tcW w:w="1054" w:type="dxa"/>
                  <w:shd w:val="clear" w:color="auto" w:fill="auto"/>
                  <w:vAlign w:val="center"/>
                </w:tcPr>
                <w:p w14:paraId="5D6BF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70</w:t>
                  </w:r>
                </w:p>
              </w:tc>
              <w:tc>
                <w:tcPr>
                  <w:tcW w:w="862" w:type="dxa"/>
                  <w:vAlign w:val="center"/>
                </w:tcPr>
                <w:p w14:paraId="0F88B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1CF4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32D06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7C14190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TP</w:t>
                  </w:r>
                </w:p>
              </w:tc>
              <w:tc>
                <w:tcPr>
                  <w:tcW w:w="1729" w:type="dxa"/>
                  <w:vAlign w:val="center"/>
                </w:tcPr>
                <w:p w14:paraId="56DB4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w:t>
                  </w:r>
                </w:p>
              </w:tc>
              <w:tc>
                <w:tcPr>
                  <w:tcW w:w="2028" w:type="dxa"/>
                  <w:vAlign w:val="center"/>
                </w:tcPr>
                <w:p w14:paraId="6E9EC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8</w:t>
                  </w:r>
                </w:p>
              </w:tc>
              <w:tc>
                <w:tcPr>
                  <w:tcW w:w="1053" w:type="dxa"/>
                  <w:vAlign w:val="center"/>
                </w:tcPr>
                <w:p w14:paraId="0E643F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8</w:t>
                  </w:r>
                </w:p>
              </w:tc>
              <w:tc>
                <w:tcPr>
                  <w:tcW w:w="1054" w:type="dxa"/>
                  <w:shd w:val="clear" w:color="auto" w:fill="auto"/>
                  <w:vAlign w:val="center"/>
                </w:tcPr>
                <w:p w14:paraId="76BD7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8</w:t>
                  </w:r>
                </w:p>
              </w:tc>
              <w:tc>
                <w:tcPr>
                  <w:tcW w:w="862" w:type="dxa"/>
                  <w:vAlign w:val="center"/>
                </w:tcPr>
                <w:p w14:paraId="75E45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59E3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75DF06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p>
              </w:tc>
              <w:tc>
                <w:tcPr>
                  <w:tcW w:w="1214" w:type="dxa"/>
                  <w:shd w:val="clear" w:color="auto" w:fill="auto"/>
                  <w:vAlign w:val="center"/>
                </w:tcPr>
                <w:p w14:paraId="7108ABC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石油类</w:t>
                  </w:r>
                </w:p>
              </w:tc>
              <w:tc>
                <w:tcPr>
                  <w:tcW w:w="1729" w:type="dxa"/>
                  <w:vAlign w:val="center"/>
                </w:tcPr>
                <w:p w14:paraId="6300A0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20</w:t>
                  </w:r>
                </w:p>
              </w:tc>
              <w:tc>
                <w:tcPr>
                  <w:tcW w:w="2028" w:type="dxa"/>
                  <w:vAlign w:val="center"/>
                </w:tcPr>
                <w:p w14:paraId="617F74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20</w:t>
                  </w:r>
                </w:p>
              </w:tc>
              <w:tc>
                <w:tcPr>
                  <w:tcW w:w="1053" w:type="dxa"/>
                  <w:vAlign w:val="center"/>
                </w:tcPr>
                <w:p w14:paraId="44091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20</w:t>
                  </w:r>
                </w:p>
              </w:tc>
              <w:tc>
                <w:tcPr>
                  <w:tcW w:w="1054" w:type="dxa"/>
                  <w:shd w:val="clear" w:color="auto" w:fill="auto"/>
                  <w:vAlign w:val="center"/>
                </w:tcPr>
                <w:p w14:paraId="028A10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olor w:val="auto"/>
                      <w:sz w:val="21"/>
                      <w:szCs w:val="21"/>
                      <w:u w:val="single" w:color="auto"/>
                      <w:vertAlign w:val="baseline"/>
                      <w:lang w:val="en-US" w:eastAsia="zh-CN"/>
                    </w:rPr>
                    <w:t>20</w:t>
                  </w:r>
                </w:p>
              </w:tc>
              <w:tc>
                <w:tcPr>
                  <w:tcW w:w="862" w:type="dxa"/>
                  <w:vAlign w:val="center"/>
                </w:tcPr>
                <w:p w14:paraId="469CF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mg/L</w:t>
                  </w:r>
                </w:p>
              </w:tc>
            </w:tr>
            <w:tr w14:paraId="61F1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5" w:type="dxa"/>
                  <w:gridSpan w:val="7"/>
                  <w:vAlign w:val="center"/>
                </w:tcPr>
                <w:p w14:paraId="2C983AC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注：</w:t>
                  </w:r>
                  <w:r>
                    <w:rPr>
                      <w:rFonts w:hint="eastAsia" w:cstheme="minorBidi"/>
                      <w:color w:val="auto"/>
                      <w:sz w:val="21"/>
                      <w:szCs w:val="21"/>
                      <w:u w:val="single" w:color="auto"/>
                      <w:lang w:val="en-US" w:eastAsia="zh-CN"/>
                    </w:rPr>
                    <w:t>2028年1月1日前：</w:t>
                  </w:r>
                  <w:r>
                    <w:rPr>
                      <w:rFonts w:hint="eastAsia"/>
                      <w:color w:val="auto"/>
                      <w:sz w:val="21"/>
                      <w:szCs w:val="21"/>
                      <w:u w:val="single" w:color="auto"/>
                      <w:vertAlign w:val="baseline"/>
                      <w:lang w:val="en-US" w:eastAsia="zh-CN"/>
                    </w:rPr>
                    <w:t>氨氮、总氮、总磷执行《污水排入城镇下水道水质标准》（GB/T 31962-2015）中B级标准</w:t>
                  </w:r>
                  <w:r>
                    <w:rPr>
                      <w:rFonts w:hint="eastAsia" w:ascii="Times New Roman" w:hAnsi="Times New Roman"/>
                      <w:color w:val="auto"/>
                      <w:sz w:val="21"/>
                      <w:szCs w:val="21"/>
                      <w:u w:val="single" w:color="auto"/>
                      <w:vertAlign w:val="baseline"/>
                      <w:lang w:val="en-US" w:eastAsia="zh-CN"/>
                    </w:rPr>
                    <w:t>、石油类执行</w:t>
                  </w:r>
                  <w:r>
                    <w:rPr>
                      <w:rFonts w:hint="eastAsia" w:ascii="Times New Roman" w:hAnsi="Times New Roman"/>
                      <w:color w:val="auto"/>
                      <w:sz w:val="21"/>
                      <w:szCs w:val="21"/>
                      <w:u w:val="single" w:color="auto"/>
                      <w:lang w:val="en-US" w:eastAsia="zh-CN"/>
                    </w:rPr>
                    <w:t>《污水综合排放标准》（GB 8978-1996）表4中三级标准</w:t>
                  </w:r>
                  <w:r>
                    <w:rPr>
                      <w:rFonts w:hint="eastAsia" w:ascii="Times New Roman" w:hAnsi="Times New Roman"/>
                      <w:color w:val="auto"/>
                      <w:sz w:val="21"/>
                      <w:szCs w:val="21"/>
                      <w:u w:val="single" w:color="auto"/>
                      <w:vertAlign w:val="baseline"/>
                      <w:lang w:val="en-US" w:eastAsia="zh-CN"/>
                    </w:rPr>
                    <w:t>。</w:t>
                  </w:r>
                  <w:r>
                    <w:rPr>
                      <w:rFonts w:hint="eastAsia" w:cstheme="minorBidi"/>
                      <w:color w:val="auto"/>
                      <w:sz w:val="21"/>
                      <w:szCs w:val="21"/>
                      <w:u w:val="single" w:color="auto"/>
                      <w:lang w:val="en-US" w:eastAsia="zh-CN"/>
                    </w:rPr>
                    <w:t>2028年1月1日后：</w:t>
                  </w:r>
                  <w:r>
                    <w:rPr>
                      <w:rFonts w:hint="eastAsia" w:ascii="Times New Roman" w:hAnsi="Times New Roman"/>
                      <w:color w:val="auto"/>
                      <w:sz w:val="21"/>
                      <w:szCs w:val="21"/>
                      <w:u w:val="single" w:color="auto"/>
                      <w:vertAlign w:val="baseline"/>
                      <w:lang w:val="en-US" w:eastAsia="zh-CN"/>
                    </w:rPr>
                    <w:t>石油类执行</w:t>
                  </w:r>
                  <w:r>
                    <w:rPr>
                      <w:rFonts w:hint="eastAsia" w:ascii="Times New Roman" w:hAnsi="Times New Roman"/>
                      <w:color w:val="auto"/>
                      <w:sz w:val="21"/>
                      <w:szCs w:val="21"/>
                      <w:u w:val="single" w:color="auto"/>
                      <w:lang w:val="en-US" w:eastAsia="zh-CN"/>
                    </w:rPr>
                    <w:t>《污水综合排放标准》（GB 8978-1996）表4中三级标准</w:t>
                  </w:r>
                  <w:r>
                    <w:rPr>
                      <w:rFonts w:hint="eastAsia" w:ascii="Times New Roman" w:hAnsi="Times New Roman"/>
                      <w:color w:val="auto"/>
                      <w:sz w:val="21"/>
                      <w:szCs w:val="21"/>
                      <w:u w:val="single" w:color="auto"/>
                      <w:vertAlign w:val="baseline"/>
                      <w:lang w:val="en-US" w:eastAsia="zh-CN"/>
                    </w:rPr>
                    <w:t>。</w:t>
                  </w:r>
                </w:p>
              </w:tc>
            </w:tr>
          </w:tbl>
          <w:p w14:paraId="555A5AB2">
            <w:pPr>
              <w:numPr>
                <w:ilvl w:val="0"/>
                <w:numId w:val="0"/>
              </w:numPr>
              <w:bidi w:val="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3.9 </w:t>
            </w:r>
            <w:r>
              <w:rPr>
                <w:rFonts w:hint="default" w:ascii="Times New Roman" w:hAnsi="Times New Roman" w:eastAsia="黑体" w:cs="Times New Roman"/>
                <w:b/>
                <w:bCs/>
                <w:color w:val="auto"/>
                <w:u w:val="none" w:color="auto"/>
                <w:lang w:val="en-US" w:eastAsia="zh-CN"/>
              </w:rPr>
              <w:t>废气</w:t>
            </w:r>
          </w:p>
          <w:p w14:paraId="1C901F2D">
            <w:pPr>
              <w:bidi w:val="0"/>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cs="Times New Roman"/>
                <w:color w:val="auto"/>
                <w:u w:val="none" w:color="auto"/>
                <w:lang w:val="en-US" w:eastAsia="zh-CN"/>
              </w:rPr>
              <w:t>项</w:t>
            </w:r>
            <w:bookmarkStart w:id="132" w:name="OLE_LINK59"/>
            <w:r>
              <w:rPr>
                <w:rFonts w:hint="default" w:ascii="Times New Roman" w:hAnsi="Times New Roman" w:cs="Times New Roman"/>
                <w:color w:val="auto"/>
                <w:u w:val="none" w:color="auto"/>
                <w:lang w:val="en-US" w:eastAsia="zh-CN"/>
              </w:rPr>
              <w:t>目</w:t>
            </w:r>
            <w:bookmarkEnd w:id="132"/>
            <w:r>
              <w:rPr>
                <w:rFonts w:hint="default" w:ascii="Times New Roman" w:hAnsi="Times New Roman" w:cs="Times New Roman"/>
                <w:color w:val="auto"/>
                <w:u w:val="none" w:color="auto"/>
                <w:lang w:val="en-US" w:eastAsia="zh-CN"/>
              </w:rPr>
              <w:t>运营期废气主要为</w:t>
            </w:r>
            <w:r>
              <w:rPr>
                <w:rFonts w:hint="eastAsia" w:cs="Times New Roman"/>
                <w:color w:val="auto"/>
                <w:u w:val="none" w:color="auto"/>
                <w:lang w:val="en-US" w:eastAsia="zh-CN"/>
              </w:rPr>
              <w:t>待宰间恶臭、污水处理站恶臭、危废暂存间废气以及</w:t>
            </w:r>
            <w:r>
              <w:rPr>
                <w:rFonts w:hint="eastAsia" w:cs="Times New Roman"/>
                <w:color w:val="auto"/>
                <w:sz w:val="24"/>
                <w:szCs w:val="24"/>
                <w:u w:val="none" w:color="auto"/>
                <w:lang w:val="en-US" w:eastAsia="zh-CN"/>
              </w:rPr>
              <w:t>屠宰间、急宰间恶臭</w:t>
            </w:r>
            <w:r>
              <w:rPr>
                <w:rFonts w:hint="eastAsia" w:cs="Times New Roman"/>
                <w:color w:val="auto"/>
                <w:u w:val="none" w:color="auto"/>
                <w:lang w:val="en-US" w:eastAsia="zh-CN"/>
              </w:rPr>
              <w:t>，均</w:t>
            </w:r>
            <w:r>
              <w:rPr>
                <w:rFonts w:hint="eastAsia"/>
                <w:color w:val="auto"/>
                <w:u w:val="none" w:color="auto"/>
                <w:lang w:val="en-US" w:eastAsia="zh-CN"/>
              </w:rPr>
              <w:t>为无组织排</w:t>
            </w:r>
            <w:r>
              <w:rPr>
                <w:rFonts w:hint="eastAsia" w:cs="Times New Roman"/>
                <w:color w:val="auto"/>
                <w:spacing w:val="-4"/>
                <w:sz w:val="24"/>
                <w:szCs w:val="24"/>
                <w:u w:val="none" w:color="auto"/>
                <w:lang w:val="en-US" w:eastAsia="zh-CN"/>
              </w:rPr>
              <w:t>放</w:t>
            </w:r>
            <w:r>
              <w:rPr>
                <w:rFonts w:hint="eastAsia" w:ascii="Times New Roman" w:hAnsi="Times New Roman" w:cs="Times New Roman"/>
                <w:color w:val="auto"/>
                <w:spacing w:val="-4"/>
                <w:sz w:val="24"/>
                <w:szCs w:val="24"/>
                <w:u w:val="none" w:color="auto"/>
                <w:lang w:eastAsia="zh-CN"/>
              </w:rPr>
              <w:t>。</w:t>
            </w:r>
            <w:r>
              <w:rPr>
                <w:rFonts w:hint="eastAsia" w:cs="Times New Roman"/>
                <w:color w:val="auto"/>
                <w:spacing w:val="-4"/>
                <w:sz w:val="24"/>
                <w:szCs w:val="24"/>
                <w:u w:val="none" w:color="auto"/>
                <w:lang w:val="en-US" w:eastAsia="zh-CN"/>
              </w:rPr>
              <w:t>硫化氢、氨、</w:t>
            </w:r>
            <w:r>
              <w:rPr>
                <w:rFonts w:hint="default" w:ascii="Times New Roman" w:hAnsi="Times New Roman" w:eastAsia="宋体" w:cs="Times New Roman"/>
                <w:color w:val="auto"/>
                <w:sz w:val="24"/>
                <w:u w:val="none" w:color="auto"/>
                <w:lang w:val="en-US" w:eastAsia="zh-CN"/>
              </w:rPr>
              <w:t>臭气浓度执行《恶臭污染物排放标准》（GB</w:t>
            </w:r>
            <w:r>
              <w:rPr>
                <w:rFonts w:hint="default" w:ascii="Times New Roman" w:hAnsi="Times New Roman" w:cs="Times New Roman"/>
                <w:color w:val="auto"/>
                <w:sz w:val="24"/>
                <w:u w:val="none" w:color="auto"/>
                <w:lang w:val="en-US" w:eastAsia="zh-CN"/>
              </w:rPr>
              <w:t xml:space="preserve"> </w:t>
            </w:r>
            <w:r>
              <w:rPr>
                <w:rFonts w:hint="default" w:ascii="Times New Roman" w:hAnsi="Times New Roman" w:eastAsia="宋体" w:cs="Times New Roman"/>
                <w:color w:val="auto"/>
                <w:sz w:val="24"/>
                <w:u w:val="none" w:color="auto"/>
                <w:lang w:val="en-US" w:eastAsia="zh-CN"/>
              </w:rPr>
              <w:t>14554-93）表1恶臭污染物厂界标准值</w:t>
            </w:r>
            <w:r>
              <w:rPr>
                <w:rFonts w:hint="default" w:ascii="Times New Roman" w:hAnsi="Times New Roman" w:eastAsia="宋体" w:cs="Times New Roman"/>
                <w:color w:val="auto"/>
                <w:kern w:val="0"/>
                <w:sz w:val="24"/>
                <w:u w:val="none" w:color="auto"/>
              </w:rPr>
              <w:t>。</w:t>
            </w:r>
          </w:p>
          <w:p w14:paraId="3B18201F">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表3.9-1 废气污染物排放限值一览表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1066"/>
              <w:gridCol w:w="2032"/>
              <w:gridCol w:w="1569"/>
              <w:gridCol w:w="981"/>
            </w:tblGrid>
            <w:tr w14:paraId="268A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40" w:type="pct"/>
                  <w:noWrap w:val="0"/>
                  <w:vAlign w:val="center"/>
                </w:tcPr>
                <w:p w14:paraId="05669F7B">
                  <w:pPr>
                    <w:pStyle w:val="34"/>
                    <w:keepNext w:val="0"/>
                    <w:keepLines w:val="0"/>
                    <w:pageBreakBefore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执行标准</w:t>
                  </w:r>
                </w:p>
              </w:tc>
              <w:tc>
                <w:tcPr>
                  <w:tcW w:w="615" w:type="pct"/>
                  <w:noWrap w:val="0"/>
                  <w:vAlign w:val="center"/>
                </w:tcPr>
                <w:p w14:paraId="47A31E0F">
                  <w:pPr>
                    <w:pStyle w:val="34"/>
                    <w:keepNext w:val="0"/>
                    <w:keepLines w:val="0"/>
                    <w:pageBreakBefore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污染物</w:t>
                  </w:r>
                </w:p>
              </w:tc>
              <w:tc>
                <w:tcPr>
                  <w:tcW w:w="1172" w:type="pct"/>
                  <w:noWrap w:val="0"/>
                  <w:vAlign w:val="center"/>
                </w:tcPr>
                <w:p w14:paraId="7F73A0DA">
                  <w:pPr>
                    <w:keepNext w:val="0"/>
                    <w:keepLines w:val="0"/>
                    <w:pageBreakBefore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无组织排放</w:t>
                  </w:r>
                </w:p>
                <w:p w14:paraId="1E1ABA11">
                  <w:pPr>
                    <w:keepNext w:val="0"/>
                    <w:keepLines w:val="0"/>
                    <w:pageBreakBefore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监控浓度（mg/m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p>
              </w:tc>
              <w:tc>
                <w:tcPr>
                  <w:tcW w:w="905" w:type="pct"/>
                  <w:noWrap w:val="0"/>
                  <w:vAlign w:val="center"/>
                </w:tcPr>
                <w:p w14:paraId="107A657A">
                  <w:pPr>
                    <w:keepNext w:val="0"/>
                    <w:keepLines w:val="0"/>
                    <w:pageBreakBefore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限值含义</w:t>
                  </w:r>
                </w:p>
              </w:tc>
              <w:tc>
                <w:tcPr>
                  <w:tcW w:w="566" w:type="pct"/>
                  <w:noWrap w:val="0"/>
                  <w:vAlign w:val="center"/>
                </w:tcPr>
                <w:p w14:paraId="0DB6F771">
                  <w:pPr>
                    <w:keepNext w:val="0"/>
                    <w:keepLines w:val="0"/>
                    <w:pageBreakBefore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监控点位置</w:t>
                  </w:r>
                </w:p>
              </w:tc>
            </w:tr>
            <w:tr w14:paraId="2D7C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40" w:type="pct"/>
                  <w:vMerge w:val="restart"/>
                  <w:shd w:val="clear" w:color="auto" w:fill="auto"/>
                  <w:noWrap w:val="0"/>
                  <w:vAlign w:val="center"/>
                </w:tcPr>
                <w:p w14:paraId="569FE66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kern w:val="2"/>
                      <w:sz w:val="21"/>
                      <w:szCs w:val="21"/>
                      <w:u w:val="none" w:color="auto"/>
                      <w:vertAlign w:val="baseline"/>
                      <w:lang w:val="en-US" w:eastAsia="zh-CN" w:bidi="ar-SA"/>
                    </w:rPr>
                    <w:t>《恶臭污染物排放标准》（GB14554-93）表1恶臭污染物厂界标准值</w:t>
                  </w:r>
                </w:p>
              </w:tc>
              <w:tc>
                <w:tcPr>
                  <w:tcW w:w="615" w:type="pct"/>
                  <w:noWrap w:val="0"/>
                  <w:vAlign w:val="center"/>
                </w:tcPr>
                <w:p w14:paraId="3F50E7C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臭气浓度</w:t>
                  </w:r>
                </w:p>
              </w:tc>
              <w:tc>
                <w:tcPr>
                  <w:tcW w:w="1172" w:type="pct"/>
                  <w:shd w:val="clear" w:color="auto" w:fill="auto"/>
                  <w:noWrap w:val="0"/>
                  <w:vAlign w:val="center"/>
                </w:tcPr>
                <w:p w14:paraId="22CB6CD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20（无量纲）</w:t>
                  </w:r>
                </w:p>
              </w:tc>
              <w:tc>
                <w:tcPr>
                  <w:tcW w:w="905" w:type="pct"/>
                  <w:shd w:val="clear" w:color="auto" w:fill="auto"/>
                  <w:noWrap w:val="0"/>
                  <w:vAlign w:val="center"/>
                </w:tcPr>
                <w:p w14:paraId="6F2690E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cs="Times New Roman"/>
                      <w:color w:val="auto"/>
                      <w:sz w:val="21"/>
                      <w:szCs w:val="21"/>
                      <w:u w:val="none" w:color="auto"/>
                      <w:vertAlign w:val="baseline"/>
                      <w:lang w:val="en-US" w:eastAsia="zh-CN"/>
                    </w:rPr>
                    <w:t>/</w:t>
                  </w:r>
                </w:p>
              </w:tc>
              <w:tc>
                <w:tcPr>
                  <w:tcW w:w="566" w:type="pct"/>
                  <w:shd w:val="clear" w:color="auto" w:fill="auto"/>
                  <w:noWrap w:val="0"/>
                  <w:vAlign w:val="center"/>
                </w:tcPr>
                <w:p w14:paraId="67195E7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cs="Times New Roman"/>
                      <w:color w:val="auto"/>
                      <w:sz w:val="21"/>
                      <w:szCs w:val="21"/>
                      <w:u w:val="none" w:color="auto"/>
                      <w:vertAlign w:val="baseline"/>
                      <w:lang w:val="en-US" w:eastAsia="zh-CN"/>
                    </w:rPr>
                    <w:t>厂界</w:t>
                  </w:r>
                </w:p>
              </w:tc>
            </w:tr>
            <w:tr w14:paraId="0FAA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40" w:type="pct"/>
                  <w:vMerge w:val="continue"/>
                  <w:shd w:val="clear" w:color="auto" w:fill="auto"/>
                  <w:noWrap w:val="0"/>
                  <w:vAlign w:val="center"/>
                </w:tcPr>
                <w:p w14:paraId="233F202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color w:val="auto"/>
                    </w:rPr>
                  </w:pPr>
                </w:p>
              </w:tc>
              <w:tc>
                <w:tcPr>
                  <w:tcW w:w="615" w:type="pct"/>
                  <w:noWrap w:val="0"/>
                  <w:vAlign w:val="center"/>
                </w:tcPr>
                <w:p w14:paraId="47AD1D60">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硫化氢</w:t>
                  </w:r>
                </w:p>
              </w:tc>
              <w:tc>
                <w:tcPr>
                  <w:tcW w:w="1172" w:type="pct"/>
                  <w:shd w:val="clear" w:color="auto" w:fill="auto"/>
                  <w:noWrap w:val="0"/>
                  <w:vAlign w:val="center"/>
                </w:tcPr>
                <w:p w14:paraId="51E068F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0.06</w:t>
                  </w:r>
                </w:p>
              </w:tc>
              <w:tc>
                <w:tcPr>
                  <w:tcW w:w="905" w:type="pct"/>
                  <w:shd w:val="clear" w:color="auto" w:fill="auto"/>
                  <w:noWrap w:val="0"/>
                  <w:vAlign w:val="center"/>
                </w:tcPr>
                <w:p w14:paraId="40BD613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566" w:type="pct"/>
                  <w:shd w:val="clear" w:color="auto" w:fill="auto"/>
                  <w:noWrap w:val="0"/>
                  <w:vAlign w:val="center"/>
                </w:tcPr>
                <w:p w14:paraId="608A55C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厂界</w:t>
                  </w:r>
                </w:p>
              </w:tc>
            </w:tr>
            <w:tr w14:paraId="3858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40" w:type="pct"/>
                  <w:vMerge w:val="continue"/>
                  <w:shd w:val="clear" w:color="auto" w:fill="auto"/>
                  <w:noWrap w:val="0"/>
                  <w:vAlign w:val="center"/>
                </w:tcPr>
                <w:p w14:paraId="70ED77B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15" w:type="pct"/>
                  <w:noWrap w:val="0"/>
                  <w:vAlign w:val="center"/>
                </w:tcPr>
                <w:p w14:paraId="6754347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氨</w:t>
                  </w:r>
                </w:p>
              </w:tc>
              <w:tc>
                <w:tcPr>
                  <w:tcW w:w="1172" w:type="pct"/>
                  <w:shd w:val="clear" w:color="auto" w:fill="auto"/>
                  <w:noWrap w:val="0"/>
                  <w:vAlign w:val="center"/>
                </w:tcPr>
                <w:p w14:paraId="3DE70E3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1.5</w:t>
                  </w:r>
                </w:p>
              </w:tc>
              <w:tc>
                <w:tcPr>
                  <w:tcW w:w="905" w:type="pct"/>
                  <w:shd w:val="clear" w:color="auto" w:fill="auto"/>
                  <w:noWrap w:val="0"/>
                  <w:vAlign w:val="center"/>
                </w:tcPr>
                <w:p w14:paraId="10EA0C7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p>
              </w:tc>
              <w:tc>
                <w:tcPr>
                  <w:tcW w:w="566" w:type="pct"/>
                  <w:shd w:val="clear" w:color="auto" w:fill="auto"/>
                  <w:noWrap w:val="0"/>
                  <w:vAlign w:val="center"/>
                </w:tcPr>
                <w:p w14:paraId="28486AB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厂界</w:t>
                  </w:r>
                </w:p>
              </w:tc>
            </w:tr>
          </w:tbl>
          <w:p w14:paraId="370CC056">
            <w:pPr>
              <w:numPr>
                <w:ilvl w:val="0"/>
                <w:numId w:val="0"/>
              </w:numPr>
              <w:bidi w:val="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 xml:space="preserve">3.10 </w:t>
            </w:r>
            <w:r>
              <w:rPr>
                <w:rFonts w:hint="default" w:ascii="Times New Roman" w:hAnsi="Times New Roman" w:eastAsia="黑体" w:cs="Times New Roman"/>
                <w:b/>
                <w:bCs/>
                <w:color w:val="auto"/>
                <w:highlight w:val="none"/>
                <w:u w:val="none" w:color="auto"/>
                <w:lang w:val="en-US" w:eastAsia="zh-CN"/>
              </w:rPr>
              <w:t>噪声</w:t>
            </w:r>
          </w:p>
          <w:p w14:paraId="6DD20A01">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本项目位于</w:t>
            </w:r>
            <w:r>
              <w:rPr>
                <w:rFonts w:hint="default" w:ascii="Times New Roman" w:hAnsi="Times New Roman" w:cs="Times New Roman"/>
                <w:color w:val="auto"/>
                <w:sz w:val="24"/>
                <w:szCs w:val="24"/>
                <w:u w:val="none" w:color="auto"/>
                <w:vertAlign w:val="baseline"/>
                <w:lang w:val="en-US" w:eastAsia="zh-CN"/>
              </w:rPr>
              <w:t>湖南省</w:t>
            </w:r>
            <w:r>
              <w:rPr>
                <w:rFonts w:hint="eastAsia" w:ascii="Times New Roman" w:hAnsi="Times New Roman" w:eastAsia="宋体" w:cs="Times New Roman"/>
                <w:color w:val="auto"/>
                <w:sz w:val="24"/>
                <w:u w:val="none"/>
                <w:lang w:eastAsia="zh-CN"/>
              </w:rPr>
              <w:t>怀化市</w:t>
            </w:r>
            <w:r>
              <w:rPr>
                <w:rFonts w:hint="default" w:ascii="Times New Roman" w:hAnsi="Times New Roman" w:eastAsia="宋体" w:cs="Times New Roman"/>
                <w:color w:val="auto"/>
                <w:sz w:val="24"/>
                <w:u w:val="none"/>
                <w:lang w:eastAsia="zh-CN"/>
              </w:rPr>
              <w:t>溆浦县卢峰镇</w:t>
            </w:r>
            <w:r>
              <w:rPr>
                <w:rFonts w:hint="eastAsia" w:cs="Times New Roman"/>
                <w:color w:val="auto"/>
                <w:sz w:val="24"/>
                <w:u w:val="none"/>
                <w:lang w:eastAsia="zh-CN"/>
              </w:rPr>
              <w:t>水田垅村</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sz w:val="24"/>
                <w:u w:val="none" w:color="auto"/>
              </w:rPr>
              <w:t>项目运营期</w:t>
            </w:r>
            <w:r>
              <w:rPr>
                <w:rFonts w:ascii="Times New Roman" w:hAnsi="Times New Roman" w:cs="Times New Roman"/>
                <w:color w:val="auto"/>
                <w:sz w:val="24"/>
                <w:u w:val="none" w:color="auto"/>
              </w:rPr>
              <w:t>厂界</w:t>
            </w:r>
            <w:r>
              <w:rPr>
                <w:rFonts w:hint="eastAsia" w:cs="Times New Roman"/>
                <w:color w:val="auto"/>
                <w:sz w:val="24"/>
                <w:u w:val="none" w:color="auto"/>
                <w:lang w:val="en-US" w:eastAsia="zh-CN"/>
              </w:rPr>
              <w:t>东南西三侧</w:t>
            </w:r>
            <w:r>
              <w:rPr>
                <w:rFonts w:ascii="Times New Roman" w:hAnsi="Times New Roman" w:cs="Times New Roman"/>
                <w:color w:val="auto"/>
                <w:sz w:val="24"/>
                <w:u w:val="none" w:color="auto"/>
              </w:rPr>
              <w:t>噪声执行《工业企业厂界环境噪声排放标准》（GB</w:t>
            </w:r>
            <w:r>
              <w:rPr>
                <w:rFonts w:hint="default" w:ascii="Times New Roman" w:hAnsi="Times New Roman" w:cs="Times New Roman"/>
                <w:color w:val="auto"/>
                <w:sz w:val="24"/>
                <w:u w:val="none" w:color="auto"/>
                <w:lang w:val="en-US" w:eastAsia="zh-CN"/>
              </w:rPr>
              <w:t xml:space="preserve"> </w:t>
            </w:r>
            <w:r>
              <w:rPr>
                <w:rFonts w:ascii="Times New Roman" w:hAnsi="Times New Roman" w:cs="Times New Roman"/>
                <w:color w:val="auto"/>
                <w:sz w:val="24"/>
                <w:u w:val="none" w:color="auto"/>
              </w:rPr>
              <w:t>12348-2008）中的</w:t>
            </w:r>
            <w:r>
              <w:rPr>
                <w:rFonts w:hint="eastAsia" w:cs="Times New Roman"/>
                <w:color w:val="auto"/>
                <w:sz w:val="24"/>
                <w:u w:val="none" w:color="auto"/>
                <w:lang w:val="en-US" w:eastAsia="zh-CN"/>
              </w:rPr>
              <w:t>2</w:t>
            </w:r>
            <w:r>
              <w:rPr>
                <w:rFonts w:ascii="Times New Roman" w:hAnsi="Times New Roman" w:cs="Times New Roman"/>
                <w:color w:val="auto"/>
                <w:sz w:val="24"/>
                <w:u w:val="none" w:color="auto"/>
              </w:rPr>
              <w:t>类标准</w:t>
            </w:r>
            <w:r>
              <w:rPr>
                <w:rFonts w:hint="eastAsia" w:cs="Times New Roman"/>
                <w:color w:val="auto"/>
                <w:sz w:val="24"/>
                <w:u w:val="none" w:color="auto"/>
                <w:lang w:eastAsia="zh-CN"/>
              </w:rPr>
              <w:t>；</w:t>
            </w:r>
            <w:r>
              <w:rPr>
                <w:rFonts w:hint="eastAsia" w:cs="Times New Roman"/>
                <w:color w:val="auto"/>
                <w:sz w:val="24"/>
                <w:u w:val="none" w:color="auto"/>
                <w:lang w:val="en-US" w:eastAsia="zh-CN"/>
              </w:rPr>
              <w:t>厂界北侧（紧邻S249省道）</w:t>
            </w:r>
            <w:r>
              <w:rPr>
                <w:rFonts w:ascii="Times New Roman" w:hAnsi="Times New Roman" w:cs="Times New Roman"/>
                <w:color w:val="auto"/>
                <w:sz w:val="24"/>
                <w:u w:val="none" w:color="auto"/>
              </w:rPr>
              <w:t>执行《工业企业厂界环境噪声排放标准》（GB</w:t>
            </w:r>
            <w:r>
              <w:rPr>
                <w:rFonts w:hint="default" w:ascii="Times New Roman" w:hAnsi="Times New Roman" w:cs="Times New Roman"/>
                <w:color w:val="auto"/>
                <w:sz w:val="24"/>
                <w:u w:val="none" w:color="auto"/>
                <w:lang w:val="en-US" w:eastAsia="zh-CN"/>
              </w:rPr>
              <w:t xml:space="preserve"> </w:t>
            </w:r>
            <w:r>
              <w:rPr>
                <w:rFonts w:ascii="Times New Roman" w:hAnsi="Times New Roman" w:cs="Times New Roman"/>
                <w:color w:val="auto"/>
                <w:sz w:val="24"/>
                <w:u w:val="none" w:color="auto"/>
              </w:rPr>
              <w:t>12348-2008）中的</w:t>
            </w:r>
            <w:r>
              <w:rPr>
                <w:rFonts w:hint="eastAsia" w:cs="Times New Roman"/>
                <w:color w:val="auto"/>
                <w:sz w:val="24"/>
                <w:u w:val="none" w:color="auto"/>
                <w:lang w:val="en-US" w:eastAsia="zh-CN"/>
              </w:rPr>
              <w:t>4</w:t>
            </w:r>
            <w:r>
              <w:rPr>
                <w:rFonts w:ascii="Times New Roman" w:hAnsi="Times New Roman" w:cs="Times New Roman"/>
                <w:color w:val="auto"/>
                <w:sz w:val="24"/>
                <w:u w:val="none" w:color="auto"/>
              </w:rPr>
              <w:t>类标准。具体标准值见下表</w:t>
            </w:r>
            <w:r>
              <w:rPr>
                <w:rFonts w:hint="default" w:ascii="Times New Roman" w:hAnsi="Times New Roman" w:cs="Times New Roman"/>
                <w:color w:val="auto"/>
                <w:u w:val="none" w:color="auto"/>
                <w:lang w:val="en-US" w:eastAsia="zh-CN"/>
              </w:rPr>
              <w:t>。</w:t>
            </w:r>
          </w:p>
          <w:p w14:paraId="76AB8B72">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cs="Times New Roman"/>
                <w:color w:val="FF0000"/>
                <w:highlight w:val="none"/>
                <w:u w:val="none" w:color="auto"/>
                <w:lang w:val="en-US" w:eastAsia="zh-CN"/>
              </w:rPr>
            </w:pPr>
            <w:r>
              <w:rPr>
                <w:rFonts w:hint="default" w:ascii="Times New Roman" w:hAnsi="Times New Roman" w:cs="Times New Roman"/>
                <w:color w:val="auto"/>
                <w:u w:val="none" w:color="auto"/>
                <w:lang w:val="en-US" w:eastAsia="zh-CN"/>
              </w:rPr>
              <w:t>表3.10-1</w:t>
            </w:r>
            <w:r>
              <w:rPr>
                <w:rFonts w:hint="default" w:ascii="Times New Roman" w:hAnsi="Times New Roman" w:cs="Times New Roman"/>
                <w:color w:val="auto"/>
                <w:highlight w:val="none"/>
                <w:u w:val="none" w:color="auto"/>
                <w:lang w:val="en-US" w:eastAsia="zh-CN"/>
              </w:rPr>
              <w:t xml:space="preserve"> 《工业企业厂界环境噪声排放标准》</w:t>
            </w:r>
          </w:p>
          <w:tbl>
            <w:tblPr>
              <w:tblStyle w:val="22"/>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538"/>
              <w:gridCol w:w="1275"/>
              <w:gridCol w:w="987"/>
              <w:gridCol w:w="4031"/>
            </w:tblGrid>
            <w:tr w14:paraId="0F77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77" w:type="pct"/>
                  <w:noWrap w:val="0"/>
                  <w:vAlign w:val="center"/>
                </w:tcPr>
                <w:p w14:paraId="5C4A1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时期</w:t>
                  </w:r>
                </w:p>
              </w:tc>
              <w:tc>
                <w:tcPr>
                  <w:tcW w:w="888" w:type="pct"/>
                  <w:noWrap w:val="0"/>
                  <w:vAlign w:val="center"/>
                </w:tcPr>
                <w:p w14:paraId="6657EF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点位</w:t>
                  </w:r>
                </w:p>
              </w:tc>
              <w:tc>
                <w:tcPr>
                  <w:tcW w:w="736" w:type="pct"/>
                  <w:noWrap w:val="0"/>
                  <w:vAlign w:val="center"/>
                </w:tcPr>
                <w:p w14:paraId="5715E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昼间</w:t>
                  </w:r>
                </w:p>
                <w:p w14:paraId="78605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[dB（A）]</w:t>
                  </w:r>
                </w:p>
              </w:tc>
              <w:tc>
                <w:tcPr>
                  <w:tcW w:w="569" w:type="pct"/>
                  <w:noWrap w:val="0"/>
                  <w:vAlign w:val="center"/>
                </w:tcPr>
                <w:p w14:paraId="530D7C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夜间</w:t>
                  </w:r>
                </w:p>
                <w:p w14:paraId="78F637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[dB（A）]</w:t>
                  </w:r>
                </w:p>
              </w:tc>
              <w:tc>
                <w:tcPr>
                  <w:tcW w:w="2327" w:type="pct"/>
                  <w:noWrap w:val="0"/>
                  <w:vAlign w:val="center"/>
                </w:tcPr>
                <w:p w14:paraId="160A8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标准来源</w:t>
                  </w:r>
                </w:p>
              </w:tc>
            </w:tr>
            <w:tr w14:paraId="3075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77" w:type="pct"/>
                  <w:vMerge w:val="restart"/>
                  <w:noWrap w:val="0"/>
                  <w:vAlign w:val="center"/>
                </w:tcPr>
                <w:p w14:paraId="56CE7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运营期</w:t>
                  </w:r>
                </w:p>
              </w:tc>
              <w:tc>
                <w:tcPr>
                  <w:tcW w:w="888" w:type="pct"/>
                  <w:noWrap w:val="0"/>
                  <w:vAlign w:val="center"/>
                </w:tcPr>
                <w:p w14:paraId="0C283A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厂界东南西侧</w:t>
                  </w:r>
                </w:p>
              </w:tc>
              <w:tc>
                <w:tcPr>
                  <w:tcW w:w="736" w:type="pct"/>
                  <w:noWrap w:val="0"/>
                  <w:vAlign w:val="center"/>
                </w:tcPr>
                <w:p w14:paraId="46843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w:t>
                  </w:r>
                  <w:r>
                    <w:rPr>
                      <w:rFonts w:hint="eastAsia" w:cs="Times New Roman"/>
                      <w:color w:val="auto"/>
                      <w:sz w:val="21"/>
                      <w:szCs w:val="21"/>
                      <w:u w:val="none" w:color="auto"/>
                      <w:vertAlign w:val="baseline"/>
                      <w:lang w:val="en-US" w:eastAsia="zh-CN"/>
                    </w:rPr>
                    <w:t>0</w:t>
                  </w:r>
                </w:p>
              </w:tc>
              <w:tc>
                <w:tcPr>
                  <w:tcW w:w="569" w:type="pct"/>
                  <w:noWrap w:val="0"/>
                  <w:vAlign w:val="center"/>
                </w:tcPr>
                <w:p w14:paraId="0A600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w:t>
                  </w:r>
                  <w:r>
                    <w:rPr>
                      <w:rFonts w:hint="eastAsia" w:cs="Times New Roman"/>
                      <w:color w:val="auto"/>
                      <w:sz w:val="21"/>
                      <w:szCs w:val="21"/>
                      <w:u w:val="none" w:color="auto"/>
                      <w:vertAlign w:val="baseline"/>
                      <w:lang w:val="en-US" w:eastAsia="zh-CN"/>
                    </w:rPr>
                    <w:t>0</w:t>
                  </w:r>
                </w:p>
              </w:tc>
              <w:tc>
                <w:tcPr>
                  <w:tcW w:w="2327" w:type="pct"/>
                  <w:noWrap w:val="0"/>
                  <w:vAlign w:val="center"/>
                </w:tcPr>
                <w:p w14:paraId="18635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《工业企业厂界环境噪声排放标准》（GB 12348-2008）中</w:t>
                  </w:r>
                  <w:r>
                    <w:rPr>
                      <w:rFonts w:hint="eastAsia" w:cs="Times New Roman"/>
                      <w:color w:val="auto"/>
                      <w:sz w:val="21"/>
                      <w:szCs w:val="21"/>
                      <w:u w:val="none" w:color="auto"/>
                      <w:vertAlign w:val="baseline"/>
                      <w:lang w:val="en-US" w:eastAsia="zh-CN"/>
                    </w:rPr>
                    <w:t>2</w:t>
                  </w:r>
                  <w:r>
                    <w:rPr>
                      <w:rFonts w:hint="default" w:ascii="Times New Roman" w:hAnsi="Times New Roman" w:cs="Times New Roman"/>
                      <w:color w:val="auto"/>
                      <w:sz w:val="21"/>
                      <w:szCs w:val="21"/>
                      <w:u w:val="none" w:color="auto"/>
                      <w:vertAlign w:val="baseline"/>
                      <w:lang w:val="en-US" w:eastAsia="zh-CN"/>
                    </w:rPr>
                    <w:t>类标准限值</w:t>
                  </w:r>
                </w:p>
              </w:tc>
            </w:tr>
            <w:tr w14:paraId="3D4C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77" w:type="pct"/>
                  <w:vMerge w:val="continue"/>
                  <w:noWrap w:val="0"/>
                  <w:vAlign w:val="center"/>
                </w:tcPr>
                <w:p w14:paraId="0319B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88" w:type="pct"/>
                  <w:noWrap w:val="0"/>
                  <w:vAlign w:val="center"/>
                </w:tcPr>
                <w:p w14:paraId="5050E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厂界北侧</w:t>
                  </w:r>
                </w:p>
              </w:tc>
              <w:tc>
                <w:tcPr>
                  <w:tcW w:w="736" w:type="pct"/>
                  <w:noWrap w:val="0"/>
                  <w:vAlign w:val="center"/>
                </w:tcPr>
                <w:p w14:paraId="7FC05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70</w:t>
                  </w:r>
                </w:p>
              </w:tc>
              <w:tc>
                <w:tcPr>
                  <w:tcW w:w="569" w:type="pct"/>
                  <w:noWrap w:val="0"/>
                  <w:vAlign w:val="center"/>
                </w:tcPr>
                <w:p w14:paraId="7B550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55</w:t>
                  </w:r>
                </w:p>
              </w:tc>
              <w:tc>
                <w:tcPr>
                  <w:tcW w:w="2327" w:type="pct"/>
                  <w:shd w:val="clear" w:color="auto" w:fill="auto"/>
                  <w:noWrap w:val="0"/>
                  <w:vAlign w:val="center"/>
                </w:tcPr>
                <w:p w14:paraId="71CE0F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《工业企业厂界环境噪声排放标准》（GB 12348-2008）中</w:t>
                  </w:r>
                  <w:r>
                    <w:rPr>
                      <w:rFonts w:hint="eastAsia" w:cs="Times New Roman"/>
                      <w:color w:val="auto"/>
                      <w:sz w:val="21"/>
                      <w:szCs w:val="21"/>
                      <w:u w:val="none" w:color="auto"/>
                      <w:vertAlign w:val="baseline"/>
                      <w:lang w:val="en-US" w:eastAsia="zh-CN"/>
                    </w:rPr>
                    <w:t>4</w:t>
                  </w:r>
                  <w:r>
                    <w:rPr>
                      <w:rFonts w:hint="default" w:ascii="Times New Roman" w:hAnsi="Times New Roman" w:cs="Times New Roman"/>
                      <w:color w:val="auto"/>
                      <w:sz w:val="21"/>
                      <w:szCs w:val="21"/>
                      <w:u w:val="none" w:color="auto"/>
                      <w:vertAlign w:val="baseline"/>
                      <w:lang w:val="en-US" w:eastAsia="zh-CN"/>
                    </w:rPr>
                    <w:t>类标准限值</w:t>
                  </w:r>
                </w:p>
              </w:tc>
            </w:tr>
          </w:tbl>
          <w:p w14:paraId="1B262684">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eastAsia="黑体" w:cs="Times New Roman"/>
                <w:b/>
                <w:bCs/>
                <w:color w:val="auto"/>
                <w:u w:val="none" w:color="auto"/>
                <w:lang w:val="en-US" w:eastAsia="zh-CN"/>
              </w:rPr>
              <w:t>3.11 固体废弃物</w:t>
            </w:r>
          </w:p>
          <w:p w14:paraId="42AF9963">
            <w:pPr>
              <w:bidi w:val="0"/>
              <w:rPr>
                <w:rFonts w:hint="default" w:ascii="Times New Roman" w:hAnsi="Times New Roman" w:cs="Times New Roman"/>
                <w:color w:val="FF0000"/>
                <w:u w:val="none" w:color="auto"/>
                <w:lang w:val="en-US" w:eastAsia="zh-CN"/>
              </w:rPr>
            </w:pPr>
            <w:r>
              <w:rPr>
                <w:rFonts w:hint="default" w:ascii="Times New Roman" w:hAnsi="Times New Roman" w:eastAsia="宋体" w:cs="Times New Roman"/>
                <w:color w:val="auto"/>
                <w:sz w:val="24"/>
                <w:szCs w:val="24"/>
                <w:u w:val="none"/>
              </w:rPr>
              <w:t>项目营运期</w:t>
            </w:r>
            <w:r>
              <w:rPr>
                <w:rFonts w:hint="default" w:ascii="Times New Roman" w:hAnsi="Times New Roman" w:eastAsia="宋体" w:cs="Times New Roman"/>
                <w:color w:val="auto"/>
                <w:kern w:val="0"/>
                <w:sz w:val="24"/>
                <w:szCs w:val="24"/>
                <w:u w:val="none"/>
                <w:lang w:bidi="ar"/>
              </w:rPr>
              <w:t>一般工业固体废物</w:t>
            </w:r>
            <w:r>
              <w:rPr>
                <w:rFonts w:hint="eastAsia" w:ascii="Times New Roman" w:hAnsi="Times New Roman" w:eastAsia="宋体" w:cs="Times New Roman"/>
                <w:color w:val="auto"/>
                <w:kern w:val="0"/>
                <w:sz w:val="24"/>
                <w:szCs w:val="24"/>
                <w:u w:val="none"/>
                <w:lang w:val="en-US" w:eastAsia="zh-CN" w:bidi="ar"/>
              </w:rPr>
              <w:t>参照</w:t>
            </w:r>
            <w:r>
              <w:rPr>
                <w:rFonts w:hint="default" w:ascii="Times New Roman" w:hAnsi="Times New Roman" w:eastAsia="宋体" w:cs="Times New Roman"/>
                <w:color w:val="auto"/>
                <w:kern w:val="0"/>
                <w:sz w:val="24"/>
                <w:szCs w:val="24"/>
                <w:u w:val="none"/>
                <w:lang w:bidi="ar"/>
              </w:rPr>
              <w:t>执行《一般工业固体废物贮存和填埋污染控制标准》（GB18599-2020）的相关要求</w:t>
            </w:r>
            <w:r>
              <w:rPr>
                <w:rFonts w:hint="eastAsia" w:ascii="Times New Roman" w:hAnsi="Times New Roman" w:eastAsia="宋体" w:cs="Times New Roman"/>
                <w:color w:val="auto"/>
                <w:kern w:val="0"/>
                <w:sz w:val="24"/>
                <w:szCs w:val="24"/>
                <w:u w:val="none"/>
                <w:lang w:eastAsia="zh-CN" w:bidi="ar"/>
              </w:rPr>
              <w:t>；</w:t>
            </w:r>
            <w:r>
              <w:rPr>
                <w:color w:val="auto"/>
                <w:kern w:val="2"/>
                <w:sz w:val="24"/>
                <w:szCs w:val="24"/>
                <w:u w:val="none" w:color="auto"/>
                <w:lang w:val="en-US" w:eastAsia="zh-CN"/>
              </w:rPr>
              <w:t>危险废物执行《危险废物贮存污染控制标准》（</w:t>
            </w:r>
            <w:r>
              <w:rPr>
                <w:color w:val="auto"/>
                <w:sz w:val="24"/>
                <w:szCs w:val="24"/>
                <w:u w:val="none" w:color="auto"/>
                <w:lang w:val="en-US" w:eastAsia="zh-CN"/>
              </w:rPr>
              <w:t>GB 18597-20</w:t>
            </w:r>
            <w:r>
              <w:rPr>
                <w:rFonts w:hint="eastAsia"/>
                <w:color w:val="auto"/>
                <w:sz w:val="24"/>
                <w:szCs w:val="24"/>
                <w:u w:val="none" w:color="auto"/>
                <w:lang w:val="en-US" w:eastAsia="zh-CN"/>
              </w:rPr>
              <w:t>23</w:t>
            </w:r>
            <w:r>
              <w:rPr>
                <w:color w:val="auto"/>
                <w:kern w:val="2"/>
                <w:sz w:val="24"/>
                <w:szCs w:val="24"/>
                <w:u w:val="none" w:color="auto"/>
                <w:lang w:val="en-US" w:eastAsia="zh-CN"/>
              </w:rPr>
              <w:t>）</w:t>
            </w:r>
            <w:r>
              <w:rPr>
                <w:rFonts w:hint="default"/>
                <w:color w:val="auto"/>
                <w:u w:val="none" w:color="auto"/>
                <w:lang w:val="en-US" w:eastAsia="zh-CN"/>
              </w:rPr>
              <w:t>。</w:t>
            </w:r>
          </w:p>
        </w:tc>
      </w:tr>
      <w:tr w14:paraId="1F22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8" w:hRule="atLeast"/>
        </w:trPr>
        <w:tc>
          <w:tcPr>
            <w:tcW w:w="394" w:type="dxa"/>
            <w:vAlign w:val="center"/>
          </w:tcPr>
          <w:p w14:paraId="2AA8B4AE">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总量控制指标</w:t>
            </w:r>
          </w:p>
        </w:tc>
        <w:tc>
          <w:tcPr>
            <w:tcW w:w="8894" w:type="dxa"/>
            <w:vAlign w:val="center"/>
          </w:tcPr>
          <w:p w14:paraId="2ABB8790">
            <w:pPr>
              <w:pStyle w:val="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both"/>
              <w:textAlignment w:val="auto"/>
              <w:rPr>
                <w:rFonts w:hint="default" w:ascii="Times New Roman" w:hAnsi="Times New Roman" w:cs="Times New Roman"/>
                <w:color w:val="auto"/>
                <w:sz w:val="21"/>
                <w:szCs w:val="21"/>
                <w:u w:val="none"/>
              </w:rPr>
            </w:pPr>
            <w:r>
              <w:rPr>
                <w:rFonts w:hint="default" w:ascii="Times New Roman" w:hAnsi="Times New Roman" w:eastAsia="宋体" w:cs="Times New Roman"/>
                <w:color w:val="auto"/>
                <w:kern w:val="0"/>
                <w:sz w:val="24"/>
                <w:szCs w:val="24"/>
                <w:u w:val="none"/>
                <w:lang w:val="zh-CN" w:eastAsia="zh-CN" w:bidi="ar-SA"/>
              </w:rPr>
              <w:t>根据《国务院关于印发大气污染防治行动计划的通知》</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国发</w:t>
            </w:r>
            <w:r>
              <w:rPr>
                <w:rFonts w:hint="default" w:ascii="Times New Roman" w:hAnsi="Times New Roman" w:cs="Times New Roman"/>
                <w:color w:val="auto"/>
                <w:kern w:val="0"/>
                <w:sz w:val="24"/>
                <w:szCs w:val="24"/>
                <w:u w:val="none"/>
                <w:lang w:val="en-US" w:eastAsia="zh-CN" w:bidi="ar-SA"/>
              </w:rPr>
              <w:t>[2013]</w:t>
            </w:r>
            <w:r>
              <w:rPr>
                <w:rFonts w:hint="default" w:ascii="Times New Roman" w:hAnsi="Times New Roman" w:eastAsia="宋体" w:cs="Times New Roman"/>
                <w:color w:val="auto"/>
                <w:kern w:val="0"/>
                <w:sz w:val="24"/>
                <w:szCs w:val="24"/>
                <w:u w:val="none"/>
                <w:lang w:val="zh-CN" w:eastAsia="zh-CN" w:bidi="ar-SA"/>
              </w:rPr>
              <w:t>37号</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和《湖南省环境保护“十</w:t>
            </w:r>
            <w:r>
              <w:rPr>
                <w:rFonts w:hint="default" w:ascii="Times New Roman" w:hAnsi="Times New Roman" w:cs="Times New Roman"/>
                <w:color w:val="auto"/>
                <w:kern w:val="0"/>
                <w:sz w:val="24"/>
                <w:szCs w:val="24"/>
                <w:u w:val="none"/>
                <w:lang w:val="en-US" w:eastAsia="zh-CN" w:bidi="ar-SA"/>
              </w:rPr>
              <w:t>四</w:t>
            </w:r>
            <w:r>
              <w:rPr>
                <w:rFonts w:hint="default" w:ascii="Times New Roman" w:hAnsi="Times New Roman" w:eastAsia="宋体" w:cs="Times New Roman"/>
                <w:color w:val="auto"/>
                <w:kern w:val="0"/>
                <w:sz w:val="24"/>
                <w:szCs w:val="24"/>
                <w:u w:val="none"/>
                <w:lang w:val="zh-CN" w:eastAsia="zh-CN" w:bidi="ar-SA"/>
              </w:rPr>
              <w:t>五”规划》的规定，湖南省对化学需氧量</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COD</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、氨氮</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NH</w:t>
            </w:r>
            <w:r>
              <w:rPr>
                <w:rFonts w:hint="default" w:ascii="Times New Roman" w:hAnsi="Times New Roman" w:eastAsia="宋体" w:cs="Times New Roman"/>
                <w:color w:val="auto"/>
                <w:kern w:val="0"/>
                <w:sz w:val="24"/>
                <w:szCs w:val="24"/>
                <w:u w:val="none"/>
                <w:vertAlign w:val="subscript"/>
                <w:lang w:val="zh-CN" w:eastAsia="zh-CN" w:bidi="ar-SA"/>
              </w:rPr>
              <w:t>3</w:t>
            </w:r>
            <w:r>
              <w:rPr>
                <w:rFonts w:hint="default" w:ascii="Times New Roman" w:hAnsi="Times New Roman" w:eastAsia="宋体" w:cs="Times New Roman"/>
                <w:color w:val="auto"/>
                <w:kern w:val="0"/>
                <w:sz w:val="24"/>
                <w:szCs w:val="24"/>
                <w:u w:val="none"/>
                <w:lang w:val="zh-CN" w:eastAsia="zh-CN" w:bidi="ar-SA"/>
              </w:rPr>
              <w:t>-N</w:t>
            </w:r>
            <w:r>
              <w:rPr>
                <w:rFonts w:hint="default" w:ascii="Times New Roman" w:hAnsi="Times New Roman" w:cs="Times New Roman"/>
                <w:color w:val="auto"/>
                <w:kern w:val="0"/>
                <w:sz w:val="24"/>
                <w:szCs w:val="24"/>
                <w:u w:val="none"/>
                <w:lang w:val="zh-CN" w:eastAsia="zh-CN" w:bidi="ar-SA"/>
              </w:rPr>
              <w:t>）</w:t>
            </w:r>
            <w:r>
              <w:rPr>
                <w:rFonts w:hint="eastAsia" w:cs="Times New Roman"/>
                <w:color w:val="auto"/>
                <w:kern w:val="0"/>
                <w:sz w:val="24"/>
                <w:szCs w:val="24"/>
                <w:u w:val="none"/>
                <w:lang w:val="zh-CN" w:eastAsia="zh-CN" w:bidi="ar-SA"/>
              </w:rPr>
              <w:t>、</w:t>
            </w:r>
            <w:r>
              <w:rPr>
                <w:rFonts w:hint="eastAsia" w:cs="Times New Roman"/>
                <w:color w:val="auto"/>
                <w:kern w:val="0"/>
                <w:sz w:val="24"/>
                <w:szCs w:val="24"/>
                <w:u w:val="none"/>
                <w:lang w:val="en-US" w:eastAsia="zh-CN" w:bidi="ar-SA"/>
              </w:rPr>
              <w:t>总磷（TP）</w:t>
            </w:r>
            <w:r>
              <w:rPr>
                <w:rFonts w:hint="default" w:ascii="Times New Roman" w:hAnsi="Times New Roman" w:eastAsia="宋体" w:cs="Times New Roman"/>
                <w:color w:val="auto"/>
                <w:kern w:val="0"/>
                <w:sz w:val="24"/>
                <w:szCs w:val="24"/>
                <w:u w:val="none"/>
                <w:lang w:val="zh-CN" w:eastAsia="zh-CN" w:bidi="ar-SA"/>
              </w:rPr>
              <w:t>、二氧化硫</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SO</w:t>
            </w:r>
            <w:r>
              <w:rPr>
                <w:rFonts w:hint="default" w:ascii="Times New Roman" w:hAnsi="Times New Roman" w:eastAsia="宋体" w:cs="Times New Roman"/>
                <w:color w:val="auto"/>
                <w:kern w:val="0"/>
                <w:sz w:val="24"/>
                <w:szCs w:val="24"/>
                <w:u w:val="none"/>
                <w:vertAlign w:val="subscript"/>
                <w:lang w:val="zh-CN" w:eastAsia="zh-CN" w:bidi="ar-SA"/>
              </w:rPr>
              <w:t>2</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、氮氧化物</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NO</w:t>
            </w:r>
            <w:r>
              <w:rPr>
                <w:rFonts w:hint="default" w:ascii="Times New Roman" w:hAnsi="Times New Roman" w:eastAsia="宋体" w:cs="Times New Roman"/>
                <w:color w:val="auto"/>
                <w:kern w:val="0"/>
                <w:sz w:val="24"/>
                <w:szCs w:val="24"/>
                <w:u w:val="none"/>
                <w:lang w:val="en-US" w:eastAsia="zh-CN" w:bidi="ar-SA"/>
              </w:rPr>
              <w:t>x</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和挥发性有机物</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VOCs</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等污染物实行排放总量控制计划管理。</w:t>
            </w:r>
          </w:p>
          <w:p w14:paraId="024ED48C">
            <w:pPr>
              <w:pStyle w:val="2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eastAsia="宋体" w:cs="Times New Roman"/>
                <w:color w:val="auto"/>
                <w:kern w:val="0"/>
                <w:sz w:val="24"/>
                <w:szCs w:val="24"/>
                <w:u w:val="none"/>
                <w:lang w:val="zh-CN"/>
              </w:rPr>
            </w:pPr>
            <w:r>
              <w:rPr>
                <w:rFonts w:hint="default" w:ascii="Times New Roman" w:hAnsi="Times New Roman" w:cs="Times New Roman"/>
                <w:color w:val="auto"/>
                <w:kern w:val="0"/>
                <w:sz w:val="24"/>
                <w:szCs w:val="24"/>
                <w:u w:val="none"/>
                <w:lang w:val="zh-CN"/>
              </w:rPr>
              <w:t>根据本项目特点，本项目无SO</w:t>
            </w:r>
            <w:r>
              <w:rPr>
                <w:rFonts w:hint="default" w:ascii="Times New Roman" w:hAnsi="Times New Roman" w:cs="Times New Roman"/>
                <w:color w:val="auto"/>
                <w:kern w:val="0"/>
                <w:sz w:val="24"/>
                <w:szCs w:val="24"/>
                <w:u w:val="none"/>
                <w:vertAlign w:val="subscript"/>
                <w:lang w:val="zh-CN"/>
              </w:rPr>
              <w:t>2</w:t>
            </w:r>
            <w:r>
              <w:rPr>
                <w:rFonts w:hint="default" w:ascii="Times New Roman" w:hAnsi="Times New Roman" w:cs="Times New Roman"/>
                <w:color w:val="auto"/>
                <w:kern w:val="0"/>
                <w:sz w:val="24"/>
                <w:szCs w:val="24"/>
                <w:u w:val="none"/>
                <w:lang w:val="zh-CN"/>
              </w:rPr>
              <w:t>、NO</w:t>
            </w:r>
            <w:r>
              <w:rPr>
                <w:rFonts w:hint="default" w:ascii="Times New Roman" w:hAnsi="Times New Roman" w:cs="Times New Roman"/>
                <w:color w:val="auto"/>
                <w:kern w:val="0"/>
                <w:sz w:val="24"/>
                <w:szCs w:val="24"/>
                <w:u w:val="none"/>
                <w:vertAlign w:val="subscript"/>
                <w:lang w:val="zh-CN"/>
              </w:rPr>
              <w:t>X</w:t>
            </w:r>
            <w:r>
              <w:rPr>
                <w:rFonts w:hint="default" w:ascii="Times New Roman" w:hAnsi="Times New Roman" w:cs="Times New Roman"/>
                <w:color w:val="auto"/>
                <w:kern w:val="0"/>
                <w:sz w:val="24"/>
                <w:szCs w:val="24"/>
                <w:u w:val="none"/>
                <w:lang w:val="zh-CN"/>
              </w:rPr>
              <w:t>排放</w:t>
            </w:r>
            <w:r>
              <w:rPr>
                <w:rFonts w:hint="default" w:ascii="Times New Roman" w:hAnsi="Times New Roman" w:eastAsia="宋体" w:cs="Times New Roman"/>
                <w:color w:val="auto"/>
                <w:kern w:val="0"/>
                <w:sz w:val="24"/>
                <w:szCs w:val="24"/>
                <w:u w:val="none"/>
                <w:lang w:val="zh-CN"/>
              </w:rPr>
              <w:t>。因此，本项目</w:t>
            </w:r>
            <w:r>
              <w:rPr>
                <w:rFonts w:hint="default" w:ascii="Times New Roman" w:hAnsi="Times New Roman" w:eastAsia="宋体" w:cs="Times New Roman"/>
                <w:color w:val="auto"/>
                <w:kern w:val="0"/>
                <w:sz w:val="24"/>
                <w:szCs w:val="24"/>
                <w:u w:val="none"/>
                <w:lang w:val="en-US" w:eastAsia="zh-CN"/>
              </w:rPr>
              <w:t>仅考虑</w:t>
            </w:r>
            <w:r>
              <w:rPr>
                <w:rFonts w:hint="default" w:ascii="Times New Roman" w:hAnsi="Times New Roman" w:eastAsia="宋体" w:cs="Times New Roman"/>
                <w:color w:val="auto"/>
                <w:kern w:val="0"/>
                <w:sz w:val="24"/>
                <w:szCs w:val="24"/>
                <w:u w:val="none"/>
                <w:lang w:val="zh-CN" w:eastAsia="zh-CN" w:bidi="ar-SA"/>
              </w:rPr>
              <w:t>化学需氧量</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COD</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、氨氮</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NH</w:t>
            </w:r>
            <w:r>
              <w:rPr>
                <w:rFonts w:hint="default" w:ascii="Times New Roman" w:hAnsi="Times New Roman" w:eastAsia="宋体" w:cs="Times New Roman"/>
                <w:color w:val="auto"/>
                <w:kern w:val="0"/>
                <w:sz w:val="24"/>
                <w:szCs w:val="24"/>
                <w:u w:val="none"/>
                <w:vertAlign w:val="subscript"/>
                <w:lang w:val="zh-CN" w:eastAsia="zh-CN" w:bidi="ar-SA"/>
              </w:rPr>
              <w:t>3</w:t>
            </w:r>
            <w:r>
              <w:rPr>
                <w:rFonts w:hint="default" w:ascii="Times New Roman" w:hAnsi="Times New Roman" w:eastAsia="宋体" w:cs="Times New Roman"/>
                <w:color w:val="auto"/>
                <w:kern w:val="0"/>
                <w:sz w:val="24"/>
                <w:szCs w:val="24"/>
                <w:u w:val="none"/>
                <w:lang w:val="zh-CN" w:eastAsia="zh-CN" w:bidi="ar-SA"/>
              </w:rPr>
              <w:t>-N</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和</w:t>
            </w:r>
            <w:r>
              <w:rPr>
                <w:rFonts w:hint="eastAsia" w:ascii="Times New Roman" w:hAnsi="Times New Roman" w:eastAsia="宋体" w:cs="Times New Roman"/>
                <w:color w:val="auto"/>
                <w:kern w:val="0"/>
                <w:sz w:val="24"/>
                <w:szCs w:val="24"/>
                <w:u w:val="none"/>
                <w:lang w:val="en-US" w:eastAsia="zh-CN" w:bidi="ar-SA"/>
              </w:rPr>
              <w:t>总磷</w:t>
            </w:r>
            <w:r>
              <w:rPr>
                <w:rFonts w:hint="default" w:ascii="Times New Roman" w:hAnsi="Times New Roman" w:cs="Times New Roman"/>
                <w:color w:val="auto"/>
                <w:kern w:val="0"/>
                <w:sz w:val="24"/>
                <w:szCs w:val="24"/>
                <w:u w:val="none"/>
                <w:lang w:val="zh-CN" w:eastAsia="zh-CN" w:bidi="ar-SA"/>
              </w:rPr>
              <w:t>（</w:t>
            </w:r>
            <w:r>
              <w:rPr>
                <w:rFonts w:hint="eastAsia" w:ascii="Times New Roman" w:hAnsi="Times New Roman" w:eastAsia="宋体" w:cs="Times New Roman"/>
                <w:color w:val="auto"/>
                <w:kern w:val="0"/>
                <w:sz w:val="24"/>
                <w:szCs w:val="24"/>
                <w:u w:val="none"/>
                <w:lang w:val="en-US" w:eastAsia="zh-CN" w:bidi="ar-SA"/>
              </w:rPr>
              <w:t>TP</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en-US" w:eastAsia="zh-CN"/>
              </w:rPr>
              <w:t>排放</w:t>
            </w:r>
            <w:r>
              <w:rPr>
                <w:rFonts w:hint="default" w:ascii="Times New Roman" w:hAnsi="Times New Roman" w:eastAsia="宋体" w:cs="Times New Roman"/>
                <w:color w:val="auto"/>
                <w:kern w:val="0"/>
                <w:sz w:val="24"/>
                <w:szCs w:val="24"/>
                <w:u w:val="none"/>
                <w:lang w:val="zh-CN"/>
              </w:rPr>
              <w:t>总量控制。</w:t>
            </w:r>
          </w:p>
          <w:p w14:paraId="43721378">
            <w:pPr>
              <w:pStyle w:val="2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kern w:val="0"/>
                <w:sz w:val="24"/>
                <w:szCs w:val="24"/>
                <w:u w:val="none"/>
                <w:lang w:val="en-US" w:eastAsia="zh-CN"/>
              </w:rPr>
              <w:t>本项目</w:t>
            </w:r>
            <w:r>
              <w:rPr>
                <w:rFonts w:hint="default" w:ascii="Times New Roman" w:hAnsi="Times New Roman" w:eastAsia="宋体" w:cs="Times New Roman"/>
                <w:color w:val="auto"/>
                <w:kern w:val="0"/>
                <w:sz w:val="24"/>
                <w:szCs w:val="24"/>
                <w:u w:val="none"/>
                <w:lang w:val="zh-CN" w:eastAsia="zh-CN" w:bidi="ar-SA"/>
              </w:rPr>
              <w:t>化学需氧量</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COD</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、氨氮</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NH</w:t>
            </w:r>
            <w:r>
              <w:rPr>
                <w:rFonts w:hint="default" w:ascii="Times New Roman" w:hAnsi="Times New Roman" w:eastAsia="宋体" w:cs="Times New Roman"/>
                <w:color w:val="auto"/>
                <w:kern w:val="0"/>
                <w:sz w:val="24"/>
                <w:szCs w:val="24"/>
                <w:u w:val="none"/>
                <w:vertAlign w:val="subscript"/>
                <w:lang w:val="zh-CN" w:eastAsia="zh-CN" w:bidi="ar-SA"/>
              </w:rPr>
              <w:t>3</w:t>
            </w:r>
            <w:r>
              <w:rPr>
                <w:rFonts w:hint="default" w:ascii="Times New Roman" w:hAnsi="Times New Roman" w:eastAsia="宋体" w:cs="Times New Roman"/>
                <w:color w:val="auto"/>
                <w:kern w:val="0"/>
                <w:sz w:val="24"/>
                <w:szCs w:val="24"/>
                <w:u w:val="none"/>
                <w:lang w:val="zh-CN" w:eastAsia="zh-CN" w:bidi="ar-SA"/>
              </w:rPr>
              <w:t>-N</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en-US" w:eastAsia="zh-CN"/>
              </w:rPr>
              <w:t>排放总量控制指标详见下表。</w:t>
            </w:r>
          </w:p>
          <w:p w14:paraId="20357388">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表3.12-1</w:t>
            </w:r>
            <w:r>
              <w:rPr>
                <w:rFonts w:hint="default" w:ascii="Times New Roman" w:hAnsi="Times New Roman" w:cs="Times New Roman"/>
                <w:color w:val="auto"/>
                <w:highlight w:val="none"/>
                <w:u w:val="none"/>
                <w:lang w:val="en-US" w:eastAsia="zh-CN"/>
              </w:rPr>
              <w:t xml:space="preserve"> 项目水污染物总量控制建议表</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755"/>
              <w:gridCol w:w="3221"/>
              <w:gridCol w:w="1734"/>
            </w:tblGrid>
            <w:tr w14:paraId="5E68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28" w:type="pct"/>
                  <w:noWrap w:val="0"/>
                  <w:vAlign w:val="center"/>
                </w:tcPr>
                <w:p w14:paraId="39C0934C">
                  <w:pPr>
                    <w:pStyle w:val="39"/>
                    <w:overflowPunct w:val="0"/>
                    <w:autoSpaceDE w:val="0"/>
                    <w:autoSpaceDN w:val="0"/>
                    <w:bidi w:val="0"/>
                    <w:adjustRightInd/>
                    <w:snapToGrid/>
                    <w:spacing w:line="240" w:lineRule="auto"/>
                    <w:jc w:val="center"/>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污染控制因子</w:t>
                  </w:r>
                </w:p>
              </w:tc>
              <w:tc>
                <w:tcPr>
                  <w:tcW w:w="1012" w:type="pct"/>
                  <w:noWrap w:val="0"/>
                  <w:vAlign w:val="center"/>
                </w:tcPr>
                <w:p w14:paraId="1968EAF8">
                  <w:pPr>
                    <w:pStyle w:val="39"/>
                    <w:overflowPunct w:val="0"/>
                    <w:autoSpaceDE w:val="0"/>
                    <w:autoSpaceDN w:val="0"/>
                    <w:bidi w:val="0"/>
                    <w:adjustRightInd/>
                    <w:snapToGrid/>
                    <w:spacing w:line="240" w:lineRule="auto"/>
                    <w:jc w:val="center"/>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允许排放浓度</w:t>
                  </w:r>
                </w:p>
              </w:tc>
              <w:tc>
                <w:tcPr>
                  <w:tcW w:w="1858" w:type="pct"/>
                  <w:noWrap w:val="0"/>
                  <w:vAlign w:val="center"/>
                </w:tcPr>
                <w:p w14:paraId="02170280">
                  <w:pPr>
                    <w:pStyle w:val="39"/>
                    <w:overflowPunct w:val="0"/>
                    <w:autoSpaceDE w:val="0"/>
                    <w:autoSpaceDN w:val="0"/>
                    <w:bidi w:val="0"/>
                    <w:adjustRightInd/>
                    <w:snapToGrid/>
                    <w:spacing w:line="240" w:lineRule="auto"/>
                    <w:jc w:val="center"/>
                    <w:rPr>
                      <w:rFonts w:hint="eastAsia" w:cs="Times New Roman"/>
                      <w:color w:val="auto"/>
                      <w:sz w:val="21"/>
                      <w:szCs w:val="21"/>
                      <w:u w:val="single" w:color="auto"/>
                      <w:lang w:val="en-US" w:eastAsia="zh-CN"/>
                    </w:rPr>
                  </w:pPr>
                  <w:r>
                    <w:rPr>
                      <w:rFonts w:hint="eastAsia"/>
                      <w:color w:val="auto"/>
                      <w:u w:val="single" w:color="auto"/>
                      <w:lang w:val="en-US" w:eastAsia="zh-CN"/>
                    </w:rPr>
                    <w:t>本项目生产废水</w:t>
                  </w:r>
                  <w:r>
                    <w:rPr>
                      <w:rFonts w:hint="default" w:ascii="Times New Roman" w:hAnsi="Times New Roman" w:cs="Times New Roman"/>
                      <w:color w:val="auto"/>
                      <w:sz w:val="21"/>
                      <w:szCs w:val="21"/>
                      <w:u w:val="single" w:color="auto"/>
                      <w:lang w:val="en-US" w:eastAsia="zh-CN"/>
                    </w:rPr>
                    <w:t>排放量</w:t>
                  </w:r>
                </w:p>
              </w:tc>
              <w:tc>
                <w:tcPr>
                  <w:tcW w:w="1000" w:type="pct"/>
                  <w:noWrap w:val="0"/>
                  <w:vAlign w:val="center"/>
                </w:tcPr>
                <w:p w14:paraId="6B2C4EE0">
                  <w:pPr>
                    <w:pStyle w:val="39"/>
                    <w:overflowPunct w:val="0"/>
                    <w:autoSpaceDE w:val="0"/>
                    <w:autoSpaceDN w:val="0"/>
                    <w:bidi w:val="0"/>
                    <w:adjustRightInd/>
                    <w:snapToGrid/>
                    <w:spacing w:line="240" w:lineRule="auto"/>
                    <w:ind w:firstLine="0" w:firstLineChars="0"/>
                    <w:jc w:val="center"/>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总量建议指标</w:t>
                  </w:r>
                </w:p>
              </w:tc>
            </w:tr>
            <w:tr w14:paraId="756C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28" w:type="pct"/>
                  <w:noWrap w:val="0"/>
                  <w:vAlign w:val="center"/>
                </w:tcPr>
                <w:p w14:paraId="606BAB02">
                  <w:pPr>
                    <w:pStyle w:val="39"/>
                    <w:overflowPunct w:val="0"/>
                    <w:autoSpaceDE w:val="0"/>
                    <w:autoSpaceDN w:val="0"/>
                    <w:bidi w:val="0"/>
                    <w:adjustRightInd/>
                    <w:snapToGrid/>
                    <w:spacing w:line="240" w:lineRule="auto"/>
                    <w:jc w:val="center"/>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zh-CN" w:eastAsia="zh-CN"/>
                    </w:rPr>
                    <w:t>化学需氧量（COD）</w:t>
                  </w:r>
                </w:p>
              </w:tc>
              <w:tc>
                <w:tcPr>
                  <w:tcW w:w="1012" w:type="pct"/>
                  <w:noWrap w:val="0"/>
                  <w:vAlign w:val="center"/>
                </w:tcPr>
                <w:p w14:paraId="39A9920F">
                  <w:pPr>
                    <w:pStyle w:val="44"/>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bookmarkStart w:id="133" w:name="_Toc23402"/>
                  <w:bookmarkStart w:id="134" w:name="_Toc28735"/>
                  <w:bookmarkStart w:id="135" w:name="_Toc18297"/>
                  <w:bookmarkStart w:id="136" w:name="_Toc8454"/>
                  <w:bookmarkStart w:id="137" w:name="_Toc11015"/>
                  <w:bookmarkStart w:id="138" w:name="_Toc12241"/>
                  <w:r>
                    <w:rPr>
                      <w:rFonts w:hint="eastAsia" w:cs="Times New Roman"/>
                      <w:color w:val="auto"/>
                      <w:sz w:val="21"/>
                      <w:szCs w:val="21"/>
                      <w:u w:val="single" w:color="auto"/>
                      <w:lang w:val="en-US" w:eastAsia="zh-CN"/>
                    </w:rPr>
                    <w:t>5</w:t>
                  </w:r>
                  <w:r>
                    <w:rPr>
                      <w:rFonts w:hint="default" w:ascii="Times New Roman" w:hAnsi="Times New Roman" w:eastAsia="宋体" w:cs="Times New Roman"/>
                      <w:color w:val="auto"/>
                      <w:sz w:val="21"/>
                      <w:szCs w:val="21"/>
                      <w:u w:val="single" w:color="auto"/>
                      <w:lang w:val="en-US" w:eastAsia="zh-CN"/>
                    </w:rPr>
                    <w:t xml:space="preserve">0 </w:t>
                  </w:r>
                  <w:r>
                    <w:rPr>
                      <w:rFonts w:hint="default" w:ascii="Times New Roman" w:hAnsi="Times New Roman" w:cs="Times New Roman"/>
                      <w:color w:val="auto"/>
                      <w:sz w:val="21"/>
                      <w:szCs w:val="21"/>
                      <w:u w:val="single" w:color="auto"/>
                    </w:rPr>
                    <w:t>mg/L</w:t>
                  </w:r>
                  <w:bookmarkEnd w:id="133"/>
                  <w:bookmarkEnd w:id="134"/>
                  <w:bookmarkEnd w:id="135"/>
                  <w:bookmarkEnd w:id="136"/>
                  <w:bookmarkEnd w:id="137"/>
                  <w:bookmarkEnd w:id="138"/>
                </w:p>
              </w:tc>
              <w:tc>
                <w:tcPr>
                  <w:tcW w:w="1858" w:type="pct"/>
                  <w:vMerge w:val="restart"/>
                  <w:noWrap w:val="0"/>
                  <w:vAlign w:val="center"/>
                </w:tcPr>
                <w:p w14:paraId="002C5405">
                  <w:pPr>
                    <w:pStyle w:val="44"/>
                    <w:ind w:firstLine="0" w:firstLineChars="0"/>
                    <w:jc w:val="center"/>
                    <w:rPr>
                      <w:rFonts w:hint="default" w:ascii="Times New Roman" w:hAnsi="Times New Roman" w:cs="Times New Roman"/>
                      <w:color w:val="auto"/>
                      <w:sz w:val="21"/>
                      <w:szCs w:val="21"/>
                      <w:u w:val="single" w:color="auto"/>
                      <w:lang w:val="en-US" w:eastAsia="zh-CN"/>
                    </w:rPr>
                  </w:pPr>
                  <w:bookmarkStart w:id="139" w:name="_Toc12954"/>
                  <w:bookmarkStart w:id="140" w:name="_Toc5334"/>
                  <w:bookmarkStart w:id="141" w:name="_Toc28727"/>
                  <w:bookmarkStart w:id="142" w:name="_Toc13936"/>
                  <w:bookmarkStart w:id="143" w:name="_Toc18912"/>
                  <w:bookmarkStart w:id="144" w:name="_Toc636"/>
                  <w:r>
                    <w:rPr>
                      <w:rFonts w:hint="eastAsia" w:cs="Times New Roman"/>
                      <w:color w:val="auto"/>
                      <w:sz w:val="21"/>
                      <w:szCs w:val="21"/>
                      <w:u w:val="single" w:color="auto"/>
                      <w:lang w:val="en-US" w:eastAsia="zh-CN"/>
                    </w:rPr>
                    <w:t>65047.575 t/a</w:t>
                  </w:r>
                  <w:bookmarkEnd w:id="139"/>
                  <w:bookmarkEnd w:id="140"/>
                  <w:bookmarkEnd w:id="141"/>
                  <w:bookmarkEnd w:id="142"/>
                  <w:bookmarkEnd w:id="143"/>
                  <w:bookmarkEnd w:id="144"/>
                </w:p>
              </w:tc>
              <w:tc>
                <w:tcPr>
                  <w:tcW w:w="1000" w:type="pct"/>
                  <w:noWrap w:val="0"/>
                  <w:vAlign w:val="center"/>
                </w:tcPr>
                <w:p w14:paraId="2AC3D917">
                  <w:pPr>
                    <w:pStyle w:val="44"/>
                    <w:ind w:firstLine="0" w:firstLineChars="0"/>
                    <w:jc w:val="center"/>
                    <w:rPr>
                      <w:rFonts w:hint="default" w:ascii="Times New Roman" w:hAnsi="Times New Roman" w:cs="Times New Roman"/>
                      <w:color w:val="auto"/>
                      <w:sz w:val="21"/>
                      <w:szCs w:val="21"/>
                      <w:u w:val="single" w:color="auto"/>
                      <w:lang w:val="en-US" w:eastAsia="zh-CN"/>
                    </w:rPr>
                  </w:pPr>
                  <w:bookmarkStart w:id="145" w:name="_Toc23706"/>
                  <w:bookmarkStart w:id="146" w:name="_Toc3557"/>
                  <w:bookmarkStart w:id="147" w:name="_Toc22498"/>
                  <w:bookmarkStart w:id="148" w:name="_Toc3657"/>
                  <w:bookmarkStart w:id="149" w:name="_Toc6100"/>
                  <w:bookmarkStart w:id="150" w:name="_Toc28377"/>
                  <w:r>
                    <w:rPr>
                      <w:rFonts w:hint="eastAsia" w:cs="Times New Roman"/>
                      <w:color w:val="auto"/>
                      <w:sz w:val="21"/>
                      <w:szCs w:val="21"/>
                      <w:u w:val="single" w:color="auto"/>
                      <w:lang w:val="en-US" w:eastAsia="zh-CN"/>
                    </w:rPr>
                    <w:t>3.26</w:t>
                  </w:r>
                  <w:r>
                    <w:rPr>
                      <w:rFonts w:hint="default" w:ascii="Times New Roman" w:hAnsi="Times New Roman" w:eastAsia="宋体" w:cs="Times New Roman"/>
                      <w:color w:val="auto"/>
                      <w:sz w:val="21"/>
                      <w:szCs w:val="21"/>
                      <w:u w:val="single" w:color="auto"/>
                      <w:lang w:val="en-US" w:eastAsia="zh-CN"/>
                    </w:rPr>
                    <w:t xml:space="preserve"> t/a</w:t>
                  </w:r>
                  <w:bookmarkEnd w:id="145"/>
                  <w:bookmarkEnd w:id="146"/>
                  <w:bookmarkEnd w:id="147"/>
                  <w:bookmarkEnd w:id="148"/>
                  <w:bookmarkEnd w:id="149"/>
                  <w:bookmarkEnd w:id="150"/>
                </w:p>
              </w:tc>
            </w:tr>
            <w:tr w14:paraId="180F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28" w:type="pct"/>
                  <w:noWrap w:val="0"/>
                  <w:vAlign w:val="center"/>
                </w:tcPr>
                <w:p w14:paraId="236EE1BB">
                  <w:pPr>
                    <w:pStyle w:val="39"/>
                    <w:overflowPunct w:val="0"/>
                    <w:autoSpaceDE w:val="0"/>
                    <w:autoSpaceDN w:val="0"/>
                    <w:bidi w:val="0"/>
                    <w:adjustRightInd/>
                    <w:snapToGrid/>
                    <w:spacing w:line="240" w:lineRule="auto"/>
                    <w:jc w:val="center"/>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zh-CN" w:eastAsia="zh-CN"/>
                    </w:rPr>
                    <w:t>氨氮（NH</w:t>
                  </w:r>
                  <w:r>
                    <w:rPr>
                      <w:rFonts w:hint="default" w:ascii="Times New Roman" w:hAnsi="Times New Roman" w:cs="Times New Roman"/>
                      <w:color w:val="auto"/>
                      <w:sz w:val="21"/>
                      <w:szCs w:val="21"/>
                      <w:u w:val="single" w:color="auto"/>
                      <w:vertAlign w:val="subscript"/>
                      <w:lang w:val="zh-CN" w:eastAsia="zh-CN"/>
                    </w:rPr>
                    <w:t>3</w:t>
                  </w:r>
                  <w:r>
                    <w:rPr>
                      <w:rFonts w:hint="default" w:ascii="Times New Roman" w:hAnsi="Times New Roman" w:cs="Times New Roman"/>
                      <w:color w:val="auto"/>
                      <w:sz w:val="21"/>
                      <w:szCs w:val="21"/>
                      <w:u w:val="single" w:color="auto"/>
                      <w:lang w:val="zh-CN" w:eastAsia="zh-CN"/>
                    </w:rPr>
                    <w:t>-N）</w:t>
                  </w:r>
                </w:p>
              </w:tc>
              <w:tc>
                <w:tcPr>
                  <w:tcW w:w="1012" w:type="pct"/>
                  <w:noWrap w:val="0"/>
                  <w:vAlign w:val="center"/>
                </w:tcPr>
                <w:p w14:paraId="31BCE64D">
                  <w:pPr>
                    <w:pStyle w:val="39"/>
                    <w:overflowPunct w:val="0"/>
                    <w:autoSpaceDE w:val="0"/>
                    <w:autoSpaceDN w:val="0"/>
                    <w:bidi w:val="0"/>
                    <w:adjustRightInd/>
                    <w:snapToGrid/>
                    <w:spacing w:line="240" w:lineRule="auto"/>
                    <w:ind w:right="0" w:rightChars="0"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eastAsia="宋体" w:cs="Times New Roman"/>
                      <w:color w:val="auto"/>
                      <w:sz w:val="21"/>
                      <w:szCs w:val="21"/>
                      <w:u w:val="single" w:color="auto"/>
                      <w:lang w:val="en-US" w:eastAsia="zh-CN"/>
                    </w:rPr>
                    <w:t>5.0</w:t>
                  </w:r>
                  <w:r>
                    <w:rPr>
                      <w:rFonts w:hint="default" w:ascii="Times New Roman" w:hAnsi="Times New Roman" w:eastAsia="宋体" w:cs="Times New Roman"/>
                      <w:color w:val="auto"/>
                      <w:sz w:val="21"/>
                      <w:szCs w:val="21"/>
                      <w:u w:val="single" w:color="auto"/>
                      <w:lang w:val="en-US" w:eastAsia="zh-CN"/>
                    </w:rPr>
                    <w:t xml:space="preserve"> </w:t>
                  </w:r>
                  <w:r>
                    <w:rPr>
                      <w:rFonts w:ascii="Times New Roman" w:hAnsi="Times New Roman" w:cs="Times New Roman"/>
                      <w:color w:val="auto"/>
                      <w:sz w:val="21"/>
                      <w:szCs w:val="21"/>
                      <w:u w:val="single" w:color="auto"/>
                    </w:rPr>
                    <w:t>mg/L</w:t>
                  </w:r>
                </w:p>
              </w:tc>
              <w:tc>
                <w:tcPr>
                  <w:tcW w:w="1858" w:type="pct"/>
                  <w:vMerge w:val="continue"/>
                  <w:noWrap w:val="0"/>
                  <w:vAlign w:val="center"/>
                </w:tcPr>
                <w:p w14:paraId="3EF61566">
                  <w:pPr>
                    <w:pStyle w:val="39"/>
                    <w:overflow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000" w:type="pct"/>
                  <w:noWrap w:val="0"/>
                  <w:vAlign w:val="center"/>
                </w:tcPr>
                <w:p w14:paraId="0F8847D8">
                  <w:pPr>
                    <w:pStyle w:val="39"/>
                    <w:overflow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eastAsia="宋体" w:cs="Times New Roman"/>
                      <w:color w:val="auto"/>
                      <w:sz w:val="21"/>
                      <w:szCs w:val="21"/>
                      <w:u w:val="single" w:color="auto"/>
                      <w:lang w:val="en-US" w:eastAsia="zh-CN"/>
                    </w:rPr>
                    <w:t xml:space="preserve">0.326 </w:t>
                  </w:r>
                  <w:r>
                    <w:rPr>
                      <w:rFonts w:hint="default" w:ascii="Times New Roman" w:hAnsi="Times New Roman" w:eastAsia="宋体" w:cs="Times New Roman"/>
                      <w:color w:val="auto"/>
                      <w:sz w:val="21"/>
                      <w:szCs w:val="21"/>
                      <w:u w:val="single" w:color="auto"/>
                      <w:lang w:val="en-US" w:eastAsia="zh-CN"/>
                    </w:rPr>
                    <w:t>t/a</w:t>
                  </w:r>
                </w:p>
              </w:tc>
            </w:tr>
            <w:tr w14:paraId="73D0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28" w:type="pct"/>
                  <w:noWrap w:val="0"/>
                  <w:vAlign w:val="center"/>
                </w:tcPr>
                <w:p w14:paraId="74A9F6F2">
                  <w:pPr>
                    <w:pStyle w:val="39"/>
                    <w:overflowPunct w:val="0"/>
                    <w:autoSpaceDE w:val="0"/>
                    <w:autoSpaceDN w:val="0"/>
                    <w:bidi w:val="0"/>
                    <w:adjustRightInd/>
                    <w:snapToGrid/>
                    <w:spacing w:line="240" w:lineRule="auto"/>
                    <w:jc w:val="center"/>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总磷（TP）</w:t>
                  </w:r>
                </w:p>
              </w:tc>
              <w:tc>
                <w:tcPr>
                  <w:tcW w:w="1012" w:type="pct"/>
                  <w:noWrap w:val="0"/>
                  <w:vAlign w:val="center"/>
                </w:tcPr>
                <w:p w14:paraId="30344F4E">
                  <w:pPr>
                    <w:pStyle w:val="39"/>
                    <w:overflowPunct w:val="0"/>
                    <w:autoSpaceDE w:val="0"/>
                    <w:autoSpaceDN w:val="0"/>
                    <w:bidi w:val="0"/>
                    <w:adjustRightInd/>
                    <w:snapToGrid/>
                    <w:spacing w:line="240" w:lineRule="auto"/>
                    <w:ind w:right="0" w:rightChars="0" w:firstLine="0" w:firstLineChars="0"/>
                    <w:jc w:val="center"/>
                    <w:rPr>
                      <w:rFonts w:hint="default" w:eastAsia="宋体" w:cs="Times New Roman"/>
                      <w:color w:val="auto"/>
                      <w:sz w:val="21"/>
                      <w:szCs w:val="21"/>
                      <w:u w:val="single" w:color="auto"/>
                      <w:lang w:val="en-US" w:eastAsia="zh-CN"/>
                    </w:rPr>
                  </w:pPr>
                  <w:r>
                    <w:rPr>
                      <w:rFonts w:hint="eastAsia" w:eastAsia="宋体" w:cs="Times New Roman"/>
                      <w:color w:val="auto"/>
                      <w:sz w:val="21"/>
                      <w:szCs w:val="21"/>
                      <w:u w:val="single" w:color="auto"/>
                      <w:lang w:val="en-US" w:eastAsia="zh-CN"/>
                    </w:rPr>
                    <w:t>0.5</w:t>
                  </w:r>
                  <w:r>
                    <w:rPr>
                      <w:rFonts w:hint="default" w:ascii="Times New Roman" w:hAnsi="Times New Roman" w:eastAsia="宋体" w:cs="Times New Roman"/>
                      <w:color w:val="auto"/>
                      <w:sz w:val="21"/>
                      <w:szCs w:val="21"/>
                      <w:u w:val="single" w:color="auto"/>
                      <w:lang w:val="en-US" w:eastAsia="zh-CN"/>
                    </w:rPr>
                    <w:t xml:space="preserve"> </w:t>
                  </w:r>
                  <w:r>
                    <w:rPr>
                      <w:rFonts w:ascii="Times New Roman" w:hAnsi="Times New Roman" w:cs="Times New Roman"/>
                      <w:color w:val="auto"/>
                      <w:sz w:val="21"/>
                      <w:szCs w:val="21"/>
                      <w:u w:val="single" w:color="auto"/>
                    </w:rPr>
                    <w:t>mg/L</w:t>
                  </w:r>
                </w:p>
              </w:tc>
              <w:tc>
                <w:tcPr>
                  <w:tcW w:w="1858" w:type="pct"/>
                  <w:vMerge w:val="continue"/>
                  <w:noWrap w:val="0"/>
                  <w:vAlign w:val="center"/>
                </w:tcPr>
                <w:p w14:paraId="2B9B1F07">
                  <w:pPr>
                    <w:pStyle w:val="39"/>
                    <w:overflowPunct w:val="0"/>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1000" w:type="pct"/>
                  <w:noWrap w:val="0"/>
                  <w:vAlign w:val="center"/>
                </w:tcPr>
                <w:p w14:paraId="45508799">
                  <w:pPr>
                    <w:pStyle w:val="39"/>
                    <w:overflowPunct w:val="0"/>
                    <w:autoSpaceDE w:val="0"/>
                    <w:autoSpaceDN w:val="0"/>
                    <w:bidi w:val="0"/>
                    <w:adjustRightInd/>
                    <w:snapToGrid/>
                    <w:spacing w:line="240" w:lineRule="auto"/>
                    <w:ind w:firstLine="0" w:firstLineChars="0"/>
                    <w:jc w:val="center"/>
                    <w:rPr>
                      <w:rFonts w:hint="default" w:eastAsia="宋体" w:cs="Times New Roman"/>
                      <w:color w:val="auto"/>
                      <w:sz w:val="21"/>
                      <w:szCs w:val="21"/>
                      <w:u w:val="single" w:color="auto"/>
                      <w:lang w:val="en-US" w:eastAsia="zh-CN"/>
                    </w:rPr>
                  </w:pPr>
                  <w:r>
                    <w:rPr>
                      <w:rFonts w:hint="eastAsia" w:eastAsia="宋体" w:cs="Times New Roman"/>
                      <w:color w:val="auto"/>
                      <w:sz w:val="21"/>
                      <w:szCs w:val="21"/>
                      <w:u w:val="single" w:color="auto"/>
                      <w:lang w:val="en-US" w:eastAsia="zh-CN"/>
                    </w:rPr>
                    <w:t xml:space="preserve">0.0326 </w:t>
                  </w:r>
                  <w:r>
                    <w:rPr>
                      <w:rFonts w:hint="default" w:ascii="Times New Roman" w:hAnsi="Times New Roman" w:eastAsia="宋体" w:cs="Times New Roman"/>
                      <w:color w:val="auto"/>
                      <w:sz w:val="21"/>
                      <w:szCs w:val="21"/>
                      <w:u w:val="single" w:color="auto"/>
                      <w:lang w:val="en-US" w:eastAsia="zh-CN"/>
                    </w:rPr>
                    <w:t>t/a</w:t>
                  </w:r>
                </w:p>
              </w:tc>
            </w:tr>
            <w:tr w14:paraId="3A9A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000" w:type="pct"/>
                  <w:gridSpan w:val="4"/>
                  <w:shd w:val="clear" w:color="auto" w:fill="auto"/>
                  <w:noWrap w:val="0"/>
                  <w:vAlign w:val="center"/>
                </w:tcPr>
                <w:p w14:paraId="07C809D8">
                  <w:pPr>
                    <w:pStyle w:val="39"/>
                    <w:pageBreakBefore w:val="0"/>
                    <w:kinsoku/>
                    <w:wordWrap/>
                    <w:overflowPunct w:val="0"/>
                    <w:topLinePunct w:val="0"/>
                    <w:autoSpaceDE w:val="0"/>
                    <w:autoSpaceDN w:val="0"/>
                    <w:bidi w:val="0"/>
                    <w:adjustRightInd/>
                    <w:snapToGrid/>
                    <w:spacing w:before="0" w:after="0" w:line="240" w:lineRule="auto"/>
                    <w:ind w:right="0" w:rightChars="0" w:firstLine="0" w:firstLineChars="0"/>
                    <w:jc w:val="left"/>
                    <w:rPr>
                      <w:rFonts w:hint="eastAsia"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注：本项目</w:t>
                  </w:r>
                  <w:r>
                    <w:rPr>
                      <w:rFonts w:hint="eastAsia" w:eastAsia="宋体" w:cs="Times New Roman"/>
                      <w:color w:val="auto"/>
                      <w:sz w:val="21"/>
                      <w:szCs w:val="21"/>
                      <w:u w:val="single" w:color="auto"/>
                      <w:lang w:val="en-US" w:eastAsia="zh-CN"/>
                    </w:rPr>
                    <w:t>外排废水总计</w:t>
                  </w:r>
                  <w:r>
                    <w:rPr>
                      <w:rFonts w:hint="eastAsia" w:cs="Times New Roman"/>
                      <w:color w:val="auto"/>
                      <w:sz w:val="21"/>
                      <w:szCs w:val="21"/>
                      <w:u w:val="single" w:color="auto"/>
                      <w:lang w:val="en-US" w:eastAsia="zh-CN"/>
                    </w:rPr>
                    <w:t>65047.575</w:t>
                  </w:r>
                  <w:r>
                    <w:rPr>
                      <w:rFonts w:hint="default" w:ascii="Times New Roman" w:hAnsi="Times New Roman" w:cs="Times New Roman"/>
                      <w:color w:val="auto"/>
                      <w:sz w:val="21"/>
                      <w:szCs w:val="21"/>
                      <w:u w:val="single" w:color="auto"/>
                      <w:lang w:val="en-US" w:eastAsia="zh-CN"/>
                    </w:rPr>
                    <w:t xml:space="preserve"> </w:t>
                  </w:r>
                  <w:r>
                    <w:rPr>
                      <w:rFonts w:ascii="Times New Roman" w:hAnsi="Times New Roman" w:cs="Times New Roman"/>
                      <w:color w:val="auto"/>
                      <w:sz w:val="21"/>
                      <w:szCs w:val="21"/>
                      <w:u w:val="single" w:color="auto"/>
                    </w:rPr>
                    <w:t>t/a</w:t>
                  </w:r>
                  <w:r>
                    <w:rPr>
                      <w:rFonts w:hint="eastAsia" w:ascii="Times New Roman" w:hAnsi="Times New Roman" w:eastAsia="宋体" w:cs="Times New Roman"/>
                      <w:color w:val="auto"/>
                      <w:sz w:val="21"/>
                      <w:szCs w:val="21"/>
                      <w:u w:val="single" w:color="auto"/>
                      <w:lang w:val="en-US" w:eastAsia="zh-CN"/>
                    </w:rPr>
                    <w:t>；卢峰镇污水处理厂</w:t>
                  </w:r>
                  <w:r>
                    <w:rPr>
                      <w:rFonts w:hint="default" w:ascii="Times New Roman" w:hAnsi="Times New Roman" w:eastAsia="宋体" w:cs="Times New Roman"/>
                      <w:color w:val="auto"/>
                      <w:sz w:val="21"/>
                      <w:szCs w:val="21"/>
                      <w:u w:val="single" w:color="auto"/>
                      <w:lang w:val="en-US" w:eastAsia="zh-CN"/>
                    </w:rPr>
                    <w:t>出水水质标准执行</w:t>
                  </w:r>
                  <w:r>
                    <w:rPr>
                      <w:rFonts w:hint="eastAsia"/>
                      <w:color w:val="auto"/>
                      <w:u w:val="single" w:color="auto"/>
                      <w:lang w:val="en-US" w:eastAsia="zh-CN"/>
                    </w:rPr>
                    <w:t>《城镇污水处理厂污染物排放标准》（GB 18918-2002）及其修改单中一级标准的A标准</w:t>
                  </w:r>
                  <w:r>
                    <w:rPr>
                      <w:rFonts w:hint="eastAsia" w:ascii="Times New Roman" w:hAnsi="Times New Roman" w:eastAsia="宋体" w:cs="Times New Roman"/>
                      <w:color w:val="auto"/>
                      <w:sz w:val="21"/>
                      <w:szCs w:val="21"/>
                      <w:u w:val="single" w:color="auto"/>
                      <w:lang w:val="en-US" w:eastAsia="zh-CN"/>
                    </w:rPr>
                    <w:t>。</w:t>
                  </w:r>
                </w:p>
              </w:tc>
            </w:tr>
          </w:tbl>
          <w:p w14:paraId="0D91B27B">
            <w:pPr>
              <w:pStyle w:val="21"/>
              <w:ind w:firstLine="480" w:firstLineChars="200"/>
              <w:jc w:val="both"/>
              <w:outlineLvl w:val="9"/>
              <w:rPr>
                <w:rFonts w:hint="default" w:ascii="Times New Roman" w:hAnsi="Times New Roman" w:cs="Times New Roman"/>
                <w:color w:val="auto"/>
                <w:kern w:val="0"/>
                <w:u w:val="none"/>
                <w:lang w:val="en-US" w:eastAsia="zh-CN"/>
              </w:rPr>
            </w:pPr>
            <w:r>
              <w:rPr>
                <w:rFonts w:hint="eastAsia" w:ascii="Times New Roman" w:hAnsi="Times New Roman" w:eastAsia="宋体" w:cs="Times New Roman"/>
                <w:color w:val="auto"/>
                <w:sz w:val="24"/>
                <w:szCs w:val="24"/>
                <w:u w:val="none"/>
                <w:lang w:val="en-US" w:eastAsia="zh-CN"/>
              </w:rPr>
              <w:t>故本项目总</w:t>
            </w:r>
            <w:r>
              <w:rPr>
                <w:rFonts w:hint="eastAsia" w:ascii="Times New Roman" w:hAnsi="Times New Roman" w:eastAsia="宋体" w:cs="Times New Roman"/>
                <w:color w:val="auto"/>
                <w:kern w:val="0"/>
                <w:sz w:val="24"/>
                <w:szCs w:val="24"/>
                <w:u w:val="none"/>
                <w:lang w:val="en-US" w:eastAsia="zh-CN" w:bidi="ar-SA"/>
              </w:rPr>
              <w:t>量建议指</w:t>
            </w:r>
            <w:r>
              <w:rPr>
                <w:rFonts w:hint="eastAsia" w:ascii="Times New Roman" w:hAnsi="Times New Roman" w:eastAsia="宋体" w:cs="Times New Roman"/>
                <w:color w:val="auto"/>
                <w:sz w:val="24"/>
                <w:szCs w:val="24"/>
                <w:u w:val="none"/>
                <w:lang w:val="en-US" w:eastAsia="zh-CN"/>
              </w:rPr>
              <w:t>标</w:t>
            </w:r>
            <w:r>
              <w:rPr>
                <w:rFonts w:hint="eastAsia" w:ascii="Times New Roman" w:hAnsi="Times New Roman" w:eastAsia="宋体" w:cs="Times New Roman"/>
                <w:color w:val="auto"/>
                <w:kern w:val="0"/>
                <w:sz w:val="24"/>
                <w:szCs w:val="24"/>
                <w:u w:val="none"/>
                <w:lang w:val="en-US" w:eastAsia="zh-CN" w:bidi="ar-SA"/>
              </w:rPr>
              <w:t>为</w:t>
            </w:r>
            <w:r>
              <w:rPr>
                <w:rFonts w:hint="eastAsia" w:ascii="Times New Roman" w:hAnsi="Times New Roman" w:cs="Times New Roman"/>
                <w:color w:val="auto"/>
                <w:sz w:val="21"/>
                <w:szCs w:val="21"/>
                <w:u w:val="none" w:color="auto"/>
                <w:lang w:val="en-US" w:eastAsia="zh-CN"/>
              </w:rPr>
              <w:t>CODcr</w:t>
            </w:r>
            <w:r>
              <w:rPr>
                <w:rFonts w:hint="eastAsia" w:ascii="Times New Roman" w:hAnsi="Times New Roman" w:eastAsia="宋体" w:cs="Times New Roman"/>
                <w:color w:val="auto"/>
                <w:sz w:val="24"/>
                <w:szCs w:val="24"/>
                <w:u w:val="none"/>
                <w:lang w:val="en-US" w:eastAsia="zh-CN"/>
              </w:rPr>
              <w:t>：3.26 t/a、氨氮：0.326 t/a、总磷：0.0326 t/a，总量来源于政府储备量</w:t>
            </w:r>
            <w:r>
              <w:rPr>
                <w:rFonts w:hint="default" w:ascii="Times New Roman" w:hAnsi="Times New Roman" w:eastAsia="宋体" w:cs="Times New Roman"/>
                <w:color w:val="auto"/>
                <w:sz w:val="24"/>
                <w:szCs w:val="24"/>
                <w:u w:val="none"/>
                <w:lang w:eastAsia="zh-CN"/>
              </w:rPr>
              <w:t>。</w:t>
            </w:r>
          </w:p>
          <w:p w14:paraId="07637283">
            <w:pPr>
              <w:pStyle w:val="58"/>
              <w:keepNext w:val="0"/>
              <w:keepLines w:val="0"/>
              <w:pageBreakBefore w:val="0"/>
              <w:widowControl w:val="0"/>
              <w:tabs>
                <w:tab w:val="left" w:pos="8072"/>
              </w:tabs>
              <w:kinsoku/>
              <w:wordWrap/>
              <w:overflowPunct/>
              <w:topLinePunct w:val="0"/>
              <w:bidi w:val="0"/>
              <w:adjustRightInd w:val="0"/>
              <w:snapToGrid w:val="0"/>
              <w:spacing w:line="360" w:lineRule="auto"/>
              <w:ind w:left="0" w:right="0" w:firstLine="480" w:firstLineChars="200"/>
              <w:textAlignment w:val="auto"/>
              <w:rPr>
                <w:rFonts w:hint="default" w:ascii="Times New Roman" w:hAnsi="Times New Roman" w:cs="Times New Roman"/>
                <w:color w:val="auto"/>
                <w:highlight w:val="none"/>
                <w:u w:val="none" w:color="auto"/>
                <w:lang w:val="en-US" w:eastAsia="zh-CN"/>
              </w:rPr>
            </w:pPr>
          </w:p>
          <w:p w14:paraId="7137217A">
            <w:pPr>
              <w:pStyle w:val="58"/>
              <w:keepNext w:val="0"/>
              <w:keepLines w:val="0"/>
              <w:pageBreakBefore w:val="0"/>
              <w:widowControl w:val="0"/>
              <w:tabs>
                <w:tab w:val="left" w:pos="8072"/>
              </w:tabs>
              <w:kinsoku/>
              <w:wordWrap/>
              <w:overflowPunct/>
              <w:topLinePunct w:val="0"/>
              <w:bidi w:val="0"/>
              <w:adjustRightInd w:val="0"/>
              <w:snapToGrid w:val="0"/>
              <w:spacing w:line="360" w:lineRule="auto"/>
              <w:ind w:left="0" w:leftChars="0" w:right="0" w:rightChars="0" w:firstLine="480" w:firstLineChars="200"/>
              <w:textAlignment w:val="auto"/>
              <w:rPr>
                <w:rFonts w:hint="default" w:ascii="Times New Roman" w:hAnsi="Times New Roman" w:cs="Times New Roman"/>
                <w:color w:val="auto"/>
                <w:highlight w:val="none"/>
                <w:u w:val="none" w:color="auto"/>
                <w:lang w:val="en-US" w:eastAsia="zh-CN"/>
              </w:rPr>
            </w:pPr>
          </w:p>
        </w:tc>
      </w:tr>
    </w:tbl>
    <w:p w14:paraId="74B117D0">
      <w:pPr>
        <w:numPr>
          <w:ilvl w:val="0"/>
          <w:numId w:val="6"/>
        </w:numPr>
        <w:bidi w:val="0"/>
        <w:rPr>
          <w:rFonts w:hint="default" w:ascii="Times New Roman" w:hAnsi="Times New Roman" w:cs="Times New Roman"/>
          <w:color w:val="FF0000"/>
          <w:u w:val="none" w:color="auto"/>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0ABF9CA">
      <w:pPr>
        <w:pStyle w:val="2"/>
        <w:keepNext/>
        <w:keepLines/>
        <w:pageBreakBefore/>
        <w:widowControl/>
        <w:numPr>
          <w:ilvl w:val="0"/>
          <w:numId w:val="0"/>
        </w:numPr>
        <w:kinsoku/>
        <w:wordWrap/>
        <w:overflowPunct/>
        <w:topLinePunct w:val="0"/>
        <w:autoSpaceDE/>
        <w:autoSpaceDN/>
        <w:bidi w:val="0"/>
        <w:adjustRightInd/>
        <w:snapToGrid/>
        <w:ind w:leftChars="0" w:firstLine="0" w:firstLineChars="0"/>
        <w:jc w:val="left"/>
        <w:textAlignment w:val="auto"/>
        <w:rPr>
          <w:rFonts w:hint="default" w:ascii="Times New Roman" w:hAnsi="Times New Roman" w:cs="Times New Roman"/>
          <w:b/>
          <w:bCs/>
          <w:color w:val="auto"/>
          <w:u w:val="none" w:color="auto"/>
          <w:lang w:val="en-US" w:eastAsia="zh-CN"/>
        </w:rPr>
      </w:pPr>
      <w:bookmarkStart w:id="151" w:name="_Toc13032"/>
      <w:bookmarkStart w:id="152" w:name="_Toc13842"/>
      <w:bookmarkStart w:id="153" w:name="_Toc22981"/>
      <w:bookmarkStart w:id="154" w:name="_Toc17029"/>
      <w:bookmarkStart w:id="155" w:name="_Toc31070"/>
      <w:bookmarkStart w:id="156" w:name="_Toc23591"/>
      <w:bookmarkStart w:id="157" w:name="_Toc22779"/>
      <w:bookmarkStart w:id="158" w:name="_Toc24117"/>
      <w:bookmarkStart w:id="159" w:name="_Toc5691"/>
      <w:bookmarkStart w:id="160" w:name="_Toc30160"/>
      <w:bookmarkStart w:id="161" w:name="_Toc17004"/>
      <w:bookmarkStart w:id="162" w:name="_Toc1911"/>
      <w:bookmarkStart w:id="163" w:name="_Toc23036"/>
      <w:bookmarkStart w:id="164" w:name="_Toc24012"/>
      <w:bookmarkStart w:id="165" w:name="_Toc32539"/>
      <w:bookmarkStart w:id="166" w:name="_Toc10623"/>
      <w:bookmarkStart w:id="167" w:name="_Toc18364"/>
      <w:bookmarkStart w:id="168" w:name="_Toc30485"/>
      <w:bookmarkStart w:id="169" w:name="_Toc19935"/>
      <w:bookmarkStart w:id="170" w:name="_Toc25811"/>
      <w:bookmarkStart w:id="171" w:name="_Toc29994"/>
      <w:bookmarkStart w:id="172" w:name="_Toc10268"/>
      <w:bookmarkStart w:id="173" w:name="_Toc2387"/>
      <w:bookmarkStart w:id="174" w:name="_Toc29689"/>
      <w:bookmarkStart w:id="175" w:name="_Toc12203"/>
      <w:r>
        <w:rPr>
          <w:rFonts w:hint="default" w:ascii="Times New Roman" w:hAnsi="Times New Roman" w:cs="Times New Roman"/>
          <w:b/>
          <w:bCs/>
          <w:color w:val="auto"/>
          <w:u w:val="none" w:color="auto"/>
          <w:lang w:val="en-US" w:eastAsia="zh-CN"/>
        </w:rPr>
        <w:t>四、主要环境影响和保护措施</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869"/>
      </w:tblGrid>
      <w:tr w14:paraId="0514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419" w:type="dxa"/>
            <w:vAlign w:val="center"/>
          </w:tcPr>
          <w:p w14:paraId="50BC46DE">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施工期环境影响和保护措施</w:t>
            </w:r>
          </w:p>
        </w:tc>
        <w:tc>
          <w:tcPr>
            <w:tcW w:w="8869" w:type="dxa"/>
            <w:vAlign w:val="center"/>
          </w:tcPr>
          <w:p w14:paraId="03B6711C">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left"/>
              <w:textAlignment w:val="auto"/>
              <w:rPr>
                <w:rFonts w:hint="eastAsia" w:ascii="黑体" w:hAnsi="黑体" w:eastAsia="黑体" w:cs="黑体"/>
                <w:b/>
                <w:bCs/>
                <w:snapToGrid/>
                <w:color w:val="auto"/>
                <w:spacing w:val="0"/>
                <w:kern w:val="2"/>
                <w:sz w:val="24"/>
                <w:szCs w:val="24"/>
                <w:u w:val="none" w:color="auto"/>
              </w:rPr>
            </w:pPr>
            <w:r>
              <w:rPr>
                <w:rFonts w:hint="eastAsia" w:ascii="黑体" w:hAnsi="黑体" w:eastAsia="黑体" w:cs="黑体"/>
                <w:b/>
                <w:bCs/>
                <w:snapToGrid/>
                <w:color w:val="auto"/>
                <w:spacing w:val="0"/>
                <w:kern w:val="2"/>
                <w:sz w:val="24"/>
                <w:szCs w:val="24"/>
                <w:u w:val="none" w:color="auto"/>
              </w:rPr>
              <w:t>4.1</w:t>
            </w:r>
            <w:r>
              <w:rPr>
                <w:rFonts w:hint="eastAsia" w:ascii="黑体" w:hAnsi="黑体" w:eastAsia="黑体" w:cs="黑体"/>
                <w:b/>
                <w:bCs/>
                <w:snapToGrid/>
                <w:color w:val="auto"/>
                <w:spacing w:val="0"/>
                <w:kern w:val="2"/>
                <w:sz w:val="24"/>
                <w:szCs w:val="24"/>
                <w:u w:val="none" w:color="auto"/>
                <w:lang w:val="en-US" w:eastAsia="zh-CN"/>
              </w:rPr>
              <w:t xml:space="preserve"> </w:t>
            </w:r>
            <w:r>
              <w:rPr>
                <w:rFonts w:hint="eastAsia" w:ascii="黑体" w:hAnsi="黑体" w:eastAsia="黑体" w:cs="黑体"/>
                <w:b/>
                <w:bCs/>
                <w:snapToGrid/>
                <w:color w:val="auto"/>
                <w:spacing w:val="0"/>
                <w:kern w:val="2"/>
                <w:sz w:val="24"/>
                <w:szCs w:val="24"/>
                <w:u w:val="none" w:color="auto"/>
              </w:rPr>
              <w:t>施工期大气环境影响及保护措施</w:t>
            </w:r>
          </w:p>
          <w:p w14:paraId="768E31E4">
            <w:pPr>
              <w:keepNext w:val="0"/>
              <w:keepLines w:val="0"/>
              <w:pageBreakBefore w:val="0"/>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本项目施工期产生的废气主要为施工扬尘、施工机械和运输车辆废气。</w:t>
            </w:r>
          </w:p>
          <w:p w14:paraId="570F324C">
            <w:pPr>
              <w:keepNext w:val="0"/>
              <w:keepLines w:val="0"/>
              <w:pageBreakBefore w:val="0"/>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SA"/>
              </w:rPr>
            </w:pP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1</w:t>
            </w: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施工扬尘</w:t>
            </w:r>
          </w:p>
          <w:p w14:paraId="7372F30B">
            <w:pPr>
              <w:keepNext w:val="0"/>
              <w:keepLines w:val="0"/>
              <w:pageBreakBefore w:val="0"/>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项目施工中由于</w:t>
            </w:r>
            <w:r>
              <w:rPr>
                <w:rFonts w:hint="eastAsia" w:ascii="Times New Roman" w:hAnsi="Times New Roman" w:eastAsia="宋体" w:cs="Times New Roman"/>
                <w:color w:val="auto"/>
                <w:kern w:val="0"/>
                <w:sz w:val="24"/>
                <w:szCs w:val="24"/>
                <w:u w:val="none"/>
                <w:lang w:val="en-US" w:eastAsia="zh-CN" w:bidi="ar-SA"/>
              </w:rPr>
              <w:t>拆除厂房、锅炉及其废气处理设施</w:t>
            </w:r>
            <w:r>
              <w:rPr>
                <w:rFonts w:hint="default" w:ascii="Times New Roman" w:hAnsi="Times New Roman" w:eastAsia="宋体" w:cs="Times New Roman"/>
                <w:color w:val="auto"/>
                <w:kern w:val="0"/>
                <w:sz w:val="24"/>
                <w:szCs w:val="24"/>
                <w:u w:val="none"/>
                <w:lang w:val="en-US" w:eastAsia="zh-CN" w:bidi="ar-SA"/>
              </w:rPr>
              <w:t>、推土及拨运泥土和水泥、石灰、沙石等的装卸运输、拌合过程中有大量尘埃散逸到环境空气中，同时，道路施工时运送物料的汽车运行，在自然风力的作用下土堆、料堆、暂时闲置的裸露施工作业等都会引起扬尘污染，尤其是在风速较大或装卸、汽车行驶速度较快的情况下，粉尘、TSP的污染尤为突出。</w:t>
            </w:r>
          </w:p>
          <w:p w14:paraId="2EA5F4CD">
            <w:pPr>
              <w:keepNext w:val="0"/>
              <w:keepLines w:val="0"/>
              <w:pageBreakBefore w:val="0"/>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SA"/>
              </w:rPr>
            </w:pPr>
            <w:r>
              <w:rPr>
                <w:rFonts w:hint="eastAsia" w:ascii="Times New Roman" w:hAnsi="Times New Roman" w:eastAsia="宋体" w:cs="Times New Roman"/>
                <w:color w:val="auto"/>
                <w:kern w:val="0"/>
                <w:sz w:val="24"/>
                <w:szCs w:val="24"/>
                <w:u w:val="none"/>
                <w:lang w:val="en-US" w:eastAsia="zh-CN" w:bidi="ar-SA"/>
              </w:rPr>
              <w:t>（2）</w:t>
            </w:r>
            <w:r>
              <w:rPr>
                <w:rFonts w:hint="default" w:ascii="Times New Roman" w:hAnsi="Times New Roman" w:eastAsia="宋体" w:cs="Times New Roman"/>
                <w:color w:val="auto"/>
                <w:kern w:val="0"/>
                <w:sz w:val="24"/>
                <w:szCs w:val="24"/>
                <w:u w:val="none"/>
                <w:lang w:val="en-US" w:eastAsia="zh-CN" w:bidi="ar-SA"/>
              </w:rPr>
              <w:t>施工机械及车辆运输废气</w:t>
            </w:r>
          </w:p>
          <w:p w14:paraId="2BCE5A9B">
            <w:pPr>
              <w:keepNext w:val="0"/>
              <w:keepLines w:val="0"/>
              <w:pageBreakBefore w:val="0"/>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施工时使用的施工机械和运输车辆一般都以柴油为燃料，柴油燃烧产生的尾气中主要含有颗粒物和碳氢化合物等废气，在常规气象条件下废气污染影响范围最大不超过排气孔下风向轴线几十米远的距离。一般情况下，在工地内运行的机械及载重卡车的废气污染影响范围仅局限于施工工地内，基本不影响界外区域。</w:t>
            </w:r>
          </w:p>
          <w:p w14:paraId="601747B6">
            <w:pPr>
              <w:keepNext w:val="0"/>
              <w:keepLines w:val="0"/>
              <w:pageBreakBefore w:val="0"/>
              <w:tabs>
                <w:tab w:val="left" w:pos="227"/>
              </w:tabs>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为有效防治扬尘污染，必须严格按照《怀化市建设工程扬尘污染防治实施细则》</w:t>
            </w: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怀建函〔2021〕7号</w:t>
            </w: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有关规定，落实工程施工扬尘治理“6个100%+2”具体要求</w:t>
            </w: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即施工围挡100%设置，冲洗平台及设备100%设置，施工道路应100%硬化，施工场地内裸土、建筑垃圾、散装颗粒材料100%覆盖，100%配备湿法降尘设备，运输车辆100%进行封闭覆盖，施工工地应安装扬尘监测仪，施工工地应安装视频监控</w:t>
            </w: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，防止建设过程中的扬尘对环境空气的影响。</w:t>
            </w:r>
          </w:p>
          <w:p w14:paraId="566E4E61">
            <w:pPr>
              <w:keepNext w:val="0"/>
              <w:keepLines w:val="0"/>
              <w:pageBreakBefore w:val="0"/>
              <w:wordWrap/>
              <w:overflowPunct/>
              <w:topLinePunct w:val="0"/>
              <w:bidi w:val="0"/>
              <w:spacing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施工期扬尘防治措施是：按有关规定，施工时应洒水降尘，对重点扬尘点</w:t>
            </w: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卸灰、搅拌等</w:t>
            </w:r>
            <w:r>
              <w:rPr>
                <w:rFonts w:hint="eastAsia" w:ascii="Times New Roman" w:hAnsi="Times New Roman" w:eastAsia="宋体" w:cs="Times New Roman"/>
                <w:color w:val="auto"/>
                <w:kern w:val="0"/>
                <w:sz w:val="24"/>
                <w:szCs w:val="24"/>
                <w:u w:val="none"/>
                <w:lang w:val="en-US" w:eastAsia="zh-CN" w:bidi="ar-SA"/>
              </w:rPr>
              <w:t>）</w:t>
            </w:r>
            <w:r>
              <w:rPr>
                <w:rFonts w:hint="default" w:ascii="Times New Roman" w:hAnsi="Times New Roman" w:eastAsia="宋体" w:cs="Times New Roman"/>
                <w:color w:val="auto"/>
                <w:kern w:val="0"/>
                <w:sz w:val="24"/>
                <w:szCs w:val="24"/>
                <w:u w:val="none"/>
                <w:lang w:val="en-US" w:eastAsia="zh-CN" w:bidi="ar-SA"/>
              </w:rPr>
              <w:t>进行局部降尘；在风速大于四级时应停止挖、填方等工程作业，对临时堆放的泥土、易引起扬尘的露天堆放的原材料应采取覆盖措施；在施工路面、施工场点洒水抑尘，施工工地采用全封闭围挡作业，对原材料等堆场严密覆盖，进出工地的各类车辆均经清洗后方上路行驶；在施工现场设置围栏，减少施工扬尘扩散范围；废渣土采用防洒漏车辆运输。同时，路面要及时清扫和维护，保持平整，运输车辆应限速、限载并采取遮盖、密闭措施，以最大程度地减少扬尘对大气环境的影响。</w:t>
            </w:r>
          </w:p>
          <w:p w14:paraId="00E9CD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黑体" w:cs="Times New Roman"/>
                <w:b/>
                <w:bCs/>
                <w:snapToGrid w:val="0"/>
                <w:color w:val="auto"/>
                <w:spacing w:val="9"/>
                <w:kern w:val="0"/>
                <w:sz w:val="24"/>
                <w:szCs w:val="24"/>
                <w:lang w:val="en-US" w:eastAsia="zh-CN"/>
              </w:rPr>
            </w:pPr>
            <w:r>
              <w:rPr>
                <w:rFonts w:hint="default" w:ascii="Times New Roman" w:hAnsi="Times New Roman" w:eastAsia="黑体" w:cs="Times New Roman"/>
                <w:b/>
                <w:bCs/>
                <w:snapToGrid w:val="0"/>
                <w:color w:val="auto"/>
                <w:spacing w:val="9"/>
                <w:kern w:val="0"/>
                <w:sz w:val="24"/>
                <w:szCs w:val="24"/>
                <w:lang w:val="en-US" w:eastAsia="zh-CN"/>
              </w:rPr>
              <w:t>4.2</w:t>
            </w:r>
            <w:r>
              <w:rPr>
                <w:rFonts w:hint="eastAsia" w:ascii="Times New Roman" w:hAnsi="Times New Roman" w:eastAsia="黑体" w:cs="Times New Roman"/>
                <w:b/>
                <w:bCs/>
                <w:snapToGrid w:val="0"/>
                <w:color w:val="auto"/>
                <w:spacing w:val="9"/>
                <w:kern w:val="0"/>
                <w:sz w:val="24"/>
                <w:szCs w:val="24"/>
                <w:lang w:val="en-US" w:eastAsia="zh-CN"/>
              </w:rPr>
              <w:t xml:space="preserve"> </w:t>
            </w:r>
            <w:r>
              <w:rPr>
                <w:rFonts w:hint="default" w:ascii="Times New Roman" w:hAnsi="Times New Roman" w:eastAsia="黑体" w:cs="Times New Roman"/>
                <w:b/>
                <w:bCs/>
                <w:snapToGrid w:val="0"/>
                <w:color w:val="auto"/>
                <w:spacing w:val="9"/>
                <w:kern w:val="0"/>
                <w:sz w:val="24"/>
                <w:szCs w:val="24"/>
                <w:lang w:val="en-US" w:eastAsia="zh-CN"/>
              </w:rPr>
              <w:t>施工期废水环境影响及保护措施</w:t>
            </w:r>
          </w:p>
          <w:p w14:paraId="7E3213B1">
            <w:pPr>
              <w:keepNext w:val="0"/>
              <w:keepLines w:val="0"/>
              <w:pageBreakBefore w:val="0"/>
              <w:widowControl w:val="0"/>
              <w:kinsoku/>
              <w:wordWrap/>
              <w:overflowPunct/>
              <w:topLinePunct w:val="0"/>
              <w:bidi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施工过程中产生的废水主要有施工废水、施工人员生活污水。</w:t>
            </w:r>
          </w:p>
          <w:p w14:paraId="134EF6F3">
            <w:pPr>
              <w:keepNext w:val="0"/>
              <w:keepLines w:val="0"/>
              <w:pageBreakBefore w:val="0"/>
              <w:widowControl w:val="0"/>
              <w:kinsoku/>
              <w:wordWrap/>
              <w:overflowPunct/>
              <w:topLinePunct w:val="0"/>
              <w:bidi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eastAsia" w:ascii="Times New Roman" w:hAnsi="Times New Roman" w:eastAsia="宋体" w:cs="Times New Roman"/>
                <w:color w:val="auto"/>
                <w:kern w:val="0"/>
                <w:sz w:val="24"/>
                <w:szCs w:val="24"/>
                <w:u w:val="none"/>
                <w:lang w:val="en-US" w:eastAsia="zh-CN" w:bidi="ar-SA"/>
              </w:rPr>
              <w:t>（1）</w:t>
            </w:r>
            <w:r>
              <w:rPr>
                <w:rFonts w:hint="default" w:ascii="Times New Roman" w:hAnsi="Times New Roman" w:eastAsia="宋体" w:cs="Times New Roman"/>
                <w:color w:val="auto"/>
                <w:kern w:val="0"/>
                <w:sz w:val="24"/>
                <w:szCs w:val="24"/>
                <w:u w:val="none"/>
                <w:lang w:val="en-US" w:eastAsia="zh-CN" w:bidi="ar-SA"/>
              </w:rPr>
              <w:t>生活污水</w:t>
            </w:r>
          </w:p>
          <w:p w14:paraId="7E97DC49">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施工期间预计高峰期施工人数约20人/d，本项目施工人员来自项目周边区域，施工场地不设施工营地，施工人员日常生活设施采取租用民房，依托周边居民现有的设施处理。根据</w:t>
            </w:r>
            <w:r>
              <w:rPr>
                <w:rFonts w:ascii="Times New Roman" w:hAnsi="Times New Roman" w:cs="Times New Roman"/>
                <w:color w:val="auto"/>
                <w:sz w:val="24"/>
                <w:u w:val="none" w:color="auto"/>
              </w:rPr>
              <w:t>湖南省地方标准《用水定额》（DB43/T</w:t>
            </w:r>
            <w:r>
              <w:rPr>
                <w:rFonts w:hint="default" w:ascii="Times New Roman" w:hAnsi="Times New Roman" w:cs="Times New Roman"/>
                <w:color w:val="auto"/>
                <w:sz w:val="24"/>
                <w:u w:val="none" w:color="auto"/>
                <w:lang w:val="en-US" w:eastAsia="zh-CN"/>
              </w:rPr>
              <w:t xml:space="preserve"> </w:t>
            </w:r>
            <w:r>
              <w:rPr>
                <w:rFonts w:ascii="Times New Roman" w:hAnsi="Times New Roman" w:cs="Times New Roman"/>
                <w:color w:val="auto"/>
                <w:sz w:val="24"/>
                <w:u w:val="none" w:color="auto"/>
              </w:rPr>
              <w:t>388</w:t>
            </w:r>
            <w:r>
              <w:rPr>
                <w:rFonts w:hint="default" w:ascii="Times New Roman" w:hAnsi="Times New Roman" w:cs="Times New Roman"/>
                <w:color w:val="auto"/>
                <w:sz w:val="24"/>
                <w:u w:val="none" w:color="auto"/>
                <w:lang w:val="en-US" w:eastAsia="zh-CN"/>
              </w:rPr>
              <w:t>.3</w:t>
            </w:r>
            <w:r>
              <w:rPr>
                <w:rFonts w:ascii="Times New Roman" w:hAnsi="Times New Roman" w:cs="Times New Roman"/>
                <w:color w:val="auto"/>
                <w:sz w:val="24"/>
                <w:u w:val="none" w:color="auto"/>
              </w:rPr>
              <w:t>-202</w:t>
            </w:r>
            <w:r>
              <w:rPr>
                <w:rFonts w:hint="default" w:ascii="Times New Roman" w:hAnsi="Times New Roman" w:cs="Times New Roman"/>
                <w:color w:val="auto"/>
                <w:sz w:val="24"/>
                <w:u w:val="none" w:color="auto"/>
                <w:lang w:val="en-US" w:eastAsia="zh-CN"/>
              </w:rPr>
              <w:t>5</w:t>
            </w:r>
            <w:r>
              <w:rPr>
                <w:rFonts w:ascii="Times New Roman" w:hAnsi="Times New Roman" w:cs="Times New Roman"/>
                <w:color w:val="auto"/>
                <w:sz w:val="24"/>
                <w:u w:val="none" w:color="auto"/>
              </w:rPr>
              <w:t>）</w:t>
            </w:r>
            <w:r>
              <w:rPr>
                <w:rFonts w:hint="default" w:ascii="Times New Roman" w:hAnsi="Times New Roman" w:cs="Times New Roman"/>
                <w:color w:val="auto"/>
                <w:sz w:val="24"/>
                <w:u w:val="none" w:color="auto"/>
              </w:rPr>
              <w:t>及类比同类型项目</w:t>
            </w:r>
            <w:r>
              <w:rPr>
                <w:rFonts w:ascii="Times New Roman" w:hAnsi="Times New Roman" w:cs="Times New Roman"/>
                <w:color w:val="auto"/>
                <w:sz w:val="24"/>
                <w:u w:val="none" w:color="auto"/>
              </w:rPr>
              <w:t>，</w:t>
            </w:r>
            <w:r>
              <w:rPr>
                <w:rFonts w:ascii="Times New Roman" w:hAnsi="Times New Roman" w:cs="Times New Roman"/>
                <w:bCs/>
                <w:color w:val="auto"/>
                <w:sz w:val="24"/>
                <w:u w:val="none" w:color="auto"/>
              </w:rPr>
              <w:t>员工生活</w:t>
            </w:r>
            <w:r>
              <w:rPr>
                <w:rFonts w:ascii="Times New Roman" w:hAnsi="Times New Roman" w:eastAsia="宋体" w:cs="Times New Roman"/>
                <w:bCs w:val="0"/>
                <w:color w:val="auto"/>
                <w:kern w:val="0"/>
                <w:sz w:val="24"/>
                <w:szCs w:val="24"/>
                <w:u w:val="none"/>
              </w:rPr>
              <w:t>用水按</w:t>
            </w:r>
            <w:r>
              <w:rPr>
                <w:rFonts w:hint="default" w:ascii="Times New Roman" w:hAnsi="Times New Roman" w:eastAsia="宋体" w:cs="Times New Roman"/>
                <w:bCs w:val="0"/>
                <w:color w:val="auto"/>
                <w:kern w:val="0"/>
                <w:sz w:val="24"/>
                <w:szCs w:val="24"/>
                <w:u w:val="none"/>
                <w:lang w:val="en-US" w:eastAsia="zh-CN"/>
              </w:rPr>
              <w:t xml:space="preserve">155 </w:t>
            </w:r>
            <w:r>
              <w:rPr>
                <w:rFonts w:ascii="Times New Roman" w:hAnsi="Times New Roman" w:eastAsia="宋体" w:cs="Times New Roman"/>
                <w:bCs w:val="0"/>
                <w:color w:val="auto"/>
                <w:kern w:val="0"/>
                <w:sz w:val="24"/>
                <w:szCs w:val="24"/>
                <w:u w:val="none"/>
              </w:rPr>
              <w:t>L/</w:t>
            </w:r>
            <w:r>
              <w:rPr>
                <w:rFonts w:hint="default" w:ascii="Times New Roman" w:hAnsi="Times New Roman" w:eastAsia="宋体" w:cs="Times New Roman"/>
                <w:bCs w:val="0"/>
                <w:color w:val="auto"/>
                <w:kern w:val="0"/>
                <w:sz w:val="24"/>
                <w:szCs w:val="24"/>
                <w:u w:val="none"/>
                <w:lang w:eastAsia="zh-CN"/>
              </w:rPr>
              <w:t>（</w:t>
            </w:r>
            <w:r>
              <w:rPr>
                <w:rFonts w:ascii="Times New Roman" w:hAnsi="Times New Roman" w:eastAsia="宋体" w:cs="Times New Roman"/>
                <w:bCs w:val="0"/>
                <w:color w:val="auto"/>
                <w:kern w:val="0"/>
                <w:sz w:val="24"/>
                <w:szCs w:val="24"/>
                <w:u w:val="none"/>
              </w:rPr>
              <w:t>人•d</w:t>
            </w:r>
            <w:r>
              <w:rPr>
                <w:rFonts w:hint="default" w:ascii="Times New Roman" w:hAnsi="Times New Roman" w:eastAsia="宋体" w:cs="Times New Roman"/>
                <w:bCs w:val="0"/>
                <w:color w:val="auto"/>
                <w:kern w:val="0"/>
                <w:sz w:val="24"/>
                <w:szCs w:val="24"/>
                <w:u w:val="none"/>
                <w:lang w:eastAsia="zh-CN"/>
              </w:rPr>
              <w:t>）</w:t>
            </w:r>
            <w:r>
              <w:rPr>
                <w:rFonts w:ascii="Times New Roman" w:hAnsi="Times New Roman" w:eastAsia="宋体" w:cs="Times New Roman"/>
                <w:bCs w:val="0"/>
                <w:color w:val="auto"/>
                <w:kern w:val="0"/>
                <w:sz w:val="24"/>
                <w:szCs w:val="24"/>
                <w:u w:val="none"/>
              </w:rPr>
              <w:t>计</w:t>
            </w:r>
            <w:r>
              <w:rPr>
                <w:rFonts w:ascii="Times New Roman" w:hAnsi="Times New Roman" w:eastAsia="宋体" w:cs="Times New Roman"/>
                <w:color w:val="auto"/>
                <w:kern w:val="0"/>
                <w:sz w:val="24"/>
                <w:szCs w:val="24"/>
                <w:u w:val="none"/>
              </w:rPr>
              <w:t>，则</w:t>
            </w:r>
            <w:r>
              <w:rPr>
                <w:rFonts w:hint="default" w:ascii="Times New Roman" w:hAnsi="Times New Roman" w:eastAsia="宋体" w:cs="Times New Roman"/>
                <w:color w:val="auto"/>
                <w:kern w:val="0"/>
                <w:sz w:val="24"/>
                <w:szCs w:val="24"/>
                <w:u w:val="none"/>
                <w:lang w:val="en-US" w:eastAsia="zh-CN"/>
              </w:rPr>
              <w:t>本项目</w:t>
            </w:r>
            <w:r>
              <w:rPr>
                <w:rFonts w:ascii="Times New Roman" w:hAnsi="Times New Roman" w:eastAsia="宋体" w:cs="Times New Roman"/>
                <w:color w:val="auto"/>
                <w:kern w:val="0"/>
                <w:sz w:val="24"/>
                <w:szCs w:val="24"/>
                <w:u w:val="none"/>
              </w:rPr>
              <w:t>员工生活用水量为</w:t>
            </w:r>
            <w:r>
              <w:rPr>
                <w:rFonts w:hint="default" w:ascii="Times New Roman" w:hAnsi="Times New Roman" w:eastAsia="宋体" w:cs="Times New Roman"/>
                <w:color w:val="auto"/>
                <w:kern w:val="0"/>
                <w:sz w:val="24"/>
                <w:szCs w:val="24"/>
                <w:u w:val="none"/>
                <w:lang w:val="en-US" w:eastAsia="zh-CN"/>
              </w:rPr>
              <w:t xml:space="preserve">3.1 </w:t>
            </w:r>
            <w:r>
              <w:rPr>
                <w:rFonts w:ascii="Times New Roman" w:hAnsi="Times New Roman" w:eastAsia="宋体" w:cs="Times New Roman"/>
                <w:color w:val="auto"/>
                <w:kern w:val="0"/>
                <w:sz w:val="24"/>
                <w:szCs w:val="24"/>
                <w:u w:val="none"/>
              </w:rPr>
              <w:t>m</w:t>
            </w:r>
            <w:r>
              <w:rPr>
                <w:rFonts w:ascii="Times New Roman" w:hAnsi="Times New Roman" w:eastAsia="宋体" w:cs="Times New Roman"/>
                <w:color w:val="auto"/>
                <w:kern w:val="0"/>
                <w:sz w:val="24"/>
                <w:szCs w:val="24"/>
                <w:u w:val="none"/>
                <w:vertAlign w:val="superscript"/>
              </w:rPr>
              <w:t>3</w:t>
            </w:r>
            <w:r>
              <w:rPr>
                <w:rFonts w:ascii="Times New Roman" w:hAnsi="Times New Roman" w:eastAsia="宋体" w:cs="Times New Roman"/>
                <w:color w:val="auto"/>
                <w:kern w:val="0"/>
                <w:sz w:val="24"/>
                <w:szCs w:val="24"/>
                <w:u w:val="none"/>
              </w:rPr>
              <w:t>/d</w:t>
            </w:r>
            <w:r>
              <w:rPr>
                <w:rFonts w:hint="default" w:ascii="Times New Roman" w:hAnsi="Times New Roman" w:eastAsia="宋体" w:cs="Times New Roman"/>
                <w:color w:val="auto"/>
                <w:kern w:val="0"/>
                <w:sz w:val="24"/>
                <w:szCs w:val="24"/>
                <w:u w:val="none"/>
                <w:lang w:val="en-US" w:eastAsia="zh-CN" w:bidi="ar-SA"/>
              </w:rPr>
              <w:t>。生活污水产生系数按80%计，则生活污水产生量为</w:t>
            </w:r>
            <w:r>
              <w:rPr>
                <w:rFonts w:hint="eastAsia" w:ascii="Times New Roman" w:hAnsi="Times New Roman" w:eastAsia="宋体" w:cs="Times New Roman"/>
                <w:color w:val="auto"/>
                <w:kern w:val="0"/>
                <w:sz w:val="24"/>
                <w:szCs w:val="24"/>
                <w:u w:val="none"/>
                <w:lang w:val="en-US" w:eastAsia="zh-CN" w:bidi="ar-SA"/>
              </w:rPr>
              <w:t xml:space="preserve">2.48 </w:t>
            </w:r>
            <w:r>
              <w:rPr>
                <w:rFonts w:hint="default" w:ascii="Times New Roman" w:hAnsi="Times New Roman" w:eastAsia="宋体" w:cs="Times New Roman"/>
                <w:color w:val="auto"/>
                <w:kern w:val="0"/>
                <w:sz w:val="24"/>
                <w:szCs w:val="24"/>
                <w:u w:val="none"/>
                <w:lang w:val="en-US" w:eastAsia="zh-CN" w:bidi="ar-SA"/>
              </w:rPr>
              <w:t>m</w:t>
            </w:r>
            <w:r>
              <w:rPr>
                <w:rFonts w:hint="default" w:ascii="Times New Roman" w:hAnsi="Times New Roman" w:eastAsia="宋体" w:cs="Times New Roman"/>
                <w:color w:val="auto"/>
                <w:kern w:val="0"/>
                <w:sz w:val="24"/>
                <w:szCs w:val="24"/>
                <w:u w:val="none"/>
                <w:vertAlign w:val="superscript"/>
                <w:lang w:val="en-US" w:eastAsia="zh-CN" w:bidi="ar-SA"/>
              </w:rPr>
              <w:t>3</w:t>
            </w:r>
            <w:r>
              <w:rPr>
                <w:rFonts w:hint="default" w:ascii="Times New Roman" w:hAnsi="Times New Roman" w:eastAsia="宋体" w:cs="Times New Roman"/>
                <w:color w:val="auto"/>
                <w:kern w:val="0"/>
                <w:sz w:val="24"/>
                <w:szCs w:val="24"/>
                <w:u w:val="none"/>
                <w:lang w:val="en-US" w:eastAsia="zh-CN" w:bidi="ar-SA"/>
              </w:rPr>
              <w:t>/d。</w:t>
            </w:r>
          </w:p>
          <w:p w14:paraId="46B4AE7C">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eastAsia" w:ascii="Times New Roman" w:hAnsi="Times New Roman" w:eastAsia="宋体" w:cs="Times New Roman"/>
                <w:color w:val="auto"/>
                <w:kern w:val="0"/>
                <w:sz w:val="24"/>
                <w:szCs w:val="24"/>
                <w:u w:val="none"/>
                <w:lang w:val="en-US" w:eastAsia="zh-CN" w:bidi="ar-SA"/>
              </w:rPr>
              <w:t>（2）</w:t>
            </w:r>
            <w:r>
              <w:rPr>
                <w:rFonts w:hint="default" w:ascii="Times New Roman" w:hAnsi="Times New Roman" w:eastAsia="宋体" w:cs="Times New Roman"/>
                <w:color w:val="auto"/>
                <w:kern w:val="0"/>
                <w:sz w:val="24"/>
                <w:szCs w:val="24"/>
                <w:u w:val="none"/>
                <w:lang w:val="en-US" w:eastAsia="zh-CN" w:bidi="ar-SA"/>
              </w:rPr>
              <w:t>施工废水</w:t>
            </w:r>
          </w:p>
          <w:p w14:paraId="75CC2A0C">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根据建设方提供资料，施工期主要采用商品混凝土，施工废水主要为机械和车辆清洗废水，废水主要污染物为SS和石油类。此外，施工机械跑、冒、滴、漏的油污和露天施工机械经雨水等冲刷后也会产生一定量的含油污水，其主要污染物为石油类。项目拟在施工场地较低处设置隔油沉淀池，施工废水经处理后回用场地洒水降尘等，不外排。</w:t>
            </w:r>
          </w:p>
          <w:p w14:paraId="5A253BF3">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施工期建设单位应采取水污染防治措施：施工场地主要出入口应设置洗车槽、沉砂池、排水沟等设施，以收集冲洗车辆、施工机械产生的污水，经沉沙预处理回用于施工场地，不外排；在施工过程中应加强环境管理，挖方时应边施工边清运，填方时应做好压实覆盖工作，以减少因雨水冲刷浮土造成地表径流中悬浮物的量，避免对路面、排水系统等产生不良影响；施工单位应根据降雨特征，制定雨季、特别是暴雨期的排水应急响应工作方案，避免雨季排水不畅对院内道路产生不良影响；为了防止施工对周围水体产生污染，在施工过程中，定时清洁建筑施工机械表面不必要的润滑油及其它油污，加强施工机械设备的维修保养，避免施工机械在施工过程中燃料用油跑、冒、滴、漏等现象发生。</w:t>
            </w:r>
          </w:p>
          <w:p w14:paraId="3C5EADC0">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经落实上述措施后，通过加强施工管理，施工期废水不会对周边地表水造成影响。</w:t>
            </w:r>
          </w:p>
          <w:p w14:paraId="034A6044">
            <w:pPr>
              <w:widowControl/>
              <w:kinsoku w:val="0"/>
              <w:snapToGrid w:val="0"/>
              <w:ind w:firstLine="0" w:firstLineChars="0"/>
              <w:textAlignment w:val="baseline"/>
              <w:rPr>
                <w:rFonts w:hint="default" w:ascii="Times New Roman" w:hAnsi="Times New Roman" w:eastAsia="黑体" w:cs="Times New Roman"/>
                <w:b/>
                <w:bCs/>
                <w:snapToGrid w:val="0"/>
                <w:color w:val="auto"/>
                <w:spacing w:val="9"/>
                <w:kern w:val="0"/>
                <w:sz w:val="24"/>
                <w:szCs w:val="24"/>
                <w:u w:val="none"/>
                <w:lang w:val="en-US" w:eastAsia="zh-CN" w:bidi="ar-SA"/>
              </w:rPr>
            </w:pPr>
            <w:r>
              <w:rPr>
                <w:rFonts w:hint="default" w:ascii="Times New Roman" w:hAnsi="Times New Roman" w:eastAsia="黑体" w:cs="Times New Roman"/>
                <w:b/>
                <w:bCs/>
                <w:snapToGrid w:val="0"/>
                <w:color w:val="auto"/>
                <w:spacing w:val="9"/>
                <w:kern w:val="0"/>
                <w:sz w:val="24"/>
                <w:szCs w:val="24"/>
                <w:u w:val="none"/>
                <w:lang w:val="en-US" w:eastAsia="zh-CN" w:bidi="ar-SA"/>
              </w:rPr>
              <w:t>4.3</w:t>
            </w:r>
            <w:r>
              <w:rPr>
                <w:rFonts w:hint="eastAsia" w:ascii="Times New Roman" w:hAnsi="Times New Roman" w:eastAsia="黑体" w:cs="Times New Roman"/>
                <w:b/>
                <w:bCs/>
                <w:snapToGrid w:val="0"/>
                <w:color w:val="auto"/>
                <w:spacing w:val="9"/>
                <w:kern w:val="0"/>
                <w:sz w:val="24"/>
                <w:szCs w:val="24"/>
                <w:u w:val="none"/>
                <w:lang w:val="en-US" w:eastAsia="zh-CN" w:bidi="ar-SA"/>
              </w:rPr>
              <w:t xml:space="preserve"> </w:t>
            </w:r>
            <w:r>
              <w:rPr>
                <w:rFonts w:hint="default" w:ascii="Times New Roman" w:hAnsi="Times New Roman" w:eastAsia="黑体" w:cs="Times New Roman"/>
                <w:b/>
                <w:bCs/>
                <w:snapToGrid w:val="0"/>
                <w:color w:val="auto"/>
                <w:spacing w:val="9"/>
                <w:kern w:val="0"/>
                <w:sz w:val="24"/>
                <w:szCs w:val="24"/>
                <w:u w:val="none"/>
                <w:lang w:val="en-US" w:eastAsia="zh-CN" w:bidi="ar-SA"/>
              </w:rPr>
              <w:t>施工期噪声环境影响及保护措施</w:t>
            </w:r>
          </w:p>
          <w:p w14:paraId="5DC30C1E">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施工期噪声主要为施工机械噪声和运输车辆交通噪声。各施工阶段的主要噪声源强见下表。</w:t>
            </w:r>
          </w:p>
          <w:p w14:paraId="2FD4830C">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right="0"/>
              <w:jc w:val="center"/>
              <w:textAlignment w:val="auto"/>
              <w:rPr>
                <w:rFonts w:hint="default" w:ascii="Times New Roman" w:hAnsi="Times New Roman" w:eastAsia="宋体" w:cs="Times New Roman"/>
                <w:b w:val="0"/>
                <w:bCs w:val="0"/>
                <w:color w:val="auto"/>
                <w:kern w:val="0"/>
                <w:sz w:val="24"/>
                <w:szCs w:val="24"/>
                <w:u w:val="none"/>
                <w:lang w:val="en-US" w:eastAsia="zh-CN" w:bidi="ar-SA"/>
              </w:rPr>
            </w:pPr>
            <w:r>
              <w:rPr>
                <w:rFonts w:hint="default" w:ascii="Times New Roman" w:hAnsi="Times New Roman" w:eastAsia="宋体" w:cs="Times New Roman"/>
                <w:b w:val="0"/>
                <w:bCs w:val="0"/>
                <w:color w:val="auto"/>
                <w:kern w:val="0"/>
                <w:sz w:val="24"/>
                <w:szCs w:val="24"/>
                <w:u w:val="none"/>
                <w:lang w:val="en-US" w:eastAsia="zh-CN" w:bidi="ar-SA"/>
              </w:rPr>
              <w:t>表4.3-1 各施工阶段主要噪声源强</w:t>
            </w:r>
            <w:r>
              <w:rPr>
                <w:rFonts w:hint="eastAsia" w:ascii="Times New Roman" w:hAnsi="Times New Roman" w:eastAsia="宋体" w:cs="Times New Roman"/>
                <w:b w:val="0"/>
                <w:bCs w:val="0"/>
                <w:color w:val="auto"/>
                <w:kern w:val="0"/>
                <w:sz w:val="24"/>
                <w:szCs w:val="24"/>
                <w:u w:val="none"/>
                <w:lang w:val="en-US" w:eastAsia="zh-CN" w:bidi="ar-SA"/>
              </w:rPr>
              <w:t xml:space="preserve">    </w:t>
            </w:r>
            <w:r>
              <w:rPr>
                <w:rFonts w:hint="default" w:ascii="Times New Roman" w:hAnsi="Times New Roman" w:eastAsia="宋体" w:cs="Times New Roman"/>
                <w:b w:val="0"/>
                <w:bCs w:val="0"/>
                <w:color w:val="auto"/>
                <w:kern w:val="0"/>
                <w:sz w:val="24"/>
                <w:szCs w:val="24"/>
                <w:u w:val="none"/>
                <w:lang w:val="en-US" w:eastAsia="zh-CN" w:bidi="ar-SA"/>
              </w:rPr>
              <w:t>单位：dB(A)</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880"/>
              <w:gridCol w:w="2881"/>
            </w:tblGrid>
            <w:tr w14:paraId="22BD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noWrap w:val="0"/>
                  <w:vAlign w:val="center"/>
                </w:tcPr>
                <w:p w14:paraId="17FDDA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9"/>
                      <w:sz w:val="21"/>
                      <w:szCs w:val="21"/>
                    </w:rPr>
                    <w:t>施</w:t>
                  </w:r>
                  <w:r>
                    <w:rPr>
                      <w:rFonts w:hint="default" w:ascii="Times New Roman" w:hAnsi="Times New Roman" w:eastAsia="宋体" w:cs="Times New Roman"/>
                      <w:color w:val="auto"/>
                      <w:spacing w:val="7"/>
                      <w:sz w:val="21"/>
                      <w:szCs w:val="21"/>
                    </w:rPr>
                    <w:t>工阶段</w:t>
                  </w:r>
                </w:p>
              </w:tc>
              <w:tc>
                <w:tcPr>
                  <w:tcW w:w="1666" w:type="pct"/>
                  <w:noWrap w:val="0"/>
                  <w:vAlign w:val="center"/>
                </w:tcPr>
                <w:p w14:paraId="6B5713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8"/>
                      <w:sz w:val="21"/>
                      <w:szCs w:val="21"/>
                    </w:rPr>
                    <w:t>设</w:t>
                  </w:r>
                  <w:r>
                    <w:rPr>
                      <w:rFonts w:hint="default" w:ascii="Times New Roman" w:hAnsi="Times New Roman" w:eastAsia="宋体" w:cs="Times New Roman"/>
                      <w:color w:val="auto"/>
                      <w:spacing w:val="6"/>
                      <w:sz w:val="21"/>
                      <w:szCs w:val="21"/>
                    </w:rPr>
                    <w:t>备名称</w:t>
                  </w:r>
                </w:p>
              </w:tc>
              <w:tc>
                <w:tcPr>
                  <w:tcW w:w="1666" w:type="pct"/>
                  <w:noWrap w:val="0"/>
                  <w:vAlign w:val="center"/>
                </w:tcPr>
                <w:p w14:paraId="44F157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声</w:t>
                  </w:r>
                  <w:r>
                    <w:rPr>
                      <w:rFonts w:hint="default" w:ascii="Times New Roman" w:hAnsi="Times New Roman" w:eastAsia="宋体" w:cs="Times New Roman"/>
                      <w:color w:val="auto"/>
                      <w:spacing w:val="5"/>
                      <w:sz w:val="21"/>
                      <w:szCs w:val="21"/>
                    </w:rPr>
                    <w:t>源强</w:t>
                  </w:r>
                </w:p>
              </w:tc>
            </w:tr>
            <w:tr w14:paraId="366D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restart"/>
                  <w:noWrap w:val="0"/>
                  <w:vAlign w:val="center"/>
                </w:tcPr>
                <w:p w14:paraId="1C5F93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8"/>
                      <w:sz w:val="21"/>
                      <w:szCs w:val="21"/>
                    </w:rPr>
                    <w:t>土方施工阶段</w:t>
                  </w:r>
                </w:p>
              </w:tc>
              <w:tc>
                <w:tcPr>
                  <w:tcW w:w="1666" w:type="pct"/>
                  <w:noWrap w:val="0"/>
                  <w:vAlign w:val="center"/>
                </w:tcPr>
                <w:p w14:paraId="18898A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7"/>
                      <w:sz w:val="21"/>
                      <w:szCs w:val="21"/>
                    </w:rPr>
                    <w:t>推土</w:t>
                  </w:r>
                  <w:r>
                    <w:rPr>
                      <w:rFonts w:hint="default" w:ascii="Times New Roman" w:hAnsi="Times New Roman" w:eastAsia="宋体" w:cs="Times New Roman"/>
                      <w:color w:val="auto"/>
                      <w:spacing w:val="6"/>
                      <w:sz w:val="21"/>
                      <w:szCs w:val="21"/>
                    </w:rPr>
                    <w:t>机</w:t>
                  </w:r>
                </w:p>
              </w:tc>
              <w:tc>
                <w:tcPr>
                  <w:tcW w:w="1666" w:type="pct"/>
                  <w:noWrap w:val="0"/>
                  <w:vAlign w:val="center"/>
                </w:tcPr>
                <w:p w14:paraId="05C09C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9</w:t>
                  </w:r>
                  <w:r>
                    <w:rPr>
                      <w:rFonts w:hint="default" w:ascii="Times New Roman" w:hAnsi="Times New Roman" w:eastAsia="宋体" w:cs="Times New Roman"/>
                      <w:color w:val="auto"/>
                      <w:spacing w:val="-4"/>
                      <w:sz w:val="21"/>
                      <w:szCs w:val="21"/>
                    </w:rPr>
                    <w:t>0~100</w:t>
                  </w:r>
                </w:p>
              </w:tc>
            </w:tr>
            <w:tr w14:paraId="4D8E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continue"/>
                  <w:noWrap w:val="0"/>
                  <w:vAlign w:val="center"/>
                </w:tcPr>
                <w:p w14:paraId="02C44E53">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p>
              </w:tc>
              <w:tc>
                <w:tcPr>
                  <w:tcW w:w="1666" w:type="pct"/>
                  <w:noWrap w:val="0"/>
                  <w:vAlign w:val="center"/>
                </w:tcPr>
                <w:p w14:paraId="3A9ABF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7"/>
                      <w:sz w:val="21"/>
                      <w:szCs w:val="21"/>
                    </w:rPr>
                    <w:t>装载</w:t>
                  </w:r>
                  <w:r>
                    <w:rPr>
                      <w:rFonts w:hint="default" w:ascii="Times New Roman" w:hAnsi="Times New Roman" w:eastAsia="宋体" w:cs="Times New Roman"/>
                      <w:color w:val="auto"/>
                      <w:spacing w:val="6"/>
                      <w:sz w:val="21"/>
                      <w:szCs w:val="21"/>
                    </w:rPr>
                    <w:t>机</w:t>
                  </w:r>
                </w:p>
              </w:tc>
              <w:tc>
                <w:tcPr>
                  <w:tcW w:w="1666" w:type="pct"/>
                  <w:noWrap w:val="0"/>
                  <w:vAlign w:val="center"/>
                </w:tcPr>
                <w:p w14:paraId="57E719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9</w:t>
                  </w:r>
                  <w:r>
                    <w:rPr>
                      <w:rFonts w:hint="default" w:ascii="Times New Roman" w:hAnsi="Times New Roman" w:eastAsia="宋体" w:cs="Times New Roman"/>
                      <w:color w:val="auto"/>
                      <w:spacing w:val="-4"/>
                      <w:sz w:val="21"/>
                      <w:szCs w:val="21"/>
                    </w:rPr>
                    <w:t>0~100</w:t>
                  </w:r>
                </w:p>
              </w:tc>
            </w:tr>
            <w:tr w14:paraId="3AC4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continue"/>
                  <w:noWrap w:val="0"/>
                  <w:vAlign w:val="center"/>
                </w:tcPr>
                <w:p w14:paraId="186164B7">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p>
              </w:tc>
              <w:tc>
                <w:tcPr>
                  <w:tcW w:w="1666" w:type="pct"/>
                  <w:noWrap w:val="0"/>
                  <w:vAlign w:val="center"/>
                </w:tcPr>
                <w:p w14:paraId="2D50C3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7"/>
                      <w:sz w:val="21"/>
                      <w:szCs w:val="21"/>
                    </w:rPr>
                    <w:t>挖掘机</w:t>
                  </w:r>
                </w:p>
              </w:tc>
              <w:tc>
                <w:tcPr>
                  <w:tcW w:w="1666" w:type="pct"/>
                  <w:noWrap w:val="0"/>
                  <w:vAlign w:val="center"/>
                </w:tcPr>
                <w:p w14:paraId="6BBD96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5"/>
                      <w:sz w:val="21"/>
                      <w:szCs w:val="21"/>
                    </w:rPr>
                    <w:t>9</w:t>
                  </w:r>
                  <w:r>
                    <w:rPr>
                      <w:rFonts w:hint="default" w:ascii="Times New Roman" w:hAnsi="Times New Roman" w:eastAsia="宋体" w:cs="Times New Roman"/>
                      <w:color w:val="auto"/>
                      <w:spacing w:val="3"/>
                      <w:sz w:val="21"/>
                      <w:szCs w:val="21"/>
                    </w:rPr>
                    <w:t>0~95</w:t>
                  </w:r>
                </w:p>
              </w:tc>
            </w:tr>
            <w:tr w14:paraId="44DF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restart"/>
                  <w:noWrap w:val="0"/>
                  <w:vAlign w:val="center"/>
                </w:tcPr>
                <w:p w14:paraId="1DB324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9"/>
                      <w:sz w:val="21"/>
                      <w:szCs w:val="21"/>
                    </w:rPr>
                    <w:t>基</w:t>
                  </w:r>
                  <w:r>
                    <w:rPr>
                      <w:rFonts w:hint="default" w:ascii="Times New Roman" w:hAnsi="Times New Roman" w:eastAsia="宋体" w:cs="Times New Roman"/>
                      <w:color w:val="auto"/>
                      <w:spacing w:val="8"/>
                      <w:sz w:val="21"/>
                      <w:szCs w:val="21"/>
                    </w:rPr>
                    <w:t>建施工阶段</w:t>
                  </w:r>
                </w:p>
              </w:tc>
              <w:tc>
                <w:tcPr>
                  <w:tcW w:w="1666" w:type="pct"/>
                  <w:noWrap w:val="0"/>
                  <w:vAlign w:val="center"/>
                </w:tcPr>
                <w:p w14:paraId="099D1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打桩</w:t>
                  </w:r>
                  <w:r>
                    <w:rPr>
                      <w:rFonts w:hint="default" w:ascii="Times New Roman" w:hAnsi="Times New Roman" w:eastAsia="宋体" w:cs="Times New Roman"/>
                      <w:color w:val="auto"/>
                      <w:spacing w:val="5"/>
                      <w:sz w:val="21"/>
                      <w:szCs w:val="21"/>
                    </w:rPr>
                    <w:t>机</w:t>
                  </w:r>
                </w:p>
              </w:tc>
              <w:tc>
                <w:tcPr>
                  <w:tcW w:w="1666" w:type="pct"/>
                  <w:noWrap w:val="0"/>
                  <w:vAlign w:val="center"/>
                </w:tcPr>
                <w:p w14:paraId="2F5711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9</w:t>
                  </w:r>
                  <w:r>
                    <w:rPr>
                      <w:rFonts w:hint="default" w:ascii="Times New Roman" w:hAnsi="Times New Roman" w:eastAsia="宋体" w:cs="Times New Roman"/>
                      <w:color w:val="auto"/>
                      <w:spacing w:val="-4"/>
                      <w:sz w:val="21"/>
                      <w:szCs w:val="21"/>
                    </w:rPr>
                    <w:t>0~100</w:t>
                  </w:r>
                </w:p>
              </w:tc>
            </w:tr>
            <w:tr w14:paraId="6EA2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continue"/>
                  <w:noWrap w:val="0"/>
                  <w:vAlign w:val="center"/>
                </w:tcPr>
                <w:p w14:paraId="17111317">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p>
              </w:tc>
              <w:tc>
                <w:tcPr>
                  <w:tcW w:w="1666" w:type="pct"/>
                  <w:noWrap w:val="0"/>
                  <w:vAlign w:val="center"/>
                </w:tcPr>
                <w:p w14:paraId="393FA0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9"/>
                      <w:sz w:val="21"/>
                      <w:szCs w:val="21"/>
                    </w:rPr>
                    <w:t>灌</w:t>
                  </w:r>
                  <w:r>
                    <w:rPr>
                      <w:rFonts w:hint="default" w:ascii="Times New Roman" w:hAnsi="Times New Roman" w:eastAsia="宋体" w:cs="Times New Roman"/>
                      <w:color w:val="auto"/>
                      <w:spacing w:val="6"/>
                      <w:sz w:val="21"/>
                      <w:szCs w:val="21"/>
                    </w:rPr>
                    <w:t>注桩机</w:t>
                  </w:r>
                </w:p>
              </w:tc>
              <w:tc>
                <w:tcPr>
                  <w:tcW w:w="1666" w:type="pct"/>
                  <w:noWrap w:val="0"/>
                  <w:vAlign w:val="center"/>
                </w:tcPr>
                <w:p w14:paraId="0277A2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9</w:t>
                  </w:r>
                  <w:r>
                    <w:rPr>
                      <w:rFonts w:hint="default" w:ascii="Times New Roman" w:hAnsi="Times New Roman" w:eastAsia="宋体" w:cs="Times New Roman"/>
                      <w:color w:val="auto"/>
                      <w:spacing w:val="-4"/>
                      <w:sz w:val="21"/>
                      <w:szCs w:val="21"/>
                    </w:rPr>
                    <w:t>0~100</w:t>
                  </w:r>
                </w:p>
              </w:tc>
            </w:tr>
            <w:tr w14:paraId="6760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continue"/>
                  <w:noWrap w:val="0"/>
                  <w:vAlign w:val="center"/>
                </w:tcPr>
                <w:p w14:paraId="5194363E">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p>
              </w:tc>
              <w:tc>
                <w:tcPr>
                  <w:tcW w:w="1666" w:type="pct"/>
                  <w:noWrap w:val="0"/>
                  <w:vAlign w:val="center"/>
                </w:tcPr>
                <w:p w14:paraId="05A728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空</w:t>
                  </w:r>
                  <w:r>
                    <w:rPr>
                      <w:rFonts w:hint="default" w:ascii="Times New Roman" w:hAnsi="Times New Roman" w:eastAsia="宋体" w:cs="Times New Roman"/>
                      <w:color w:val="auto"/>
                      <w:spacing w:val="4"/>
                      <w:sz w:val="21"/>
                      <w:szCs w:val="21"/>
                    </w:rPr>
                    <w:t>压机</w:t>
                  </w:r>
                </w:p>
              </w:tc>
              <w:tc>
                <w:tcPr>
                  <w:tcW w:w="1666" w:type="pct"/>
                  <w:noWrap w:val="0"/>
                  <w:vAlign w:val="center"/>
                </w:tcPr>
                <w:p w14:paraId="70039B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4"/>
                      <w:sz w:val="21"/>
                      <w:szCs w:val="21"/>
                    </w:rPr>
                    <w:t>8</w:t>
                  </w:r>
                  <w:r>
                    <w:rPr>
                      <w:rFonts w:hint="default" w:ascii="Times New Roman" w:hAnsi="Times New Roman" w:eastAsia="宋体" w:cs="Times New Roman"/>
                      <w:color w:val="auto"/>
                      <w:spacing w:val="3"/>
                      <w:sz w:val="21"/>
                      <w:szCs w:val="21"/>
                    </w:rPr>
                    <w:t>8</w:t>
                  </w:r>
                  <w:r>
                    <w:rPr>
                      <w:rFonts w:hint="default" w:ascii="Times New Roman" w:hAnsi="Times New Roman" w:eastAsia="宋体" w:cs="Times New Roman"/>
                      <w:color w:val="auto"/>
                      <w:spacing w:val="2"/>
                      <w:sz w:val="21"/>
                      <w:szCs w:val="21"/>
                    </w:rPr>
                    <w:t>~92</w:t>
                  </w:r>
                </w:p>
              </w:tc>
            </w:tr>
            <w:tr w14:paraId="57FB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restart"/>
                  <w:noWrap w:val="0"/>
                  <w:vAlign w:val="center"/>
                </w:tcPr>
                <w:p w14:paraId="25E1DE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9"/>
                      <w:sz w:val="21"/>
                      <w:szCs w:val="21"/>
                    </w:rPr>
                    <w:t>结</w:t>
                  </w:r>
                  <w:r>
                    <w:rPr>
                      <w:rFonts w:hint="default" w:ascii="Times New Roman" w:hAnsi="Times New Roman" w:eastAsia="宋体" w:cs="Times New Roman"/>
                      <w:color w:val="auto"/>
                      <w:spacing w:val="7"/>
                      <w:sz w:val="21"/>
                      <w:szCs w:val="21"/>
                    </w:rPr>
                    <w:t>构施工阶段</w:t>
                  </w:r>
                </w:p>
              </w:tc>
              <w:tc>
                <w:tcPr>
                  <w:tcW w:w="1666" w:type="pct"/>
                  <w:noWrap w:val="0"/>
                  <w:vAlign w:val="center"/>
                </w:tcPr>
                <w:p w14:paraId="695E31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8"/>
                      <w:sz w:val="21"/>
                      <w:szCs w:val="21"/>
                    </w:rPr>
                    <w:t>吊车</w:t>
                  </w:r>
                </w:p>
              </w:tc>
              <w:tc>
                <w:tcPr>
                  <w:tcW w:w="1666" w:type="pct"/>
                  <w:noWrap w:val="0"/>
                  <w:vAlign w:val="center"/>
                </w:tcPr>
                <w:p w14:paraId="19A287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9</w:t>
                  </w:r>
                  <w:r>
                    <w:rPr>
                      <w:rFonts w:hint="default" w:ascii="Times New Roman" w:hAnsi="Times New Roman" w:eastAsia="宋体" w:cs="Times New Roman"/>
                      <w:color w:val="auto"/>
                      <w:spacing w:val="-4"/>
                      <w:sz w:val="21"/>
                      <w:szCs w:val="21"/>
                    </w:rPr>
                    <w:t>0~105</w:t>
                  </w:r>
                </w:p>
              </w:tc>
            </w:tr>
            <w:tr w14:paraId="4C4F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continue"/>
                  <w:noWrap w:val="0"/>
                  <w:vAlign w:val="center"/>
                </w:tcPr>
                <w:p w14:paraId="189D1E50">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p>
              </w:tc>
              <w:tc>
                <w:tcPr>
                  <w:tcW w:w="1666" w:type="pct"/>
                  <w:noWrap w:val="0"/>
                  <w:vAlign w:val="center"/>
                </w:tcPr>
                <w:p w14:paraId="7B4143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7"/>
                      <w:sz w:val="21"/>
                      <w:szCs w:val="21"/>
                    </w:rPr>
                    <w:t>振捣器</w:t>
                  </w:r>
                </w:p>
              </w:tc>
              <w:tc>
                <w:tcPr>
                  <w:tcW w:w="1666" w:type="pct"/>
                  <w:noWrap w:val="0"/>
                  <w:vAlign w:val="center"/>
                </w:tcPr>
                <w:p w14:paraId="4E266F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3"/>
                      <w:sz w:val="21"/>
                      <w:szCs w:val="21"/>
                    </w:rPr>
                    <w:t>55~84</w:t>
                  </w:r>
                </w:p>
              </w:tc>
            </w:tr>
            <w:tr w14:paraId="3FFF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restart"/>
                  <w:noWrap w:val="0"/>
                  <w:vAlign w:val="center"/>
                </w:tcPr>
                <w:p w14:paraId="1179AE3F">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8"/>
                      <w:sz w:val="21"/>
                      <w:szCs w:val="21"/>
                    </w:rPr>
                    <w:t>装</w:t>
                  </w:r>
                  <w:r>
                    <w:rPr>
                      <w:rFonts w:hint="default" w:ascii="Times New Roman" w:hAnsi="Times New Roman" w:eastAsia="宋体" w:cs="Times New Roman"/>
                      <w:color w:val="auto"/>
                      <w:spacing w:val="7"/>
                      <w:sz w:val="21"/>
                      <w:szCs w:val="21"/>
                    </w:rPr>
                    <w:t>修阶段</w:t>
                  </w:r>
                </w:p>
              </w:tc>
              <w:tc>
                <w:tcPr>
                  <w:tcW w:w="1666" w:type="pct"/>
                  <w:noWrap w:val="0"/>
                  <w:vAlign w:val="center"/>
                </w:tcPr>
                <w:p w14:paraId="089F64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8"/>
                      <w:sz w:val="21"/>
                      <w:szCs w:val="21"/>
                    </w:rPr>
                    <w:t>电</w:t>
                  </w:r>
                  <w:r>
                    <w:rPr>
                      <w:rFonts w:hint="default" w:ascii="Times New Roman" w:hAnsi="Times New Roman" w:eastAsia="宋体" w:cs="Times New Roman"/>
                      <w:color w:val="auto"/>
                      <w:spacing w:val="-7"/>
                      <w:sz w:val="21"/>
                      <w:szCs w:val="21"/>
                    </w:rPr>
                    <w:t>钻</w:t>
                  </w:r>
                </w:p>
              </w:tc>
              <w:tc>
                <w:tcPr>
                  <w:tcW w:w="1666" w:type="pct"/>
                  <w:noWrap w:val="0"/>
                  <w:vAlign w:val="center"/>
                </w:tcPr>
                <w:p w14:paraId="44A66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6"/>
                      <w:sz w:val="21"/>
                      <w:szCs w:val="21"/>
                    </w:rPr>
                    <w:t>0</w:t>
                  </w:r>
                  <w:r>
                    <w:rPr>
                      <w:rFonts w:hint="default" w:ascii="Times New Roman" w:hAnsi="Times New Roman" w:eastAsia="宋体" w:cs="Times New Roman"/>
                      <w:color w:val="auto"/>
                      <w:spacing w:val="-4"/>
                      <w:sz w:val="21"/>
                      <w:szCs w:val="21"/>
                    </w:rPr>
                    <w:t>0~105</w:t>
                  </w:r>
                </w:p>
              </w:tc>
            </w:tr>
            <w:tr w14:paraId="1110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666" w:type="pct"/>
                  <w:vMerge w:val="continue"/>
                  <w:noWrap w:val="0"/>
                  <w:vAlign w:val="center"/>
                </w:tcPr>
                <w:p w14:paraId="22D39BB1">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p>
              </w:tc>
              <w:tc>
                <w:tcPr>
                  <w:tcW w:w="1666" w:type="pct"/>
                  <w:noWrap w:val="0"/>
                  <w:vAlign w:val="center"/>
                </w:tcPr>
                <w:p w14:paraId="1800ED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7"/>
                      <w:sz w:val="21"/>
                      <w:szCs w:val="21"/>
                    </w:rPr>
                    <w:t>无</w:t>
                  </w:r>
                  <w:r>
                    <w:rPr>
                      <w:rFonts w:hint="default" w:ascii="Times New Roman" w:hAnsi="Times New Roman" w:eastAsia="宋体" w:cs="Times New Roman"/>
                      <w:color w:val="auto"/>
                      <w:spacing w:val="6"/>
                      <w:sz w:val="21"/>
                      <w:szCs w:val="21"/>
                    </w:rPr>
                    <w:t>齿锯</w:t>
                  </w:r>
                </w:p>
              </w:tc>
              <w:tc>
                <w:tcPr>
                  <w:tcW w:w="1666" w:type="pct"/>
                  <w:noWrap w:val="0"/>
                  <w:vAlign w:val="center"/>
                </w:tcPr>
                <w:p w14:paraId="24B8BF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6"/>
                      <w:sz w:val="21"/>
                      <w:szCs w:val="21"/>
                    </w:rPr>
                    <w:t>9</w:t>
                  </w:r>
                  <w:r>
                    <w:rPr>
                      <w:rFonts w:hint="default" w:ascii="Times New Roman" w:hAnsi="Times New Roman" w:eastAsia="宋体" w:cs="Times New Roman"/>
                      <w:color w:val="auto"/>
                      <w:spacing w:val="-4"/>
                      <w:sz w:val="21"/>
                      <w:szCs w:val="21"/>
                    </w:rPr>
                    <w:t>5~105</w:t>
                  </w:r>
                </w:p>
              </w:tc>
            </w:tr>
            <w:tr w14:paraId="0582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66" w:type="pct"/>
                  <w:vMerge w:val="continue"/>
                  <w:noWrap w:val="0"/>
                  <w:vAlign w:val="center"/>
                </w:tcPr>
                <w:p w14:paraId="2155AEE5">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p>
              </w:tc>
              <w:tc>
                <w:tcPr>
                  <w:tcW w:w="1666" w:type="pct"/>
                  <w:noWrap w:val="0"/>
                  <w:vAlign w:val="center"/>
                </w:tcPr>
                <w:p w14:paraId="5EC0A2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7"/>
                      <w:sz w:val="21"/>
                      <w:szCs w:val="21"/>
                    </w:rPr>
                    <w:t>手工</w:t>
                  </w:r>
                  <w:r>
                    <w:rPr>
                      <w:rFonts w:hint="default" w:ascii="Times New Roman" w:hAnsi="Times New Roman" w:eastAsia="宋体" w:cs="Times New Roman"/>
                      <w:color w:val="auto"/>
                      <w:spacing w:val="6"/>
                      <w:sz w:val="21"/>
                      <w:szCs w:val="21"/>
                    </w:rPr>
                    <w:t>钻</w:t>
                  </w:r>
                </w:p>
              </w:tc>
              <w:tc>
                <w:tcPr>
                  <w:tcW w:w="1666" w:type="pct"/>
                  <w:noWrap w:val="0"/>
                  <w:vAlign w:val="center"/>
                </w:tcPr>
                <w:p w14:paraId="626E62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6"/>
                      <w:sz w:val="21"/>
                      <w:szCs w:val="21"/>
                    </w:rPr>
                    <w:t>0</w:t>
                  </w:r>
                  <w:r>
                    <w:rPr>
                      <w:rFonts w:hint="default" w:ascii="Times New Roman" w:hAnsi="Times New Roman" w:eastAsia="宋体" w:cs="Times New Roman"/>
                      <w:color w:val="auto"/>
                      <w:spacing w:val="-4"/>
                      <w:sz w:val="21"/>
                      <w:szCs w:val="21"/>
                    </w:rPr>
                    <w:t>0~105</w:t>
                  </w:r>
                </w:p>
              </w:tc>
            </w:tr>
          </w:tbl>
          <w:p w14:paraId="5F340373">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right="0"/>
              <w:jc w:val="center"/>
              <w:textAlignment w:val="auto"/>
              <w:rPr>
                <w:rFonts w:hint="default" w:ascii="Times New Roman" w:hAnsi="Times New Roman" w:eastAsia="宋体" w:cs="Times New Roman"/>
                <w:b w:val="0"/>
                <w:bCs w:val="0"/>
                <w:color w:val="auto"/>
                <w:kern w:val="0"/>
                <w:sz w:val="24"/>
                <w:szCs w:val="24"/>
                <w:u w:val="none"/>
                <w:lang w:val="en-US" w:eastAsia="zh-CN" w:bidi="ar-SA"/>
              </w:rPr>
            </w:pPr>
            <w:r>
              <w:rPr>
                <w:rFonts w:hint="default" w:ascii="Times New Roman" w:hAnsi="Times New Roman" w:eastAsia="宋体" w:cs="Times New Roman"/>
                <w:b w:val="0"/>
                <w:bCs w:val="0"/>
                <w:color w:val="auto"/>
                <w:kern w:val="0"/>
                <w:sz w:val="24"/>
                <w:szCs w:val="24"/>
                <w:u w:val="none"/>
                <w:lang w:val="en-US" w:eastAsia="zh-CN" w:bidi="ar-SA"/>
              </w:rPr>
              <w:t>表4</w:t>
            </w:r>
            <w:r>
              <w:rPr>
                <w:rFonts w:hint="eastAsia" w:ascii="Times New Roman" w:hAnsi="Times New Roman" w:eastAsia="宋体" w:cs="Times New Roman"/>
                <w:b w:val="0"/>
                <w:bCs w:val="0"/>
                <w:color w:val="auto"/>
                <w:kern w:val="0"/>
                <w:sz w:val="24"/>
                <w:szCs w:val="24"/>
                <w:u w:val="none"/>
                <w:lang w:val="en-US" w:eastAsia="zh-CN" w:bidi="ar-SA"/>
              </w:rPr>
              <w:t>.3</w:t>
            </w:r>
            <w:r>
              <w:rPr>
                <w:rFonts w:hint="default" w:ascii="Times New Roman" w:hAnsi="Times New Roman" w:eastAsia="宋体" w:cs="Times New Roman"/>
                <w:b w:val="0"/>
                <w:bCs w:val="0"/>
                <w:color w:val="auto"/>
                <w:kern w:val="0"/>
                <w:sz w:val="24"/>
                <w:szCs w:val="24"/>
                <w:u w:val="none"/>
                <w:lang w:val="en-US" w:eastAsia="zh-CN" w:bidi="ar-SA"/>
              </w:rPr>
              <w:t>-2</w:t>
            </w:r>
            <w:r>
              <w:rPr>
                <w:rFonts w:hint="eastAsia" w:ascii="Times New Roman" w:hAnsi="Times New Roman" w:eastAsia="宋体" w:cs="Times New Roman"/>
                <w:b w:val="0"/>
                <w:bCs w:val="0"/>
                <w:color w:val="auto"/>
                <w:kern w:val="0"/>
                <w:sz w:val="24"/>
                <w:szCs w:val="24"/>
                <w:u w:val="none"/>
                <w:lang w:val="en-US" w:eastAsia="zh-CN" w:bidi="ar-SA"/>
              </w:rPr>
              <w:t xml:space="preserve"> </w:t>
            </w:r>
            <w:r>
              <w:rPr>
                <w:rFonts w:hint="default" w:ascii="Times New Roman" w:hAnsi="Times New Roman" w:eastAsia="宋体" w:cs="Times New Roman"/>
                <w:b w:val="0"/>
                <w:bCs w:val="0"/>
                <w:color w:val="auto"/>
                <w:kern w:val="0"/>
                <w:sz w:val="24"/>
                <w:szCs w:val="24"/>
                <w:u w:val="none"/>
                <w:lang w:val="en-US" w:eastAsia="zh-CN" w:bidi="ar-SA"/>
              </w:rPr>
              <w:t>交通运输车辆噪声</w:t>
            </w:r>
            <w:r>
              <w:rPr>
                <w:rFonts w:hint="eastAsia" w:ascii="Times New Roman" w:hAnsi="Times New Roman" w:eastAsia="宋体" w:cs="Times New Roman"/>
                <w:b w:val="0"/>
                <w:bCs w:val="0"/>
                <w:color w:val="auto"/>
                <w:kern w:val="0"/>
                <w:sz w:val="24"/>
                <w:szCs w:val="24"/>
                <w:u w:val="none"/>
                <w:lang w:val="en-US" w:eastAsia="zh-CN" w:bidi="ar-SA"/>
              </w:rPr>
              <w:t xml:space="preserve">     </w:t>
            </w:r>
            <w:r>
              <w:rPr>
                <w:rFonts w:hint="default" w:ascii="Times New Roman" w:hAnsi="Times New Roman" w:eastAsia="宋体" w:cs="Times New Roman"/>
                <w:b w:val="0"/>
                <w:bCs w:val="0"/>
                <w:color w:val="auto"/>
                <w:kern w:val="0"/>
                <w:sz w:val="24"/>
                <w:szCs w:val="24"/>
                <w:u w:val="none"/>
                <w:lang w:val="en-US" w:eastAsia="zh-CN" w:bidi="ar-SA"/>
              </w:rPr>
              <w:t>单位：dB(A)</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3039"/>
              <w:gridCol w:w="2289"/>
              <w:gridCol w:w="1345"/>
            </w:tblGrid>
            <w:tr w14:paraId="4028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38" w:type="pct"/>
                  <w:noWrap w:val="0"/>
                  <w:vAlign w:val="center"/>
                </w:tcPr>
                <w:p w14:paraId="142647A5">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施工阶段</w:t>
                  </w:r>
                </w:p>
              </w:tc>
              <w:tc>
                <w:tcPr>
                  <w:tcW w:w="1758" w:type="pct"/>
                  <w:noWrap w:val="0"/>
                  <w:vAlign w:val="center"/>
                </w:tcPr>
                <w:p w14:paraId="27468A4D">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运输内容</w:t>
                  </w:r>
                </w:p>
              </w:tc>
              <w:tc>
                <w:tcPr>
                  <w:tcW w:w="1324" w:type="pct"/>
                  <w:noWrap w:val="0"/>
                  <w:vAlign w:val="center"/>
                </w:tcPr>
                <w:p w14:paraId="0F6F72B7">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车辆类型</w:t>
                  </w:r>
                </w:p>
              </w:tc>
              <w:tc>
                <w:tcPr>
                  <w:tcW w:w="778" w:type="pct"/>
                  <w:noWrap w:val="0"/>
                  <w:vAlign w:val="center"/>
                </w:tcPr>
                <w:p w14:paraId="5DEC2CD0">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声源强</w:t>
                  </w:r>
                </w:p>
              </w:tc>
            </w:tr>
            <w:tr w14:paraId="5EB1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38" w:type="pct"/>
                  <w:noWrap w:val="0"/>
                  <w:vAlign w:val="center"/>
                </w:tcPr>
                <w:p w14:paraId="2FDC56E9">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结构阶段</w:t>
                  </w:r>
                </w:p>
              </w:tc>
              <w:tc>
                <w:tcPr>
                  <w:tcW w:w="1758" w:type="pct"/>
                  <w:noWrap w:val="0"/>
                  <w:vAlign w:val="center"/>
                </w:tcPr>
                <w:p w14:paraId="067F21AA">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钢筋、商品混凝土</w:t>
                  </w:r>
                </w:p>
              </w:tc>
              <w:tc>
                <w:tcPr>
                  <w:tcW w:w="1324" w:type="pct"/>
                  <w:noWrap w:val="0"/>
                  <w:vAlign w:val="center"/>
                </w:tcPr>
                <w:p w14:paraId="26701478">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混凝土罐车、载重车</w:t>
                  </w:r>
                </w:p>
              </w:tc>
              <w:tc>
                <w:tcPr>
                  <w:tcW w:w="778" w:type="pct"/>
                  <w:noWrap w:val="0"/>
                  <w:vAlign w:val="center"/>
                </w:tcPr>
                <w:p w14:paraId="0030732C">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85~90</w:t>
                  </w:r>
                </w:p>
              </w:tc>
            </w:tr>
            <w:tr w14:paraId="05BE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38" w:type="pct"/>
                  <w:noWrap w:val="0"/>
                  <w:vAlign w:val="center"/>
                </w:tcPr>
                <w:p w14:paraId="3E1EA316">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设备安装阶段</w:t>
                  </w:r>
                </w:p>
              </w:tc>
              <w:tc>
                <w:tcPr>
                  <w:tcW w:w="1758" w:type="pct"/>
                  <w:noWrap w:val="0"/>
                  <w:vAlign w:val="center"/>
                </w:tcPr>
                <w:p w14:paraId="3DFAB4AE">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各类设备材料及必备设备</w:t>
                  </w:r>
                </w:p>
              </w:tc>
              <w:tc>
                <w:tcPr>
                  <w:tcW w:w="1324" w:type="pct"/>
                  <w:noWrap w:val="0"/>
                  <w:vAlign w:val="center"/>
                </w:tcPr>
                <w:p w14:paraId="38908F59">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轻型载重卡车</w:t>
                  </w:r>
                </w:p>
              </w:tc>
              <w:tc>
                <w:tcPr>
                  <w:tcW w:w="778" w:type="pct"/>
                  <w:noWrap w:val="0"/>
                  <w:vAlign w:val="center"/>
                </w:tcPr>
                <w:p w14:paraId="036CBC3A">
                  <w:pPr>
                    <w:pStyle w:val="29"/>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75~80</w:t>
                  </w:r>
                </w:p>
              </w:tc>
            </w:tr>
          </w:tbl>
          <w:p w14:paraId="41151CA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为了尽量减小本项目建设施工排放噪声对周围环境可能造成的影响，建设单位和工程施工单位应采取一系列切实可行的措施来防治噪声污染：</w:t>
            </w:r>
          </w:p>
          <w:p w14:paraId="4A54AD9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①建议采用噪声值较低的设备；</w:t>
            </w:r>
          </w:p>
          <w:p w14:paraId="347F93C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②选用低噪声机械设备或带隔声、消声的设备，加强对施工设备的维修和保养；</w:t>
            </w:r>
          </w:p>
          <w:p w14:paraId="3A90172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③合理安排施工时间和施工场所，高噪声作业区应远离对声环境质量要求较高的敏感对象，严格按规范操作，场内施工的重声区，需设围屏作业，以阻挡噪声外传，减轻污染；</w:t>
            </w:r>
          </w:p>
          <w:p w14:paraId="7BD71AA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④合理疏导进入施工区的车辆，减少汽车会车时的鸣笛噪声；</w:t>
            </w:r>
          </w:p>
          <w:p w14:paraId="09732D9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⑤优化施工方案，合理安排工期，将建筑施工环境噪声危害降到最低程度，施工单位在工程承包时，应把施工噪声控制列入承包内容，并确保各项控制措施的实施。对违反国家规定造成严重后果的，施工单位要承担相应责任；</w:t>
            </w:r>
          </w:p>
          <w:p w14:paraId="6CCA0AF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⑥施工单位定期对施工场界噪声进行监测，如发现有超标现象，应采取必要的临时降噪措施，减缓可能对周围敏感点造成的环境影响。</w:t>
            </w:r>
          </w:p>
          <w:p w14:paraId="4DA6649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综上所述，通过采取以上噪声防控措施后，项目施工不会对周边环境造成明显影响。</w:t>
            </w:r>
          </w:p>
          <w:p w14:paraId="470F1254">
            <w:pPr>
              <w:widowControl/>
              <w:kinsoku w:val="0"/>
              <w:snapToGrid w:val="0"/>
              <w:ind w:firstLine="0" w:firstLineChars="0"/>
              <w:textAlignment w:val="baseline"/>
              <w:rPr>
                <w:rFonts w:hint="default" w:ascii="Times New Roman" w:hAnsi="Times New Roman" w:eastAsia="黑体" w:cs="Times New Roman"/>
                <w:b/>
                <w:bCs/>
                <w:snapToGrid w:val="0"/>
                <w:color w:val="auto"/>
                <w:spacing w:val="9"/>
                <w:kern w:val="0"/>
                <w:u w:val="none"/>
                <w:lang w:val="en-US" w:eastAsia="zh-CN"/>
              </w:rPr>
            </w:pPr>
            <w:r>
              <w:rPr>
                <w:rFonts w:hint="default" w:ascii="Times New Roman" w:hAnsi="Times New Roman" w:eastAsia="黑体" w:cs="Times New Roman"/>
                <w:b/>
                <w:bCs/>
                <w:snapToGrid w:val="0"/>
                <w:color w:val="auto"/>
                <w:spacing w:val="9"/>
                <w:kern w:val="0"/>
                <w:u w:val="none"/>
                <w:lang w:val="en-US" w:eastAsia="zh-CN"/>
              </w:rPr>
              <w:t>4.4 施工期固体废物环境影响及保护措施</w:t>
            </w:r>
          </w:p>
          <w:p w14:paraId="436C7436">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本项目施工人员产生的生活垃圾由环卫部门及时清运处理，对周围环境影响较小；本项目弃方全部运往当地政府指定弃渣场集中堆放，不单独设置弃渣；施工建筑垃圾中的废砖块、混凝土块等可以用于场地低地填高，建筑垃圾中的废木料、钢筋头、</w:t>
            </w:r>
            <w:r>
              <w:rPr>
                <w:rFonts w:hint="eastAsia" w:ascii="Times New Roman" w:cs="Times New Roman"/>
                <w:color w:val="auto"/>
                <w:u w:val="none"/>
                <w:lang w:val="en-US" w:eastAsia="zh-CN"/>
              </w:rPr>
              <w:t>沾染有毒有害物质的废包装材料</w:t>
            </w:r>
            <w:r>
              <w:rPr>
                <w:rFonts w:hint="default" w:ascii="Times New Roman" w:hAnsi="Times New Roman" w:eastAsia="宋体" w:cs="Times New Roman"/>
                <w:color w:val="auto"/>
                <w:u w:val="none"/>
                <w:lang w:val="en-US" w:eastAsia="zh-CN"/>
              </w:rPr>
              <w:t>运往乡镇垃圾收集中心统一处置处理。</w:t>
            </w:r>
          </w:p>
          <w:p w14:paraId="5287492A">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项目施工期固体废物经采取上述措施后，均能得到有效利用或妥善处理，不会对环境造成不利影响。</w:t>
            </w:r>
          </w:p>
          <w:p w14:paraId="6C89AA53">
            <w:pPr>
              <w:widowControl/>
              <w:kinsoku w:val="0"/>
              <w:snapToGrid w:val="0"/>
              <w:ind w:firstLine="0" w:firstLineChars="0"/>
              <w:textAlignment w:val="baseline"/>
              <w:rPr>
                <w:rFonts w:hint="default" w:ascii="Times New Roman" w:hAnsi="Times New Roman" w:eastAsia="黑体" w:cs="Times New Roman"/>
                <w:b/>
                <w:bCs/>
                <w:snapToGrid w:val="0"/>
                <w:color w:val="auto"/>
                <w:spacing w:val="9"/>
                <w:kern w:val="0"/>
                <w:u w:val="none"/>
                <w:lang w:val="en-US" w:eastAsia="zh-CN"/>
              </w:rPr>
            </w:pPr>
            <w:r>
              <w:rPr>
                <w:rFonts w:hint="default" w:ascii="Times New Roman" w:hAnsi="Times New Roman" w:eastAsia="黑体" w:cs="Times New Roman"/>
                <w:b/>
                <w:bCs/>
                <w:snapToGrid w:val="0"/>
                <w:color w:val="auto"/>
                <w:spacing w:val="9"/>
                <w:kern w:val="0"/>
                <w:u w:val="none"/>
                <w:lang w:val="en-US" w:eastAsia="zh-CN"/>
              </w:rPr>
              <w:t>4.5</w:t>
            </w:r>
            <w:r>
              <w:rPr>
                <w:rFonts w:hint="eastAsia" w:ascii="Times New Roman" w:hAnsi="Times New Roman" w:eastAsia="黑体" w:cs="Times New Roman"/>
                <w:b/>
                <w:bCs/>
                <w:snapToGrid w:val="0"/>
                <w:color w:val="auto"/>
                <w:spacing w:val="9"/>
                <w:kern w:val="0"/>
                <w:u w:val="none"/>
                <w:lang w:val="en-US" w:eastAsia="zh-CN"/>
              </w:rPr>
              <w:t xml:space="preserve"> </w:t>
            </w:r>
            <w:r>
              <w:rPr>
                <w:rFonts w:hint="default" w:ascii="Times New Roman" w:hAnsi="Times New Roman" w:eastAsia="黑体" w:cs="Times New Roman"/>
                <w:b/>
                <w:bCs/>
                <w:snapToGrid w:val="0"/>
                <w:color w:val="auto"/>
                <w:spacing w:val="9"/>
                <w:kern w:val="0"/>
                <w:u w:val="none"/>
                <w:lang w:val="en-US" w:eastAsia="zh-CN"/>
              </w:rPr>
              <w:t>施工期生态环境影响及保护措施</w:t>
            </w:r>
          </w:p>
          <w:p w14:paraId="3A981956">
            <w:pPr>
              <w:widowControl/>
              <w:ind w:firstLine="480" w:firstLineChars="0"/>
              <w:jc w:val="left"/>
              <w:rPr>
                <w:rFonts w:hint="default"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本项目不新增用地面积，在现有厂区内进行改造</w:t>
            </w:r>
            <w:r>
              <w:rPr>
                <w:rFonts w:hint="default" w:ascii="Times New Roman" w:hAnsi="Times New Roman" w:eastAsia="宋体" w:cs="Times New Roman"/>
                <w:color w:val="auto"/>
                <w:u w:val="single"/>
                <w:lang w:val="en-US" w:eastAsia="zh-CN"/>
              </w:rPr>
              <w:t>。项目施工造成的植被等生物损失不大，可通过后期绿化得到一定程度补偿。施工期产生的废气、废水、固废和噪声经过治理并采取绿化措施后，对该地区生态环境影响轻微。</w:t>
            </w:r>
          </w:p>
          <w:p w14:paraId="07881B6E">
            <w:pPr>
              <w:pStyle w:val="11"/>
              <w:rPr>
                <w:rFonts w:hint="default"/>
                <w:lang w:val="en-US" w:eastAsia="zh-CN"/>
              </w:rPr>
            </w:pPr>
            <w:r>
              <w:rPr>
                <w:rFonts w:hint="eastAsia" w:eastAsia="宋体" w:cs="Times New Roman"/>
                <w:color w:val="auto"/>
                <w:spacing w:val="9"/>
                <w:sz w:val="24"/>
                <w:szCs w:val="24"/>
                <w:u w:val="single"/>
                <w:lang w:val="en-US" w:eastAsia="zh-CN"/>
              </w:rPr>
              <w:t>污水处理站共设有8个池体，规格均为3*4*15 m（180 m</w:t>
            </w:r>
            <w:r>
              <w:rPr>
                <w:rFonts w:hint="eastAsia" w:eastAsia="宋体" w:cs="Times New Roman"/>
                <w:color w:val="auto"/>
                <w:spacing w:val="9"/>
                <w:sz w:val="24"/>
                <w:szCs w:val="24"/>
                <w:u w:val="single"/>
                <w:vertAlign w:val="superscript"/>
                <w:lang w:val="en-US" w:eastAsia="zh-CN"/>
              </w:rPr>
              <w:t>3</w:t>
            </w:r>
            <w:r>
              <w:rPr>
                <w:rFonts w:hint="eastAsia" w:eastAsia="宋体" w:cs="Times New Roman"/>
                <w:color w:val="auto"/>
                <w:spacing w:val="9"/>
                <w:sz w:val="24"/>
                <w:szCs w:val="24"/>
                <w:u w:val="single"/>
                <w:lang w:val="en-US" w:eastAsia="zh-CN"/>
              </w:rPr>
              <w:t>），项目施工期共计挖方180*8=1440 m</w:t>
            </w:r>
            <w:r>
              <w:rPr>
                <w:rFonts w:hint="eastAsia" w:eastAsia="宋体" w:cs="Times New Roman"/>
                <w:color w:val="auto"/>
                <w:spacing w:val="9"/>
                <w:sz w:val="24"/>
                <w:szCs w:val="24"/>
                <w:u w:val="single"/>
                <w:vertAlign w:val="superscript"/>
                <w:lang w:val="en-US" w:eastAsia="zh-CN"/>
              </w:rPr>
              <w:t>3</w:t>
            </w:r>
            <w:r>
              <w:rPr>
                <w:rFonts w:hint="eastAsia" w:eastAsia="宋体" w:cs="Times New Roman"/>
                <w:color w:val="auto"/>
                <w:spacing w:val="9"/>
                <w:sz w:val="24"/>
                <w:szCs w:val="24"/>
                <w:u w:val="single"/>
                <w:lang w:val="en-US" w:eastAsia="zh-CN"/>
              </w:rPr>
              <w:t>，该部分土石方全部用于生产车间地基及临河低洼处的填高。</w:t>
            </w:r>
          </w:p>
        </w:tc>
      </w:tr>
      <w:tr w14:paraId="2021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5" w:hRule="atLeast"/>
        </w:trPr>
        <w:tc>
          <w:tcPr>
            <w:tcW w:w="419" w:type="dxa"/>
            <w:vAlign w:val="center"/>
          </w:tcPr>
          <w:p w14:paraId="14D7D3B7">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运营期环境影响和保护措施</w:t>
            </w:r>
          </w:p>
        </w:tc>
        <w:tc>
          <w:tcPr>
            <w:tcW w:w="8869" w:type="dxa"/>
            <w:vAlign w:val="center"/>
          </w:tcPr>
          <w:p w14:paraId="2D340AFE">
            <w:pPr>
              <w:numPr>
                <w:ilvl w:val="0"/>
                <w:numId w:val="0"/>
              </w:numPr>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6</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运营期废气</w:t>
            </w:r>
          </w:p>
          <w:p w14:paraId="7EE758E4">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6</w:t>
            </w:r>
            <w:r>
              <w:rPr>
                <w:rFonts w:hint="default" w:ascii="Times New Roman" w:hAnsi="Times New Roman" w:cs="Times New Roman"/>
                <w:b/>
                <w:bCs/>
                <w:color w:val="auto"/>
                <w:u w:val="none" w:color="auto"/>
                <w:lang w:val="en-US" w:eastAsia="zh-CN"/>
              </w:rPr>
              <w:t xml:space="preserve">.1 </w:t>
            </w:r>
            <w:r>
              <w:rPr>
                <w:rFonts w:hint="default" w:ascii="Times New Roman" w:hAnsi="Times New Roman" w:eastAsia="黑体" w:cs="Times New Roman"/>
                <w:b/>
                <w:bCs/>
                <w:color w:val="auto"/>
                <w:u w:val="none" w:color="auto"/>
                <w:lang w:val="en-US" w:eastAsia="zh-CN"/>
              </w:rPr>
              <w:t>本项目运营期废气</w:t>
            </w:r>
          </w:p>
          <w:p w14:paraId="66D8E959">
            <w:pPr>
              <w:bidi w:val="0"/>
              <w:rPr>
                <w:rFonts w:hint="default" w:ascii="Times New Roman" w:hAnsi="Times New Roman" w:eastAsia="宋体" w:cs="Times New Roman"/>
                <w:color w:val="auto"/>
                <w:kern w:val="0"/>
                <w:u w:val="none" w:color="auto"/>
                <w:lang w:val="en-US" w:eastAsia="zh-CN" w:bidi="ar"/>
              </w:rPr>
            </w:pPr>
            <w:r>
              <w:rPr>
                <w:rFonts w:hint="default" w:ascii="Times New Roman" w:hAnsi="Times New Roman" w:eastAsia="宋体" w:cs="Times New Roman"/>
                <w:color w:val="auto"/>
                <w:kern w:val="0"/>
                <w:u w:val="none" w:color="auto"/>
                <w:lang w:val="en-US" w:eastAsia="zh-CN" w:bidi="ar"/>
              </w:rPr>
              <w:t>本项目运营期废气主要</w:t>
            </w:r>
            <w:r>
              <w:rPr>
                <w:rFonts w:hint="default" w:ascii="Times New Roman" w:hAnsi="Times New Roman" w:cs="Times New Roman"/>
                <w:color w:val="auto"/>
                <w:kern w:val="0"/>
                <w:u w:val="none" w:color="auto"/>
                <w:lang w:val="en-US" w:eastAsia="zh-CN" w:bidi="ar"/>
              </w:rPr>
              <w:t>为</w:t>
            </w:r>
            <w:r>
              <w:rPr>
                <w:rFonts w:hint="eastAsia" w:cs="Times New Roman"/>
                <w:color w:val="auto"/>
                <w:u w:val="none" w:color="auto"/>
                <w:lang w:val="en-US" w:eastAsia="zh-CN"/>
              </w:rPr>
              <w:t>待宰间恶臭、污水处理站恶臭、危废暂存间废气以及</w:t>
            </w:r>
            <w:r>
              <w:rPr>
                <w:rFonts w:hint="eastAsia" w:cs="Times New Roman"/>
                <w:color w:val="auto"/>
                <w:sz w:val="24"/>
                <w:szCs w:val="24"/>
                <w:u w:val="none" w:color="auto"/>
                <w:lang w:val="en-US" w:eastAsia="zh-CN"/>
              </w:rPr>
              <w:t>屠宰间、急宰间恶臭</w:t>
            </w:r>
            <w:r>
              <w:rPr>
                <w:rFonts w:hint="default" w:ascii="Times New Roman" w:hAnsi="Times New Roman" w:eastAsia="宋体" w:cs="Times New Roman"/>
                <w:color w:val="auto"/>
                <w:kern w:val="0"/>
                <w:u w:val="none" w:color="auto"/>
                <w:lang w:val="en-US" w:eastAsia="zh-CN" w:bidi="ar"/>
              </w:rPr>
              <w:t>。</w:t>
            </w:r>
          </w:p>
          <w:p w14:paraId="710F7A5D">
            <w:pPr>
              <w:bidi w:val="0"/>
              <w:rPr>
                <w:rFonts w:hint="default" w:ascii="Times New Roman" w:hAnsi="Times New Roman" w:eastAsia="宋体" w:cs="Times New Roman"/>
                <w:color w:val="auto"/>
                <w:kern w:val="0"/>
                <w:u w:val="none" w:color="auto"/>
                <w:lang w:val="en-US" w:eastAsia="zh-CN" w:bidi="ar"/>
              </w:rPr>
            </w:pPr>
            <w:r>
              <w:rPr>
                <w:rFonts w:hint="eastAsia" w:cs="Times New Roman"/>
                <w:color w:val="auto"/>
                <w:kern w:val="0"/>
                <w:u w:val="none" w:color="auto"/>
                <w:lang w:val="en-US" w:eastAsia="zh-CN" w:bidi="ar"/>
              </w:rPr>
              <w:t>（1）</w:t>
            </w:r>
            <w:r>
              <w:rPr>
                <w:rFonts w:hint="eastAsia" w:cs="Times New Roman"/>
                <w:color w:val="auto"/>
                <w:u w:val="none" w:color="auto"/>
                <w:lang w:val="en-US" w:eastAsia="zh-CN"/>
              </w:rPr>
              <w:t>待宰间恶臭</w:t>
            </w:r>
          </w:p>
          <w:p w14:paraId="1E56A722">
            <w:pPr>
              <w:spacing w:line="360" w:lineRule="auto"/>
              <w:ind w:firstLine="480" w:firstLineChars="200"/>
              <w:rPr>
                <w:rFonts w:hint="default" w:ascii="Times New Roman" w:hAnsi="Times New Roman" w:eastAsia="宋体" w:cs="Times New Roman"/>
                <w:color w:val="auto"/>
                <w:kern w:val="2"/>
                <w:sz w:val="24"/>
                <w:szCs w:val="24"/>
                <w:u w:val="none"/>
                <w:lang w:val="en-US" w:eastAsia="zh-CN" w:bidi="ar-SA"/>
              </w:rPr>
            </w:pPr>
            <w:bookmarkStart w:id="176" w:name="OLE_LINK42"/>
            <w:bookmarkStart w:id="177" w:name="OLE_LINK43"/>
            <w:r>
              <w:rPr>
                <w:color w:val="auto"/>
                <w:szCs w:val="24"/>
              </w:rPr>
              <w:t>大量的研究表明，粪尿中恶臭成分高达230多种恶臭成分，恶臭物质主要为NH</w:t>
            </w:r>
            <w:r>
              <w:rPr>
                <w:color w:val="auto"/>
                <w:szCs w:val="24"/>
                <w:vertAlign w:val="subscript"/>
              </w:rPr>
              <w:t>3</w:t>
            </w:r>
            <w:r>
              <w:rPr>
                <w:color w:val="auto"/>
                <w:szCs w:val="24"/>
              </w:rPr>
              <w:t>和H</w:t>
            </w:r>
            <w:r>
              <w:rPr>
                <w:color w:val="auto"/>
                <w:szCs w:val="24"/>
                <w:vertAlign w:val="subscript"/>
              </w:rPr>
              <w:t>2</w:t>
            </w:r>
            <w:r>
              <w:rPr>
                <w:color w:val="auto"/>
                <w:szCs w:val="24"/>
              </w:rPr>
              <w:t>S。</w:t>
            </w:r>
            <w:r>
              <w:rPr>
                <w:rFonts w:hint="default" w:ascii="Times New Roman" w:hAnsi="Times New Roman" w:eastAsia="宋体" w:cs="Times New Roman"/>
                <w:color w:val="auto"/>
                <w:kern w:val="2"/>
                <w:sz w:val="24"/>
                <w:szCs w:val="24"/>
                <w:u w:val="none"/>
                <w:lang w:val="en-US" w:eastAsia="zh-CN" w:bidi="ar-SA"/>
              </w:rPr>
              <w:t>项目待宰间的恶臭主要来自牲畜粪便和尿，粪便中含有的大量有机物质在排出体外后迅速发酵，便会产生NH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S等恶臭气体。项目生猪</w:t>
            </w:r>
            <w:r>
              <w:rPr>
                <w:rFonts w:hint="eastAsia" w:ascii="Times New Roman" w:hAnsi="Times New Roman" w:eastAsia="宋体" w:cs="Times New Roman"/>
                <w:color w:val="auto"/>
                <w:kern w:val="2"/>
                <w:sz w:val="24"/>
                <w:szCs w:val="24"/>
                <w:u w:val="none"/>
                <w:lang w:val="en-US" w:eastAsia="zh-CN" w:bidi="ar-SA"/>
              </w:rPr>
              <w:t>、肉牛、肉鸡、肉鸭、肉鹅</w:t>
            </w:r>
            <w:r>
              <w:rPr>
                <w:rFonts w:hint="default" w:ascii="Times New Roman" w:hAnsi="Times New Roman" w:eastAsia="宋体" w:cs="Times New Roman"/>
                <w:color w:val="auto"/>
                <w:kern w:val="2"/>
                <w:sz w:val="24"/>
                <w:szCs w:val="24"/>
                <w:u w:val="none"/>
                <w:lang w:val="en-US" w:eastAsia="zh-CN" w:bidi="ar-SA"/>
              </w:rPr>
              <w:t>在待宰间停留时间较短，屠宰前停食静养，不进行食物投喂，能有效减少牲畜粪便和尿的产生，进而降低待宰间臭气的产生。</w:t>
            </w:r>
          </w:p>
          <w:p w14:paraId="5CF33BE1">
            <w:pPr>
              <w:spacing w:line="360" w:lineRule="auto"/>
              <w:ind w:firstLine="480" w:firstLineChars="200"/>
              <w:rPr>
                <w:rFonts w:ascii="Times New Roman"/>
                <w:color w:val="auto"/>
                <w:sz w:val="24"/>
                <w:szCs w:val="24"/>
              </w:rPr>
            </w:pPr>
            <w:r>
              <w:rPr>
                <w:rFonts w:hint="default" w:ascii="Times New Roman" w:hAnsi="Times New Roman" w:eastAsia="宋体" w:cs="Times New Roman"/>
                <w:color w:val="auto"/>
                <w:kern w:val="2"/>
                <w:sz w:val="24"/>
                <w:szCs w:val="24"/>
                <w:u w:val="none"/>
                <w:lang w:val="en-US" w:eastAsia="zh-CN" w:bidi="ar-SA"/>
              </w:rPr>
              <w:t>参照《养猪场恶臭影响量化分析及控制对策研究》（天津市环境影响评价中心，孙艳青、张潞、李万庆）：生猪NH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的产生量为5.</w:t>
            </w:r>
            <w:r>
              <w:rPr>
                <w:rFonts w:hint="eastAsia" w:ascii="Times New Roman" w:hAnsi="Times New Roman" w:eastAsia="宋体" w:cs="Times New Roman"/>
                <w:color w:val="auto"/>
                <w:kern w:val="2"/>
                <w:sz w:val="24"/>
                <w:szCs w:val="24"/>
                <w:u w:val="none"/>
                <w:lang w:val="en-US" w:eastAsia="zh-CN" w:bidi="ar-SA"/>
              </w:rPr>
              <w:t>7</w:t>
            </w:r>
            <w:r>
              <w:rPr>
                <w:rFonts w:hint="default" w:ascii="Times New Roman" w:hAnsi="Times New Roman" w:eastAsia="宋体" w:cs="Times New Roman"/>
                <w:color w:val="auto"/>
                <w:kern w:val="2"/>
                <w:sz w:val="24"/>
                <w:szCs w:val="24"/>
                <w:u w:val="none"/>
                <w:lang w:val="en-US" w:eastAsia="zh-CN" w:bidi="ar-SA"/>
              </w:rPr>
              <w:t>g/（头·d），H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S的产生量为0.5g/（头·d）。</w:t>
            </w:r>
            <w:r>
              <w:rPr>
                <w:rFonts w:hint="eastAsia" w:ascii="Times New Roman"/>
                <w:color w:val="auto"/>
                <w:sz w:val="24"/>
                <w:szCs w:val="24"/>
                <w:lang w:val="en-US" w:eastAsia="zh-CN"/>
              </w:rPr>
              <w:t>参考</w:t>
            </w:r>
            <w:r>
              <w:rPr>
                <w:rFonts w:ascii="Times New Roman"/>
                <w:color w:val="auto"/>
                <w:sz w:val="24"/>
                <w:szCs w:val="24"/>
              </w:rPr>
              <w:t>《畜禽养殖业污染物排放标准》（GB</w:t>
            </w:r>
            <w:r>
              <w:rPr>
                <w:rFonts w:hint="eastAsia" w:ascii="Times New Roman"/>
                <w:color w:val="auto"/>
                <w:sz w:val="24"/>
                <w:szCs w:val="24"/>
                <w:lang w:val="en-US" w:eastAsia="zh-CN"/>
              </w:rPr>
              <w:t xml:space="preserve"> </w:t>
            </w:r>
            <w:r>
              <w:rPr>
                <w:rFonts w:ascii="Times New Roman"/>
                <w:color w:val="auto"/>
                <w:sz w:val="24"/>
                <w:szCs w:val="24"/>
              </w:rPr>
              <w:t>18596-2001）的相关规定，可将</w:t>
            </w:r>
            <w:r>
              <w:rPr>
                <w:rFonts w:hint="eastAsia" w:ascii="Times New Roman"/>
                <w:color w:val="auto"/>
                <w:sz w:val="24"/>
                <w:szCs w:val="24"/>
                <w:lang w:val="en-US" w:eastAsia="zh-CN"/>
              </w:rPr>
              <w:t>鸡、</w:t>
            </w:r>
            <w:r>
              <w:rPr>
                <w:rFonts w:ascii="Times New Roman"/>
                <w:color w:val="auto"/>
                <w:sz w:val="24"/>
                <w:szCs w:val="24"/>
              </w:rPr>
              <w:t>牛的养殖量换算成猪的养殖量，换算比例为：1头肉牛折算成5头</w:t>
            </w:r>
            <w:r>
              <w:rPr>
                <w:rFonts w:hint="eastAsia" w:ascii="Times New Roman"/>
                <w:color w:val="auto"/>
                <w:sz w:val="24"/>
                <w:szCs w:val="24"/>
                <w:lang w:val="en-US" w:eastAsia="zh-CN"/>
              </w:rPr>
              <w:t>生</w:t>
            </w:r>
            <w:r>
              <w:rPr>
                <w:rFonts w:ascii="Times New Roman"/>
                <w:color w:val="auto"/>
                <w:sz w:val="24"/>
                <w:szCs w:val="24"/>
              </w:rPr>
              <w:t>猪</w:t>
            </w:r>
            <w:r>
              <w:rPr>
                <w:rFonts w:hint="eastAsia" w:ascii="Times New Roman"/>
                <w:color w:val="auto"/>
                <w:sz w:val="24"/>
                <w:szCs w:val="24"/>
                <w:lang w:eastAsia="zh-CN"/>
              </w:rPr>
              <w:t>，</w:t>
            </w:r>
            <w:r>
              <w:rPr>
                <w:rFonts w:hint="eastAsia" w:ascii="Times New Roman"/>
                <w:color w:val="auto"/>
                <w:sz w:val="24"/>
                <w:szCs w:val="24"/>
                <w:lang w:val="en-US" w:eastAsia="zh-CN"/>
              </w:rPr>
              <w:t>60只肉鸡</w:t>
            </w:r>
            <w:r>
              <w:rPr>
                <w:rFonts w:ascii="Times New Roman"/>
                <w:color w:val="auto"/>
                <w:sz w:val="24"/>
                <w:szCs w:val="24"/>
              </w:rPr>
              <w:t>折算成</w:t>
            </w:r>
            <w:r>
              <w:rPr>
                <w:rFonts w:hint="eastAsia" w:ascii="Times New Roman"/>
                <w:color w:val="auto"/>
                <w:sz w:val="24"/>
                <w:szCs w:val="24"/>
                <w:lang w:val="en-US" w:eastAsia="zh-CN"/>
              </w:rPr>
              <w:t>1</w:t>
            </w:r>
            <w:r>
              <w:rPr>
                <w:rFonts w:ascii="Times New Roman"/>
                <w:color w:val="auto"/>
                <w:sz w:val="24"/>
                <w:szCs w:val="24"/>
              </w:rPr>
              <w:t>头</w:t>
            </w:r>
            <w:r>
              <w:rPr>
                <w:rFonts w:hint="eastAsia" w:ascii="Times New Roman"/>
                <w:color w:val="auto"/>
                <w:sz w:val="24"/>
                <w:szCs w:val="24"/>
                <w:lang w:val="en-US" w:eastAsia="zh-CN"/>
              </w:rPr>
              <w:t>生</w:t>
            </w:r>
            <w:r>
              <w:rPr>
                <w:rFonts w:ascii="Times New Roman"/>
                <w:color w:val="auto"/>
                <w:sz w:val="24"/>
                <w:szCs w:val="24"/>
              </w:rPr>
              <w:t>猪</w:t>
            </w:r>
            <w:r>
              <w:rPr>
                <w:rFonts w:hint="eastAsia" w:ascii="Times New Roman"/>
                <w:color w:val="auto"/>
                <w:sz w:val="24"/>
                <w:szCs w:val="24"/>
                <w:lang w:eastAsia="zh-CN"/>
              </w:rPr>
              <w:t>；</w:t>
            </w:r>
            <w:r>
              <w:rPr>
                <w:rFonts w:hint="eastAsia" w:ascii="Times New Roman"/>
                <w:color w:val="auto"/>
                <w:sz w:val="24"/>
                <w:szCs w:val="24"/>
                <w:lang w:val="en-US" w:eastAsia="zh-CN"/>
              </w:rPr>
              <w:t>参照《排污许可证申请与核发技术规范 畜禽养殖行业》（HJ 1029-2019）</w:t>
            </w:r>
            <w:r>
              <w:rPr>
                <w:rFonts w:ascii="Times New Roman"/>
                <w:color w:val="auto"/>
                <w:sz w:val="24"/>
                <w:szCs w:val="24"/>
              </w:rPr>
              <w:t>的相关规定，可将</w:t>
            </w:r>
            <w:r>
              <w:rPr>
                <w:rFonts w:hint="eastAsia" w:ascii="Times New Roman"/>
                <w:color w:val="auto"/>
                <w:sz w:val="24"/>
                <w:szCs w:val="24"/>
                <w:lang w:val="en-US" w:eastAsia="zh-CN"/>
              </w:rPr>
              <w:t>鸭、鹅</w:t>
            </w:r>
            <w:r>
              <w:rPr>
                <w:rFonts w:ascii="Times New Roman"/>
                <w:color w:val="auto"/>
                <w:sz w:val="24"/>
                <w:szCs w:val="24"/>
              </w:rPr>
              <w:t>的养殖量换算成</w:t>
            </w:r>
            <w:r>
              <w:rPr>
                <w:rFonts w:hint="eastAsia" w:ascii="Times New Roman"/>
                <w:color w:val="auto"/>
                <w:sz w:val="24"/>
                <w:szCs w:val="24"/>
                <w:lang w:val="en-US" w:eastAsia="zh-CN"/>
              </w:rPr>
              <w:t>鸡</w:t>
            </w:r>
            <w:r>
              <w:rPr>
                <w:rFonts w:ascii="Times New Roman"/>
                <w:color w:val="auto"/>
                <w:sz w:val="24"/>
                <w:szCs w:val="24"/>
              </w:rPr>
              <w:t>的养殖量</w:t>
            </w:r>
            <w:r>
              <w:rPr>
                <w:rFonts w:hint="eastAsia" w:ascii="Times New Roman"/>
                <w:color w:val="auto"/>
                <w:sz w:val="24"/>
                <w:szCs w:val="24"/>
              </w:rPr>
              <w:t>，换算比例为</w:t>
            </w:r>
            <w:r>
              <w:rPr>
                <w:rFonts w:hint="eastAsia" w:ascii="Times New Roman"/>
                <w:color w:val="auto"/>
                <w:sz w:val="24"/>
                <w:szCs w:val="24"/>
                <w:lang w:eastAsia="zh-CN"/>
              </w:rPr>
              <w:t>：</w:t>
            </w:r>
            <w:r>
              <w:rPr>
                <w:rFonts w:hint="eastAsia" w:ascii="Times New Roman"/>
                <w:color w:val="auto"/>
                <w:sz w:val="24"/>
                <w:szCs w:val="24"/>
              </w:rPr>
              <w:t>1只</w:t>
            </w:r>
            <w:r>
              <w:rPr>
                <w:rFonts w:hint="eastAsia" w:ascii="Times New Roman"/>
                <w:color w:val="auto"/>
                <w:sz w:val="24"/>
                <w:szCs w:val="24"/>
                <w:lang w:val="en-US" w:eastAsia="zh-CN"/>
              </w:rPr>
              <w:t>肉</w:t>
            </w:r>
            <w:r>
              <w:rPr>
                <w:rFonts w:hint="eastAsia" w:ascii="Times New Roman"/>
                <w:color w:val="auto"/>
                <w:sz w:val="24"/>
                <w:szCs w:val="24"/>
              </w:rPr>
              <w:t>鸭折算成1只</w:t>
            </w:r>
            <w:r>
              <w:rPr>
                <w:rFonts w:hint="eastAsia" w:ascii="Times New Roman"/>
                <w:color w:val="auto"/>
                <w:sz w:val="24"/>
                <w:szCs w:val="24"/>
                <w:lang w:val="en-US" w:eastAsia="zh-CN"/>
              </w:rPr>
              <w:t>肉</w:t>
            </w:r>
            <w:r>
              <w:rPr>
                <w:rFonts w:hint="eastAsia" w:ascii="Times New Roman"/>
                <w:color w:val="auto"/>
                <w:sz w:val="24"/>
                <w:szCs w:val="24"/>
              </w:rPr>
              <w:t>鸡</w:t>
            </w:r>
            <w:r>
              <w:rPr>
                <w:rFonts w:hint="eastAsia" w:ascii="Times New Roman"/>
                <w:color w:val="auto"/>
                <w:sz w:val="24"/>
                <w:szCs w:val="24"/>
                <w:lang w:eastAsia="zh-CN"/>
              </w:rPr>
              <w:t>，</w:t>
            </w:r>
            <w:r>
              <w:rPr>
                <w:rFonts w:hint="eastAsia" w:ascii="Times New Roman"/>
                <w:color w:val="auto"/>
                <w:sz w:val="24"/>
                <w:szCs w:val="24"/>
              </w:rPr>
              <w:t>1只</w:t>
            </w:r>
            <w:r>
              <w:rPr>
                <w:rFonts w:hint="eastAsia" w:ascii="Times New Roman"/>
                <w:color w:val="auto"/>
                <w:sz w:val="24"/>
                <w:szCs w:val="24"/>
                <w:lang w:val="en-US" w:eastAsia="zh-CN"/>
              </w:rPr>
              <w:t>肉</w:t>
            </w:r>
            <w:r>
              <w:rPr>
                <w:rFonts w:hint="eastAsia" w:ascii="Times New Roman"/>
                <w:color w:val="auto"/>
                <w:sz w:val="24"/>
                <w:szCs w:val="24"/>
              </w:rPr>
              <w:t>鹅折算成2只</w:t>
            </w:r>
            <w:r>
              <w:rPr>
                <w:rFonts w:hint="eastAsia" w:ascii="Times New Roman"/>
                <w:color w:val="auto"/>
                <w:sz w:val="24"/>
                <w:szCs w:val="24"/>
                <w:lang w:val="en-US" w:eastAsia="zh-CN"/>
              </w:rPr>
              <w:t>肉</w:t>
            </w:r>
            <w:r>
              <w:rPr>
                <w:rFonts w:hint="eastAsia" w:ascii="Times New Roman"/>
                <w:color w:val="auto"/>
                <w:sz w:val="24"/>
                <w:szCs w:val="24"/>
              </w:rPr>
              <w:t>鸡</w:t>
            </w:r>
            <w:r>
              <w:rPr>
                <w:rFonts w:ascii="Times New Roman"/>
                <w:color w:val="auto"/>
                <w:sz w:val="24"/>
                <w:szCs w:val="24"/>
              </w:rPr>
              <w:t>。</w:t>
            </w:r>
          </w:p>
          <w:p w14:paraId="36661126">
            <w:pPr>
              <w:spacing w:line="360" w:lineRule="auto"/>
              <w:ind w:firstLine="480" w:firstLineChars="200"/>
              <w:jc w:val="left"/>
              <w:rPr>
                <w:rFonts w:hint="default" w:ascii="Times New Roman" w:hAnsi="Times New Roman" w:eastAsia="宋体" w:cs="Times New Roman"/>
                <w:color w:val="auto"/>
                <w:kern w:val="2"/>
                <w:sz w:val="24"/>
                <w:szCs w:val="24"/>
                <w:u w:val="none"/>
                <w:lang w:val="en-US" w:eastAsia="zh-CN" w:bidi="ar-SA"/>
              </w:rPr>
            </w:pPr>
            <w:r>
              <w:rPr>
                <w:rFonts w:hint="eastAsia" w:cs="Times New Roman"/>
                <w:b w:val="0"/>
                <w:bCs/>
                <w:snapToGrid w:val="0"/>
                <w:color w:val="auto"/>
                <w:sz w:val="24"/>
                <w:u w:val="none"/>
                <w:lang w:val="en-US" w:eastAsia="zh-CN"/>
              </w:rPr>
              <w:t>本项目技术改造完成后将实现</w:t>
            </w:r>
            <w:r>
              <w:rPr>
                <w:rFonts w:hint="default" w:ascii="Times New Roman" w:hAnsi="Times New Roman" w:eastAsia="宋体" w:cs="Times New Roman"/>
                <w:b w:val="0"/>
                <w:bCs/>
                <w:snapToGrid w:val="0"/>
                <w:color w:val="auto"/>
                <w:sz w:val="24"/>
                <w:u w:val="none"/>
              </w:rPr>
              <w:t>年屠宰生猪</w:t>
            </w:r>
            <w:r>
              <w:rPr>
                <w:rFonts w:hint="eastAsia" w:cs="Times New Roman"/>
                <w:b w:val="0"/>
                <w:bCs/>
                <w:snapToGrid w:val="0"/>
                <w:color w:val="auto"/>
                <w:sz w:val="24"/>
                <w:u w:val="none"/>
                <w:lang w:val="en-US" w:eastAsia="zh-CN"/>
              </w:rPr>
              <w:t>89733</w:t>
            </w:r>
            <w:r>
              <w:rPr>
                <w:rFonts w:hint="default" w:ascii="Times New Roman" w:hAnsi="Times New Roman" w:eastAsia="宋体" w:cs="Times New Roman"/>
                <w:b w:val="0"/>
                <w:bCs/>
                <w:snapToGrid w:val="0"/>
                <w:color w:val="auto"/>
                <w:sz w:val="24"/>
                <w:u w:val="none"/>
              </w:rPr>
              <w:t>头</w:t>
            </w:r>
            <w:r>
              <w:rPr>
                <w:rFonts w:hint="eastAsia" w:ascii="Times New Roman" w:hAnsi="Times New Roman" w:eastAsia="宋体" w:cs="Times New Roman"/>
                <w:b w:val="0"/>
                <w:bCs/>
                <w:snapToGrid w:val="0"/>
                <w:color w:val="auto"/>
                <w:sz w:val="24"/>
                <w:u w:val="none"/>
                <w:lang w:eastAsia="zh-CN"/>
              </w:rPr>
              <w:t>、肉牛</w:t>
            </w:r>
            <w:r>
              <w:rPr>
                <w:rFonts w:hint="eastAsia" w:cs="Times New Roman"/>
                <w:b w:val="0"/>
                <w:bCs/>
                <w:snapToGrid w:val="0"/>
                <w:color w:val="auto"/>
                <w:sz w:val="24"/>
                <w:u w:val="none"/>
                <w:lang w:val="en-US" w:eastAsia="zh-CN"/>
              </w:rPr>
              <w:t>1000</w:t>
            </w:r>
            <w:r>
              <w:rPr>
                <w:rFonts w:hint="eastAsia" w:ascii="Times New Roman" w:hAnsi="Times New Roman" w:eastAsia="宋体" w:cs="Times New Roman"/>
                <w:b w:val="0"/>
                <w:bCs/>
                <w:snapToGrid w:val="0"/>
                <w:color w:val="auto"/>
                <w:sz w:val="24"/>
                <w:u w:val="none"/>
                <w:lang w:val="en-US" w:eastAsia="zh-CN"/>
              </w:rPr>
              <w:t>头</w:t>
            </w:r>
            <w:r>
              <w:rPr>
                <w:rFonts w:hint="eastAsia" w:cs="Times New Roman"/>
                <w:b w:val="0"/>
                <w:bCs/>
                <w:snapToGrid w:val="0"/>
                <w:color w:val="auto"/>
                <w:sz w:val="24"/>
                <w:u w:val="none"/>
                <w:lang w:val="en-US" w:eastAsia="zh-CN"/>
              </w:rPr>
              <w:t>、年屠宰肉鸡1000只、年屠宰肉鸭1000只、年屠宰肉鹅1000只</w:t>
            </w:r>
            <w:r>
              <w:rPr>
                <w:rFonts w:hint="default" w:ascii="Times New Roman" w:hAnsi="Times New Roman" w:eastAsia="宋体" w:cs="Times New Roman"/>
                <w:b w:val="0"/>
                <w:bCs/>
                <w:snapToGrid w:val="0"/>
                <w:color w:val="auto"/>
                <w:sz w:val="24"/>
                <w:u w:val="none"/>
              </w:rPr>
              <w:t>。</w:t>
            </w:r>
            <w:r>
              <w:rPr>
                <w:rFonts w:ascii="Times New Roman"/>
                <w:bCs/>
                <w:color w:val="auto"/>
                <w:sz w:val="24"/>
                <w:szCs w:val="24"/>
              </w:rPr>
              <w:t>则折算成猪的年屠宰量为</w:t>
            </w:r>
            <w:r>
              <w:rPr>
                <w:rFonts w:hint="eastAsia"/>
                <w:bCs/>
                <w:color w:val="auto"/>
                <w:sz w:val="24"/>
                <w:szCs w:val="24"/>
                <w:lang w:val="en-US" w:eastAsia="zh-CN"/>
              </w:rPr>
              <w:t>94800</w:t>
            </w:r>
            <w:r>
              <w:rPr>
                <w:rFonts w:ascii="Times New Roman"/>
                <w:bCs/>
                <w:color w:val="auto"/>
                <w:sz w:val="24"/>
                <w:szCs w:val="24"/>
              </w:rPr>
              <w:t>头，</w:t>
            </w:r>
            <w:r>
              <w:rPr>
                <w:rFonts w:hint="default" w:ascii="Times New Roman" w:hAnsi="Times New Roman" w:eastAsia="宋体" w:cs="Times New Roman"/>
                <w:color w:val="auto"/>
                <w:kern w:val="2"/>
                <w:sz w:val="24"/>
                <w:szCs w:val="24"/>
                <w:u w:val="none"/>
                <w:lang w:val="en-US" w:eastAsia="zh-CN" w:bidi="ar-SA"/>
              </w:rPr>
              <w:t>本项目待宰间设计最大可存生猪量为</w:t>
            </w:r>
            <w:r>
              <w:rPr>
                <w:rFonts w:hint="eastAsia" w:cs="Times New Roman"/>
                <w:color w:val="auto"/>
                <w:kern w:val="2"/>
                <w:sz w:val="24"/>
                <w:szCs w:val="24"/>
                <w:u w:val="none"/>
                <w:lang w:val="en-US" w:eastAsia="zh-CN" w:bidi="ar-SA"/>
              </w:rPr>
              <w:t>356</w:t>
            </w:r>
            <w:r>
              <w:rPr>
                <w:rFonts w:hint="default" w:ascii="Times New Roman" w:hAnsi="Times New Roman" w:eastAsia="宋体" w:cs="Times New Roman"/>
                <w:color w:val="auto"/>
                <w:kern w:val="2"/>
                <w:sz w:val="24"/>
                <w:szCs w:val="24"/>
                <w:u w:val="none"/>
                <w:lang w:val="en-US" w:eastAsia="zh-CN" w:bidi="ar-SA"/>
              </w:rPr>
              <w:t>头</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则待宰间NH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S的产生量如下：</w:t>
            </w:r>
          </w:p>
          <w:p w14:paraId="423ABFA8">
            <w:pPr>
              <w:pStyle w:val="29"/>
              <w:keepNext w:val="0"/>
              <w:keepLines w:val="0"/>
              <w:pageBreakBefore w:val="0"/>
              <w:widowControl w:val="0"/>
              <w:tabs>
                <w:tab w:val="left" w:pos="1021"/>
              </w:tabs>
              <w:kinsoku/>
              <w:wordWrap/>
              <w:overflowPunct/>
              <w:topLinePunct w:val="0"/>
              <w:autoSpaceDE w:val="0"/>
              <w:autoSpaceDN w:val="0"/>
              <w:bidi w:val="0"/>
              <w:adjustRightInd w:val="0"/>
              <w:snapToGrid/>
              <w:spacing w:line="240" w:lineRule="auto"/>
              <w:ind w:firstLine="528" w:firstLineChars="200"/>
              <w:jc w:val="center"/>
              <w:textAlignment w:val="auto"/>
              <w:rPr>
                <w:rFonts w:hint="default" w:ascii="Times New Roman" w:hAnsi="Times New Roman" w:eastAsia="宋体" w:cs="Times New Roman"/>
                <w:color w:val="auto"/>
                <w:szCs w:val="24"/>
                <w:u w:val="none"/>
                <w:vertAlign w:val="baseline"/>
                <w:lang w:val="en-US" w:eastAsia="zh-CN"/>
              </w:rPr>
            </w:pPr>
            <w:r>
              <w:rPr>
                <w:rFonts w:hint="default" w:ascii="Times New Roman" w:hAnsi="Times New Roman" w:eastAsia="宋体" w:cs="Times New Roman"/>
                <w:b w:val="0"/>
                <w:bCs w:val="0"/>
                <w:color w:val="auto"/>
                <w:spacing w:val="12"/>
                <w:sz w:val="24"/>
                <w:szCs w:val="24"/>
              </w:rPr>
              <w:t>表4</w:t>
            </w:r>
            <w:r>
              <w:rPr>
                <w:rFonts w:hint="eastAsia" w:ascii="Times New Roman" w:hAnsi="Times New Roman" w:eastAsia="宋体" w:cs="Times New Roman"/>
                <w:b w:val="0"/>
                <w:bCs w:val="0"/>
                <w:color w:val="auto"/>
                <w:spacing w:val="12"/>
                <w:sz w:val="24"/>
                <w:szCs w:val="24"/>
                <w:lang w:val="en-US" w:eastAsia="zh-CN"/>
              </w:rPr>
              <w:t xml:space="preserve">.6-1 </w:t>
            </w:r>
            <w:r>
              <w:rPr>
                <w:rFonts w:hint="eastAsia" w:ascii="Times New Roman" w:hAnsi="Times New Roman" w:eastAsia="宋体" w:cs="Times New Roman"/>
                <w:b w:val="0"/>
                <w:bCs w:val="0"/>
                <w:color w:val="auto"/>
                <w:spacing w:val="12"/>
                <w:sz w:val="24"/>
                <w:szCs w:val="24"/>
                <w:lang w:eastAsia="zh-CN"/>
              </w:rPr>
              <w:t>待宰区</w:t>
            </w:r>
            <w:r>
              <w:rPr>
                <w:rFonts w:hint="default" w:ascii="Times New Roman" w:hAnsi="Times New Roman" w:eastAsia="宋体" w:cs="Times New Roman"/>
                <w:b w:val="0"/>
                <w:bCs w:val="0"/>
                <w:color w:val="auto"/>
                <w:spacing w:val="12"/>
                <w:sz w:val="24"/>
                <w:szCs w:val="24"/>
              </w:rPr>
              <w:t>恶臭</w:t>
            </w:r>
            <w:r>
              <w:rPr>
                <w:rFonts w:hint="eastAsia" w:ascii="Times New Roman" w:hAnsi="Times New Roman" w:eastAsia="宋体" w:cs="Times New Roman"/>
                <w:b w:val="0"/>
                <w:bCs w:val="0"/>
                <w:color w:val="auto"/>
                <w:spacing w:val="12"/>
                <w:sz w:val="24"/>
                <w:szCs w:val="24"/>
                <w:lang w:eastAsia="zh-CN"/>
              </w:rPr>
              <w:t>污染物产生情况</w:t>
            </w:r>
            <w:r>
              <w:rPr>
                <w:rFonts w:hint="default" w:ascii="Times New Roman" w:hAnsi="Times New Roman" w:eastAsia="宋体" w:cs="Times New Roman"/>
                <w:b w:val="0"/>
                <w:bCs w:val="0"/>
                <w:color w:val="auto"/>
                <w:spacing w:val="12"/>
                <w:sz w:val="24"/>
                <w:szCs w:val="24"/>
              </w:rPr>
              <w:t>表</w:t>
            </w:r>
          </w:p>
          <w:tbl>
            <w:tblPr>
              <w:tblStyle w:val="23"/>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6"/>
              <w:gridCol w:w="1436"/>
              <w:gridCol w:w="1436"/>
              <w:gridCol w:w="1436"/>
              <w:gridCol w:w="1438"/>
              <w:gridCol w:w="1449"/>
            </w:tblGrid>
            <w:tr w14:paraId="603E34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832" w:type="pct"/>
                  <w:vMerge w:val="restart"/>
                  <w:tcBorders>
                    <w:tl2br w:val="nil"/>
                    <w:tr2bl w:val="nil"/>
                  </w:tcBorders>
                  <w:noWrap w:val="0"/>
                  <w:vAlign w:val="center"/>
                </w:tcPr>
                <w:p w14:paraId="408A1F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污染源</w:t>
                  </w:r>
                </w:p>
              </w:tc>
              <w:tc>
                <w:tcPr>
                  <w:tcW w:w="832" w:type="pct"/>
                  <w:vMerge w:val="restart"/>
                  <w:tcBorders>
                    <w:tl2br w:val="nil"/>
                    <w:tr2bl w:val="nil"/>
                  </w:tcBorders>
                  <w:noWrap w:val="0"/>
                  <w:vAlign w:val="center"/>
                </w:tcPr>
                <w:p w14:paraId="12BDA9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eastAsia="zh-CN"/>
                    </w:rPr>
                    <w:t>污染物</w:t>
                  </w:r>
                </w:p>
              </w:tc>
              <w:tc>
                <w:tcPr>
                  <w:tcW w:w="832" w:type="pct"/>
                  <w:tcBorders>
                    <w:tl2br w:val="nil"/>
                    <w:tr2bl w:val="nil"/>
                  </w:tcBorders>
                  <w:noWrap w:val="0"/>
                  <w:vAlign w:val="center"/>
                </w:tcPr>
                <w:p w14:paraId="1FC30E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产生源强</w:t>
                  </w:r>
                </w:p>
              </w:tc>
              <w:tc>
                <w:tcPr>
                  <w:tcW w:w="2502" w:type="pct"/>
                  <w:gridSpan w:val="3"/>
                  <w:tcBorders>
                    <w:tl2br w:val="nil"/>
                    <w:tr2bl w:val="nil"/>
                  </w:tcBorders>
                  <w:noWrap w:val="0"/>
                  <w:vAlign w:val="center"/>
                </w:tcPr>
                <w:p w14:paraId="3D7CA7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污染物产生量</w:t>
                  </w:r>
                </w:p>
              </w:tc>
            </w:tr>
            <w:tr w14:paraId="75A65E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6" w:hRule="atLeast"/>
              </w:trPr>
              <w:tc>
                <w:tcPr>
                  <w:tcW w:w="832" w:type="pct"/>
                  <w:vMerge w:val="continue"/>
                  <w:tcBorders>
                    <w:tl2br w:val="nil"/>
                    <w:tr2bl w:val="nil"/>
                  </w:tcBorders>
                  <w:noWrap w:val="0"/>
                  <w:vAlign w:val="center"/>
                </w:tcPr>
                <w:p w14:paraId="79E847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b w:val="0"/>
                      <w:bCs w:val="0"/>
                      <w:color w:val="auto"/>
                      <w:u w:val="single"/>
                    </w:rPr>
                  </w:pPr>
                </w:p>
              </w:tc>
              <w:tc>
                <w:tcPr>
                  <w:tcW w:w="832" w:type="pct"/>
                  <w:vMerge w:val="continue"/>
                  <w:tcBorders>
                    <w:tl2br w:val="nil"/>
                    <w:tr2bl w:val="nil"/>
                  </w:tcBorders>
                  <w:noWrap w:val="0"/>
                  <w:vAlign w:val="center"/>
                </w:tcPr>
                <w:p w14:paraId="7C252C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rPr>
                  </w:pPr>
                </w:p>
              </w:tc>
              <w:tc>
                <w:tcPr>
                  <w:tcW w:w="832" w:type="pct"/>
                  <w:tcBorders>
                    <w:tl2br w:val="nil"/>
                    <w:tr2bl w:val="nil"/>
                  </w:tcBorders>
                  <w:noWrap w:val="0"/>
                  <w:vAlign w:val="center"/>
                </w:tcPr>
                <w:p w14:paraId="38B525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rPr>
                  </w:pPr>
                  <w:r>
                    <w:rPr>
                      <w:rFonts w:hint="default" w:ascii="Times New Roman" w:hAnsi="Times New Roman" w:eastAsia="宋体" w:cs="Times New Roman"/>
                      <w:b w:val="0"/>
                      <w:bCs w:val="0"/>
                      <w:color w:val="auto"/>
                      <w:spacing w:val="1"/>
                      <w:sz w:val="21"/>
                      <w:szCs w:val="21"/>
                      <w:u w:val="single"/>
                      <w:lang w:val="en-US" w:eastAsia="zh-CN"/>
                    </w:rPr>
                    <w:t>g/（头·d）</w:t>
                  </w:r>
                </w:p>
              </w:tc>
              <w:tc>
                <w:tcPr>
                  <w:tcW w:w="832" w:type="pct"/>
                  <w:tcBorders>
                    <w:tl2br w:val="nil"/>
                    <w:tr2bl w:val="nil"/>
                  </w:tcBorders>
                  <w:noWrap w:val="0"/>
                  <w:vAlign w:val="center"/>
                </w:tcPr>
                <w:p w14:paraId="7618EC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rPr>
                    <w:t>kg/</w:t>
                  </w:r>
                  <w:r>
                    <w:rPr>
                      <w:rFonts w:hint="default" w:ascii="Times New Roman" w:hAnsi="Times New Roman" w:eastAsia="宋体" w:cs="Times New Roman"/>
                      <w:b w:val="0"/>
                      <w:bCs w:val="0"/>
                      <w:color w:val="auto"/>
                      <w:spacing w:val="1"/>
                      <w:sz w:val="21"/>
                      <w:szCs w:val="21"/>
                      <w:u w:val="single"/>
                      <w:lang w:val="en-US" w:eastAsia="zh-CN"/>
                    </w:rPr>
                    <w:t>d</w:t>
                  </w:r>
                </w:p>
              </w:tc>
              <w:tc>
                <w:tcPr>
                  <w:tcW w:w="833" w:type="pct"/>
                  <w:tcBorders>
                    <w:tl2br w:val="nil"/>
                    <w:tr2bl w:val="nil"/>
                  </w:tcBorders>
                  <w:noWrap w:val="0"/>
                  <w:vAlign w:val="center"/>
                </w:tcPr>
                <w:p w14:paraId="5F0563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kern w:val="2"/>
                      <w:sz w:val="21"/>
                      <w:szCs w:val="21"/>
                      <w:u w:val="single"/>
                      <w:lang w:val="en-US" w:eastAsia="zh-CN" w:bidi="ar-SA"/>
                    </w:rPr>
                  </w:pPr>
                  <w:r>
                    <w:rPr>
                      <w:rFonts w:hint="default" w:ascii="Times New Roman" w:hAnsi="Times New Roman" w:eastAsia="宋体" w:cs="Times New Roman"/>
                      <w:b w:val="0"/>
                      <w:bCs w:val="0"/>
                      <w:color w:val="auto"/>
                      <w:spacing w:val="1"/>
                      <w:sz w:val="21"/>
                      <w:szCs w:val="21"/>
                      <w:u w:val="single"/>
                    </w:rPr>
                    <w:t>t/a</w:t>
                  </w:r>
                </w:p>
              </w:tc>
              <w:tc>
                <w:tcPr>
                  <w:tcW w:w="836" w:type="pct"/>
                  <w:tcBorders>
                    <w:tl2br w:val="nil"/>
                    <w:tr2bl w:val="nil"/>
                  </w:tcBorders>
                  <w:noWrap w:val="0"/>
                  <w:vAlign w:val="center"/>
                </w:tcPr>
                <w:p w14:paraId="41370B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kern w:val="2"/>
                      <w:sz w:val="21"/>
                      <w:szCs w:val="21"/>
                      <w:u w:val="single"/>
                      <w:lang w:val="en-US" w:eastAsia="zh-CN" w:bidi="ar-SA"/>
                    </w:rPr>
                  </w:pPr>
                  <w:r>
                    <w:rPr>
                      <w:rFonts w:hint="default" w:ascii="Times New Roman" w:hAnsi="Times New Roman" w:eastAsia="宋体" w:cs="Times New Roman"/>
                      <w:b w:val="0"/>
                      <w:bCs w:val="0"/>
                      <w:color w:val="auto"/>
                      <w:spacing w:val="1"/>
                      <w:sz w:val="21"/>
                      <w:szCs w:val="21"/>
                      <w:u w:val="single"/>
                    </w:rPr>
                    <w:t>kg/h</w:t>
                  </w:r>
                </w:p>
              </w:tc>
            </w:tr>
            <w:tr w14:paraId="0E0268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trPr>
              <w:tc>
                <w:tcPr>
                  <w:tcW w:w="832" w:type="pct"/>
                  <w:vMerge w:val="restart"/>
                  <w:tcBorders>
                    <w:tl2br w:val="nil"/>
                    <w:tr2bl w:val="nil"/>
                  </w:tcBorders>
                  <w:noWrap w:val="0"/>
                  <w:vAlign w:val="center"/>
                </w:tcPr>
                <w:p w14:paraId="32765F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待宰间</w:t>
                  </w:r>
                </w:p>
              </w:tc>
              <w:tc>
                <w:tcPr>
                  <w:tcW w:w="832" w:type="pct"/>
                  <w:tcBorders>
                    <w:tl2br w:val="nil"/>
                    <w:tr2bl w:val="nil"/>
                  </w:tcBorders>
                  <w:noWrap w:val="0"/>
                  <w:vAlign w:val="center"/>
                </w:tcPr>
                <w:p w14:paraId="7F44B1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kern w:val="2"/>
                      <w:sz w:val="21"/>
                      <w:szCs w:val="21"/>
                      <w:u w:val="single"/>
                      <w:lang w:val="en-US" w:eastAsia="zh-CN" w:bidi="ar-SA"/>
                    </w:rPr>
                    <w:t>NH</w:t>
                  </w:r>
                  <w:r>
                    <w:rPr>
                      <w:rFonts w:hint="default" w:ascii="Times New Roman" w:hAnsi="Times New Roman" w:eastAsia="宋体" w:cs="Times New Roman"/>
                      <w:b w:val="0"/>
                      <w:bCs w:val="0"/>
                      <w:color w:val="auto"/>
                      <w:kern w:val="2"/>
                      <w:sz w:val="21"/>
                      <w:szCs w:val="21"/>
                      <w:u w:val="single"/>
                      <w:vertAlign w:val="subscript"/>
                      <w:lang w:val="en-US" w:eastAsia="zh-CN" w:bidi="ar-SA"/>
                    </w:rPr>
                    <w:t>3</w:t>
                  </w:r>
                </w:p>
              </w:tc>
              <w:tc>
                <w:tcPr>
                  <w:tcW w:w="832" w:type="pct"/>
                  <w:tcBorders>
                    <w:tl2br w:val="nil"/>
                    <w:tr2bl w:val="nil"/>
                  </w:tcBorders>
                  <w:noWrap w:val="0"/>
                  <w:vAlign w:val="center"/>
                </w:tcPr>
                <w:p w14:paraId="59112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5.</w:t>
                  </w:r>
                  <w:r>
                    <w:rPr>
                      <w:rFonts w:hint="eastAsia" w:ascii="Times New Roman" w:hAnsi="Times New Roman" w:eastAsia="宋体" w:cs="Times New Roman"/>
                      <w:b w:val="0"/>
                      <w:bCs w:val="0"/>
                      <w:color w:val="auto"/>
                      <w:spacing w:val="1"/>
                      <w:sz w:val="21"/>
                      <w:szCs w:val="21"/>
                      <w:u w:val="single"/>
                      <w:lang w:val="en-US" w:eastAsia="zh-CN"/>
                    </w:rPr>
                    <w:t>7</w:t>
                  </w:r>
                </w:p>
              </w:tc>
              <w:tc>
                <w:tcPr>
                  <w:tcW w:w="832" w:type="pct"/>
                  <w:tcBorders>
                    <w:tl2br w:val="nil"/>
                    <w:tr2bl w:val="nil"/>
                  </w:tcBorders>
                  <w:noWrap w:val="0"/>
                  <w:vAlign w:val="center"/>
                </w:tcPr>
                <w:p w14:paraId="391E19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eastAsia" w:cs="Times New Roman"/>
                      <w:b w:val="0"/>
                      <w:bCs w:val="0"/>
                      <w:color w:val="auto"/>
                      <w:spacing w:val="1"/>
                      <w:sz w:val="21"/>
                      <w:szCs w:val="21"/>
                      <w:u w:val="single"/>
                      <w:lang w:val="en-US" w:eastAsia="zh-CN"/>
                    </w:rPr>
                    <w:t>2.03</w:t>
                  </w:r>
                </w:p>
              </w:tc>
              <w:tc>
                <w:tcPr>
                  <w:tcW w:w="833" w:type="pct"/>
                  <w:tcBorders>
                    <w:tl2br w:val="nil"/>
                    <w:tr2bl w:val="nil"/>
                  </w:tcBorders>
                  <w:noWrap w:val="0"/>
                  <w:vAlign w:val="center"/>
                </w:tcPr>
                <w:p w14:paraId="6903B4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0.</w:t>
                  </w:r>
                  <w:r>
                    <w:rPr>
                      <w:rFonts w:hint="eastAsia" w:cs="Times New Roman"/>
                      <w:b w:val="0"/>
                      <w:bCs w:val="0"/>
                      <w:color w:val="auto"/>
                      <w:spacing w:val="1"/>
                      <w:sz w:val="21"/>
                      <w:szCs w:val="21"/>
                      <w:u w:val="single"/>
                      <w:lang w:val="en-US" w:eastAsia="zh-CN"/>
                    </w:rPr>
                    <w:t>741</w:t>
                  </w:r>
                </w:p>
              </w:tc>
              <w:tc>
                <w:tcPr>
                  <w:tcW w:w="836" w:type="pct"/>
                  <w:tcBorders>
                    <w:tl2br w:val="nil"/>
                    <w:tr2bl w:val="nil"/>
                  </w:tcBorders>
                  <w:noWrap w:val="0"/>
                  <w:vAlign w:val="center"/>
                </w:tcPr>
                <w:p w14:paraId="154C75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0.</w:t>
                  </w:r>
                  <w:r>
                    <w:rPr>
                      <w:rFonts w:hint="eastAsia" w:cs="Times New Roman"/>
                      <w:b w:val="0"/>
                      <w:bCs w:val="0"/>
                      <w:color w:val="auto"/>
                      <w:spacing w:val="1"/>
                      <w:sz w:val="21"/>
                      <w:szCs w:val="21"/>
                      <w:u w:val="single"/>
                      <w:lang w:val="en-US" w:eastAsia="zh-CN"/>
                    </w:rPr>
                    <w:t>085</w:t>
                  </w:r>
                </w:p>
              </w:tc>
            </w:tr>
            <w:tr w14:paraId="23FCAA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7" w:hRule="atLeast"/>
              </w:trPr>
              <w:tc>
                <w:tcPr>
                  <w:tcW w:w="832" w:type="pct"/>
                  <w:vMerge w:val="continue"/>
                  <w:tcBorders>
                    <w:tl2br w:val="nil"/>
                    <w:tr2bl w:val="nil"/>
                  </w:tcBorders>
                  <w:noWrap w:val="0"/>
                  <w:vAlign w:val="center"/>
                </w:tcPr>
                <w:p w14:paraId="6870D9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p>
              </w:tc>
              <w:tc>
                <w:tcPr>
                  <w:tcW w:w="832" w:type="pct"/>
                  <w:tcBorders>
                    <w:tl2br w:val="nil"/>
                    <w:tr2bl w:val="nil"/>
                  </w:tcBorders>
                  <w:noWrap w:val="0"/>
                  <w:vAlign w:val="center"/>
                </w:tcPr>
                <w:p w14:paraId="665C9B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kern w:val="2"/>
                      <w:sz w:val="21"/>
                      <w:szCs w:val="21"/>
                      <w:u w:val="single"/>
                      <w:lang w:val="en-US" w:eastAsia="zh-CN" w:bidi="ar-SA"/>
                    </w:rPr>
                    <w:t>H</w:t>
                  </w:r>
                  <w:r>
                    <w:rPr>
                      <w:rFonts w:hint="default" w:ascii="Times New Roman" w:hAnsi="Times New Roman" w:eastAsia="宋体" w:cs="Times New Roman"/>
                      <w:b w:val="0"/>
                      <w:bCs w:val="0"/>
                      <w:color w:val="auto"/>
                      <w:kern w:val="2"/>
                      <w:sz w:val="21"/>
                      <w:szCs w:val="21"/>
                      <w:u w:val="single"/>
                      <w:vertAlign w:val="subscript"/>
                      <w:lang w:val="en-US" w:eastAsia="zh-CN" w:bidi="ar-SA"/>
                    </w:rPr>
                    <w:t>2</w:t>
                  </w:r>
                  <w:r>
                    <w:rPr>
                      <w:rFonts w:hint="default" w:ascii="Times New Roman" w:hAnsi="Times New Roman" w:eastAsia="宋体" w:cs="Times New Roman"/>
                      <w:b w:val="0"/>
                      <w:bCs w:val="0"/>
                      <w:color w:val="auto"/>
                      <w:kern w:val="2"/>
                      <w:sz w:val="21"/>
                      <w:szCs w:val="21"/>
                      <w:u w:val="single"/>
                      <w:lang w:val="en-US" w:eastAsia="zh-CN" w:bidi="ar-SA"/>
                    </w:rPr>
                    <w:t>S</w:t>
                  </w:r>
                </w:p>
              </w:tc>
              <w:tc>
                <w:tcPr>
                  <w:tcW w:w="832" w:type="pct"/>
                  <w:tcBorders>
                    <w:tl2br w:val="nil"/>
                    <w:tr2bl w:val="nil"/>
                  </w:tcBorders>
                  <w:noWrap w:val="0"/>
                  <w:vAlign w:val="center"/>
                </w:tcPr>
                <w:p w14:paraId="6EF53E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0.5</w:t>
                  </w:r>
                </w:p>
              </w:tc>
              <w:tc>
                <w:tcPr>
                  <w:tcW w:w="832" w:type="pct"/>
                  <w:tcBorders>
                    <w:tl2br w:val="nil"/>
                    <w:tr2bl w:val="nil"/>
                  </w:tcBorders>
                  <w:noWrap w:val="0"/>
                  <w:vAlign w:val="center"/>
                </w:tcPr>
                <w:p w14:paraId="1D16E5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0.1</w:t>
                  </w:r>
                  <w:r>
                    <w:rPr>
                      <w:rFonts w:hint="eastAsia" w:cs="Times New Roman"/>
                      <w:b w:val="0"/>
                      <w:bCs w:val="0"/>
                      <w:color w:val="auto"/>
                      <w:spacing w:val="1"/>
                      <w:sz w:val="21"/>
                      <w:szCs w:val="21"/>
                      <w:u w:val="single"/>
                      <w:lang w:val="en-US" w:eastAsia="zh-CN"/>
                    </w:rPr>
                    <w:t>78</w:t>
                  </w:r>
                </w:p>
              </w:tc>
              <w:tc>
                <w:tcPr>
                  <w:tcW w:w="833" w:type="pct"/>
                  <w:tcBorders>
                    <w:tl2br w:val="nil"/>
                    <w:tr2bl w:val="nil"/>
                  </w:tcBorders>
                  <w:noWrap w:val="0"/>
                  <w:vAlign w:val="center"/>
                </w:tcPr>
                <w:p w14:paraId="45EF4D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0.0</w:t>
                  </w:r>
                  <w:r>
                    <w:rPr>
                      <w:rFonts w:hint="eastAsia" w:cs="Times New Roman"/>
                      <w:b w:val="0"/>
                      <w:bCs w:val="0"/>
                      <w:color w:val="auto"/>
                      <w:spacing w:val="1"/>
                      <w:sz w:val="21"/>
                      <w:szCs w:val="21"/>
                      <w:u w:val="single"/>
                      <w:lang w:val="en-US" w:eastAsia="zh-CN"/>
                    </w:rPr>
                    <w:t>65</w:t>
                  </w:r>
                </w:p>
              </w:tc>
              <w:tc>
                <w:tcPr>
                  <w:tcW w:w="836" w:type="pct"/>
                  <w:tcBorders>
                    <w:tl2br w:val="nil"/>
                    <w:tr2bl w:val="nil"/>
                  </w:tcBorders>
                  <w:noWrap w:val="0"/>
                  <w:vAlign w:val="center"/>
                </w:tcPr>
                <w:p w14:paraId="10F021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0.00</w:t>
                  </w:r>
                  <w:r>
                    <w:rPr>
                      <w:rFonts w:hint="eastAsia" w:cs="Times New Roman"/>
                      <w:b w:val="0"/>
                      <w:bCs w:val="0"/>
                      <w:color w:val="auto"/>
                      <w:spacing w:val="1"/>
                      <w:sz w:val="21"/>
                      <w:szCs w:val="21"/>
                      <w:u w:val="single"/>
                      <w:lang w:val="en-US" w:eastAsia="zh-CN"/>
                    </w:rPr>
                    <w:t>8</w:t>
                  </w:r>
                </w:p>
              </w:tc>
            </w:tr>
            <w:tr w14:paraId="0F196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000" w:type="pct"/>
                  <w:gridSpan w:val="6"/>
                  <w:tcBorders>
                    <w:tl2br w:val="nil"/>
                    <w:tr2bl w:val="nil"/>
                  </w:tcBorders>
                  <w:noWrap w:val="0"/>
                  <w:vAlign w:val="center"/>
                </w:tcPr>
                <w:p w14:paraId="6D95D1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pacing w:val="1"/>
                      <w:sz w:val="21"/>
                      <w:szCs w:val="21"/>
                      <w:u w:val="single"/>
                      <w:lang w:val="en-US" w:eastAsia="zh-CN"/>
                    </w:rPr>
                  </w:pPr>
                  <w:r>
                    <w:rPr>
                      <w:rFonts w:hint="default" w:ascii="Times New Roman" w:hAnsi="Times New Roman" w:eastAsia="宋体" w:cs="Times New Roman"/>
                      <w:b w:val="0"/>
                      <w:bCs w:val="0"/>
                      <w:color w:val="auto"/>
                      <w:spacing w:val="1"/>
                      <w:sz w:val="21"/>
                      <w:szCs w:val="21"/>
                      <w:u w:val="single"/>
                      <w:lang w:val="en-US" w:eastAsia="zh-CN"/>
                    </w:rPr>
                    <w:t>备注：待宰间年工作36</w:t>
                  </w:r>
                  <w:r>
                    <w:rPr>
                      <w:rFonts w:hint="eastAsia" w:ascii="Times New Roman" w:hAnsi="Times New Roman" w:eastAsia="宋体" w:cs="Times New Roman"/>
                      <w:b w:val="0"/>
                      <w:bCs w:val="0"/>
                      <w:color w:val="auto"/>
                      <w:spacing w:val="1"/>
                      <w:sz w:val="21"/>
                      <w:szCs w:val="21"/>
                      <w:u w:val="single"/>
                      <w:lang w:val="en-US" w:eastAsia="zh-CN"/>
                    </w:rPr>
                    <w:t>5</w:t>
                  </w:r>
                  <w:r>
                    <w:rPr>
                      <w:rFonts w:hint="default" w:ascii="Times New Roman" w:hAnsi="Times New Roman" w:eastAsia="宋体" w:cs="Times New Roman"/>
                      <w:b w:val="0"/>
                      <w:bCs w:val="0"/>
                      <w:color w:val="auto"/>
                      <w:spacing w:val="1"/>
                      <w:sz w:val="21"/>
                      <w:szCs w:val="21"/>
                      <w:u w:val="single"/>
                      <w:lang w:val="en-US" w:eastAsia="zh-CN"/>
                    </w:rPr>
                    <w:t>天，每天运行24</w:t>
                  </w:r>
                  <w:r>
                    <w:rPr>
                      <w:rFonts w:hint="eastAsia" w:ascii="Times New Roman" w:hAnsi="Times New Roman" w:eastAsia="宋体" w:cs="Times New Roman"/>
                      <w:b w:val="0"/>
                      <w:bCs w:val="0"/>
                      <w:color w:val="auto"/>
                      <w:spacing w:val="1"/>
                      <w:sz w:val="21"/>
                      <w:szCs w:val="21"/>
                      <w:u w:val="single"/>
                      <w:lang w:val="en-US" w:eastAsia="zh-CN"/>
                    </w:rPr>
                    <w:t xml:space="preserve"> </w:t>
                  </w:r>
                  <w:r>
                    <w:rPr>
                      <w:rFonts w:hint="default" w:ascii="Times New Roman" w:hAnsi="Times New Roman" w:eastAsia="宋体" w:cs="Times New Roman"/>
                      <w:b w:val="0"/>
                      <w:bCs w:val="0"/>
                      <w:color w:val="auto"/>
                      <w:spacing w:val="1"/>
                      <w:sz w:val="21"/>
                      <w:szCs w:val="21"/>
                      <w:u w:val="single"/>
                      <w:lang w:val="en-US" w:eastAsia="zh-CN"/>
                    </w:rPr>
                    <w:t>h</w:t>
                  </w:r>
                </w:p>
              </w:tc>
            </w:tr>
          </w:tbl>
          <w:p w14:paraId="676DB9F5">
            <w:pPr>
              <w:ind w:firstLine="480" w:firstLineChars="200"/>
              <w:jc w:val="both"/>
              <w:rPr>
                <w:rFonts w:hint="eastAsia"/>
                <w:color w:val="auto"/>
                <w:szCs w:val="24"/>
                <w:lang w:eastAsia="zh-CN"/>
              </w:rPr>
            </w:pPr>
            <w:r>
              <w:rPr>
                <w:rFonts w:hint="default" w:ascii="Times New Roman" w:hAnsi="Times New Roman" w:eastAsia="宋体" w:cs="Times New Roman"/>
                <w:color w:val="auto"/>
                <w:kern w:val="2"/>
                <w:sz w:val="24"/>
                <w:szCs w:val="24"/>
                <w:u w:val="none"/>
                <w:lang w:val="en-US" w:eastAsia="zh-CN" w:bidi="ar-SA"/>
              </w:rPr>
              <w:t>待宰间实行</w:t>
            </w:r>
            <w:r>
              <w:rPr>
                <w:rFonts w:hint="eastAsia" w:ascii="Times New Roman" w:hAnsi="Times New Roman" w:eastAsia="宋体" w:cs="Times New Roman"/>
                <w:color w:val="auto"/>
                <w:kern w:val="2"/>
                <w:sz w:val="24"/>
                <w:szCs w:val="24"/>
                <w:u w:val="none"/>
                <w:lang w:val="en-US" w:eastAsia="zh-CN" w:bidi="ar-SA"/>
              </w:rPr>
              <w:t>牲畜粪便</w:t>
            </w:r>
            <w:r>
              <w:rPr>
                <w:rFonts w:hint="default" w:ascii="Times New Roman" w:hAnsi="Times New Roman" w:eastAsia="宋体" w:cs="Times New Roman"/>
                <w:color w:val="auto"/>
                <w:kern w:val="2"/>
                <w:sz w:val="24"/>
                <w:szCs w:val="24"/>
                <w:u w:val="none"/>
                <w:lang w:val="en-US" w:eastAsia="zh-CN" w:bidi="ar-SA"/>
              </w:rPr>
              <w:t>干清粪工艺，日产日清；待宰间出入口采用活动密封门帘，车间内采用机械通风送气；定时消毒，按时喷洒生物除臭液除臭；及时清洗地面并清运车间内固废，加强厂界绿化等，以减少恶臭气体的产生。根据《微生</w:t>
            </w:r>
            <w:r>
              <w:rPr>
                <w:rFonts w:hint="eastAsia" w:cs="Times New Roman"/>
                <w:color w:val="auto"/>
                <w:kern w:val="2"/>
                <w:sz w:val="24"/>
                <w:szCs w:val="24"/>
                <w:u w:val="none"/>
                <w:lang w:val="en-US" w:eastAsia="zh-CN" w:bidi="ar-SA"/>
              </w:rPr>
              <w:t>物</w:t>
            </w:r>
            <w:r>
              <w:rPr>
                <w:rFonts w:hint="default" w:ascii="Times New Roman" w:hAnsi="Times New Roman" w:eastAsia="宋体" w:cs="Times New Roman"/>
                <w:color w:val="auto"/>
                <w:kern w:val="2"/>
                <w:sz w:val="24"/>
                <w:szCs w:val="24"/>
                <w:u w:val="none"/>
                <w:lang w:val="en-US" w:eastAsia="zh-CN" w:bidi="ar-SA"/>
              </w:rPr>
              <w:t>除臭剂筛选在猪舍应用试验》，通过在猪舍喷洒生物除臭剂，对于氨气和硫化氢、臭气浓度的去除率分别为41%、7</w:t>
            </w:r>
            <w:r>
              <w:rPr>
                <w:rFonts w:hint="eastAsia" w:cs="Times New Roman"/>
                <w:color w:val="auto"/>
                <w:kern w:val="2"/>
                <w:sz w:val="24"/>
                <w:szCs w:val="24"/>
                <w:u w:val="none"/>
                <w:lang w:val="en-US" w:eastAsia="zh-CN" w:bidi="ar-SA"/>
              </w:rPr>
              <w:t>5</w:t>
            </w:r>
            <w:r>
              <w:rPr>
                <w:rFonts w:hint="default" w:ascii="Times New Roman" w:hAnsi="Times New Roman" w:eastAsia="宋体" w:cs="Times New Roman"/>
                <w:color w:val="auto"/>
                <w:kern w:val="2"/>
                <w:sz w:val="24"/>
                <w:szCs w:val="24"/>
                <w:u w:val="none"/>
                <w:lang w:val="en-US" w:eastAsia="zh-CN" w:bidi="ar-SA"/>
              </w:rPr>
              <w:t>%及46.7%，本项目为</w:t>
            </w:r>
            <w:r>
              <w:rPr>
                <w:rFonts w:hint="eastAsia" w:cs="Times New Roman"/>
                <w:color w:val="auto"/>
                <w:kern w:val="2"/>
                <w:sz w:val="24"/>
                <w:szCs w:val="24"/>
                <w:u w:val="none"/>
                <w:lang w:val="en-US" w:eastAsia="zh-CN" w:bidi="ar-SA"/>
              </w:rPr>
              <w:t>保守估计</w:t>
            </w:r>
            <w:r>
              <w:rPr>
                <w:rFonts w:hint="default" w:ascii="Times New Roman" w:hAnsi="Times New Roman" w:eastAsia="宋体" w:cs="Times New Roman"/>
                <w:color w:val="auto"/>
                <w:kern w:val="2"/>
                <w:sz w:val="24"/>
                <w:szCs w:val="24"/>
                <w:u w:val="none"/>
                <w:lang w:val="en-US" w:eastAsia="zh-CN" w:bidi="ar-SA"/>
              </w:rPr>
              <w:t>，氨气的去除率取40%，硫化氢的去除率取70%。则待宰间NH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排放量为0.</w:t>
            </w:r>
            <w:r>
              <w:rPr>
                <w:rFonts w:hint="eastAsia" w:cs="Times New Roman"/>
                <w:color w:val="auto"/>
                <w:kern w:val="2"/>
                <w:sz w:val="24"/>
                <w:szCs w:val="24"/>
                <w:u w:val="none"/>
                <w:lang w:val="en-US" w:eastAsia="zh-CN" w:bidi="ar-SA"/>
              </w:rPr>
              <w:t>741</w:t>
            </w:r>
            <w:r>
              <w:rPr>
                <w:rFonts w:hint="eastAsia" w:ascii="Times New Roman" w:hAnsi="Times New Roman" w:eastAsia="宋体" w:cs="Times New Roman"/>
                <w:color w:val="auto"/>
                <w:kern w:val="2"/>
                <w:sz w:val="24"/>
                <w:szCs w:val="24"/>
                <w:u w:val="none"/>
                <w:lang w:val="en-US" w:eastAsia="zh-CN" w:bidi="ar-SA"/>
              </w:rPr>
              <w:t>*（1-</w:t>
            </w:r>
            <w:r>
              <w:rPr>
                <w:rFonts w:hint="eastAsia" w:cs="Times New Roman"/>
                <w:color w:val="auto"/>
                <w:kern w:val="2"/>
                <w:sz w:val="24"/>
                <w:szCs w:val="24"/>
                <w:u w:val="none"/>
                <w:lang w:val="en-US" w:eastAsia="zh-CN" w:bidi="ar-SA"/>
              </w:rPr>
              <w:t>4</w:t>
            </w:r>
            <w:r>
              <w:rPr>
                <w:rFonts w:hint="eastAsia" w:ascii="Times New Roman" w:hAnsi="Times New Roman" w:eastAsia="宋体" w:cs="Times New Roman"/>
                <w:color w:val="auto"/>
                <w:kern w:val="2"/>
                <w:sz w:val="24"/>
                <w:szCs w:val="24"/>
                <w:u w:val="none"/>
                <w:lang w:val="en-US" w:eastAsia="zh-CN" w:bidi="ar-SA"/>
              </w:rPr>
              <w:t>0%）=0.</w:t>
            </w:r>
            <w:r>
              <w:rPr>
                <w:rFonts w:hint="eastAsia" w:cs="Times New Roman"/>
                <w:color w:val="auto"/>
                <w:kern w:val="2"/>
                <w:sz w:val="24"/>
                <w:szCs w:val="24"/>
                <w:u w:val="none"/>
                <w:lang w:val="en-US" w:eastAsia="zh-CN" w:bidi="ar-SA"/>
              </w:rPr>
              <w:t>445</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w:t>
            </w:r>
            <w:r>
              <w:rPr>
                <w:rFonts w:hint="eastAsia" w:cs="Times New Roman"/>
                <w:color w:val="auto"/>
                <w:kern w:val="2"/>
                <w:sz w:val="24"/>
                <w:szCs w:val="24"/>
                <w:u w:val="none"/>
                <w:lang w:val="en-US" w:eastAsia="zh-CN" w:bidi="ar-SA"/>
              </w:rPr>
              <w:t>51</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S排放量为0.</w:t>
            </w:r>
            <w:r>
              <w:rPr>
                <w:rFonts w:hint="eastAsia" w:ascii="Times New Roman" w:hAnsi="Times New Roman" w:eastAsia="宋体" w:cs="Times New Roman"/>
                <w:color w:val="auto"/>
                <w:kern w:val="2"/>
                <w:sz w:val="24"/>
                <w:szCs w:val="24"/>
                <w:u w:val="none"/>
                <w:lang w:val="en-US" w:eastAsia="zh-CN" w:bidi="ar-SA"/>
              </w:rPr>
              <w:t>0</w:t>
            </w:r>
            <w:r>
              <w:rPr>
                <w:rFonts w:hint="eastAsia" w:cs="Times New Roman"/>
                <w:color w:val="auto"/>
                <w:kern w:val="2"/>
                <w:sz w:val="24"/>
                <w:szCs w:val="24"/>
                <w:u w:val="none"/>
                <w:lang w:val="en-US" w:eastAsia="zh-CN" w:bidi="ar-SA"/>
              </w:rPr>
              <w:t>6</w:t>
            </w:r>
            <w:r>
              <w:rPr>
                <w:rFonts w:hint="eastAsia" w:ascii="Times New Roman" w:hAnsi="Times New Roman" w:eastAsia="宋体" w:cs="Times New Roman"/>
                <w:color w:val="auto"/>
                <w:kern w:val="2"/>
                <w:sz w:val="24"/>
                <w:szCs w:val="24"/>
                <w:u w:val="none"/>
                <w:lang w:val="en-US" w:eastAsia="zh-CN" w:bidi="ar-SA"/>
              </w:rPr>
              <w:t>5*（1-</w:t>
            </w:r>
            <w:r>
              <w:rPr>
                <w:rFonts w:hint="eastAsia" w:cs="Times New Roman"/>
                <w:color w:val="auto"/>
                <w:kern w:val="2"/>
                <w:sz w:val="24"/>
                <w:szCs w:val="24"/>
                <w:u w:val="none"/>
                <w:lang w:val="en-US" w:eastAsia="zh-CN" w:bidi="ar-SA"/>
              </w:rPr>
              <w:t>7</w:t>
            </w:r>
            <w:r>
              <w:rPr>
                <w:rFonts w:hint="eastAsia" w:ascii="Times New Roman" w:hAnsi="Times New Roman" w:eastAsia="宋体" w:cs="Times New Roman"/>
                <w:color w:val="auto"/>
                <w:kern w:val="2"/>
                <w:sz w:val="24"/>
                <w:szCs w:val="24"/>
                <w:u w:val="none"/>
                <w:lang w:val="en-US" w:eastAsia="zh-CN" w:bidi="ar-SA"/>
              </w:rPr>
              <w:t xml:space="preserve">0%）=0.02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0.00</w:t>
            </w:r>
            <w:r>
              <w:rPr>
                <w:rFonts w:hint="eastAsia" w:cs="Times New Roman"/>
                <w:color w:val="auto"/>
                <w:kern w:val="2"/>
                <w:sz w:val="24"/>
                <w:szCs w:val="24"/>
                <w:u w:val="none"/>
                <w:lang w:val="en-US" w:eastAsia="zh-CN" w:bidi="ar-SA"/>
              </w:rPr>
              <w:t>23</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w:t>
            </w:r>
          </w:p>
          <w:p w14:paraId="2885A94E">
            <w:pPr>
              <w:ind w:firstLine="480" w:firstLineChars="200"/>
              <w:jc w:val="both"/>
              <w:rPr>
                <w:color w:val="auto"/>
                <w:szCs w:val="24"/>
              </w:rPr>
            </w:pPr>
            <w:r>
              <w:rPr>
                <w:rFonts w:hint="eastAsia"/>
                <w:color w:val="auto"/>
                <w:szCs w:val="24"/>
                <w:lang w:eastAsia="zh-CN"/>
              </w:rPr>
              <w:t>（</w:t>
            </w:r>
            <w:r>
              <w:rPr>
                <w:rFonts w:hint="eastAsia"/>
                <w:color w:val="auto"/>
                <w:szCs w:val="24"/>
                <w:lang w:val="en-US" w:eastAsia="zh-CN"/>
              </w:rPr>
              <w:t>2</w:t>
            </w:r>
            <w:r>
              <w:rPr>
                <w:rFonts w:hint="eastAsia"/>
                <w:color w:val="auto"/>
                <w:szCs w:val="24"/>
                <w:lang w:eastAsia="zh-CN"/>
              </w:rPr>
              <w:t>）</w:t>
            </w:r>
            <w:r>
              <w:rPr>
                <w:rFonts w:hint="eastAsia" w:cs="Times New Roman"/>
                <w:color w:val="auto"/>
                <w:sz w:val="24"/>
                <w:szCs w:val="24"/>
                <w:u w:val="none" w:color="auto"/>
                <w:lang w:val="en-US" w:eastAsia="zh-CN"/>
              </w:rPr>
              <w:t>屠宰间、急宰间恶臭</w:t>
            </w:r>
          </w:p>
          <w:p w14:paraId="75D7310F">
            <w:pPr>
              <w:ind w:firstLine="480" w:firstLineChars="200"/>
              <w:jc w:val="both"/>
              <w:rPr>
                <w:b/>
                <w:bCs/>
                <w:color w:val="auto"/>
                <w:szCs w:val="24"/>
              </w:rPr>
            </w:pPr>
            <w:r>
              <w:rPr>
                <w:color w:val="auto"/>
                <w:szCs w:val="24"/>
              </w:rPr>
              <w:t>屠宰加工过程许多作业都要使用热水或冷水，地面上容易积水，导致空气湿度较大。由于屠宰车间内各区块温差不同，空气流动量较大，且屠宰车间四周封闭，自然通风无法达到卫生和生产要求，需按照《猪屠宰与分割车间设计规范》</w:t>
            </w:r>
            <w:r>
              <w:rPr>
                <w:rFonts w:hint="eastAsia"/>
                <w:color w:val="auto"/>
                <w:szCs w:val="24"/>
                <w:lang w:eastAsia="zh-CN"/>
              </w:rPr>
              <w:t>（</w:t>
            </w:r>
            <w:r>
              <w:rPr>
                <w:color w:val="auto"/>
                <w:szCs w:val="24"/>
              </w:rPr>
              <w:t>GB</w:t>
            </w:r>
            <w:r>
              <w:rPr>
                <w:rFonts w:hint="eastAsia"/>
                <w:color w:val="auto"/>
                <w:szCs w:val="24"/>
                <w:lang w:val="en-US" w:eastAsia="zh-CN"/>
              </w:rPr>
              <w:t xml:space="preserve"> </w:t>
            </w:r>
            <w:r>
              <w:rPr>
                <w:color w:val="auto"/>
                <w:szCs w:val="24"/>
              </w:rPr>
              <w:t>50317-2009</w:t>
            </w:r>
            <w:r>
              <w:rPr>
                <w:rFonts w:hint="eastAsia"/>
                <w:color w:val="auto"/>
                <w:szCs w:val="24"/>
                <w:lang w:eastAsia="zh-CN"/>
              </w:rPr>
              <w:t>）</w:t>
            </w:r>
            <w:r>
              <w:rPr>
                <w:color w:val="auto"/>
                <w:szCs w:val="24"/>
              </w:rPr>
              <w:t>中要求采用自然与机械联合通风，通风次数不宜小于6次/h。</w:t>
            </w:r>
          </w:p>
          <w:p w14:paraId="65C78BDB">
            <w:pPr>
              <w:ind w:firstLine="480" w:firstLineChars="200"/>
              <w:jc w:val="both"/>
              <w:rPr>
                <w:b/>
                <w:bCs/>
                <w:color w:val="auto"/>
                <w:szCs w:val="24"/>
              </w:rPr>
            </w:pPr>
            <w:r>
              <w:rPr>
                <w:rFonts w:hint="eastAsia"/>
                <w:color w:val="auto"/>
                <w:szCs w:val="24"/>
              </w:rPr>
              <w:t>屠宰过程中生猪的湿皮、血、肠胃内容物和粪尿等臭气混杂在一起，产生刺鼻的腥臭味，如果不加以防范，恶臭气体易扩散到整个屠宰车间，进而扩散到整个</w:t>
            </w:r>
            <w:r>
              <w:rPr>
                <w:rFonts w:hint="eastAsia"/>
                <w:color w:val="auto"/>
                <w:szCs w:val="24"/>
                <w:lang w:val="en-US" w:eastAsia="zh-CN"/>
              </w:rPr>
              <w:t>屠宰场</w:t>
            </w:r>
            <w:r>
              <w:rPr>
                <w:rFonts w:hint="eastAsia"/>
                <w:color w:val="auto"/>
                <w:szCs w:val="24"/>
              </w:rPr>
              <w:t>直至外界。此外如果有血、肉、骨或脂肪残留而不及时处理，便会迅速腐烂，腥臭气更为严重。</w:t>
            </w:r>
            <w:r>
              <w:rPr>
                <w:rFonts w:hint="eastAsia"/>
                <w:color w:val="auto"/>
                <w:szCs w:val="24"/>
                <w:u w:val="none"/>
              </w:rPr>
              <w:t>根据《环评中屠宰项目污染源</w:t>
            </w:r>
            <w:r>
              <w:rPr>
                <w:rFonts w:hint="eastAsia"/>
                <w:color w:val="auto"/>
                <w:szCs w:val="24"/>
                <w:u w:val="none"/>
                <w:lang w:val="en-US" w:eastAsia="zh-CN"/>
              </w:rPr>
              <w:t>强</w:t>
            </w:r>
            <w:r>
              <w:rPr>
                <w:rFonts w:hint="eastAsia"/>
                <w:color w:val="auto"/>
                <w:szCs w:val="24"/>
                <w:u w:val="none"/>
              </w:rPr>
              <w:t>的确定》</w:t>
            </w:r>
            <w:r>
              <w:rPr>
                <w:rFonts w:hint="eastAsia"/>
                <w:color w:val="auto"/>
                <w:szCs w:val="24"/>
                <w:u w:val="none"/>
                <w:lang w:eastAsia="zh-CN"/>
              </w:rPr>
              <w:t>（</w:t>
            </w:r>
            <w:r>
              <w:rPr>
                <w:rFonts w:hint="eastAsia"/>
                <w:color w:val="auto"/>
                <w:szCs w:val="24"/>
                <w:u w:val="none"/>
              </w:rPr>
              <w:t>辽宁省环境科学研究院，李易</w:t>
            </w:r>
            <w:r>
              <w:rPr>
                <w:rFonts w:hint="eastAsia"/>
                <w:color w:val="auto"/>
                <w:szCs w:val="24"/>
                <w:u w:val="none"/>
                <w:lang w:eastAsia="zh-CN"/>
              </w:rPr>
              <w:t>）</w:t>
            </w:r>
            <w:r>
              <w:rPr>
                <w:rFonts w:hint="eastAsia"/>
                <w:color w:val="auto"/>
                <w:szCs w:val="24"/>
                <w:u w:val="none"/>
              </w:rPr>
              <w:t>，屠宰车间恶臭气体NH</w:t>
            </w:r>
            <w:r>
              <w:rPr>
                <w:rFonts w:hint="eastAsia"/>
                <w:color w:val="auto"/>
                <w:szCs w:val="24"/>
                <w:u w:val="none"/>
                <w:vertAlign w:val="subscript"/>
              </w:rPr>
              <w:t>3</w:t>
            </w:r>
            <w:r>
              <w:rPr>
                <w:rFonts w:hint="eastAsia"/>
                <w:color w:val="auto"/>
                <w:szCs w:val="24"/>
                <w:u w:val="none"/>
              </w:rPr>
              <w:t>和H</w:t>
            </w:r>
            <w:r>
              <w:rPr>
                <w:rFonts w:hint="eastAsia"/>
                <w:color w:val="auto"/>
                <w:szCs w:val="24"/>
                <w:u w:val="none"/>
                <w:vertAlign w:val="subscript"/>
              </w:rPr>
              <w:t>2</w:t>
            </w:r>
            <w:r>
              <w:rPr>
                <w:rFonts w:hint="eastAsia"/>
                <w:color w:val="auto"/>
                <w:szCs w:val="24"/>
                <w:u w:val="none"/>
              </w:rPr>
              <w:t>S嗅阈资料如下表</w:t>
            </w:r>
            <w:r>
              <w:rPr>
                <w:rFonts w:hint="eastAsia"/>
                <w:color w:val="auto"/>
                <w:szCs w:val="24"/>
              </w:rPr>
              <w:t>：</w:t>
            </w:r>
          </w:p>
          <w:p w14:paraId="40BF5A12">
            <w:pPr>
              <w:jc w:val="center"/>
              <w:rPr>
                <w:b w:val="0"/>
                <w:bCs w:val="0"/>
                <w:color w:val="auto"/>
              </w:rPr>
            </w:pPr>
            <w:r>
              <w:rPr>
                <w:rFonts w:hint="eastAsia"/>
                <w:b w:val="0"/>
                <w:bCs w:val="0"/>
                <w:color w:val="auto"/>
              </w:rPr>
              <w:t>表4</w:t>
            </w:r>
            <w:r>
              <w:rPr>
                <w:rFonts w:hint="eastAsia"/>
                <w:b w:val="0"/>
                <w:bCs w:val="0"/>
                <w:color w:val="auto"/>
                <w:lang w:val="en-US" w:eastAsia="zh-CN"/>
              </w:rPr>
              <w:t>.6-2</w:t>
            </w:r>
            <w:r>
              <w:rPr>
                <w:rFonts w:hint="eastAsia"/>
                <w:b w:val="0"/>
                <w:bCs w:val="0"/>
                <w:color w:val="auto"/>
              </w:rPr>
              <w:t xml:space="preserve"> 臭气强度分级表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3559"/>
              <w:gridCol w:w="1141"/>
              <w:gridCol w:w="2828"/>
            </w:tblGrid>
            <w:tr w14:paraId="6A29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4AA1FE30">
                  <w:pPr>
                    <w:spacing w:line="240" w:lineRule="auto"/>
                    <w:ind w:firstLine="0" w:firstLineChars="0"/>
                    <w:jc w:val="center"/>
                    <w:rPr>
                      <w:color w:val="auto"/>
                      <w:sz w:val="21"/>
                      <w:szCs w:val="21"/>
                    </w:rPr>
                  </w:pPr>
                  <w:r>
                    <w:rPr>
                      <w:rFonts w:hint="eastAsia"/>
                      <w:color w:val="auto"/>
                      <w:sz w:val="21"/>
                      <w:szCs w:val="21"/>
                    </w:rPr>
                    <w:t>强度等级</w:t>
                  </w:r>
                </w:p>
              </w:tc>
              <w:tc>
                <w:tcPr>
                  <w:tcW w:w="3550" w:type="dxa"/>
                  <w:noWrap w:val="0"/>
                  <w:vAlign w:val="center"/>
                </w:tcPr>
                <w:p w14:paraId="0D17CE99">
                  <w:pPr>
                    <w:spacing w:line="240" w:lineRule="auto"/>
                    <w:ind w:firstLine="0" w:firstLineChars="0"/>
                    <w:jc w:val="center"/>
                    <w:rPr>
                      <w:color w:val="auto"/>
                      <w:sz w:val="21"/>
                      <w:szCs w:val="21"/>
                    </w:rPr>
                  </w:pPr>
                  <w:r>
                    <w:rPr>
                      <w:rFonts w:hint="eastAsia"/>
                      <w:color w:val="auto"/>
                      <w:sz w:val="21"/>
                      <w:szCs w:val="21"/>
                    </w:rPr>
                    <w:t>嗅觉判别标准</w:t>
                  </w:r>
                </w:p>
              </w:tc>
              <w:tc>
                <w:tcPr>
                  <w:tcW w:w="1138" w:type="dxa"/>
                  <w:noWrap w:val="0"/>
                  <w:vAlign w:val="center"/>
                </w:tcPr>
                <w:p w14:paraId="4BE905B9">
                  <w:pPr>
                    <w:spacing w:line="240" w:lineRule="auto"/>
                    <w:ind w:firstLine="0" w:firstLineChars="0"/>
                    <w:jc w:val="center"/>
                    <w:rPr>
                      <w:color w:val="auto"/>
                      <w:sz w:val="21"/>
                      <w:szCs w:val="21"/>
                    </w:rPr>
                  </w:pPr>
                  <w:r>
                    <w:rPr>
                      <w:rFonts w:hint="eastAsia"/>
                      <w:color w:val="auto"/>
                      <w:sz w:val="21"/>
                      <w:szCs w:val="21"/>
                    </w:rPr>
                    <w:t>强度等级</w:t>
                  </w:r>
                </w:p>
              </w:tc>
              <w:tc>
                <w:tcPr>
                  <w:tcW w:w="2821" w:type="dxa"/>
                  <w:noWrap w:val="0"/>
                  <w:vAlign w:val="center"/>
                </w:tcPr>
                <w:p w14:paraId="2346F6A8">
                  <w:pPr>
                    <w:spacing w:line="240" w:lineRule="auto"/>
                    <w:ind w:firstLine="0" w:firstLineChars="0"/>
                    <w:jc w:val="center"/>
                    <w:rPr>
                      <w:color w:val="auto"/>
                      <w:sz w:val="21"/>
                      <w:szCs w:val="21"/>
                    </w:rPr>
                  </w:pPr>
                  <w:r>
                    <w:rPr>
                      <w:rFonts w:hint="eastAsia"/>
                      <w:color w:val="auto"/>
                      <w:sz w:val="21"/>
                      <w:szCs w:val="21"/>
                    </w:rPr>
                    <w:t>嗅觉判别标准</w:t>
                  </w:r>
                </w:p>
              </w:tc>
            </w:tr>
            <w:tr w14:paraId="7CCE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41AE59E6">
                  <w:pPr>
                    <w:spacing w:line="240" w:lineRule="auto"/>
                    <w:ind w:firstLine="0" w:firstLineChars="0"/>
                    <w:jc w:val="center"/>
                    <w:rPr>
                      <w:color w:val="auto"/>
                      <w:sz w:val="21"/>
                      <w:szCs w:val="21"/>
                    </w:rPr>
                  </w:pPr>
                  <w:r>
                    <w:rPr>
                      <w:rFonts w:hint="eastAsia"/>
                      <w:color w:val="auto"/>
                      <w:sz w:val="21"/>
                      <w:szCs w:val="21"/>
                    </w:rPr>
                    <w:t>0</w:t>
                  </w:r>
                </w:p>
              </w:tc>
              <w:tc>
                <w:tcPr>
                  <w:tcW w:w="3550" w:type="dxa"/>
                  <w:noWrap w:val="0"/>
                  <w:vAlign w:val="center"/>
                </w:tcPr>
                <w:p w14:paraId="58162982">
                  <w:pPr>
                    <w:spacing w:line="240" w:lineRule="auto"/>
                    <w:ind w:firstLine="0" w:firstLineChars="0"/>
                    <w:jc w:val="center"/>
                    <w:rPr>
                      <w:color w:val="auto"/>
                      <w:sz w:val="21"/>
                      <w:szCs w:val="21"/>
                    </w:rPr>
                  </w:pPr>
                  <w:r>
                    <w:rPr>
                      <w:rFonts w:hint="eastAsia"/>
                      <w:color w:val="auto"/>
                      <w:sz w:val="21"/>
                      <w:szCs w:val="21"/>
                    </w:rPr>
                    <w:t>无臭</w:t>
                  </w:r>
                </w:p>
              </w:tc>
              <w:tc>
                <w:tcPr>
                  <w:tcW w:w="1138" w:type="dxa"/>
                  <w:noWrap w:val="0"/>
                  <w:vAlign w:val="center"/>
                </w:tcPr>
                <w:p w14:paraId="2421A426">
                  <w:pPr>
                    <w:spacing w:line="240" w:lineRule="auto"/>
                    <w:ind w:firstLine="0" w:firstLineChars="0"/>
                    <w:jc w:val="center"/>
                    <w:rPr>
                      <w:color w:val="auto"/>
                      <w:sz w:val="21"/>
                      <w:szCs w:val="21"/>
                    </w:rPr>
                  </w:pPr>
                  <w:r>
                    <w:rPr>
                      <w:rFonts w:hint="eastAsia"/>
                      <w:color w:val="auto"/>
                      <w:sz w:val="21"/>
                      <w:szCs w:val="21"/>
                    </w:rPr>
                    <w:t>3</w:t>
                  </w:r>
                </w:p>
              </w:tc>
              <w:tc>
                <w:tcPr>
                  <w:tcW w:w="2821" w:type="dxa"/>
                  <w:noWrap w:val="0"/>
                  <w:vAlign w:val="center"/>
                </w:tcPr>
                <w:p w14:paraId="61E7640C">
                  <w:pPr>
                    <w:spacing w:line="240" w:lineRule="auto"/>
                    <w:ind w:firstLine="0" w:firstLineChars="0"/>
                    <w:jc w:val="center"/>
                    <w:rPr>
                      <w:rFonts w:hint="eastAsia" w:eastAsia="宋体"/>
                      <w:color w:val="auto"/>
                      <w:sz w:val="21"/>
                      <w:szCs w:val="21"/>
                      <w:lang w:eastAsia="zh-CN"/>
                    </w:rPr>
                  </w:pPr>
                  <w:r>
                    <w:rPr>
                      <w:rFonts w:hint="eastAsia"/>
                      <w:color w:val="auto"/>
                      <w:sz w:val="21"/>
                      <w:szCs w:val="21"/>
                    </w:rPr>
                    <w:t>明显感到臭味</w:t>
                  </w:r>
                  <w:r>
                    <w:rPr>
                      <w:rFonts w:hint="eastAsia"/>
                      <w:color w:val="auto"/>
                      <w:sz w:val="21"/>
                      <w:szCs w:val="21"/>
                      <w:lang w:eastAsia="zh-CN"/>
                    </w:rPr>
                    <w:t>（</w:t>
                  </w:r>
                  <w:r>
                    <w:rPr>
                      <w:rFonts w:hint="eastAsia"/>
                      <w:color w:val="auto"/>
                      <w:sz w:val="21"/>
                      <w:szCs w:val="21"/>
                    </w:rPr>
                    <w:t>可嗅气种类</w:t>
                  </w:r>
                  <w:r>
                    <w:rPr>
                      <w:rFonts w:hint="eastAsia"/>
                      <w:color w:val="auto"/>
                      <w:sz w:val="21"/>
                      <w:szCs w:val="21"/>
                      <w:lang w:eastAsia="zh-CN"/>
                    </w:rPr>
                    <w:t>）</w:t>
                  </w:r>
                </w:p>
              </w:tc>
            </w:tr>
            <w:tr w14:paraId="41F5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2920CC37">
                  <w:pPr>
                    <w:spacing w:line="240" w:lineRule="auto"/>
                    <w:ind w:firstLine="0" w:firstLineChars="0"/>
                    <w:jc w:val="center"/>
                    <w:rPr>
                      <w:color w:val="auto"/>
                      <w:sz w:val="21"/>
                      <w:szCs w:val="21"/>
                    </w:rPr>
                  </w:pPr>
                  <w:r>
                    <w:rPr>
                      <w:rFonts w:hint="eastAsia"/>
                      <w:color w:val="auto"/>
                      <w:sz w:val="21"/>
                      <w:szCs w:val="21"/>
                    </w:rPr>
                    <w:t>1</w:t>
                  </w:r>
                </w:p>
              </w:tc>
              <w:tc>
                <w:tcPr>
                  <w:tcW w:w="3550" w:type="dxa"/>
                  <w:noWrap w:val="0"/>
                  <w:vAlign w:val="center"/>
                </w:tcPr>
                <w:p w14:paraId="6C7F970F">
                  <w:pPr>
                    <w:spacing w:line="240" w:lineRule="auto"/>
                    <w:ind w:firstLine="0" w:firstLineChars="0"/>
                    <w:jc w:val="center"/>
                    <w:rPr>
                      <w:rFonts w:hint="eastAsia" w:eastAsia="宋体"/>
                      <w:color w:val="auto"/>
                      <w:sz w:val="21"/>
                      <w:szCs w:val="21"/>
                      <w:lang w:eastAsia="zh-CN"/>
                    </w:rPr>
                  </w:pPr>
                  <w:r>
                    <w:rPr>
                      <w:rFonts w:hint="eastAsia"/>
                      <w:color w:val="auto"/>
                      <w:sz w:val="21"/>
                      <w:szCs w:val="21"/>
                    </w:rPr>
                    <w:t>勉强可以感到轻微臭觉</w:t>
                  </w:r>
                  <w:r>
                    <w:rPr>
                      <w:rFonts w:hint="eastAsia"/>
                      <w:color w:val="auto"/>
                      <w:sz w:val="21"/>
                      <w:szCs w:val="21"/>
                      <w:lang w:eastAsia="zh-CN"/>
                    </w:rPr>
                    <w:t>（</w:t>
                  </w:r>
                  <w:r>
                    <w:rPr>
                      <w:rFonts w:hint="eastAsia"/>
                      <w:color w:val="auto"/>
                      <w:sz w:val="21"/>
                      <w:szCs w:val="21"/>
                    </w:rPr>
                    <w:t>检知阈值</w:t>
                  </w:r>
                  <w:r>
                    <w:rPr>
                      <w:rFonts w:hint="eastAsia"/>
                      <w:color w:val="auto"/>
                      <w:sz w:val="21"/>
                      <w:szCs w:val="21"/>
                      <w:lang w:eastAsia="zh-CN"/>
                    </w:rPr>
                    <w:t>）</w:t>
                  </w:r>
                </w:p>
              </w:tc>
              <w:tc>
                <w:tcPr>
                  <w:tcW w:w="1138" w:type="dxa"/>
                  <w:noWrap w:val="0"/>
                  <w:vAlign w:val="center"/>
                </w:tcPr>
                <w:p w14:paraId="5BEDD44A">
                  <w:pPr>
                    <w:spacing w:line="240" w:lineRule="auto"/>
                    <w:ind w:firstLine="0" w:firstLineChars="0"/>
                    <w:jc w:val="center"/>
                    <w:rPr>
                      <w:color w:val="auto"/>
                      <w:sz w:val="21"/>
                      <w:szCs w:val="21"/>
                    </w:rPr>
                  </w:pPr>
                  <w:r>
                    <w:rPr>
                      <w:rFonts w:hint="eastAsia"/>
                      <w:color w:val="auto"/>
                      <w:sz w:val="21"/>
                      <w:szCs w:val="21"/>
                    </w:rPr>
                    <w:t>4</w:t>
                  </w:r>
                </w:p>
              </w:tc>
              <w:tc>
                <w:tcPr>
                  <w:tcW w:w="2821" w:type="dxa"/>
                  <w:noWrap w:val="0"/>
                  <w:vAlign w:val="center"/>
                </w:tcPr>
                <w:p w14:paraId="47DF8052">
                  <w:pPr>
                    <w:spacing w:line="240" w:lineRule="auto"/>
                    <w:ind w:firstLine="0" w:firstLineChars="0"/>
                    <w:jc w:val="center"/>
                    <w:rPr>
                      <w:color w:val="auto"/>
                      <w:sz w:val="21"/>
                      <w:szCs w:val="21"/>
                    </w:rPr>
                  </w:pPr>
                  <w:r>
                    <w:rPr>
                      <w:rFonts w:hint="eastAsia"/>
                      <w:color w:val="auto"/>
                      <w:sz w:val="21"/>
                      <w:szCs w:val="21"/>
                    </w:rPr>
                    <w:t>强烈臭觉</w:t>
                  </w:r>
                </w:p>
              </w:tc>
            </w:tr>
            <w:tr w14:paraId="00D6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noWrap w:val="0"/>
                  <w:vAlign w:val="center"/>
                </w:tcPr>
                <w:p w14:paraId="3CFC1579">
                  <w:pPr>
                    <w:spacing w:line="240" w:lineRule="auto"/>
                    <w:ind w:firstLine="0" w:firstLineChars="0"/>
                    <w:jc w:val="center"/>
                    <w:rPr>
                      <w:color w:val="auto"/>
                      <w:sz w:val="21"/>
                      <w:szCs w:val="21"/>
                    </w:rPr>
                  </w:pPr>
                  <w:r>
                    <w:rPr>
                      <w:rFonts w:hint="eastAsia"/>
                      <w:color w:val="auto"/>
                      <w:sz w:val="21"/>
                      <w:szCs w:val="21"/>
                    </w:rPr>
                    <w:t>2</w:t>
                  </w:r>
                </w:p>
              </w:tc>
              <w:tc>
                <w:tcPr>
                  <w:tcW w:w="3550" w:type="dxa"/>
                  <w:noWrap w:val="0"/>
                  <w:vAlign w:val="center"/>
                </w:tcPr>
                <w:p w14:paraId="71623D25">
                  <w:pPr>
                    <w:spacing w:line="240" w:lineRule="auto"/>
                    <w:ind w:firstLine="0" w:firstLineChars="0"/>
                    <w:jc w:val="center"/>
                    <w:rPr>
                      <w:rFonts w:hint="eastAsia" w:eastAsia="宋体"/>
                      <w:color w:val="auto"/>
                      <w:sz w:val="21"/>
                      <w:szCs w:val="21"/>
                      <w:lang w:eastAsia="zh-CN"/>
                    </w:rPr>
                  </w:pPr>
                  <w:r>
                    <w:rPr>
                      <w:rFonts w:hint="eastAsia"/>
                      <w:color w:val="auto"/>
                      <w:sz w:val="21"/>
                      <w:szCs w:val="21"/>
                    </w:rPr>
                    <w:t>容易感到轻微臭味</w:t>
                  </w:r>
                  <w:r>
                    <w:rPr>
                      <w:rFonts w:hint="eastAsia"/>
                      <w:color w:val="auto"/>
                      <w:sz w:val="21"/>
                      <w:szCs w:val="21"/>
                      <w:lang w:eastAsia="zh-CN"/>
                    </w:rPr>
                    <w:t>（</w:t>
                  </w:r>
                  <w:r>
                    <w:rPr>
                      <w:rFonts w:hint="eastAsia"/>
                      <w:color w:val="auto"/>
                      <w:sz w:val="21"/>
                      <w:szCs w:val="21"/>
                    </w:rPr>
                    <w:t>认知阈值浓度</w:t>
                  </w:r>
                  <w:r>
                    <w:rPr>
                      <w:rFonts w:hint="eastAsia"/>
                      <w:color w:val="auto"/>
                      <w:sz w:val="21"/>
                      <w:szCs w:val="21"/>
                      <w:lang w:eastAsia="zh-CN"/>
                    </w:rPr>
                    <w:t>）</w:t>
                  </w:r>
                </w:p>
              </w:tc>
              <w:tc>
                <w:tcPr>
                  <w:tcW w:w="1138" w:type="dxa"/>
                  <w:noWrap w:val="0"/>
                  <w:vAlign w:val="center"/>
                </w:tcPr>
                <w:p w14:paraId="174C92A4">
                  <w:pPr>
                    <w:spacing w:line="240" w:lineRule="auto"/>
                    <w:ind w:firstLine="0" w:firstLineChars="0"/>
                    <w:jc w:val="center"/>
                    <w:rPr>
                      <w:color w:val="auto"/>
                      <w:sz w:val="21"/>
                      <w:szCs w:val="21"/>
                    </w:rPr>
                  </w:pPr>
                  <w:r>
                    <w:rPr>
                      <w:rFonts w:hint="eastAsia"/>
                      <w:color w:val="auto"/>
                      <w:sz w:val="21"/>
                      <w:szCs w:val="21"/>
                    </w:rPr>
                    <w:t>5</w:t>
                  </w:r>
                </w:p>
              </w:tc>
              <w:tc>
                <w:tcPr>
                  <w:tcW w:w="2821" w:type="dxa"/>
                  <w:noWrap w:val="0"/>
                  <w:vAlign w:val="center"/>
                </w:tcPr>
                <w:p w14:paraId="708064AA">
                  <w:pPr>
                    <w:spacing w:line="240" w:lineRule="auto"/>
                    <w:ind w:firstLine="0" w:firstLineChars="0"/>
                    <w:jc w:val="center"/>
                    <w:rPr>
                      <w:color w:val="auto"/>
                      <w:sz w:val="21"/>
                      <w:szCs w:val="21"/>
                    </w:rPr>
                  </w:pPr>
                  <w:r>
                    <w:rPr>
                      <w:rFonts w:hint="eastAsia"/>
                      <w:color w:val="auto"/>
                      <w:sz w:val="21"/>
                      <w:szCs w:val="21"/>
                    </w:rPr>
                    <w:t>无法忍受的强烈臭觉</w:t>
                  </w:r>
                </w:p>
              </w:tc>
            </w:tr>
          </w:tbl>
          <w:p w14:paraId="34B9EE04">
            <w:pPr>
              <w:widowControl/>
              <w:ind w:firstLine="480" w:firstLineChars="200"/>
              <w:rPr>
                <w:color w:val="auto"/>
                <w:sz w:val="21"/>
                <w:szCs w:val="24"/>
              </w:rPr>
            </w:pPr>
            <w:r>
              <w:rPr>
                <w:color w:val="auto"/>
                <w:kern w:val="0"/>
                <w:szCs w:val="24"/>
                <w:lang w:bidi="ar"/>
              </w:rPr>
              <w:t>根据《环评中屠宰项目污染源的确定》</w:t>
            </w:r>
            <w:r>
              <w:rPr>
                <w:rFonts w:hint="eastAsia"/>
                <w:color w:val="auto"/>
                <w:szCs w:val="24"/>
                <w:u w:val="none"/>
                <w:lang w:eastAsia="zh-CN"/>
              </w:rPr>
              <w:t>（</w:t>
            </w:r>
            <w:r>
              <w:rPr>
                <w:rFonts w:hint="eastAsia"/>
                <w:color w:val="auto"/>
                <w:szCs w:val="24"/>
                <w:u w:val="none"/>
              </w:rPr>
              <w:t>辽宁省环境科学研究院，李易</w:t>
            </w:r>
            <w:r>
              <w:rPr>
                <w:rFonts w:hint="eastAsia"/>
                <w:color w:val="auto"/>
                <w:szCs w:val="24"/>
                <w:u w:val="none"/>
                <w:lang w:eastAsia="zh-CN"/>
              </w:rPr>
              <w:t>）</w:t>
            </w:r>
            <w:r>
              <w:rPr>
                <w:color w:val="auto"/>
                <w:kern w:val="0"/>
                <w:szCs w:val="24"/>
                <w:lang w:bidi="ar"/>
              </w:rPr>
              <w:t>，屠宰车间恶臭气体NH</w:t>
            </w:r>
            <w:r>
              <w:rPr>
                <w:rFonts w:hint="eastAsia"/>
                <w:color w:val="auto"/>
                <w:kern w:val="0"/>
                <w:szCs w:val="24"/>
                <w:vertAlign w:val="subscript"/>
                <w:lang w:val="en-US" w:eastAsia="zh-CN" w:bidi="ar"/>
              </w:rPr>
              <w:t>3</w:t>
            </w:r>
            <w:r>
              <w:rPr>
                <w:color w:val="auto"/>
                <w:kern w:val="0"/>
                <w:szCs w:val="24"/>
                <w:lang w:bidi="ar"/>
              </w:rPr>
              <w:t>和H</w:t>
            </w:r>
            <w:r>
              <w:rPr>
                <w:rFonts w:hint="eastAsia"/>
                <w:color w:val="auto"/>
                <w:kern w:val="0"/>
                <w:sz w:val="24"/>
                <w:szCs w:val="24"/>
                <w:vertAlign w:val="subscript"/>
                <w:lang w:val="en-US" w:eastAsia="zh-CN" w:bidi="ar"/>
              </w:rPr>
              <w:t>2</w:t>
            </w:r>
            <w:r>
              <w:rPr>
                <w:color w:val="auto"/>
                <w:kern w:val="0"/>
                <w:szCs w:val="24"/>
                <w:lang w:bidi="ar"/>
              </w:rPr>
              <w:t>S嗅阈资料如下表。</w:t>
            </w:r>
          </w:p>
          <w:p w14:paraId="79503D6B">
            <w:pPr>
              <w:jc w:val="center"/>
              <w:rPr>
                <w:b w:val="0"/>
                <w:bCs w:val="0"/>
                <w:color w:val="auto"/>
              </w:rPr>
            </w:pPr>
            <w:r>
              <w:rPr>
                <w:rFonts w:hint="eastAsia"/>
                <w:b w:val="0"/>
                <w:bCs w:val="0"/>
                <w:color w:val="auto"/>
              </w:rPr>
              <w:t>表4</w:t>
            </w:r>
            <w:r>
              <w:rPr>
                <w:rFonts w:hint="eastAsia"/>
                <w:b w:val="0"/>
                <w:bCs w:val="0"/>
                <w:color w:val="auto"/>
                <w:lang w:val="en-US" w:eastAsia="zh-CN"/>
              </w:rPr>
              <w:t>.6-3</w:t>
            </w:r>
            <w:r>
              <w:rPr>
                <w:rFonts w:hint="eastAsia"/>
                <w:b w:val="0"/>
                <w:bCs w:val="0"/>
                <w:color w:val="auto"/>
              </w:rPr>
              <w:t xml:space="preserve"> 恶臭物质浓度与臭气强度的关系</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440"/>
              <w:gridCol w:w="1441"/>
              <w:gridCol w:w="1441"/>
              <w:gridCol w:w="1441"/>
              <w:gridCol w:w="1441"/>
            </w:tblGrid>
            <w:tr w14:paraId="5EBF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noWrap w:val="0"/>
                  <w:vAlign w:val="top"/>
                </w:tcPr>
                <w:p w14:paraId="23767BE2">
                  <w:pPr>
                    <w:spacing w:line="240" w:lineRule="auto"/>
                    <w:ind w:firstLine="0" w:firstLineChars="0"/>
                    <w:jc w:val="center"/>
                    <w:rPr>
                      <w:color w:val="auto"/>
                      <w:sz w:val="21"/>
                      <w:szCs w:val="21"/>
                    </w:rPr>
                  </w:pPr>
                  <w:r>
                    <w:rPr>
                      <w:rFonts w:hint="eastAsia"/>
                      <w:color w:val="auto"/>
                      <w:sz w:val="21"/>
                      <w:szCs w:val="21"/>
                    </w:rPr>
                    <w:t>强度等级</w:t>
                  </w:r>
                </w:p>
              </w:tc>
              <w:tc>
                <w:tcPr>
                  <w:tcW w:w="1494" w:type="dxa"/>
                  <w:noWrap w:val="0"/>
                  <w:vAlign w:val="top"/>
                </w:tcPr>
                <w:p w14:paraId="26B8A938">
                  <w:pPr>
                    <w:spacing w:line="240" w:lineRule="auto"/>
                    <w:ind w:firstLine="0" w:firstLineChars="0"/>
                    <w:jc w:val="center"/>
                    <w:rPr>
                      <w:rFonts w:hint="eastAsia" w:eastAsia="宋体"/>
                      <w:color w:val="auto"/>
                      <w:sz w:val="21"/>
                      <w:szCs w:val="21"/>
                      <w:lang w:eastAsia="zh-CN"/>
                    </w:rPr>
                  </w:pPr>
                  <w:r>
                    <w:rPr>
                      <w:rFonts w:hint="eastAsia"/>
                      <w:color w:val="auto"/>
                      <w:sz w:val="21"/>
                      <w:szCs w:val="21"/>
                    </w:rPr>
                    <w:t>NH</w:t>
                  </w:r>
                  <w:r>
                    <w:rPr>
                      <w:rFonts w:hint="eastAsia"/>
                      <w:color w:val="auto"/>
                      <w:sz w:val="21"/>
                      <w:szCs w:val="21"/>
                      <w:vertAlign w:val="subscript"/>
                    </w:rPr>
                    <w:t>3</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p>
              </w:tc>
              <w:tc>
                <w:tcPr>
                  <w:tcW w:w="1495" w:type="dxa"/>
                  <w:noWrap w:val="0"/>
                  <w:vAlign w:val="top"/>
                </w:tcPr>
                <w:p w14:paraId="38B2AF3E">
                  <w:pPr>
                    <w:spacing w:line="240" w:lineRule="auto"/>
                    <w:ind w:firstLine="0" w:firstLineChars="0"/>
                    <w:jc w:val="center"/>
                    <w:rPr>
                      <w:rFonts w:hint="eastAsia" w:eastAsia="宋体"/>
                      <w:color w:val="auto"/>
                      <w:sz w:val="21"/>
                      <w:szCs w:val="21"/>
                      <w:lang w:eastAsia="zh-CN"/>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p>
              </w:tc>
              <w:tc>
                <w:tcPr>
                  <w:tcW w:w="1495" w:type="dxa"/>
                  <w:noWrap w:val="0"/>
                  <w:vAlign w:val="top"/>
                </w:tcPr>
                <w:p w14:paraId="73EA6F1C">
                  <w:pPr>
                    <w:spacing w:line="240" w:lineRule="auto"/>
                    <w:ind w:firstLine="0" w:firstLineChars="0"/>
                    <w:jc w:val="center"/>
                    <w:rPr>
                      <w:color w:val="auto"/>
                      <w:sz w:val="21"/>
                      <w:szCs w:val="21"/>
                    </w:rPr>
                  </w:pPr>
                  <w:r>
                    <w:rPr>
                      <w:rFonts w:hint="eastAsia"/>
                      <w:color w:val="auto"/>
                      <w:sz w:val="21"/>
                      <w:szCs w:val="21"/>
                    </w:rPr>
                    <w:t>强度等级</w:t>
                  </w:r>
                </w:p>
              </w:tc>
              <w:tc>
                <w:tcPr>
                  <w:tcW w:w="1495" w:type="dxa"/>
                  <w:noWrap w:val="0"/>
                  <w:vAlign w:val="top"/>
                </w:tcPr>
                <w:p w14:paraId="506A034B">
                  <w:pPr>
                    <w:spacing w:line="240" w:lineRule="auto"/>
                    <w:ind w:firstLine="0" w:firstLineChars="0"/>
                    <w:jc w:val="center"/>
                    <w:rPr>
                      <w:rFonts w:hint="eastAsia" w:eastAsia="宋体"/>
                      <w:color w:val="auto"/>
                      <w:sz w:val="21"/>
                      <w:szCs w:val="21"/>
                      <w:lang w:eastAsia="zh-CN"/>
                    </w:rPr>
                  </w:pPr>
                  <w:r>
                    <w:rPr>
                      <w:rFonts w:hint="eastAsia"/>
                      <w:color w:val="auto"/>
                      <w:sz w:val="21"/>
                      <w:szCs w:val="21"/>
                    </w:rPr>
                    <w:t>NH</w:t>
                  </w:r>
                  <w:r>
                    <w:rPr>
                      <w:rFonts w:hint="eastAsia"/>
                      <w:color w:val="auto"/>
                      <w:sz w:val="21"/>
                      <w:szCs w:val="21"/>
                      <w:vertAlign w:val="subscript"/>
                    </w:rPr>
                    <w:t>3</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p>
              </w:tc>
              <w:tc>
                <w:tcPr>
                  <w:tcW w:w="1495" w:type="dxa"/>
                  <w:noWrap w:val="0"/>
                  <w:vAlign w:val="top"/>
                </w:tcPr>
                <w:p w14:paraId="079C514E">
                  <w:pPr>
                    <w:spacing w:line="240" w:lineRule="auto"/>
                    <w:ind w:firstLine="0" w:firstLineChars="0"/>
                    <w:jc w:val="center"/>
                    <w:rPr>
                      <w:rFonts w:hint="eastAsia" w:eastAsia="宋体"/>
                      <w:color w:val="auto"/>
                      <w:sz w:val="21"/>
                      <w:szCs w:val="21"/>
                      <w:lang w:eastAsia="zh-CN"/>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r>
                    <w:rPr>
                      <w:rFonts w:hint="eastAsia"/>
                      <w:color w:val="auto"/>
                      <w:sz w:val="21"/>
                      <w:szCs w:val="21"/>
                      <w:lang w:eastAsia="zh-CN"/>
                    </w:rPr>
                    <w:t>（</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p>
              </w:tc>
            </w:tr>
            <w:tr w14:paraId="3A10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noWrap w:val="0"/>
                  <w:vAlign w:val="top"/>
                </w:tcPr>
                <w:p w14:paraId="15154D75">
                  <w:pPr>
                    <w:spacing w:line="240" w:lineRule="auto"/>
                    <w:ind w:firstLine="0" w:firstLineChars="0"/>
                    <w:jc w:val="center"/>
                    <w:rPr>
                      <w:color w:val="auto"/>
                      <w:sz w:val="21"/>
                      <w:szCs w:val="21"/>
                    </w:rPr>
                  </w:pPr>
                  <w:r>
                    <w:rPr>
                      <w:rFonts w:hint="eastAsia"/>
                      <w:color w:val="auto"/>
                      <w:sz w:val="21"/>
                      <w:szCs w:val="21"/>
                    </w:rPr>
                    <w:t>1</w:t>
                  </w:r>
                </w:p>
              </w:tc>
              <w:tc>
                <w:tcPr>
                  <w:tcW w:w="1494" w:type="dxa"/>
                  <w:noWrap w:val="0"/>
                  <w:vAlign w:val="top"/>
                </w:tcPr>
                <w:p w14:paraId="31D5040E">
                  <w:pPr>
                    <w:spacing w:line="240" w:lineRule="auto"/>
                    <w:ind w:firstLine="0" w:firstLineChars="0"/>
                    <w:jc w:val="center"/>
                    <w:rPr>
                      <w:color w:val="auto"/>
                      <w:sz w:val="21"/>
                      <w:szCs w:val="21"/>
                    </w:rPr>
                  </w:pPr>
                  <w:r>
                    <w:rPr>
                      <w:rFonts w:hint="eastAsia"/>
                      <w:color w:val="auto"/>
                      <w:sz w:val="21"/>
                      <w:szCs w:val="21"/>
                    </w:rPr>
                    <w:t>0.1</w:t>
                  </w:r>
                </w:p>
              </w:tc>
              <w:tc>
                <w:tcPr>
                  <w:tcW w:w="1495" w:type="dxa"/>
                  <w:noWrap w:val="0"/>
                  <w:vAlign w:val="top"/>
                </w:tcPr>
                <w:p w14:paraId="27DEEF17">
                  <w:pPr>
                    <w:spacing w:line="240" w:lineRule="auto"/>
                    <w:ind w:firstLine="0" w:firstLineChars="0"/>
                    <w:jc w:val="center"/>
                    <w:rPr>
                      <w:color w:val="auto"/>
                      <w:sz w:val="21"/>
                      <w:szCs w:val="21"/>
                    </w:rPr>
                  </w:pPr>
                  <w:r>
                    <w:rPr>
                      <w:rFonts w:hint="eastAsia"/>
                      <w:color w:val="auto"/>
                      <w:sz w:val="21"/>
                      <w:szCs w:val="21"/>
                    </w:rPr>
                    <w:t>0.0005</w:t>
                  </w:r>
                </w:p>
              </w:tc>
              <w:tc>
                <w:tcPr>
                  <w:tcW w:w="1495" w:type="dxa"/>
                  <w:noWrap w:val="0"/>
                  <w:vAlign w:val="top"/>
                </w:tcPr>
                <w:p w14:paraId="36909D3D">
                  <w:pPr>
                    <w:spacing w:line="240" w:lineRule="auto"/>
                    <w:ind w:firstLine="0" w:firstLineChars="0"/>
                    <w:jc w:val="center"/>
                    <w:rPr>
                      <w:color w:val="auto"/>
                      <w:sz w:val="21"/>
                      <w:szCs w:val="21"/>
                    </w:rPr>
                  </w:pPr>
                  <w:r>
                    <w:rPr>
                      <w:rFonts w:hint="eastAsia"/>
                      <w:color w:val="auto"/>
                      <w:sz w:val="21"/>
                      <w:szCs w:val="21"/>
                    </w:rPr>
                    <w:t>3.5</w:t>
                  </w:r>
                </w:p>
              </w:tc>
              <w:tc>
                <w:tcPr>
                  <w:tcW w:w="1495" w:type="dxa"/>
                  <w:noWrap w:val="0"/>
                  <w:vAlign w:val="top"/>
                </w:tcPr>
                <w:p w14:paraId="4663F839">
                  <w:pPr>
                    <w:spacing w:line="240" w:lineRule="auto"/>
                    <w:ind w:firstLine="0" w:firstLineChars="0"/>
                    <w:jc w:val="center"/>
                    <w:rPr>
                      <w:color w:val="auto"/>
                      <w:sz w:val="21"/>
                      <w:szCs w:val="21"/>
                    </w:rPr>
                  </w:pPr>
                  <w:r>
                    <w:rPr>
                      <w:rFonts w:hint="eastAsia"/>
                      <w:color w:val="auto"/>
                      <w:sz w:val="21"/>
                      <w:szCs w:val="21"/>
                    </w:rPr>
                    <w:t>5</w:t>
                  </w:r>
                </w:p>
              </w:tc>
              <w:tc>
                <w:tcPr>
                  <w:tcW w:w="1495" w:type="dxa"/>
                  <w:noWrap w:val="0"/>
                  <w:vAlign w:val="top"/>
                </w:tcPr>
                <w:p w14:paraId="2C71D0A8">
                  <w:pPr>
                    <w:spacing w:line="240" w:lineRule="auto"/>
                    <w:ind w:firstLine="0" w:firstLineChars="0"/>
                    <w:jc w:val="center"/>
                    <w:rPr>
                      <w:color w:val="auto"/>
                      <w:sz w:val="21"/>
                      <w:szCs w:val="21"/>
                    </w:rPr>
                  </w:pPr>
                  <w:r>
                    <w:rPr>
                      <w:rFonts w:hint="eastAsia"/>
                      <w:color w:val="auto"/>
                      <w:sz w:val="21"/>
                      <w:szCs w:val="21"/>
                    </w:rPr>
                    <w:t>0.2</w:t>
                  </w:r>
                </w:p>
              </w:tc>
            </w:tr>
            <w:tr w14:paraId="1BC2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noWrap w:val="0"/>
                  <w:vAlign w:val="top"/>
                </w:tcPr>
                <w:p w14:paraId="3AF2840C">
                  <w:pPr>
                    <w:spacing w:line="240" w:lineRule="auto"/>
                    <w:ind w:firstLine="0" w:firstLineChars="0"/>
                    <w:jc w:val="center"/>
                    <w:rPr>
                      <w:color w:val="auto"/>
                      <w:sz w:val="21"/>
                      <w:szCs w:val="21"/>
                    </w:rPr>
                  </w:pPr>
                  <w:r>
                    <w:rPr>
                      <w:rFonts w:hint="eastAsia"/>
                      <w:color w:val="auto"/>
                      <w:sz w:val="21"/>
                      <w:szCs w:val="21"/>
                    </w:rPr>
                    <w:t>2</w:t>
                  </w:r>
                </w:p>
              </w:tc>
              <w:tc>
                <w:tcPr>
                  <w:tcW w:w="1494" w:type="dxa"/>
                  <w:noWrap w:val="0"/>
                  <w:vAlign w:val="top"/>
                </w:tcPr>
                <w:p w14:paraId="16EFDCBB">
                  <w:pPr>
                    <w:spacing w:line="240" w:lineRule="auto"/>
                    <w:ind w:firstLine="0" w:firstLineChars="0"/>
                    <w:jc w:val="center"/>
                    <w:rPr>
                      <w:color w:val="auto"/>
                      <w:sz w:val="21"/>
                      <w:szCs w:val="21"/>
                    </w:rPr>
                  </w:pPr>
                  <w:r>
                    <w:rPr>
                      <w:rFonts w:hint="eastAsia"/>
                      <w:color w:val="auto"/>
                      <w:sz w:val="21"/>
                      <w:szCs w:val="21"/>
                    </w:rPr>
                    <w:t>0.5</w:t>
                  </w:r>
                </w:p>
              </w:tc>
              <w:tc>
                <w:tcPr>
                  <w:tcW w:w="1495" w:type="dxa"/>
                  <w:noWrap w:val="0"/>
                  <w:vAlign w:val="top"/>
                </w:tcPr>
                <w:p w14:paraId="008D2993">
                  <w:pPr>
                    <w:spacing w:line="240" w:lineRule="auto"/>
                    <w:ind w:firstLine="0" w:firstLineChars="0"/>
                    <w:jc w:val="center"/>
                    <w:rPr>
                      <w:color w:val="auto"/>
                      <w:sz w:val="21"/>
                      <w:szCs w:val="21"/>
                    </w:rPr>
                  </w:pPr>
                  <w:r>
                    <w:rPr>
                      <w:rFonts w:hint="eastAsia"/>
                      <w:color w:val="auto"/>
                      <w:sz w:val="21"/>
                      <w:szCs w:val="21"/>
                    </w:rPr>
                    <w:t>0.006</w:t>
                  </w:r>
                </w:p>
              </w:tc>
              <w:tc>
                <w:tcPr>
                  <w:tcW w:w="1495" w:type="dxa"/>
                  <w:noWrap w:val="0"/>
                  <w:vAlign w:val="top"/>
                </w:tcPr>
                <w:p w14:paraId="373C87E4">
                  <w:pPr>
                    <w:spacing w:line="240" w:lineRule="auto"/>
                    <w:ind w:firstLine="0" w:firstLineChars="0"/>
                    <w:jc w:val="center"/>
                    <w:rPr>
                      <w:color w:val="auto"/>
                      <w:sz w:val="21"/>
                      <w:szCs w:val="21"/>
                    </w:rPr>
                  </w:pPr>
                  <w:r>
                    <w:rPr>
                      <w:rFonts w:hint="eastAsia"/>
                      <w:color w:val="auto"/>
                      <w:sz w:val="21"/>
                      <w:szCs w:val="21"/>
                    </w:rPr>
                    <w:t>4</w:t>
                  </w:r>
                </w:p>
              </w:tc>
              <w:tc>
                <w:tcPr>
                  <w:tcW w:w="1495" w:type="dxa"/>
                  <w:noWrap w:val="0"/>
                  <w:vAlign w:val="top"/>
                </w:tcPr>
                <w:p w14:paraId="307E10C3">
                  <w:pPr>
                    <w:spacing w:line="240" w:lineRule="auto"/>
                    <w:ind w:firstLine="0" w:firstLineChars="0"/>
                    <w:jc w:val="center"/>
                    <w:rPr>
                      <w:color w:val="auto"/>
                      <w:sz w:val="21"/>
                      <w:szCs w:val="21"/>
                    </w:rPr>
                  </w:pPr>
                  <w:r>
                    <w:rPr>
                      <w:rFonts w:hint="eastAsia"/>
                      <w:color w:val="auto"/>
                      <w:sz w:val="21"/>
                      <w:szCs w:val="21"/>
                    </w:rPr>
                    <w:t>10</w:t>
                  </w:r>
                </w:p>
              </w:tc>
              <w:tc>
                <w:tcPr>
                  <w:tcW w:w="1495" w:type="dxa"/>
                  <w:noWrap w:val="0"/>
                  <w:vAlign w:val="top"/>
                </w:tcPr>
                <w:p w14:paraId="3858160A">
                  <w:pPr>
                    <w:spacing w:line="240" w:lineRule="auto"/>
                    <w:ind w:firstLine="0" w:firstLineChars="0"/>
                    <w:jc w:val="center"/>
                    <w:rPr>
                      <w:color w:val="auto"/>
                      <w:sz w:val="21"/>
                      <w:szCs w:val="21"/>
                    </w:rPr>
                  </w:pPr>
                  <w:r>
                    <w:rPr>
                      <w:rFonts w:hint="eastAsia"/>
                      <w:color w:val="auto"/>
                      <w:sz w:val="21"/>
                      <w:szCs w:val="21"/>
                    </w:rPr>
                    <w:t>0.7</w:t>
                  </w:r>
                </w:p>
              </w:tc>
            </w:tr>
            <w:tr w14:paraId="191E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noWrap w:val="0"/>
                  <w:vAlign w:val="top"/>
                </w:tcPr>
                <w:p w14:paraId="71E33927">
                  <w:pPr>
                    <w:spacing w:line="240" w:lineRule="auto"/>
                    <w:ind w:firstLine="0" w:firstLineChars="0"/>
                    <w:jc w:val="center"/>
                    <w:rPr>
                      <w:color w:val="auto"/>
                      <w:sz w:val="21"/>
                      <w:szCs w:val="21"/>
                    </w:rPr>
                  </w:pPr>
                  <w:r>
                    <w:rPr>
                      <w:rFonts w:hint="eastAsia"/>
                      <w:color w:val="auto"/>
                      <w:sz w:val="21"/>
                      <w:szCs w:val="21"/>
                    </w:rPr>
                    <w:t>2.5</w:t>
                  </w:r>
                </w:p>
              </w:tc>
              <w:tc>
                <w:tcPr>
                  <w:tcW w:w="1494" w:type="dxa"/>
                  <w:noWrap w:val="0"/>
                  <w:vAlign w:val="top"/>
                </w:tcPr>
                <w:p w14:paraId="5EC24A60">
                  <w:pPr>
                    <w:spacing w:line="240" w:lineRule="auto"/>
                    <w:ind w:firstLine="0" w:firstLineChars="0"/>
                    <w:jc w:val="center"/>
                    <w:rPr>
                      <w:color w:val="auto"/>
                      <w:sz w:val="21"/>
                      <w:szCs w:val="21"/>
                    </w:rPr>
                  </w:pPr>
                  <w:r>
                    <w:rPr>
                      <w:rFonts w:hint="eastAsia"/>
                      <w:color w:val="auto"/>
                      <w:sz w:val="21"/>
                      <w:szCs w:val="21"/>
                    </w:rPr>
                    <w:t>1.0</w:t>
                  </w:r>
                </w:p>
              </w:tc>
              <w:tc>
                <w:tcPr>
                  <w:tcW w:w="1495" w:type="dxa"/>
                  <w:noWrap w:val="0"/>
                  <w:vAlign w:val="top"/>
                </w:tcPr>
                <w:p w14:paraId="3CD0761E">
                  <w:pPr>
                    <w:spacing w:line="240" w:lineRule="auto"/>
                    <w:ind w:firstLine="0" w:firstLineChars="0"/>
                    <w:jc w:val="center"/>
                    <w:rPr>
                      <w:color w:val="auto"/>
                      <w:sz w:val="21"/>
                      <w:szCs w:val="21"/>
                    </w:rPr>
                  </w:pPr>
                  <w:r>
                    <w:rPr>
                      <w:rFonts w:hint="eastAsia"/>
                      <w:color w:val="auto"/>
                      <w:sz w:val="21"/>
                      <w:szCs w:val="21"/>
                    </w:rPr>
                    <w:t>0.02</w:t>
                  </w:r>
                </w:p>
              </w:tc>
              <w:tc>
                <w:tcPr>
                  <w:tcW w:w="1495" w:type="dxa"/>
                  <w:noWrap w:val="0"/>
                  <w:vAlign w:val="top"/>
                </w:tcPr>
                <w:p w14:paraId="4479DE08">
                  <w:pPr>
                    <w:spacing w:line="240" w:lineRule="auto"/>
                    <w:ind w:firstLine="0" w:firstLineChars="0"/>
                    <w:jc w:val="center"/>
                    <w:rPr>
                      <w:color w:val="auto"/>
                      <w:sz w:val="21"/>
                      <w:szCs w:val="21"/>
                    </w:rPr>
                  </w:pPr>
                  <w:r>
                    <w:rPr>
                      <w:rFonts w:hint="eastAsia"/>
                      <w:color w:val="auto"/>
                      <w:sz w:val="21"/>
                      <w:szCs w:val="21"/>
                    </w:rPr>
                    <w:t>5</w:t>
                  </w:r>
                </w:p>
              </w:tc>
              <w:tc>
                <w:tcPr>
                  <w:tcW w:w="1495" w:type="dxa"/>
                  <w:noWrap w:val="0"/>
                  <w:vAlign w:val="top"/>
                </w:tcPr>
                <w:p w14:paraId="79D6FDF0">
                  <w:pPr>
                    <w:spacing w:line="240" w:lineRule="auto"/>
                    <w:ind w:firstLine="0" w:firstLineChars="0"/>
                    <w:jc w:val="center"/>
                    <w:rPr>
                      <w:color w:val="auto"/>
                      <w:sz w:val="21"/>
                      <w:szCs w:val="21"/>
                    </w:rPr>
                  </w:pPr>
                  <w:r>
                    <w:rPr>
                      <w:rFonts w:hint="eastAsia"/>
                      <w:color w:val="auto"/>
                      <w:sz w:val="21"/>
                      <w:szCs w:val="21"/>
                    </w:rPr>
                    <w:t>40</w:t>
                  </w:r>
                </w:p>
              </w:tc>
              <w:tc>
                <w:tcPr>
                  <w:tcW w:w="1495" w:type="dxa"/>
                  <w:noWrap w:val="0"/>
                  <w:vAlign w:val="top"/>
                </w:tcPr>
                <w:p w14:paraId="55E502EC">
                  <w:pPr>
                    <w:spacing w:line="240" w:lineRule="auto"/>
                    <w:ind w:firstLine="0" w:firstLineChars="0"/>
                    <w:jc w:val="center"/>
                    <w:rPr>
                      <w:color w:val="auto"/>
                      <w:sz w:val="21"/>
                      <w:szCs w:val="21"/>
                    </w:rPr>
                  </w:pPr>
                  <w:r>
                    <w:rPr>
                      <w:rFonts w:hint="eastAsia"/>
                      <w:color w:val="auto"/>
                      <w:sz w:val="21"/>
                      <w:szCs w:val="21"/>
                    </w:rPr>
                    <w:t>8</w:t>
                  </w:r>
                </w:p>
              </w:tc>
            </w:tr>
            <w:tr w14:paraId="448B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noWrap w:val="0"/>
                  <w:vAlign w:val="top"/>
                </w:tcPr>
                <w:p w14:paraId="73C0EE5A">
                  <w:pPr>
                    <w:spacing w:line="240" w:lineRule="auto"/>
                    <w:ind w:firstLine="0" w:firstLineChars="0"/>
                    <w:jc w:val="center"/>
                    <w:rPr>
                      <w:color w:val="auto"/>
                      <w:sz w:val="21"/>
                      <w:szCs w:val="21"/>
                    </w:rPr>
                  </w:pPr>
                  <w:r>
                    <w:rPr>
                      <w:rFonts w:hint="eastAsia"/>
                      <w:color w:val="auto"/>
                      <w:sz w:val="21"/>
                      <w:szCs w:val="21"/>
                    </w:rPr>
                    <w:t>3</w:t>
                  </w:r>
                </w:p>
              </w:tc>
              <w:tc>
                <w:tcPr>
                  <w:tcW w:w="1494" w:type="dxa"/>
                  <w:noWrap w:val="0"/>
                  <w:vAlign w:val="top"/>
                </w:tcPr>
                <w:p w14:paraId="1E38F53C">
                  <w:pPr>
                    <w:spacing w:line="240" w:lineRule="auto"/>
                    <w:ind w:firstLine="0" w:firstLineChars="0"/>
                    <w:jc w:val="center"/>
                    <w:rPr>
                      <w:color w:val="auto"/>
                      <w:sz w:val="21"/>
                      <w:szCs w:val="21"/>
                    </w:rPr>
                  </w:pPr>
                  <w:r>
                    <w:rPr>
                      <w:rFonts w:hint="eastAsia"/>
                      <w:color w:val="auto"/>
                      <w:sz w:val="21"/>
                      <w:szCs w:val="21"/>
                    </w:rPr>
                    <w:t>2</w:t>
                  </w:r>
                </w:p>
              </w:tc>
              <w:tc>
                <w:tcPr>
                  <w:tcW w:w="1495" w:type="dxa"/>
                  <w:noWrap w:val="0"/>
                  <w:vAlign w:val="top"/>
                </w:tcPr>
                <w:p w14:paraId="2723FE31">
                  <w:pPr>
                    <w:spacing w:line="240" w:lineRule="auto"/>
                    <w:ind w:firstLine="0" w:firstLineChars="0"/>
                    <w:jc w:val="center"/>
                    <w:rPr>
                      <w:color w:val="auto"/>
                      <w:sz w:val="21"/>
                      <w:szCs w:val="21"/>
                    </w:rPr>
                  </w:pPr>
                  <w:r>
                    <w:rPr>
                      <w:rFonts w:hint="eastAsia"/>
                      <w:color w:val="auto"/>
                      <w:sz w:val="21"/>
                      <w:szCs w:val="21"/>
                    </w:rPr>
                    <w:t>0.06</w:t>
                  </w:r>
                </w:p>
              </w:tc>
              <w:tc>
                <w:tcPr>
                  <w:tcW w:w="1495" w:type="dxa"/>
                  <w:noWrap w:val="0"/>
                  <w:vAlign w:val="top"/>
                </w:tcPr>
                <w:p w14:paraId="5DD758B6">
                  <w:pPr>
                    <w:spacing w:line="240" w:lineRule="auto"/>
                    <w:ind w:firstLine="0" w:firstLineChars="0"/>
                    <w:jc w:val="center"/>
                    <w:rPr>
                      <w:color w:val="auto"/>
                      <w:sz w:val="21"/>
                      <w:szCs w:val="21"/>
                    </w:rPr>
                  </w:pPr>
                  <w:r>
                    <w:rPr>
                      <w:rFonts w:hint="eastAsia"/>
                      <w:color w:val="auto"/>
                      <w:sz w:val="21"/>
                      <w:szCs w:val="21"/>
                    </w:rPr>
                    <w:t>臭气特征</w:t>
                  </w:r>
                </w:p>
              </w:tc>
              <w:tc>
                <w:tcPr>
                  <w:tcW w:w="1495" w:type="dxa"/>
                  <w:noWrap w:val="0"/>
                  <w:vAlign w:val="top"/>
                </w:tcPr>
                <w:p w14:paraId="52AFF503">
                  <w:pPr>
                    <w:spacing w:line="240" w:lineRule="auto"/>
                    <w:ind w:firstLine="0" w:firstLineChars="0"/>
                    <w:jc w:val="center"/>
                    <w:rPr>
                      <w:color w:val="auto"/>
                      <w:sz w:val="21"/>
                      <w:szCs w:val="21"/>
                    </w:rPr>
                  </w:pPr>
                  <w:r>
                    <w:rPr>
                      <w:rFonts w:hint="eastAsia"/>
                      <w:color w:val="auto"/>
                      <w:sz w:val="21"/>
                      <w:szCs w:val="21"/>
                    </w:rPr>
                    <w:t>刺激臭</w:t>
                  </w:r>
                </w:p>
              </w:tc>
              <w:tc>
                <w:tcPr>
                  <w:tcW w:w="1495" w:type="dxa"/>
                  <w:noWrap w:val="0"/>
                  <w:vAlign w:val="top"/>
                </w:tcPr>
                <w:p w14:paraId="3BC63869">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臭蛋</w:t>
                  </w:r>
                  <w:r>
                    <w:rPr>
                      <w:rFonts w:hint="eastAsia"/>
                      <w:color w:val="auto"/>
                      <w:sz w:val="21"/>
                      <w:szCs w:val="21"/>
                      <w:lang w:val="en-US" w:eastAsia="zh-CN"/>
                    </w:rPr>
                    <w:t>味</w:t>
                  </w:r>
                </w:p>
              </w:tc>
            </w:tr>
          </w:tbl>
          <w:p w14:paraId="2A73DFCF">
            <w:pPr>
              <w:ind w:firstLine="480" w:firstLineChars="200"/>
              <w:jc w:val="both"/>
              <w:rPr>
                <w:color w:val="auto"/>
                <w:szCs w:val="24"/>
              </w:rPr>
            </w:pPr>
            <w:r>
              <w:rPr>
                <w:rFonts w:hint="eastAsia"/>
                <w:color w:val="auto"/>
                <w:szCs w:val="24"/>
              </w:rPr>
              <w:t>屠宰车间内能够容易感到轻微臭味，类比同类项目情况可知，生猪屠宰车间内臭气强度一般为2~3级，本次环评屠宰车间内臭气强度按2.5级计，屠宰车间内NH</w:t>
            </w:r>
            <w:r>
              <w:rPr>
                <w:rFonts w:hint="eastAsia"/>
                <w:color w:val="auto"/>
                <w:szCs w:val="24"/>
                <w:vertAlign w:val="subscript"/>
              </w:rPr>
              <w:t>3</w:t>
            </w:r>
            <w:r>
              <w:rPr>
                <w:rFonts w:hint="eastAsia"/>
                <w:color w:val="auto"/>
                <w:szCs w:val="24"/>
              </w:rPr>
              <w:t>和H</w:t>
            </w:r>
            <w:r>
              <w:rPr>
                <w:rFonts w:hint="eastAsia"/>
                <w:color w:val="auto"/>
                <w:szCs w:val="24"/>
                <w:vertAlign w:val="subscript"/>
              </w:rPr>
              <w:t>2</w:t>
            </w:r>
            <w:r>
              <w:rPr>
                <w:rFonts w:hint="eastAsia"/>
                <w:color w:val="auto"/>
                <w:szCs w:val="24"/>
              </w:rPr>
              <w:t>S浓度分别为1.0</w:t>
            </w:r>
            <w:r>
              <w:rPr>
                <w:rFonts w:hint="eastAsia"/>
                <w:color w:val="auto"/>
                <w:szCs w:val="24"/>
                <w:lang w:val="en-US" w:eastAsia="zh-CN"/>
              </w:rPr>
              <w:t xml:space="preserve"> </w:t>
            </w:r>
            <w:r>
              <w:rPr>
                <w:rFonts w:hint="eastAsia"/>
                <w:color w:val="auto"/>
                <w:szCs w:val="24"/>
              </w:rPr>
              <w:t>mg/m</w:t>
            </w:r>
            <w:r>
              <w:rPr>
                <w:rFonts w:hint="eastAsia"/>
                <w:color w:val="auto"/>
                <w:szCs w:val="24"/>
                <w:vertAlign w:val="superscript"/>
              </w:rPr>
              <w:t>3</w:t>
            </w:r>
            <w:r>
              <w:rPr>
                <w:rFonts w:hint="eastAsia"/>
                <w:color w:val="auto"/>
                <w:szCs w:val="24"/>
              </w:rPr>
              <w:t>、0.02</w:t>
            </w:r>
            <w:r>
              <w:rPr>
                <w:rFonts w:hint="eastAsia"/>
                <w:color w:val="auto"/>
                <w:szCs w:val="24"/>
                <w:lang w:val="en-US" w:eastAsia="zh-CN"/>
              </w:rPr>
              <w:t xml:space="preserve"> </w:t>
            </w:r>
            <w:r>
              <w:rPr>
                <w:rFonts w:hint="eastAsia"/>
                <w:color w:val="auto"/>
                <w:szCs w:val="24"/>
              </w:rPr>
              <w:t>mg/m</w:t>
            </w:r>
            <w:r>
              <w:rPr>
                <w:rFonts w:hint="eastAsia"/>
                <w:color w:val="auto"/>
                <w:szCs w:val="24"/>
                <w:vertAlign w:val="superscript"/>
              </w:rPr>
              <w:t>3</w:t>
            </w:r>
            <w:r>
              <w:rPr>
                <w:rFonts w:hint="eastAsia"/>
                <w:color w:val="auto"/>
                <w:szCs w:val="24"/>
              </w:rPr>
              <w:t>。</w:t>
            </w:r>
          </w:p>
          <w:p w14:paraId="13C16D75">
            <w:pPr>
              <w:ind w:firstLine="480" w:firstLineChars="200"/>
              <w:jc w:val="both"/>
              <w:rPr>
                <w:rFonts w:hint="eastAsia"/>
                <w:color w:val="auto"/>
                <w:szCs w:val="24"/>
              </w:rPr>
            </w:pPr>
            <w:r>
              <w:rPr>
                <w:rFonts w:hint="eastAsia"/>
                <w:color w:val="auto"/>
                <w:szCs w:val="24"/>
              </w:rPr>
              <w:t>环评要求建设单位对屠宰车间采取以下污染防治措施：屠宰车间封闭；往屠宰车间空气中喷洒无毒副作用的生物除臭剂</w:t>
            </w:r>
            <w:r>
              <w:rPr>
                <w:rFonts w:hint="eastAsia"/>
                <w:color w:val="auto"/>
                <w:szCs w:val="24"/>
                <w:lang w:eastAsia="zh-CN"/>
              </w:rPr>
              <w:t>（</w:t>
            </w:r>
            <w:r>
              <w:rPr>
                <w:rFonts w:hint="eastAsia"/>
                <w:color w:val="auto"/>
                <w:szCs w:val="24"/>
              </w:rPr>
              <w:t>去除率取</w:t>
            </w:r>
            <w:r>
              <w:rPr>
                <w:rFonts w:hint="eastAsia"/>
                <w:color w:val="auto"/>
                <w:szCs w:val="24"/>
                <w:lang w:val="en-US" w:eastAsia="zh-CN"/>
              </w:rPr>
              <w:t>6</w:t>
            </w:r>
            <w:r>
              <w:rPr>
                <w:rFonts w:hint="eastAsia"/>
                <w:color w:val="auto"/>
                <w:szCs w:val="24"/>
              </w:rPr>
              <w:t>0%</w:t>
            </w:r>
            <w:r>
              <w:rPr>
                <w:rFonts w:hint="eastAsia"/>
                <w:color w:val="auto"/>
                <w:szCs w:val="24"/>
                <w:lang w:eastAsia="zh-CN"/>
              </w:rPr>
              <w:t>）</w:t>
            </w:r>
            <w:r>
              <w:rPr>
                <w:rFonts w:hint="eastAsia"/>
                <w:color w:val="auto"/>
                <w:szCs w:val="24"/>
              </w:rPr>
              <w:t>；屠宰作业结束后，及时冲洗屠宰车间；将猪血收集后密闭存放于集血间；及时清理肠胃内容物、不可食用内脏、碎肉、骨渣，并采用密闭专用容器收集。</w:t>
            </w:r>
          </w:p>
          <w:p w14:paraId="2FFEF931">
            <w:pPr>
              <w:pStyle w:val="9"/>
              <w:rPr>
                <w:rFonts w:hint="eastAsia"/>
                <w:color w:val="auto"/>
                <w:szCs w:val="24"/>
              </w:rPr>
            </w:pPr>
            <w:r>
              <w:rPr>
                <w:rFonts w:hint="eastAsia"/>
                <w:color w:val="auto"/>
                <w:szCs w:val="24"/>
              </w:rPr>
              <w:t>参照《肉联厂对周围大气的污染及其卫生防护距离分析》</w:t>
            </w:r>
            <w:r>
              <w:rPr>
                <w:rFonts w:hint="eastAsia"/>
                <w:color w:val="auto"/>
                <w:szCs w:val="24"/>
                <w:lang w:eastAsia="zh-CN"/>
              </w:rPr>
              <w:t>（</w:t>
            </w:r>
            <w:r>
              <w:rPr>
                <w:rFonts w:hint="eastAsia"/>
                <w:color w:val="auto"/>
                <w:szCs w:val="24"/>
              </w:rPr>
              <w:t>辛峰，蒋蓉芳，赵金镯等，环境与职业医学，2012年1月，第29卷第1期</w:t>
            </w:r>
            <w:r>
              <w:rPr>
                <w:rFonts w:hint="eastAsia"/>
                <w:color w:val="auto"/>
                <w:szCs w:val="24"/>
                <w:lang w:eastAsia="zh-CN"/>
              </w:rPr>
              <w:t>）</w:t>
            </w:r>
            <w:r>
              <w:rPr>
                <w:rFonts w:hint="eastAsia"/>
                <w:color w:val="auto"/>
                <w:szCs w:val="24"/>
              </w:rPr>
              <w:t>中实测数据确定</w:t>
            </w:r>
            <w:r>
              <w:rPr>
                <w:rFonts w:hint="eastAsia"/>
                <w:color w:val="auto"/>
                <w:szCs w:val="24"/>
                <w:lang w:val="en-US" w:eastAsia="zh-CN"/>
              </w:rPr>
              <w:t>本</w:t>
            </w:r>
            <w:r>
              <w:rPr>
                <w:rFonts w:hint="eastAsia"/>
                <w:color w:val="auto"/>
                <w:szCs w:val="24"/>
              </w:rPr>
              <w:t>项目屠宰车间恶臭污染物源强，该肉联厂</w:t>
            </w:r>
            <w:r>
              <w:rPr>
                <w:rFonts w:hint="eastAsia"/>
                <w:color w:val="auto"/>
                <w:szCs w:val="24"/>
                <w:lang w:eastAsia="zh-CN"/>
              </w:rPr>
              <w:t>（</w:t>
            </w:r>
            <w:r>
              <w:rPr>
                <w:rFonts w:hint="eastAsia"/>
                <w:color w:val="auto"/>
                <w:szCs w:val="24"/>
              </w:rPr>
              <w:t>日屠宰6500头生猪</w:t>
            </w:r>
            <w:r>
              <w:rPr>
                <w:rFonts w:hint="eastAsia"/>
                <w:color w:val="auto"/>
                <w:szCs w:val="24"/>
                <w:lang w:eastAsia="zh-CN"/>
              </w:rPr>
              <w:t>）</w:t>
            </w:r>
            <w:r>
              <w:rPr>
                <w:rFonts w:hint="eastAsia"/>
                <w:color w:val="auto"/>
                <w:szCs w:val="24"/>
              </w:rPr>
              <w:t>无组织恶臭污染物NH</w:t>
            </w:r>
            <w:r>
              <w:rPr>
                <w:rFonts w:hint="eastAsia"/>
                <w:color w:val="auto"/>
                <w:szCs w:val="24"/>
                <w:vertAlign w:val="subscript"/>
              </w:rPr>
              <w:t>3</w:t>
            </w:r>
            <w:r>
              <w:rPr>
                <w:rFonts w:hint="eastAsia"/>
                <w:color w:val="auto"/>
                <w:szCs w:val="24"/>
              </w:rPr>
              <w:t>、H</w:t>
            </w:r>
            <w:r>
              <w:rPr>
                <w:rFonts w:hint="eastAsia"/>
                <w:color w:val="auto"/>
                <w:szCs w:val="24"/>
                <w:vertAlign w:val="subscript"/>
                <w:lang w:val="en-US" w:eastAsia="zh-CN"/>
              </w:rPr>
              <w:t>2</w:t>
            </w:r>
            <w:r>
              <w:rPr>
                <w:rFonts w:hint="eastAsia"/>
                <w:color w:val="auto"/>
                <w:szCs w:val="24"/>
              </w:rPr>
              <w:t>S排放源强分别介于0.245~2.182</w:t>
            </w:r>
            <w:r>
              <w:rPr>
                <w:rFonts w:hint="eastAsia"/>
                <w:color w:val="auto"/>
                <w:szCs w:val="24"/>
                <w:lang w:val="en-US" w:eastAsia="zh-CN"/>
              </w:rPr>
              <w:t xml:space="preserve"> </w:t>
            </w:r>
            <w:r>
              <w:rPr>
                <w:rFonts w:hint="eastAsia"/>
                <w:color w:val="auto"/>
                <w:szCs w:val="24"/>
              </w:rPr>
              <w:t>kg</w:t>
            </w:r>
            <w:r>
              <w:rPr>
                <w:rFonts w:hint="eastAsia"/>
                <w:color w:val="auto"/>
                <w:szCs w:val="24"/>
                <w:lang w:val="en-US" w:eastAsia="zh-CN"/>
              </w:rPr>
              <w:t>/</w:t>
            </w:r>
            <w:r>
              <w:rPr>
                <w:rFonts w:hint="eastAsia"/>
                <w:color w:val="auto"/>
                <w:szCs w:val="24"/>
              </w:rPr>
              <w:t>h、0.004~0.087</w:t>
            </w:r>
            <w:r>
              <w:rPr>
                <w:rFonts w:hint="eastAsia"/>
                <w:color w:val="auto"/>
                <w:szCs w:val="24"/>
                <w:lang w:val="en-US" w:eastAsia="zh-CN"/>
              </w:rPr>
              <w:t xml:space="preserve"> </w:t>
            </w:r>
            <w:r>
              <w:rPr>
                <w:rFonts w:hint="eastAsia"/>
                <w:color w:val="auto"/>
                <w:szCs w:val="24"/>
              </w:rPr>
              <w:t>kg</w:t>
            </w:r>
            <w:r>
              <w:rPr>
                <w:rFonts w:hint="eastAsia"/>
                <w:color w:val="auto"/>
                <w:szCs w:val="24"/>
                <w:lang w:val="en-US" w:eastAsia="zh-CN"/>
              </w:rPr>
              <w:t>/</w:t>
            </w:r>
            <w:r>
              <w:rPr>
                <w:rFonts w:hint="eastAsia"/>
                <w:color w:val="auto"/>
                <w:szCs w:val="24"/>
              </w:rPr>
              <w:t>h之间</w:t>
            </w:r>
            <w:r>
              <w:rPr>
                <w:rFonts w:hint="eastAsia"/>
                <w:color w:val="auto"/>
                <w:szCs w:val="24"/>
                <w:lang w:eastAsia="zh-CN"/>
              </w:rPr>
              <w:t>，本</w:t>
            </w:r>
            <w:r>
              <w:rPr>
                <w:rFonts w:hint="eastAsia"/>
                <w:color w:val="auto"/>
                <w:szCs w:val="24"/>
              </w:rPr>
              <w:t>项目</w:t>
            </w:r>
            <w:r>
              <w:rPr>
                <w:rFonts w:hint="eastAsia"/>
                <w:color w:val="auto"/>
                <w:szCs w:val="24"/>
                <w:lang w:val="en-US" w:eastAsia="zh-CN"/>
              </w:rPr>
              <w:t>考虑最不利环境影响，</w:t>
            </w:r>
            <w:r>
              <w:rPr>
                <w:rFonts w:hint="eastAsia"/>
                <w:color w:val="auto"/>
                <w:szCs w:val="24"/>
              </w:rPr>
              <w:t>取最大值进行类比计算，即NH</w:t>
            </w:r>
            <w:r>
              <w:rPr>
                <w:rFonts w:hint="eastAsia"/>
                <w:color w:val="auto"/>
                <w:szCs w:val="24"/>
                <w:vertAlign w:val="subscript"/>
              </w:rPr>
              <w:t>3</w:t>
            </w:r>
            <w:r>
              <w:rPr>
                <w:rFonts w:hint="eastAsia"/>
                <w:color w:val="auto"/>
                <w:szCs w:val="24"/>
              </w:rPr>
              <w:t>、H</w:t>
            </w:r>
            <w:r>
              <w:rPr>
                <w:rFonts w:hint="eastAsia"/>
                <w:color w:val="auto"/>
                <w:szCs w:val="24"/>
                <w:vertAlign w:val="subscript"/>
                <w:lang w:val="en-US" w:eastAsia="zh-CN"/>
              </w:rPr>
              <w:t>2</w:t>
            </w:r>
            <w:r>
              <w:rPr>
                <w:rFonts w:hint="eastAsia"/>
                <w:color w:val="auto"/>
                <w:szCs w:val="24"/>
              </w:rPr>
              <w:t>S排放源强分别取2.182</w:t>
            </w:r>
            <w:r>
              <w:rPr>
                <w:rFonts w:hint="eastAsia"/>
                <w:color w:val="auto"/>
                <w:szCs w:val="24"/>
                <w:lang w:val="en-US" w:eastAsia="zh-CN"/>
              </w:rPr>
              <w:t xml:space="preserve"> </w:t>
            </w:r>
            <w:r>
              <w:rPr>
                <w:rFonts w:hint="eastAsia"/>
                <w:color w:val="auto"/>
                <w:szCs w:val="24"/>
              </w:rPr>
              <w:t>kg</w:t>
            </w:r>
            <w:r>
              <w:rPr>
                <w:rFonts w:hint="eastAsia"/>
                <w:color w:val="auto"/>
                <w:szCs w:val="24"/>
                <w:lang w:val="en-US" w:eastAsia="zh-CN"/>
              </w:rPr>
              <w:t>/h</w:t>
            </w:r>
            <w:r>
              <w:rPr>
                <w:rFonts w:hint="eastAsia"/>
                <w:color w:val="auto"/>
                <w:szCs w:val="24"/>
              </w:rPr>
              <w:t>、0.087</w:t>
            </w:r>
            <w:r>
              <w:rPr>
                <w:rFonts w:hint="eastAsia"/>
                <w:color w:val="auto"/>
                <w:szCs w:val="24"/>
                <w:lang w:val="en-US" w:eastAsia="zh-CN"/>
              </w:rPr>
              <w:t xml:space="preserve"> </w:t>
            </w:r>
            <w:r>
              <w:rPr>
                <w:rFonts w:hint="eastAsia"/>
                <w:color w:val="auto"/>
                <w:szCs w:val="24"/>
              </w:rPr>
              <w:t>kg/h</w:t>
            </w:r>
            <w:r>
              <w:rPr>
                <w:rFonts w:hint="eastAsia"/>
                <w:color w:val="auto"/>
                <w:szCs w:val="24"/>
                <w:lang w:eastAsia="zh-CN"/>
              </w:rPr>
              <w:t>（</w:t>
            </w:r>
            <w:r>
              <w:rPr>
                <w:rFonts w:hint="eastAsia"/>
                <w:color w:val="auto"/>
                <w:szCs w:val="24"/>
              </w:rPr>
              <w:t>《肉联厂对周围大气的污染及其卫生防护距离分析》</w:t>
            </w:r>
            <w:r>
              <w:rPr>
                <w:rFonts w:hint="eastAsia"/>
                <w:color w:val="auto"/>
                <w:szCs w:val="24"/>
                <w:lang w:val="en-US" w:eastAsia="zh-CN"/>
              </w:rPr>
              <w:t>一文中未对恶臭进行处理，故</w:t>
            </w:r>
            <w:r>
              <w:rPr>
                <w:rFonts w:hint="eastAsia"/>
                <w:color w:val="auto"/>
                <w:szCs w:val="24"/>
              </w:rPr>
              <w:t>NH</w:t>
            </w:r>
            <w:r>
              <w:rPr>
                <w:rFonts w:hint="eastAsia"/>
                <w:color w:val="auto"/>
                <w:szCs w:val="24"/>
                <w:vertAlign w:val="subscript"/>
              </w:rPr>
              <w:t>3</w:t>
            </w:r>
            <w:r>
              <w:rPr>
                <w:rFonts w:hint="eastAsia"/>
                <w:color w:val="auto"/>
                <w:szCs w:val="24"/>
              </w:rPr>
              <w:t>、H</w:t>
            </w:r>
            <w:r>
              <w:rPr>
                <w:rFonts w:hint="eastAsia"/>
                <w:color w:val="auto"/>
                <w:szCs w:val="24"/>
                <w:vertAlign w:val="subscript"/>
                <w:lang w:val="en-US" w:eastAsia="zh-CN"/>
              </w:rPr>
              <w:t>2</w:t>
            </w:r>
            <w:r>
              <w:rPr>
                <w:rFonts w:hint="eastAsia"/>
                <w:color w:val="auto"/>
                <w:szCs w:val="24"/>
              </w:rPr>
              <w:t>S排放源强</w:t>
            </w:r>
            <w:r>
              <w:rPr>
                <w:rFonts w:hint="eastAsia"/>
                <w:color w:val="auto"/>
                <w:szCs w:val="24"/>
                <w:lang w:val="en-US" w:eastAsia="zh-CN"/>
              </w:rPr>
              <w:t>即为产生源强</w:t>
            </w:r>
            <w:r>
              <w:rPr>
                <w:rFonts w:hint="eastAsia"/>
                <w:color w:val="auto"/>
                <w:szCs w:val="24"/>
                <w:lang w:eastAsia="zh-CN"/>
              </w:rPr>
              <w:t>）</w:t>
            </w:r>
            <w:r>
              <w:rPr>
                <w:rFonts w:hint="eastAsia"/>
                <w:color w:val="auto"/>
                <w:szCs w:val="24"/>
              </w:rPr>
              <w:t>。</w:t>
            </w:r>
          </w:p>
          <w:p w14:paraId="25EE9196">
            <w:pPr>
              <w:spacing w:line="360" w:lineRule="auto"/>
              <w:ind w:firstLine="480" w:firstLineChars="200"/>
              <w:rPr>
                <w:rFonts w:ascii="Times New Roman"/>
                <w:color w:val="auto"/>
                <w:sz w:val="24"/>
                <w:szCs w:val="24"/>
              </w:rPr>
            </w:pPr>
            <w:r>
              <w:rPr>
                <w:rFonts w:hint="default" w:ascii="Times New Roman" w:hAnsi="Times New Roman" w:eastAsia="宋体" w:cs="Times New Roman"/>
                <w:color w:val="auto"/>
                <w:kern w:val="2"/>
                <w:sz w:val="24"/>
                <w:szCs w:val="24"/>
                <w:u w:val="none"/>
                <w:lang w:val="en-US" w:eastAsia="zh-CN" w:bidi="ar-SA"/>
              </w:rPr>
              <w:t>参照《养猪场恶臭影响量化分析及控制对策研究》（天津市环境影响评价中心，孙艳青、张潞、李万庆）：生猪NH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的产生量为5.</w:t>
            </w:r>
            <w:r>
              <w:rPr>
                <w:rFonts w:hint="eastAsia" w:ascii="Times New Roman" w:hAnsi="Times New Roman" w:eastAsia="宋体" w:cs="Times New Roman"/>
                <w:color w:val="auto"/>
                <w:kern w:val="2"/>
                <w:sz w:val="24"/>
                <w:szCs w:val="24"/>
                <w:u w:val="none"/>
                <w:lang w:val="en-US" w:eastAsia="zh-CN" w:bidi="ar-SA"/>
              </w:rPr>
              <w:t>7</w:t>
            </w:r>
            <w:r>
              <w:rPr>
                <w:rFonts w:hint="default" w:ascii="Times New Roman" w:hAnsi="Times New Roman" w:eastAsia="宋体" w:cs="Times New Roman"/>
                <w:color w:val="auto"/>
                <w:kern w:val="2"/>
                <w:sz w:val="24"/>
                <w:szCs w:val="24"/>
                <w:u w:val="none"/>
                <w:lang w:val="en-US" w:eastAsia="zh-CN" w:bidi="ar-SA"/>
              </w:rPr>
              <w:t>g/（头·d），H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S的产生量为0.5g/（头·d）。</w:t>
            </w:r>
            <w:r>
              <w:rPr>
                <w:rFonts w:hint="eastAsia" w:ascii="Times New Roman"/>
                <w:color w:val="auto"/>
                <w:sz w:val="24"/>
                <w:szCs w:val="24"/>
                <w:lang w:val="en-US" w:eastAsia="zh-CN"/>
              </w:rPr>
              <w:t>参考</w:t>
            </w:r>
            <w:r>
              <w:rPr>
                <w:rFonts w:ascii="Times New Roman"/>
                <w:color w:val="auto"/>
                <w:sz w:val="24"/>
                <w:szCs w:val="24"/>
              </w:rPr>
              <w:t>《畜禽养殖业污染物排放标准》（GB</w:t>
            </w:r>
            <w:r>
              <w:rPr>
                <w:rFonts w:hint="eastAsia" w:ascii="Times New Roman"/>
                <w:color w:val="auto"/>
                <w:sz w:val="24"/>
                <w:szCs w:val="24"/>
                <w:lang w:val="en-US" w:eastAsia="zh-CN"/>
              </w:rPr>
              <w:t xml:space="preserve"> </w:t>
            </w:r>
            <w:r>
              <w:rPr>
                <w:rFonts w:ascii="Times New Roman"/>
                <w:color w:val="auto"/>
                <w:sz w:val="24"/>
                <w:szCs w:val="24"/>
              </w:rPr>
              <w:t>18596-2001）的相关规定，可将</w:t>
            </w:r>
            <w:r>
              <w:rPr>
                <w:rFonts w:hint="eastAsia" w:ascii="Times New Roman"/>
                <w:color w:val="auto"/>
                <w:sz w:val="24"/>
                <w:szCs w:val="24"/>
                <w:lang w:val="en-US" w:eastAsia="zh-CN"/>
              </w:rPr>
              <w:t>鸡、</w:t>
            </w:r>
            <w:r>
              <w:rPr>
                <w:rFonts w:ascii="Times New Roman"/>
                <w:color w:val="auto"/>
                <w:sz w:val="24"/>
                <w:szCs w:val="24"/>
              </w:rPr>
              <w:t>牛的养殖量换算成猪的养殖量，换算比例为：1头肉牛折算成5头</w:t>
            </w:r>
            <w:r>
              <w:rPr>
                <w:rFonts w:hint="eastAsia" w:ascii="Times New Roman"/>
                <w:color w:val="auto"/>
                <w:sz w:val="24"/>
                <w:szCs w:val="24"/>
                <w:lang w:val="en-US" w:eastAsia="zh-CN"/>
              </w:rPr>
              <w:t>生</w:t>
            </w:r>
            <w:r>
              <w:rPr>
                <w:rFonts w:ascii="Times New Roman"/>
                <w:color w:val="auto"/>
                <w:sz w:val="24"/>
                <w:szCs w:val="24"/>
              </w:rPr>
              <w:t>猪</w:t>
            </w:r>
            <w:r>
              <w:rPr>
                <w:rFonts w:hint="eastAsia" w:ascii="Times New Roman"/>
                <w:color w:val="auto"/>
                <w:sz w:val="24"/>
                <w:szCs w:val="24"/>
                <w:lang w:eastAsia="zh-CN"/>
              </w:rPr>
              <w:t>，</w:t>
            </w:r>
            <w:r>
              <w:rPr>
                <w:rFonts w:hint="eastAsia" w:ascii="Times New Roman"/>
                <w:color w:val="auto"/>
                <w:sz w:val="24"/>
                <w:szCs w:val="24"/>
                <w:lang w:val="en-US" w:eastAsia="zh-CN"/>
              </w:rPr>
              <w:t>60只肉鸡</w:t>
            </w:r>
            <w:r>
              <w:rPr>
                <w:rFonts w:ascii="Times New Roman"/>
                <w:color w:val="auto"/>
                <w:sz w:val="24"/>
                <w:szCs w:val="24"/>
              </w:rPr>
              <w:t>折算成</w:t>
            </w:r>
            <w:r>
              <w:rPr>
                <w:rFonts w:hint="eastAsia" w:ascii="Times New Roman"/>
                <w:color w:val="auto"/>
                <w:sz w:val="24"/>
                <w:szCs w:val="24"/>
                <w:lang w:val="en-US" w:eastAsia="zh-CN"/>
              </w:rPr>
              <w:t>1</w:t>
            </w:r>
            <w:r>
              <w:rPr>
                <w:rFonts w:ascii="Times New Roman"/>
                <w:color w:val="auto"/>
                <w:sz w:val="24"/>
                <w:szCs w:val="24"/>
              </w:rPr>
              <w:t>头</w:t>
            </w:r>
            <w:r>
              <w:rPr>
                <w:rFonts w:hint="eastAsia" w:ascii="Times New Roman"/>
                <w:color w:val="auto"/>
                <w:sz w:val="24"/>
                <w:szCs w:val="24"/>
                <w:lang w:val="en-US" w:eastAsia="zh-CN"/>
              </w:rPr>
              <w:t>生</w:t>
            </w:r>
            <w:r>
              <w:rPr>
                <w:rFonts w:ascii="Times New Roman"/>
                <w:color w:val="auto"/>
                <w:sz w:val="24"/>
                <w:szCs w:val="24"/>
              </w:rPr>
              <w:t>猪</w:t>
            </w:r>
            <w:r>
              <w:rPr>
                <w:rFonts w:hint="eastAsia" w:ascii="Times New Roman"/>
                <w:color w:val="auto"/>
                <w:sz w:val="24"/>
                <w:szCs w:val="24"/>
                <w:lang w:eastAsia="zh-CN"/>
              </w:rPr>
              <w:t>；</w:t>
            </w:r>
            <w:r>
              <w:rPr>
                <w:rFonts w:hint="eastAsia" w:ascii="Times New Roman"/>
                <w:color w:val="auto"/>
                <w:sz w:val="24"/>
                <w:szCs w:val="24"/>
                <w:lang w:val="en-US" w:eastAsia="zh-CN"/>
              </w:rPr>
              <w:t>参照《排污许可证申请与核发技术规范 畜禽养殖行业》（HJ 1029-2019）</w:t>
            </w:r>
            <w:r>
              <w:rPr>
                <w:rFonts w:ascii="Times New Roman"/>
                <w:color w:val="auto"/>
                <w:sz w:val="24"/>
                <w:szCs w:val="24"/>
              </w:rPr>
              <w:t>的相关规定，可将</w:t>
            </w:r>
            <w:r>
              <w:rPr>
                <w:rFonts w:hint="eastAsia" w:ascii="Times New Roman"/>
                <w:color w:val="auto"/>
                <w:sz w:val="24"/>
                <w:szCs w:val="24"/>
                <w:lang w:val="en-US" w:eastAsia="zh-CN"/>
              </w:rPr>
              <w:t>鸭、鹅</w:t>
            </w:r>
            <w:r>
              <w:rPr>
                <w:rFonts w:ascii="Times New Roman"/>
                <w:color w:val="auto"/>
                <w:sz w:val="24"/>
                <w:szCs w:val="24"/>
              </w:rPr>
              <w:t>的养殖量换算成</w:t>
            </w:r>
            <w:r>
              <w:rPr>
                <w:rFonts w:hint="eastAsia" w:ascii="Times New Roman"/>
                <w:color w:val="auto"/>
                <w:sz w:val="24"/>
                <w:szCs w:val="24"/>
                <w:lang w:val="en-US" w:eastAsia="zh-CN"/>
              </w:rPr>
              <w:t>鸡</w:t>
            </w:r>
            <w:r>
              <w:rPr>
                <w:rFonts w:ascii="Times New Roman"/>
                <w:color w:val="auto"/>
                <w:sz w:val="24"/>
                <w:szCs w:val="24"/>
              </w:rPr>
              <w:t>的养殖量</w:t>
            </w:r>
            <w:r>
              <w:rPr>
                <w:rFonts w:hint="eastAsia" w:ascii="Times New Roman"/>
                <w:color w:val="auto"/>
                <w:sz w:val="24"/>
                <w:szCs w:val="24"/>
              </w:rPr>
              <w:t>，换算比例为</w:t>
            </w:r>
            <w:r>
              <w:rPr>
                <w:rFonts w:hint="eastAsia" w:ascii="Times New Roman"/>
                <w:color w:val="auto"/>
                <w:sz w:val="24"/>
                <w:szCs w:val="24"/>
                <w:lang w:eastAsia="zh-CN"/>
              </w:rPr>
              <w:t>：</w:t>
            </w:r>
            <w:r>
              <w:rPr>
                <w:rFonts w:hint="eastAsia" w:ascii="Times New Roman"/>
                <w:color w:val="auto"/>
                <w:sz w:val="24"/>
                <w:szCs w:val="24"/>
              </w:rPr>
              <w:t>1只</w:t>
            </w:r>
            <w:r>
              <w:rPr>
                <w:rFonts w:hint="eastAsia" w:ascii="Times New Roman"/>
                <w:color w:val="auto"/>
                <w:sz w:val="24"/>
                <w:szCs w:val="24"/>
                <w:lang w:val="en-US" w:eastAsia="zh-CN"/>
              </w:rPr>
              <w:t>肉</w:t>
            </w:r>
            <w:r>
              <w:rPr>
                <w:rFonts w:hint="eastAsia" w:ascii="Times New Roman"/>
                <w:color w:val="auto"/>
                <w:sz w:val="24"/>
                <w:szCs w:val="24"/>
              </w:rPr>
              <w:t>鸭折算成1只</w:t>
            </w:r>
            <w:r>
              <w:rPr>
                <w:rFonts w:hint="eastAsia" w:ascii="Times New Roman"/>
                <w:color w:val="auto"/>
                <w:sz w:val="24"/>
                <w:szCs w:val="24"/>
                <w:lang w:val="en-US" w:eastAsia="zh-CN"/>
              </w:rPr>
              <w:t>肉</w:t>
            </w:r>
            <w:r>
              <w:rPr>
                <w:rFonts w:hint="eastAsia" w:ascii="Times New Roman"/>
                <w:color w:val="auto"/>
                <w:sz w:val="24"/>
                <w:szCs w:val="24"/>
              </w:rPr>
              <w:t>鸡</w:t>
            </w:r>
            <w:r>
              <w:rPr>
                <w:rFonts w:hint="eastAsia" w:ascii="Times New Roman"/>
                <w:color w:val="auto"/>
                <w:sz w:val="24"/>
                <w:szCs w:val="24"/>
                <w:lang w:eastAsia="zh-CN"/>
              </w:rPr>
              <w:t>，</w:t>
            </w:r>
            <w:r>
              <w:rPr>
                <w:rFonts w:hint="eastAsia" w:ascii="Times New Roman"/>
                <w:color w:val="auto"/>
                <w:sz w:val="24"/>
                <w:szCs w:val="24"/>
              </w:rPr>
              <w:t>1只</w:t>
            </w:r>
            <w:r>
              <w:rPr>
                <w:rFonts w:hint="eastAsia" w:ascii="Times New Roman"/>
                <w:color w:val="auto"/>
                <w:sz w:val="24"/>
                <w:szCs w:val="24"/>
                <w:lang w:val="en-US" w:eastAsia="zh-CN"/>
              </w:rPr>
              <w:t>肉</w:t>
            </w:r>
            <w:r>
              <w:rPr>
                <w:rFonts w:hint="eastAsia" w:ascii="Times New Roman"/>
                <w:color w:val="auto"/>
                <w:sz w:val="24"/>
                <w:szCs w:val="24"/>
              </w:rPr>
              <w:t>鹅折算成2只</w:t>
            </w:r>
            <w:r>
              <w:rPr>
                <w:rFonts w:hint="eastAsia" w:ascii="Times New Roman"/>
                <w:color w:val="auto"/>
                <w:sz w:val="24"/>
                <w:szCs w:val="24"/>
                <w:lang w:val="en-US" w:eastAsia="zh-CN"/>
              </w:rPr>
              <w:t>肉</w:t>
            </w:r>
            <w:r>
              <w:rPr>
                <w:rFonts w:hint="eastAsia" w:ascii="Times New Roman"/>
                <w:color w:val="auto"/>
                <w:sz w:val="24"/>
                <w:szCs w:val="24"/>
              </w:rPr>
              <w:t>鸡</w:t>
            </w:r>
            <w:r>
              <w:rPr>
                <w:rFonts w:ascii="Times New Roman"/>
                <w:color w:val="auto"/>
                <w:sz w:val="24"/>
                <w:szCs w:val="24"/>
              </w:rPr>
              <w:t>。</w:t>
            </w:r>
          </w:p>
          <w:p w14:paraId="713BC6F5">
            <w:pPr>
              <w:rPr>
                <w:rFonts w:hint="eastAsia"/>
                <w:bCs/>
                <w:color w:val="auto"/>
                <w:sz w:val="24"/>
                <w:szCs w:val="24"/>
                <w:lang w:eastAsia="zh-CN"/>
              </w:rPr>
            </w:pPr>
            <w:r>
              <w:rPr>
                <w:rFonts w:hint="eastAsia" w:cs="Times New Roman"/>
                <w:b w:val="0"/>
                <w:bCs/>
                <w:snapToGrid w:val="0"/>
                <w:color w:val="auto"/>
                <w:sz w:val="24"/>
                <w:u w:val="none"/>
                <w:lang w:val="en-US" w:eastAsia="zh-CN"/>
              </w:rPr>
              <w:t>本项目技术改造完成后将实现</w:t>
            </w:r>
            <w:r>
              <w:rPr>
                <w:rFonts w:hint="default" w:ascii="Times New Roman" w:hAnsi="Times New Roman" w:eastAsia="宋体" w:cs="Times New Roman"/>
                <w:b w:val="0"/>
                <w:bCs/>
                <w:snapToGrid w:val="0"/>
                <w:color w:val="auto"/>
                <w:sz w:val="24"/>
                <w:u w:val="none"/>
              </w:rPr>
              <w:t>年屠宰生猪</w:t>
            </w:r>
            <w:r>
              <w:rPr>
                <w:rFonts w:hint="eastAsia" w:cs="Times New Roman"/>
                <w:b w:val="0"/>
                <w:bCs/>
                <w:snapToGrid w:val="0"/>
                <w:color w:val="auto"/>
                <w:sz w:val="24"/>
                <w:u w:val="none"/>
                <w:lang w:val="en-US" w:eastAsia="zh-CN"/>
              </w:rPr>
              <w:t>89733</w:t>
            </w:r>
            <w:r>
              <w:rPr>
                <w:rFonts w:hint="default" w:ascii="Times New Roman" w:hAnsi="Times New Roman" w:eastAsia="宋体" w:cs="Times New Roman"/>
                <w:b w:val="0"/>
                <w:bCs/>
                <w:snapToGrid w:val="0"/>
                <w:color w:val="auto"/>
                <w:sz w:val="24"/>
                <w:u w:val="none"/>
              </w:rPr>
              <w:t>头</w:t>
            </w:r>
            <w:r>
              <w:rPr>
                <w:rFonts w:hint="eastAsia" w:ascii="Times New Roman" w:hAnsi="Times New Roman" w:eastAsia="宋体" w:cs="Times New Roman"/>
                <w:b w:val="0"/>
                <w:bCs/>
                <w:snapToGrid w:val="0"/>
                <w:color w:val="auto"/>
                <w:sz w:val="24"/>
                <w:u w:val="none"/>
                <w:lang w:eastAsia="zh-CN"/>
              </w:rPr>
              <w:t>、肉牛</w:t>
            </w:r>
            <w:r>
              <w:rPr>
                <w:rFonts w:hint="eastAsia" w:cs="Times New Roman"/>
                <w:b w:val="0"/>
                <w:bCs/>
                <w:snapToGrid w:val="0"/>
                <w:color w:val="auto"/>
                <w:sz w:val="24"/>
                <w:u w:val="none"/>
                <w:lang w:val="en-US" w:eastAsia="zh-CN"/>
              </w:rPr>
              <w:t>1000</w:t>
            </w:r>
            <w:r>
              <w:rPr>
                <w:rFonts w:hint="eastAsia" w:ascii="Times New Roman" w:hAnsi="Times New Roman" w:eastAsia="宋体" w:cs="Times New Roman"/>
                <w:b w:val="0"/>
                <w:bCs/>
                <w:snapToGrid w:val="0"/>
                <w:color w:val="auto"/>
                <w:sz w:val="24"/>
                <w:u w:val="none"/>
                <w:lang w:val="en-US" w:eastAsia="zh-CN"/>
              </w:rPr>
              <w:t>头</w:t>
            </w:r>
            <w:r>
              <w:rPr>
                <w:rFonts w:hint="eastAsia" w:cs="Times New Roman"/>
                <w:b w:val="0"/>
                <w:bCs/>
                <w:snapToGrid w:val="0"/>
                <w:color w:val="auto"/>
                <w:sz w:val="24"/>
                <w:u w:val="none"/>
                <w:lang w:val="en-US" w:eastAsia="zh-CN"/>
              </w:rPr>
              <w:t>、年屠宰肉鸡1000只、年屠宰肉鸭1000只、年屠宰肉鹅1000只</w:t>
            </w:r>
            <w:r>
              <w:rPr>
                <w:rFonts w:hint="default" w:ascii="Times New Roman" w:hAnsi="Times New Roman" w:eastAsia="宋体" w:cs="Times New Roman"/>
                <w:b w:val="0"/>
                <w:bCs/>
                <w:snapToGrid w:val="0"/>
                <w:color w:val="auto"/>
                <w:sz w:val="24"/>
                <w:u w:val="none"/>
              </w:rPr>
              <w:t>。</w:t>
            </w:r>
            <w:r>
              <w:rPr>
                <w:rFonts w:ascii="Times New Roman"/>
                <w:bCs/>
                <w:color w:val="auto"/>
                <w:sz w:val="24"/>
                <w:szCs w:val="24"/>
              </w:rPr>
              <w:t>则折算成猪的年屠宰量为</w:t>
            </w:r>
            <w:r>
              <w:rPr>
                <w:rFonts w:hint="eastAsia"/>
                <w:bCs/>
                <w:color w:val="auto"/>
                <w:sz w:val="24"/>
                <w:szCs w:val="24"/>
                <w:lang w:val="en-US" w:eastAsia="zh-CN"/>
              </w:rPr>
              <w:t>94800</w:t>
            </w:r>
            <w:r>
              <w:rPr>
                <w:rFonts w:ascii="Times New Roman"/>
                <w:bCs/>
                <w:color w:val="auto"/>
                <w:sz w:val="24"/>
                <w:szCs w:val="24"/>
              </w:rPr>
              <w:t>头</w:t>
            </w:r>
            <w:r>
              <w:rPr>
                <w:rFonts w:hint="eastAsia"/>
                <w:bCs/>
                <w:color w:val="auto"/>
                <w:sz w:val="24"/>
                <w:szCs w:val="24"/>
                <w:lang w:eastAsia="zh-CN"/>
              </w:rPr>
              <w:t>（</w:t>
            </w:r>
            <w:r>
              <w:rPr>
                <w:rFonts w:hint="eastAsia"/>
                <w:bCs/>
                <w:color w:val="auto"/>
                <w:sz w:val="24"/>
                <w:szCs w:val="24"/>
                <w:lang w:val="en-US" w:eastAsia="zh-CN"/>
              </w:rPr>
              <w:t>日屠宰260头</w:t>
            </w:r>
            <w:r>
              <w:rPr>
                <w:rFonts w:hint="eastAsia"/>
                <w:bCs/>
                <w:color w:val="auto"/>
                <w:sz w:val="24"/>
                <w:szCs w:val="24"/>
                <w:lang w:eastAsia="zh-CN"/>
              </w:rPr>
              <w:t>）。</w:t>
            </w:r>
          </w:p>
          <w:p w14:paraId="6FFF4834">
            <w:pPr>
              <w:pStyle w:val="9"/>
              <w:rPr>
                <w:rFonts w:hint="default" w:eastAsia="宋体"/>
                <w:bCs/>
                <w:color w:val="auto"/>
                <w:sz w:val="24"/>
                <w:szCs w:val="24"/>
                <w:lang w:val="en-US" w:eastAsia="zh-CN"/>
              </w:rPr>
            </w:pPr>
            <w:r>
              <w:rPr>
                <w:rFonts w:hint="eastAsia"/>
                <w:bCs/>
                <w:color w:val="auto"/>
                <w:sz w:val="24"/>
                <w:szCs w:val="24"/>
                <w:lang w:val="en-US" w:eastAsia="zh-CN"/>
              </w:rPr>
              <w:t>故本项目</w:t>
            </w:r>
            <w:r>
              <w:rPr>
                <w:rFonts w:hint="eastAsia"/>
                <w:color w:val="auto"/>
                <w:szCs w:val="24"/>
              </w:rPr>
              <w:t>NH</w:t>
            </w:r>
            <w:r>
              <w:rPr>
                <w:rFonts w:hint="eastAsia"/>
                <w:color w:val="auto"/>
                <w:szCs w:val="24"/>
                <w:vertAlign w:val="subscript"/>
              </w:rPr>
              <w:t>3</w:t>
            </w:r>
            <w:r>
              <w:rPr>
                <w:rFonts w:hint="eastAsia"/>
                <w:color w:val="auto"/>
                <w:szCs w:val="24"/>
              </w:rPr>
              <w:t>、H</w:t>
            </w:r>
            <w:r>
              <w:rPr>
                <w:rFonts w:hint="eastAsia"/>
                <w:color w:val="auto"/>
                <w:szCs w:val="24"/>
                <w:vertAlign w:val="subscript"/>
                <w:lang w:val="en-US" w:eastAsia="zh-CN"/>
              </w:rPr>
              <w:t>2</w:t>
            </w:r>
            <w:r>
              <w:rPr>
                <w:rFonts w:hint="eastAsia"/>
                <w:color w:val="auto"/>
                <w:szCs w:val="24"/>
              </w:rPr>
              <w:t>S</w:t>
            </w:r>
            <w:r>
              <w:rPr>
                <w:rFonts w:hint="eastAsia"/>
                <w:color w:val="auto"/>
                <w:szCs w:val="24"/>
                <w:lang w:val="en-US" w:eastAsia="zh-CN"/>
              </w:rPr>
              <w:t>产生</w:t>
            </w:r>
            <w:r>
              <w:rPr>
                <w:rFonts w:hint="eastAsia"/>
                <w:color w:val="auto"/>
                <w:szCs w:val="24"/>
              </w:rPr>
              <w:t>源强分别</w:t>
            </w:r>
            <w:r>
              <w:rPr>
                <w:rFonts w:hint="eastAsia"/>
                <w:color w:val="auto"/>
                <w:szCs w:val="24"/>
                <w:lang w:val="en-US" w:eastAsia="zh-CN"/>
              </w:rPr>
              <w:t>为</w:t>
            </w:r>
            <w:r>
              <w:rPr>
                <w:rFonts w:hint="eastAsia"/>
                <w:color w:val="auto"/>
                <w:szCs w:val="24"/>
              </w:rPr>
              <w:t>2.182</w:t>
            </w:r>
            <w:r>
              <w:rPr>
                <w:rFonts w:hint="eastAsia"/>
                <w:color w:val="auto"/>
                <w:szCs w:val="24"/>
                <w:lang w:val="en-US" w:eastAsia="zh-CN"/>
              </w:rPr>
              <w:t xml:space="preserve">*260/6500=0.0873 </w:t>
            </w:r>
            <w:r>
              <w:rPr>
                <w:rFonts w:hint="eastAsia"/>
                <w:color w:val="auto"/>
                <w:szCs w:val="24"/>
              </w:rPr>
              <w:t>kg</w:t>
            </w:r>
            <w:r>
              <w:rPr>
                <w:rFonts w:hint="eastAsia"/>
                <w:color w:val="auto"/>
                <w:szCs w:val="24"/>
                <w:lang w:val="en-US" w:eastAsia="zh-CN"/>
              </w:rPr>
              <w:t>/h</w:t>
            </w:r>
            <w:r>
              <w:rPr>
                <w:rFonts w:hint="eastAsia"/>
                <w:color w:val="auto"/>
                <w:szCs w:val="24"/>
              </w:rPr>
              <w:t>、0.087</w:t>
            </w:r>
            <w:r>
              <w:rPr>
                <w:rFonts w:hint="eastAsia"/>
                <w:color w:val="auto"/>
                <w:szCs w:val="24"/>
                <w:lang w:val="en-US" w:eastAsia="zh-CN"/>
              </w:rPr>
              <w:t xml:space="preserve">*260/6500=0.0035 </w:t>
            </w:r>
            <w:r>
              <w:rPr>
                <w:rFonts w:hint="eastAsia"/>
                <w:color w:val="auto"/>
                <w:szCs w:val="24"/>
              </w:rPr>
              <w:t>kg/h</w:t>
            </w:r>
            <w:r>
              <w:rPr>
                <w:rFonts w:hint="eastAsia"/>
                <w:color w:val="auto"/>
                <w:szCs w:val="24"/>
                <w:lang w:eastAsia="zh-CN"/>
              </w:rPr>
              <w:t>，</w:t>
            </w:r>
            <w:r>
              <w:rPr>
                <w:rFonts w:hint="eastAsia"/>
                <w:color w:val="auto"/>
                <w:szCs w:val="24"/>
                <w:lang w:val="en-US" w:eastAsia="zh-CN"/>
              </w:rPr>
              <w:t>本项目年屠宰时间365天，每日屠宰8 h，则</w:t>
            </w:r>
            <w:r>
              <w:rPr>
                <w:rFonts w:hint="eastAsia"/>
                <w:color w:val="auto"/>
                <w:szCs w:val="24"/>
              </w:rPr>
              <w:t>NH</w:t>
            </w:r>
            <w:r>
              <w:rPr>
                <w:rFonts w:hint="eastAsia"/>
                <w:color w:val="auto"/>
                <w:szCs w:val="24"/>
                <w:vertAlign w:val="subscript"/>
              </w:rPr>
              <w:t>3</w:t>
            </w:r>
            <w:r>
              <w:rPr>
                <w:rFonts w:hint="eastAsia"/>
                <w:color w:val="auto"/>
                <w:szCs w:val="24"/>
                <w:vertAlign w:val="baseline"/>
                <w:lang w:val="en-US" w:eastAsia="zh-CN"/>
              </w:rPr>
              <w:t>年</w:t>
            </w:r>
            <w:r>
              <w:rPr>
                <w:rFonts w:hint="eastAsia"/>
                <w:color w:val="auto"/>
                <w:szCs w:val="24"/>
                <w:lang w:val="en-US" w:eastAsia="zh-CN"/>
              </w:rPr>
              <w:t>产生量为0.0873*8*365=0.255 t/a、</w:t>
            </w:r>
            <w:r>
              <w:rPr>
                <w:rFonts w:hint="eastAsia"/>
                <w:color w:val="auto"/>
                <w:szCs w:val="24"/>
              </w:rPr>
              <w:t>H</w:t>
            </w:r>
            <w:r>
              <w:rPr>
                <w:rFonts w:hint="eastAsia"/>
                <w:color w:val="auto"/>
                <w:szCs w:val="24"/>
                <w:vertAlign w:val="subscript"/>
                <w:lang w:val="en-US" w:eastAsia="zh-CN"/>
              </w:rPr>
              <w:t>2</w:t>
            </w:r>
            <w:r>
              <w:rPr>
                <w:rFonts w:hint="eastAsia"/>
                <w:color w:val="auto"/>
                <w:szCs w:val="24"/>
              </w:rPr>
              <w:t>S</w:t>
            </w:r>
            <w:r>
              <w:rPr>
                <w:rFonts w:hint="eastAsia"/>
                <w:color w:val="auto"/>
                <w:szCs w:val="24"/>
                <w:lang w:val="en-US" w:eastAsia="zh-CN"/>
              </w:rPr>
              <w:t>年产生量为0.0035*8*365=0.01 t/a。产生后经喷洒生物除臭剂后进行无组织排放。</w:t>
            </w:r>
          </w:p>
          <w:p w14:paraId="3E3EE467">
            <w:pPr>
              <w:rPr>
                <w:rFonts w:hint="eastAsia"/>
                <w:color w:val="auto"/>
                <w:lang w:eastAsia="zh-CN"/>
              </w:rPr>
            </w:pPr>
            <w:r>
              <w:rPr>
                <w:rFonts w:hint="default" w:ascii="Times New Roman" w:hAnsi="Times New Roman" w:eastAsia="宋体" w:cs="Times New Roman"/>
                <w:color w:val="auto"/>
                <w:kern w:val="2"/>
                <w:sz w:val="24"/>
                <w:szCs w:val="24"/>
                <w:u w:val="none"/>
                <w:lang w:val="en-US" w:eastAsia="zh-CN" w:bidi="ar-SA"/>
              </w:rPr>
              <w:t>根据《微生</w:t>
            </w:r>
            <w:r>
              <w:rPr>
                <w:rFonts w:hint="eastAsia" w:cs="Times New Roman"/>
                <w:color w:val="auto"/>
                <w:kern w:val="2"/>
                <w:sz w:val="24"/>
                <w:szCs w:val="24"/>
                <w:u w:val="none"/>
                <w:lang w:val="en-US" w:eastAsia="zh-CN" w:bidi="ar-SA"/>
              </w:rPr>
              <w:t>物</w:t>
            </w:r>
            <w:r>
              <w:rPr>
                <w:rFonts w:hint="default" w:ascii="Times New Roman" w:hAnsi="Times New Roman" w:eastAsia="宋体" w:cs="Times New Roman"/>
                <w:color w:val="auto"/>
                <w:kern w:val="2"/>
                <w:sz w:val="24"/>
                <w:szCs w:val="24"/>
                <w:u w:val="none"/>
                <w:lang w:val="en-US" w:eastAsia="zh-CN" w:bidi="ar-SA"/>
              </w:rPr>
              <w:t>除臭剂筛选在猪舍应用试验》，通过在猪舍喷洒生物除臭剂，对于氨气和硫化氢、臭气浓度的去除率分别为41%、7</w:t>
            </w:r>
            <w:r>
              <w:rPr>
                <w:rFonts w:hint="eastAsia" w:cs="Times New Roman"/>
                <w:color w:val="auto"/>
                <w:kern w:val="2"/>
                <w:sz w:val="24"/>
                <w:szCs w:val="24"/>
                <w:u w:val="none"/>
                <w:lang w:val="en-US" w:eastAsia="zh-CN" w:bidi="ar-SA"/>
              </w:rPr>
              <w:t>5</w:t>
            </w:r>
            <w:r>
              <w:rPr>
                <w:rFonts w:hint="default" w:ascii="Times New Roman" w:hAnsi="Times New Roman" w:eastAsia="宋体" w:cs="Times New Roman"/>
                <w:color w:val="auto"/>
                <w:kern w:val="2"/>
                <w:sz w:val="24"/>
                <w:szCs w:val="24"/>
                <w:u w:val="none"/>
                <w:lang w:val="en-US" w:eastAsia="zh-CN" w:bidi="ar-SA"/>
              </w:rPr>
              <w:t>%及46.7%，本项目为</w:t>
            </w:r>
            <w:r>
              <w:rPr>
                <w:rFonts w:hint="eastAsia" w:cs="Times New Roman"/>
                <w:color w:val="auto"/>
                <w:kern w:val="2"/>
                <w:sz w:val="24"/>
                <w:szCs w:val="24"/>
                <w:u w:val="none"/>
                <w:lang w:val="en-US" w:eastAsia="zh-CN" w:bidi="ar-SA"/>
              </w:rPr>
              <w:t>保守估计</w:t>
            </w:r>
            <w:r>
              <w:rPr>
                <w:rFonts w:hint="default" w:ascii="Times New Roman" w:hAnsi="Times New Roman" w:eastAsia="宋体" w:cs="Times New Roman"/>
                <w:color w:val="auto"/>
                <w:kern w:val="2"/>
                <w:sz w:val="24"/>
                <w:szCs w:val="24"/>
                <w:u w:val="none"/>
                <w:lang w:val="en-US" w:eastAsia="zh-CN" w:bidi="ar-SA"/>
              </w:rPr>
              <w:t>，氨气的去除率取40%，硫化氢的去除率取70%。则待宰间NH</w:t>
            </w:r>
            <w:r>
              <w:rPr>
                <w:rFonts w:hint="default" w:ascii="Times New Roman" w:hAnsi="Times New Roman" w:eastAsia="宋体" w:cs="Times New Roman"/>
                <w:color w:val="auto"/>
                <w:kern w:val="2"/>
                <w:sz w:val="24"/>
                <w:szCs w:val="24"/>
                <w:u w:val="none"/>
                <w:vertAlign w:val="subscript"/>
                <w:lang w:val="en-US" w:eastAsia="zh-CN" w:bidi="ar-SA"/>
              </w:rPr>
              <w:t>3</w:t>
            </w:r>
            <w:r>
              <w:rPr>
                <w:rFonts w:hint="default" w:ascii="Times New Roman" w:hAnsi="Times New Roman" w:eastAsia="宋体" w:cs="Times New Roman"/>
                <w:color w:val="auto"/>
                <w:kern w:val="2"/>
                <w:sz w:val="24"/>
                <w:szCs w:val="24"/>
                <w:u w:val="none"/>
                <w:lang w:val="en-US" w:eastAsia="zh-CN" w:bidi="ar-SA"/>
              </w:rPr>
              <w:t>排放量为0.</w:t>
            </w:r>
            <w:r>
              <w:rPr>
                <w:rFonts w:hint="eastAsia" w:cs="Times New Roman"/>
                <w:color w:val="auto"/>
                <w:kern w:val="2"/>
                <w:sz w:val="24"/>
                <w:szCs w:val="24"/>
                <w:u w:val="none"/>
                <w:lang w:val="en-US" w:eastAsia="zh-CN" w:bidi="ar-SA"/>
              </w:rPr>
              <w:t>255*</w:t>
            </w:r>
            <w:r>
              <w:rPr>
                <w:rFonts w:hint="eastAsia" w:ascii="Times New Roman" w:hAnsi="Times New Roman" w:eastAsia="宋体" w:cs="Times New Roman"/>
                <w:color w:val="auto"/>
                <w:kern w:val="2"/>
                <w:sz w:val="24"/>
                <w:szCs w:val="24"/>
                <w:u w:val="none"/>
                <w:lang w:val="en-US" w:eastAsia="zh-CN" w:bidi="ar-SA"/>
              </w:rPr>
              <w:t>（1-</w:t>
            </w:r>
            <w:r>
              <w:rPr>
                <w:rFonts w:hint="eastAsia" w:cs="Times New Roman"/>
                <w:color w:val="auto"/>
                <w:kern w:val="2"/>
                <w:sz w:val="24"/>
                <w:szCs w:val="24"/>
                <w:u w:val="none"/>
                <w:lang w:val="en-US" w:eastAsia="zh-CN" w:bidi="ar-SA"/>
              </w:rPr>
              <w:t>4</w:t>
            </w:r>
            <w:r>
              <w:rPr>
                <w:rFonts w:hint="eastAsia" w:ascii="Times New Roman" w:hAnsi="Times New Roman" w:eastAsia="宋体" w:cs="Times New Roman"/>
                <w:color w:val="auto"/>
                <w:kern w:val="2"/>
                <w:sz w:val="24"/>
                <w:szCs w:val="24"/>
                <w:u w:val="none"/>
                <w:lang w:val="en-US" w:eastAsia="zh-CN" w:bidi="ar-SA"/>
              </w:rPr>
              <w:t>0%）=0.</w:t>
            </w:r>
            <w:r>
              <w:rPr>
                <w:rFonts w:hint="eastAsia" w:cs="Times New Roman"/>
                <w:color w:val="auto"/>
                <w:kern w:val="2"/>
                <w:sz w:val="24"/>
                <w:szCs w:val="24"/>
                <w:u w:val="none"/>
                <w:lang w:val="en-US" w:eastAsia="zh-CN" w:bidi="ar-SA"/>
              </w:rPr>
              <w:t>153</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w:t>
            </w:r>
            <w:r>
              <w:rPr>
                <w:rFonts w:hint="eastAsia" w:cs="Times New Roman"/>
                <w:color w:val="auto"/>
                <w:kern w:val="2"/>
                <w:sz w:val="24"/>
                <w:szCs w:val="24"/>
                <w:u w:val="none"/>
                <w:lang w:val="en-US" w:eastAsia="zh-CN" w:bidi="ar-SA"/>
              </w:rPr>
              <w:t>524</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、H</w:t>
            </w:r>
            <w:r>
              <w:rPr>
                <w:rFonts w:hint="default" w:ascii="Times New Roman" w:hAnsi="Times New Roman" w:eastAsia="宋体" w:cs="Times New Roman"/>
                <w:color w:val="auto"/>
                <w:kern w:val="2"/>
                <w:sz w:val="24"/>
                <w:szCs w:val="24"/>
                <w:u w:val="none"/>
                <w:vertAlign w:val="subscript"/>
                <w:lang w:val="en-US" w:eastAsia="zh-CN" w:bidi="ar-SA"/>
              </w:rPr>
              <w:t>2</w:t>
            </w:r>
            <w:r>
              <w:rPr>
                <w:rFonts w:hint="default" w:ascii="Times New Roman" w:hAnsi="Times New Roman" w:eastAsia="宋体" w:cs="Times New Roman"/>
                <w:color w:val="auto"/>
                <w:kern w:val="2"/>
                <w:sz w:val="24"/>
                <w:szCs w:val="24"/>
                <w:u w:val="none"/>
                <w:lang w:val="en-US" w:eastAsia="zh-CN" w:bidi="ar-SA"/>
              </w:rPr>
              <w:t>S排放量为0.</w:t>
            </w:r>
            <w:r>
              <w:rPr>
                <w:rFonts w:hint="eastAsia" w:ascii="Times New Roman" w:hAnsi="Times New Roman" w:eastAsia="宋体" w:cs="Times New Roman"/>
                <w:color w:val="auto"/>
                <w:kern w:val="2"/>
                <w:sz w:val="24"/>
                <w:szCs w:val="24"/>
                <w:u w:val="none"/>
                <w:lang w:val="en-US" w:eastAsia="zh-CN" w:bidi="ar-SA"/>
              </w:rPr>
              <w:t>0</w:t>
            </w:r>
            <w:r>
              <w:rPr>
                <w:rFonts w:hint="eastAsia" w:cs="Times New Roman"/>
                <w:color w:val="auto"/>
                <w:kern w:val="2"/>
                <w:sz w:val="24"/>
                <w:szCs w:val="24"/>
                <w:u w:val="none"/>
                <w:lang w:val="en-US" w:eastAsia="zh-CN" w:bidi="ar-SA"/>
              </w:rPr>
              <w:t>1</w:t>
            </w:r>
            <w:r>
              <w:rPr>
                <w:rFonts w:hint="eastAsia" w:ascii="Times New Roman" w:hAnsi="Times New Roman" w:eastAsia="宋体" w:cs="Times New Roman"/>
                <w:color w:val="auto"/>
                <w:kern w:val="2"/>
                <w:sz w:val="24"/>
                <w:szCs w:val="24"/>
                <w:u w:val="none"/>
                <w:lang w:val="en-US" w:eastAsia="zh-CN" w:bidi="ar-SA"/>
              </w:rPr>
              <w:t>*（1-</w:t>
            </w:r>
            <w:r>
              <w:rPr>
                <w:rFonts w:hint="eastAsia" w:cs="Times New Roman"/>
                <w:color w:val="auto"/>
                <w:kern w:val="2"/>
                <w:sz w:val="24"/>
                <w:szCs w:val="24"/>
                <w:u w:val="none"/>
                <w:lang w:val="en-US" w:eastAsia="zh-CN" w:bidi="ar-SA"/>
              </w:rPr>
              <w:t>7</w:t>
            </w:r>
            <w:r>
              <w:rPr>
                <w:rFonts w:hint="eastAsia" w:ascii="Times New Roman" w:hAnsi="Times New Roman" w:eastAsia="宋体" w:cs="Times New Roman"/>
                <w:color w:val="auto"/>
                <w:kern w:val="2"/>
                <w:sz w:val="24"/>
                <w:szCs w:val="24"/>
                <w:u w:val="none"/>
                <w:lang w:val="en-US" w:eastAsia="zh-CN" w:bidi="ar-SA"/>
              </w:rPr>
              <w:t>0%）=0.0</w:t>
            </w:r>
            <w:r>
              <w:rPr>
                <w:rFonts w:hint="eastAsia" w:cs="Times New Roman"/>
                <w:color w:val="auto"/>
                <w:kern w:val="2"/>
                <w:sz w:val="24"/>
                <w:szCs w:val="24"/>
                <w:u w:val="none"/>
                <w:lang w:val="en-US" w:eastAsia="zh-CN" w:bidi="ar-SA"/>
              </w:rPr>
              <w:t>03</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t/a</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0.00</w:t>
            </w:r>
            <w:r>
              <w:rPr>
                <w:rFonts w:hint="eastAsia" w:cs="Times New Roman"/>
                <w:color w:val="auto"/>
                <w:kern w:val="2"/>
                <w:sz w:val="24"/>
                <w:szCs w:val="24"/>
                <w:u w:val="none"/>
                <w:lang w:val="en-US" w:eastAsia="zh-CN" w:bidi="ar-SA"/>
              </w:rPr>
              <w:t>11</w:t>
            </w:r>
            <w:r>
              <w:rPr>
                <w:rFonts w:hint="eastAsia" w:ascii="Times New Roman" w:hAnsi="Times New Roman" w:eastAsia="宋体" w:cs="Times New Roman"/>
                <w:color w:val="auto"/>
                <w:kern w:val="2"/>
                <w:sz w:val="24"/>
                <w:szCs w:val="24"/>
                <w:u w:val="none"/>
                <w:lang w:val="en-US" w:eastAsia="zh-CN" w:bidi="ar-SA"/>
              </w:rPr>
              <w:t xml:space="preserve"> </w:t>
            </w:r>
            <w:r>
              <w:rPr>
                <w:rFonts w:hint="default" w:ascii="Times New Roman" w:hAnsi="Times New Roman" w:eastAsia="宋体" w:cs="Times New Roman"/>
                <w:color w:val="auto"/>
                <w:kern w:val="2"/>
                <w:sz w:val="24"/>
                <w:szCs w:val="24"/>
                <w:u w:val="none"/>
                <w:lang w:val="en-US" w:eastAsia="zh-CN" w:bidi="ar-SA"/>
              </w:rPr>
              <w:t>kg/h</w:t>
            </w:r>
            <w:r>
              <w:rPr>
                <w:rFonts w:hint="eastAsia" w:ascii="Times New Roman" w:hAnsi="Times New Roman" w:eastAsia="宋体"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w:t>
            </w:r>
          </w:p>
          <w:bookmarkEnd w:id="176"/>
          <w:bookmarkEnd w:id="177"/>
          <w:p w14:paraId="38D534C2">
            <w:pPr>
              <w:bidi w:val="0"/>
              <w:ind w:left="0" w:leftChars="0" w:firstLine="480" w:firstLineChars="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（3）危废暂存间废气</w:t>
            </w:r>
          </w:p>
          <w:p w14:paraId="641F5DE6">
            <w:pPr>
              <w:bidi w:val="0"/>
              <w:ind w:left="0" w:leftChars="0" w:firstLine="480" w:firstLineChars="20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本项目危险废物主要有</w:t>
            </w:r>
            <w:r>
              <w:rPr>
                <w:rFonts w:hint="eastAsia" w:cs="Times New Roman"/>
                <w:b w:val="0"/>
                <w:bCs w:val="0"/>
                <w:color w:val="auto"/>
                <w:spacing w:val="0"/>
                <w:kern w:val="2"/>
                <w:sz w:val="24"/>
                <w:szCs w:val="24"/>
                <w:highlight w:val="none"/>
                <w:u w:val="none" w:color="auto"/>
                <w:lang w:val="en-US" w:eastAsia="zh-CN" w:bidi="ar-SA"/>
              </w:rPr>
              <w:t>沾染有毒有害物质的废包装材料</w:t>
            </w:r>
            <w:r>
              <w:rPr>
                <w:rFonts w:hint="eastAsia" w:ascii="Times New Roman" w:hAnsi="Times New Roman" w:eastAsia="宋体" w:cs="Times New Roman"/>
                <w:b w:val="0"/>
                <w:bCs w:val="0"/>
                <w:color w:val="auto"/>
                <w:spacing w:val="0"/>
                <w:kern w:val="2"/>
                <w:sz w:val="24"/>
                <w:szCs w:val="24"/>
                <w:highlight w:val="none"/>
                <w:u w:val="none" w:color="auto"/>
                <w:lang w:val="en-US" w:eastAsia="zh-CN" w:bidi="ar-SA"/>
              </w:rPr>
              <w:t>以及</w:t>
            </w:r>
            <w:r>
              <w:rPr>
                <w:rFonts w:hint="eastAsia" w:ascii="Times New Roman" w:hAnsi="Times New Roman" w:eastAsia="宋体" w:cs="Times New Roman"/>
                <w:color w:val="auto"/>
                <w:sz w:val="24"/>
                <w:szCs w:val="24"/>
                <w:highlight w:val="none"/>
                <w:u w:val="none" w:color="auto"/>
                <w:vertAlign w:val="baseline"/>
                <w:lang w:val="en-US" w:eastAsia="zh-CN"/>
              </w:rPr>
              <w:t>实验室、检疫室废弃物</w:t>
            </w:r>
            <w:r>
              <w:rPr>
                <w:rFonts w:hint="eastAsia" w:ascii="Times New Roman" w:hAnsi="Times New Roman" w:eastAsia="宋体" w:cs="Times New Roman"/>
                <w:b w:val="0"/>
                <w:bCs w:val="0"/>
                <w:color w:val="auto"/>
                <w:spacing w:val="0"/>
                <w:kern w:val="2"/>
                <w:sz w:val="24"/>
                <w:szCs w:val="24"/>
                <w:highlight w:val="none"/>
                <w:u w:val="none" w:color="auto"/>
                <w:lang w:val="en-US" w:eastAsia="zh-CN" w:bidi="ar-SA"/>
              </w:rPr>
              <w:t>等</w:t>
            </w:r>
            <w:r>
              <w:rPr>
                <w:rFonts w:hint="eastAsia" w:ascii="Times New Roman" w:hAnsi="Times New Roman" w:eastAsia="宋体" w:cs="Times New Roman"/>
                <w:color w:val="auto"/>
                <w:sz w:val="24"/>
                <w:szCs w:val="24"/>
                <w:highlight w:val="none"/>
                <w:u w:val="none" w:color="auto"/>
                <w:lang w:val="en-US" w:eastAsia="zh-CN"/>
              </w:rPr>
              <w:t>，其中</w:t>
            </w:r>
            <w:r>
              <w:rPr>
                <w:rFonts w:hint="eastAsia" w:ascii="Times New Roman" w:hAnsi="Times New Roman" w:eastAsia="宋体" w:cs="Times New Roman"/>
                <w:color w:val="auto"/>
                <w:sz w:val="24"/>
                <w:szCs w:val="24"/>
                <w:highlight w:val="none"/>
                <w:u w:val="none" w:color="auto"/>
                <w:vertAlign w:val="baseline"/>
                <w:lang w:val="en-US" w:eastAsia="zh-CN"/>
              </w:rPr>
              <w:t>实验室、检疫室废弃物</w:t>
            </w:r>
            <w:r>
              <w:rPr>
                <w:rFonts w:hint="default" w:ascii="Times New Roman" w:hAnsi="Times New Roman" w:cs="Times New Roman"/>
                <w:color w:val="auto"/>
                <w:sz w:val="24"/>
                <w:szCs w:val="24"/>
                <w:highlight w:val="none"/>
                <w:u w:val="none" w:color="auto"/>
                <w:lang w:val="en-US" w:eastAsia="zh-CN"/>
              </w:rPr>
              <w:t>等，易挥发产生</w:t>
            </w:r>
            <w:r>
              <w:rPr>
                <w:rFonts w:hint="eastAsia" w:cs="Times New Roman"/>
                <w:color w:val="auto"/>
                <w:sz w:val="24"/>
                <w:szCs w:val="24"/>
                <w:highlight w:val="none"/>
                <w:u w:val="none" w:color="auto"/>
                <w:lang w:val="en-US" w:eastAsia="zh-CN"/>
              </w:rPr>
              <w:t>刺激性气味</w:t>
            </w:r>
            <w:r>
              <w:rPr>
                <w:rFonts w:hint="default" w:ascii="Times New Roman" w:hAnsi="Times New Roman" w:cs="Times New Roman"/>
                <w:color w:val="auto"/>
                <w:sz w:val="24"/>
                <w:szCs w:val="24"/>
                <w:highlight w:val="none"/>
                <w:u w:val="none" w:color="auto"/>
                <w:lang w:val="en-US" w:eastAsia="zh-CN"/>
              </w:rPr>
              <w:t>，因本项目</w:t>
            </w:r>
            <w:r>
              <w:rPr>
                <w:rFonts w:hint="eastAsia" w:ascii="Times New Roman" w:hAnsi="Times New Roman" w:eastAsia="宋体" w:cs="Times New Roman"/>
                <w:color w:val="auto"/>
                <w:sz w:val="24"/>
                <w:szCs w:val="24"/>
                <w:highlight w:val="none"/>
                <w:u w:val="none" w:color="auto"/>
                <w:vertAlign w:val="baseline"/>
                <w:lang w:val="en-US" w:eastAsia="zh-CN"/>
              </w:rPr>
              <w:t>实验室、检疫室废弃物</w:t>
            </w:r>
            <w:r>
              <w:rPr>
                <w:rFonts w:hint="default" w:ascii="Times New Roman" w:hAnsi="Times New Roman" w:cs="Times New Roman"/>
                <w:color w:val="auto"/>
                <w:sz w:val="24"/>
                <w:szCs w:val="24"/>
                <w:highlight w:val="none"/>
                <w:u w:val="none" w:color="auto"/>
                <w:lang w:val="en-US" w:eastAsia="zh-CN"/>
              </w:rPr>
              <w:t>等产生量较少，所能挥发出的</w:t>
            </w:r>
            <w:r>
              <w:rPr>
                <w:rFonts w:hint="eastAsia" w:cs="Times New Roman"/>
                <w:color w:val="auto"/>
                <w:sz w:val="24"/>
                <w:szCs w:val="24"/>
                <w:highlight w:val="none"/>
                <w:u w:val="none" w:color="auto"/>
                <w:lang w:val="en-US" w:eastAsia="zh-CN"/>
              </w:rPr>
              <w:t>恶臭气体</w:t>
            </w:r>
            <w:r>
              <w:rPr>
                <w:rFonts w:hint="default" w:ascii="Times New Roman" w:hAnsi="Times New Roman" w:cs="Times New Roman"/>
                <w:color w:val="auto"/>
                <w:sz w:val="24"/>
                <w:szCs w:val="24"/>
                <w:highlight w:val="none"/>
                <w:u w:val="none" w:color="auto"/>
                <w:lang w:val="en-US" w:eastAsia="zh-CN"/>
              </w:rPr>
              <w:t>量极少，故本项目仅对危废暂存间废气进行定性分析。</w:t>
            </w:r>
            <w:r>
              <w:rPr>
                <w:rFonts w:hint="eastAsia" w:cs="Times New Roman"/>
                <w:color w:val="auto"/>
                <w:sz w:val="24"/>
                <w:szCs w:val="24"/>
                <w:highlight w:val="none"/>
                <w:u w:val="none" w:color="auto"/>
                <w:lang w:val="en-US" w:eastAsia="zh-CN"/>
              </w:rPr>
              <w:t>危废暂存间废气产生量较小，经通风后无组织排放</w:t>
            </w:r>
          </w:p>
          <w:p w14:paraId="0D5B8617">
            <w:pPr>
              <w:pStyle w:val="9"/>
              <w:rPr>
                <w:rFonts w:hint="default" w:ascii="Times New Roman" w:hAnsi="Times New Roman"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（4）污水处理站恶臭</w:t>
            </w:r>
          </w:p>
          <w:p w14:paraId="0FCBE7F8">
            <w:pPr>
              <w:pStyle w:val="9"/>
              <w:numPr>
                <w:ilvl w:val="0"/>
                <w:numId w:val="0"/>
              </w:numPr>
              <w:ind w:firstLine="480"/>
              <w:rPr>
                <w:rFonts w:hint="eastAsia" w:ascii="Times New Roman" w:hAnsi="Times New Roman" w:eastAsia="宋体"/>
                <w:color w:val="auto"/>
                <w:u w:val="none" w:color="auto"/>
                <w:lang w:val="en-US" w:eastAsia="zh-CN"/>
              </w:rPr>
            </w:pPr>
            <w:r>
              <w:rPr>
                <w:rFonts w:hint="default"/>
                <w:color w:val="auto"/>
                <w:u w:val="none" w:color="auto"/>
                <w:lang w:val="en-US" w:eastAsia="zh-CN"/>
              </w:rPr>
              <w:t>根据美国EPA对城市污水处理厂恶臭污染物产生情况的研究，每处理1</w:t>
            </w:r>
            <w:r>
              <w:rPr>
                <w:rFonts w:hint="eastAsia"/>
                <w:color w:val="auto"/>
                <w:u w:val="none" w:color="auto"/>
                <w:lang w:val="en-US" w:eastAsia="zh-CN"/>
              </w:rPr>
              <w:t xml:space="preserve"> </w:t>
            </w:r>
            <w:r>
              <w:rPr>
                <w:rFonts w:hint="default"/>
                <w:color w:val="auto"/>
                <w:u w:val="none" w:color="auto"/>
                <w:lang w:val="en-US" w:eastAsia="zh-CN"/>
              </w:rPr>
              <w:t>g的BOD</w:t>
            </w:r>
            <w:r>
              <w:rPr>
                <w:rFonts w:hint="default"/>
                <w:color w:val="auto"/>
                <w:u w:val="none" w:color="auto"/>
                <w:vertAlign w:val="subscript"/>
                <w:lang w:val="en-US" w:eastAsia="zh-CN"/>
              </w:rPr>
              <w:t>5</w:t>
            </w:r>
            <w:r>
              <w:rPr>
                <w:rFonts w:hint="default"/>
                <w:color w:val="auto"/>
                <w:u w:val="none" w:color="auto"/>
                <w:lang w:val="en-US" w:eastAsia="zh-CN"/>
              </w:rPr>
              <w:t>可产生0.00012 g的H</w:t>
            </w:r>
            <w:r>
              <w:rPr>
                <w:rFonts w:hint="default"/>
                <w:color w:val="auto"/>
                <w:u w:val="none" w:color="auto"/>
                <w:vertAlign w:val="subscript"/>
                <w:lang w:val="en-US" w:eastAsia="zh-CN"/>
              </w:rPr>
              <w:t>2</w:t>
            </w:r>
            <w:r>
              <w:rPr>
                <w:rFonts w:hint="default"/>
                <w:color w:val="auto"/>
                <w:u w:val="none" w:color="auto"/>
                <w:lang w:val="en-US" w:eastAsia="zh-CN"/>
              </w:rPr>
              <w:t>S和0.0031 g的NH</w:t>
            </w:r>
            <w:r>
              <w:rPr>
                <w:rFonts w:hint="default"/>
                <w:color w:val="auto"/>
                <w:u w:val="none" w:color="auto"/>
                <w:vertAlign w:val="subscript"/>
                <w:lang w:val="en-US" w:eastAsia="zh-CN"/>
              </w:rPr>
              <w:t>3</w:t>
            </w:r>
            <w:r>
              <w:rPr>
                <w:rFonts w:hint="default"/>
                <w:color w:val="auto"/>
                <w:u w:val="none" w:color="auto"/>
                <w:lang w:val="en-US" w:eastAsia="zh-CN"/>
              </w:rPr>
              <w:t>。根据</w:t>
            </w:r>
            <w:r>
              <w:rPr>
                <w:rFonts w:hint="eastAsia"/>
                <w:color w:val="auto"/>
                <w:u w:val="none" w:color="auto"/>
                <w:lang w:val="en-US" w:eastAsia="zh-CN"/>
              </w:rPr>
              <w:t>后文分析</w:t>
            </w:r>
            <w:r>
              <w:rPr>
                <w:rFonts w:hint="default"/>
                <w:color w:val="auto"/>
                <w:u w:val="none" w:color="auto"/>
                <w:lang w:val="en-US" w:eastAsia="zh-CN"/>
              </w:rPr>
              <w:t>，</w:t>
            </w:r>
            <w:r>
              <w:rPr>
                <w:rFonts w:hint="eastAsia"/>
                <w:color w:val="auto"/>
                <w:u w:val="none" w:color="auto"/>
                <w:lang w:val="en-US" w:eastAsia="zh-CN"/>
              </w:rPr>
              <w:t>项目污水处理站</w:t>
            </w:r>
            <w:r>
              <w:rPr>
                <w:rFonts w:hint="default"/>
                <w:color w:val="auto"/>
                <w:u w:val="none" w:color="auto"/>
                <w:lang w:val="en-US" w:eastAsia="zh-CN"/>
              </w:rPr>
              <w:t>对废水中BOD</w:t>
            </w:r>
            <w:r>
              <w:rPr>
                <w:rFonts w:hint="default"/>
                <w:color w:val="auto"/>
                <w:u w:val="none" w:color="auto"/>
                <w:vertAlign w:val="subscript"/>
                <w:lang w:val="en-US" w:eastAsia="zh-CN"/>
              </w:rPr>
              <w:t>5</w:t>
            </w:r>
            <w:r>
              <w:rPr>
                <w:rFonts w:hint="default"/>
                <w:color w:val="auto"/>
                <w:u w:val="none" w:color="auto"/>
                <w:lang w:val="en-US" w:eastAsia="zh-CN"/>
              </w:rPr>
              <w:t>的处理效率均为</w:t>
            </w:r>
            <w:r>
              <w:rPr>
                <w:rFonts w:hint="eastAsia"/>
                <w:color w:val="auto"/>
                <w:u w:val="none" w:color="auto"/>
                <w:lang w:val="en-US" w:eastAsia="zh-CN"/>
              </w:rPr>
              <w:t>92.5</w:t>
            </w:r>
            <w:r>
              <w:rPr>
                <w:rFonts w:hint="default"/>
                <w:color w:val="auto"/>
                <w:u w:val="none" w:color="auto"/>
                <w:lang w:val="en-US" w:eastAsia="zh-CN"/>
              </w:rPr>
              <w:t>%，BOD</w:t>
            </w:r>
            <w:r>
              <w:rPr>
                <w:rFonts w:hint="default"/>
                <w:color w:val="auto"/>
                <w:u w:val="none" w:color="auto"/>
                <w:vertAlign w:val="subscript"/>
                <w:lang w:val="en-US" w:eastAsia="zh-CN"/>
              </w:rPr>
              <w:t>5</w:t>
            </w:r>
            <w:r>
              <w:rPr>
                <w:rFonts w:hint="default"/>
                <w:color w:val="auto"/>
                <w:u w:val="none" w:color="auto"/>
                <w:lang w:val="en-US" w:eastAsia="zh-CN"/>
              </w:rPr>
              <w:t>处理量为</w:t>
            </w:r>
            <w:r>
              <w:rPr>
                <w:rFonts w:hint="eastAsia"/>
                <w:color w:val="auto"/>
                <w:u w:val="none" w:color="auto"/>
                <w:lang w:val="en-US" w:eastAsia="zh-CN"/>
              </w:rPr>
              <w:t>58.7437</w:t>
            </w:r>
            <w:r>
              <w:rPr>
                <w:rFonts w:hint="default"/>
                <w:color w:val="auto"/>
                <w:u w:val="none" w:color="auto"/>
                <w:lang w:val="en-US" w:eastAsia="zh-CN"/>
              </w:rPr>
              <w:t xml:space="preserve"> t/a</w:t>
            </w:r>
            <w:r>
              <w:rPr>
                <w:rFonts w:hint="eastAsia"/>
                <w:color w:val="auto"/>
                <w:u w:val="none" w:color="auto"/>
                <w:lang w:val="en-US" w:eastAsia="zh-CN"/>
              </w:rPr>
              <w:t>，则</w:t>
            </w:r>
            <w:r>
              <w:rPr>
                <w:rFonts w:hint="default"/>
                <w:color w:val="auto"/>
                <w:u w:val="none" w:color="auto"/>
                <w:lang w:val="en-US" w:eastAsia="zh-CN"/>
              </w:rPr>
              <w:t>H</w:t>
            </w:r>
            <w:r>
              <w:rPr>
                <w:rFonts w:hint="default"/>
                <w:color w:val="auto"/>
                <w:u w:val="none" w:color="auto"/>
                <w:vertAlign w:val="subscript"/>
                <w:lang w:val="en-US" w:eastAsia="zh-CN"/>
              </w:rPr>
              <w:t>2</w:t>
            </w:r>
            <w:r>
              <w:rPr>
                <w:rFonts w:hint="default"/>
                <w:color w:val="auto"/>
                <w:u w:val="none" w:color="auto"/>
                <w:lang w:val="en-US" w:eastAsia="zh-CN"/>
              </w:rPr>
              <w:t>S</w:t>
            </w:r>
            <w:r>
              <w:rPr>
                <w:rFonts w:hint="eastAsia"/>
                <w:color w:val="auto"/>
                <w:u w:val="none" w:color="auto"/>
                <w:lang w:val="en-US" w:eastAsia="zh-CN"/>
              </w:rPr>
              <w:t>产生量为0.0071 t/a</w:t>
            </w:r>
            <w:r>
              <w:rPr>
                <w:rFonts w:hint="default"/>
                <w:color w:val="auto"/>
                <w:u w:val="none" w:color="auto"/>
                <w:lang w:val="en-US" w:eastAsia="zh-CN"/>
              </w:rPr>
              <w:t>和NH</w:t>
            </w:r>
            <w:r>
              <w:rPr>
                <w:rFonts w:hint="default"/>
                <w:color w:val="auto"/>
                <w:u w:val="none" w:color="auto"/>
                <w:vertAlign w:val="subscript"/>
                <w:lang w:val="en-US" w:eastAsia="zh-CN"/>
              </w:rPr>
              <w:t>3</w:t>
            </w:r>
            <w:r>
              <w:rPr>
                <w:rFonts w:hint="eastAsia"/>
                <w:color w:val="auto"/>
                <w:u w:val="none" w:color="auto"/>
                <w:lang w:val="en-US" w:eastAsia="zh-CN"/>
              </w:rPr>
              <w:t>产生量为0.2 t/a，产生后经自然</w:t>
            </w:r>
            <w:r>
              <w:rPr>
                <w:rFonts w:hint="eastAsia" w:ascii="Times New Roman" w:hAnsi="Times New Roman" w:eastAsia="宋体"/>
                <w:color w:val="auto"/>
                <w:sz w:val="24"/>
                <w:szCs w:val="24"/>
                <w:u w:val="none" w:color="auto"/>
                <w:lang w:val="en-US" w:eastAsia="zh-CN"/>
              </w:rPr>
              <w:t>通风后无组织排放，对环境影响较小</w:t>
            </w:r>
            <w:r>
              <w:rPr>
                <w:rFonts w:hint="eastAsia" w:ascii="Times New Roman" w:hAnsi="Times New Roman" w:eastAsia="宋体"/>
                <w:color w:val="auto"/>
                <w:u w:val="none" w:color="auto"/>
                <w:lang w:val="en-US" w:eastAsia="zh-CN"/>
              </w:rPr>
              <w:t>。</w:t>
            </w:r>
          </w:p>
          <w:p w14:paraId="7D532422">
            <w:pPr>
              <w:pStyle w:val="9"/>
              <w:numPr>
                <w:ilvl w:val="0"/>
                <w:numId w:val="0"/>
              </w:numPr>
              <w:ind w:firstLine="480"/>
              <w:rPr>
                <w:rFonts w:hint="eastAsia" w:ascii="Times New Roman" w:hAnsi="Times New Roman" w:eastAsia="宋体"/>
                <w:color w:val="auto"/>
                <w:u w:val="none" w:color="auto"/>
                <w:lang w:val="en-US" w:eastAsia="zh-CN"/>
              </w:rPr>
            </w:pPr>
            <w:r>
              <w:rPr>
                <w:rFonts w:hint="eastAsia" w:ascii="Times New Roman" w:hAnsi="Times New Roman" w:eastAsia="宋体"/>
                <w:color w:val="auto"/>
                <w:u w:val="none" w:color="auto"/>
                <w:lang w:val="en-US" w:eastAsia="zh-CN"/>
              </w:rPr>
              <w:t>（</w:t>
            </w:r>
            <w:r>
              <w:rPr>
                <w:rFonts w:hint="eastAsia"/>
                <w:color w:val="auto"/>
                <w:u w:val="none" w:color="auto"/>
                <w:lang w:val="en-US" w:eastAsia="zh-CN"/>
              </w:rPr>
              <w:t>5</w:t>
            </w:r>
            <w:r>
              <w:rPr>
                <w:rFonts w:hint="eastAsia" w:ascii="Times New Roman" w:hAnsi="Times New Roman" w:eastAsia="宋体"/>
                <w:color w:val="auto"/>
                <w:u w:val="none" w:color="auto"/>
                <w:lang w:val="en-US" w:eastAsia="zh-CN"/>
              </w:rPr>
              <w:t>）食堂油烟</w:t>
            </w:r>
          </w:p>
          <w:p w14:paraId="380EB778">
            <w:pPr>
              <w:pStyle w:val="9"/>
              <w:numPr>
                <w:ilvl w:val="0"/>
                <w:numId w:val="0"/>
              </w:numPr>
              <w:ind w:firstLine="480"/>
              <w:rPr>
                <w:rFonts w:hint="default" w:ascii="Times New Roman" w:hAnsi="Times New Roman" w:eastAsia="宋体"/>
                <w:color w:val="auto"/>
                <w:u w:val="none" w:color="auto"/>
                <w:lang w:val="en-US" w:eastAsia="zh-CN"/>
              </w:rPr>
            </w:pPr>
            <w:r>
              <w:rPr>
                <w:rFonts w:hint="eastAsia" w:ascii="Times New Roman" w:hAnsi="Times New Roman" w:eastAsia="宋体"/>
                <w:color w:val="auto"/>
                <w:u w:val="none" w:color="auto"/>
                <w:lang w:val="en-US" w:eastAsia="zh-CN"/>
              </w:rPr>
              <w:t>本项目不新增劳动定员，故不新增食堂油烟排放。</w:t>
            </w:r>
          </w:p>
          <w:p w14:paraId="1FAC3A8B">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 xml:space="preserve">.2 </w:t>
            </w:r>
            <w:r>
              <w:rPr>
                <w:rFonts w:hint="default" w:ascii="Times New Roman" w:hAnsi="Times New Roman" w:eastAsia="黑体" w:cs="Times New Roman"/>
                <w:color w:val="auto"/>
                <w:u w:val="none" w:color="auto"/>
                <w:lang w:val="en-US" w:eastAsia="zh-CN"/>
              </w:rPr>
              <w:t>废气污染物产生及排放汇总</w:t>
            </w:r>
          </w:p>
          <w:p w14:paraId="2CB7693E">
            <w:pPr>
              <w:autoSpaceDE w:val="0"/>
              <w:autoSpaceDN w:val="0"/>
              <w:spacing w:line="360" w:lineRule="auto"/>
              <w:jc w:val="center"/>
              <w:rPr>
                <w:rFonts w:hint="default" w:ascii="Times New Roman" w:hAnsi="Times New Roman" w:cs="Times New Roman"/>
                <w:color w:val="auto"/>
                <w:kern w:val="0"/>
                <w:sz w:val="24"/>
                <w:szCs w:val="20"/>
                <w:u w:val="none" w:color="auto"/>
              </w:rPr>
            </w:pPr>
            <w:r>
              <w:rPr>
                <w:rFonts w:hint="default" w:ascii="Times New Roman" w:hAnsi="Times New Roman" w:cs="Times New Roman"/>
                <w:color w:val="auto"/>
                <w:kern w:val="0"/>
                <w:sz w:val="24"/>
                <w:szCs w:val="20"/>
                <w:u w:val="none" w:color="auto"/>
                <w:lang w:val="en-US" w:eastAsia="zh-CN"/>
              </w:rPr>
              <w:t>表4.</w:t>
            </w:r>
            <w:r>
              <w:rPr>
                <w:rFonts w:hint="eastAsia" w:cs="Times New Roman"/>
                <w:color w:val="auto"/>
                <w:kern w:val="0"/>
                <w:sz w:val="24"/>
                <w:szCs w:val="20"/>
                <w:u w:val="none" w:color="auto"/>
                <w:lang w:val="en-US" w:eastAsia="zh-CN"/>
              </w:rPr>
              <w:t>6</w:t>
            </w:r>
            <w:r>
              <w:rPr>
                <w:rFonts w:hint="default" w:ascii="Times New Roman" w:hAnsi="Times New Roman" w:cs="Times New Roman"/>
                <w:color w:val="auto"/>
                <w:kern w:val="0"/>
                <w:sz w:val="24"/>
                <w:szCs w:val="20"/>
                <w:u w:val="none" w:color="auto"/>
                <w:lang w:val="en-US" w:eastAsia="zh-CN"/>
              </w:rPr>
              <w:t>-</w:t>
            </w:r>
            <w:r>
              <w:rPr>
                <w:rFonts w:hint="eastAsia" w:cs="Times New Roman"/>
                <w:color w:val="auto"/>
                <w:kern w:val="0"/>
                <w:sz w:val="24"/>
                <w:szCs w:val="20"/>
                <w:u w:val="none" w:color="auto"/>
                <w:lang w:val="en-US" w:eastAsia="zh-CN"/>
              </w:rPr>
              <w:t>4</w:t>
            </w:r>
            <w:r>
              <w:rPr>
                <w:rFonts w:hint="default" w:ascii="Times New Roman" w:hAnsi="Times New Roman" w:cs="Times New Roman"/>
                <w:color w:val="auto"/>
                <w:kern w:val="0"/>
                <w:sz w:val="24"/>
                <w:szCs w:val="20"/>
                <w:u w:val="none" w:color="auto"/>
                <w:lang w:val="en-US" w:eastAsia="zh-CN"/>
              </w:rPr>
              <w:t xml:space="preserve"> </w:t>
            </w:r>
            <w:r>
              <w:rPr>
                <w:rFonts w:hint="default" w:ascii="Times New Roman" w:hAnsi="Times New Roman" w:cs="Times New Roman"/>
                <w:color w:val="auto"/>
                <w:kern w:val="0"/>
                <w:sz w:val="24"/>
                <w:szCs w:val="20"/>
                <w:u w:val="none" w:color="auto"/>
              </w:rPr>
              <w:t>大气污染物无组织排放量核算表</w:t>
            </w:r>
          </w:p>
          <w:tbl>
            <w:tblPr>
              <w:tblStyle w:val="22"/>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706"/>
              <w:gridCol w:w="887"/>
              <w:gridCol w:w="1275"/>
              <w:gridCol w:w="3202"/>
              <w:gridCol w:w="1195"/>
              <w:gridCol w:w="943"/>
            </w:tblGrid>
            <w:tr w14:paraId="21F4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restart"/>
                  <w:tcBorders>
                    <w:bottom w:val="single" w:color="auto" w:sz="4" w:space="0"/>
                    <w:right w:val="single" w:color="auto" w:sz="4" w:space="0"/>
                  </w:tcBorders>
                  <w:noWrap w:val="0"/>
                  <w:vAlign w:val="center"/>
                </w:tcPr>
                <w:p w14:paraId="6E47C221">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序号</w:t>
                  </w:r>
                </w:p>
              </w:tc>
              <w:tc>
                <w:tcPr>
                  <w:tcW w:w="706" w:type="dxa"/>
                  <w:vMerge w:val="restart"/>
                  <w:tcBorders>
                    <w:left w:val="single" w:color="auto" w:sz="4" w:space="0"/>
                    <w:bottom w:val="single" w:color="auto" w:sz="4" w:space="0"/>
                    <w:right w:val="single" w:color="auto" w:sz="4" w:space="0"/>
                  </w:tcBorders>
                  <w:noWrap w:val="0"/>
                  <w:vAlign w:val="center"/>
                </w:tcPr>
                <w:p w14:paraId="626DEF50">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产污</w:t>
                  </w:r>
                </w:p>
                <w:p w14:paraId="55AA1DE1">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环节</w:t>
                  </w:r>
                </w:p>
              </w:tc>
              <w:tc>
                <w:tcPr>
                  <w:tcW w:w="887" w:type="dxa"/>
                  <w:vMerge w:val="restart"/>
                  <w:tcBorders>
                    <w:left w:val="single" w:color="auto" w:sz="4" w:space="0"/>
                    <w:bottom w:val="single" w:color="auto" w:sz="4" w:space="0"/>
                    <w:right w:val="single" w:color="auto" w:sz="4" w:space="0"/>
                  </w:tcBorders>
                  <w:noWrap w:val="0"/>
                  <w:vAlign w:val="center"/>
                </w:tcPr>
                <w:p w14:paraId="1C4BC16B">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1275" w:type="dxa"/>
                  <w:vMerge w:val="restart"/>
                  <w:tcBorders>
                    <w:left w:val="single" w:color="auto" w:sz="4" w:space="0"/>
                    <w:bottom w:val="single" w:color="auto" w:sz="4" w:space="0"/>
                    <w:right w:val="single" w:color="auto" w:sz="4" w:space="0"/>
                  </w:tcBorders>
                  <w:noWrap w:val="0"/>
                  <w:vAlign w:val="center"/>
                </w:tcPr>
                <w:p w14:paraId="54F06C79">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主要污染防治措施</w:t>
                  </w:r>
                </w:p>
              </w:tc>
              <w:tc>
                <w:tcPr>
                  <w:tcW w:w="4397" w:type="dxa"/>
                  <w:gridSpan w:val="2"/>
                  <w:tcBorders>
                    <w:left w:val="single" w:color="auto" w:sz="4" w:space="0"/>
                    <w:bottom w:val="single" w:color="auto" w:sz="4" w:space="0"/>
                    <w:right w:val="single" w:color="auto" w:sz="4" w:space="0"/>
                  </w:tcBorders>
                  <w:noWrap w:val="0"/>
                  <w:vAlign w:val="center"/>
                </w:tcPr>
                <w:p w14:paraId="1F1474BA">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国家或地方污染物排放标准</w:t>
                  </w:r>
                </w:p>
              </w:tc>
              <w:tc>
                <w:tcPr>
                  <w:tcW w:w="943" w:type="dxa"/>
                  <w:vMerge w:val="restart"/>
                  <w:tcBorders>
                    <w:left w:val="single" w:color="auto" w:sz="4" w:space="0"/>
                    <w:bottom w:val="single" w:color="auto" w:sz="4" w:space="0"/>
                  </w:tcBorders>
                  <w:noWrap w:val="0"/>
                  <w:vAlign w:val="center"/>
                </w:tcPr>
                <w:p w14:paraId="4C11C0CA">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年排放量/（t/a）</w:t>
                  </w:r>
                </w:p>
              </w:tc>
            </w:tr>
            <w:tr w14:paraId="3A50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0" w:type="dxa"/>
                  <w:vMerge w:val="continue"/>
                  <w:tcBorders>
                    <w:top w:val="single" w:color="auto" w:sz="12" w:space="0"/>
                    <w:bottom w:val="single" w:color="auto" w:sz="4" w:space="0"/>
                    <w:right w:val="single" w:color="auto" w:sz="4" w:space="0"/>
                  </w:tcBorders>
                  <w:noWrap w:val="0"/>
                  <w:vAlign w:val="center"/>
                </w:tcPr>
                <w:p w14:paraId="6E0DAD79">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p>
              </w:tc>
              <w:tc>
                <w:tcPr>
                  <w:tcW w:w="706" w:type="dxa"/>
                  <w:vMerge w:val="continue"/>
                  <w:tcBorders>
                    <w:top w:val="single" w:color="auto" w:sz="12" w:space="0"/>
                    <w:left w:val="single" w:color="auto" w:sz="4" w:space="0"/>
                    <w:bottom w:val="single" w:color="auto" w:sz="4" w:space="0"/>
                    <w:right w:val="single" w:color="auto" w:sz="4" w:space="0"/>
                  </w:tcBorders>
                  <w:noWrap w:val="0"/>
                  <w:vAlign w:val="center"/>
                </w:tcPr>
                <w:p w14:paraId="57BE69A5">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p>
              </w:tc>
              <w:tc>
                <w:tcPr>
                  <w:tcW w:w="887" w:type="dxa"/>
                  <w:vMerge w:val="continue"/>
                  <w:tcBorders>
                    <w:top w:val="single" w:color="auto" w:sz="12" w:space="0"/>
                    <w:left w:val="single" w:color="auto" w:sz="4" w:space="0"/>
                    <w:bottom w:val="single" w:color="auto" w:sz="4" w:space="0"/>
                    <w:right w:val="single" w:color="auto" w:sz="4" w:space="0"/>
                  </w:tcBorders>
                  <w:noWrap w:val="0"/>
                  <w:vAlign w:val="center"/>
                </w:tcPr>
                <w:p w14:paraId="55F1D9D1">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p>
              </w:tc>
              <w:tc>
                <w:tcPr>
                  <w:tcW w:w="1275" w:type="dxa"/>
                  <w:vMerge w:val="continue"/>
                  <w:tcBorders>
                    <w:top w:val="single" w:color="auto" w:sz="12" w:space="0"/>
                    <w:left w:val="single" w:color="auto" w:sz="4" w:space="0"/>
                    <w:bottom w:val="single" w:color="auto" w:sz="4" w:space="0"/>
                    <w:right w:val="single" w:color="auto" w:sz="4" w:space="0"/>
                  </w:tcBorders>
                  <w:noWrap w:val="0"/>
                  <w:vAlign w:val="center"/>
                </w:tcPr>
                <w:p w14:paraId="566B6856">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p>
              </w:tc>
              <w:tc>
                <w:tcPr>
                  <w:tcW w:w="3202" w:type="dxa"/>
                  <w:tcBorders>
                    <w:top w:val="single" w:color="auto" w:sz="4" w:space="0"/>
                    <w:left w:val="single" w:color="auto" w:sz="4" w:space="0"/>
                    <w:bottom w:val="single" w:color="auto" w:sz="4" w:space="0"/>
                    <w:right w:val="single" w:color="auto" w:sz="4" w:space="0"/>
                  </w:tcBorders>
                  <w:noWrap w:val="0"/>
                  <w:vAlign w:val="center"/>
                </w:tcPr>
                <w:p w14:paraId="2E075679">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标准名称</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5E9266B5">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浓度限值/（mg/m</w:t>
                  </w:r>
                  <w:r>
                    <w:rPr>
                      <w:rFonts w:hint="default" w:ascii="Times New Roman" w:hAnsi="Times New Roman" w:cs="Times New Roman"/>
                      <w:color w:val="auto"/>
                      <w:sz w:val="21"/>
                      <w:szCs w:val="21"/>
                      <w:u w:val="none" w:color="auto"/>
                      <w:vertAlign w:val="superscript"/>
                    </w:rPr>
                    <w:t>3</w:t>
                  </w:r>
                  <w:r>
                    <w:rPr>
                      <w:rFonts w:hint="default" w:ascii="Times New Roman" w:hAnsi="Times New Roman" w:cs="Times New Roman"/>
                      <w:color w:val="auto"/>
                      <w:sz w:val="21"/>
                      <w:szCs w:val="21"/>
                      <w:u w:val="none" w:color="auto"/>
                    </w:rPr>
                    <w:t>）</w:t>
                  </w:r>
                </w:p>
              </w:tc>
              <w:tc>
                <w:tcPr>
                  <w:tcW w:w="943" w:type="dxa"/>
                  <w:vMerge w:val="continue"/>
                  <w:tcBorders>
                    <w:top w:val="single" w:color="auto" w:sz="12" w:space="0"/>
                    <w:left w:val="single" w:color="auto" w:sz="4" w:space="0"/>
                    <w:bottom w:val="single" w:color="auto" w:sz="4" w:space="0"/>
                  </w:tcBorders>
                  <w:noWrap w:val="0"/>
                  <w:vAlign w:val="center"/>
                </w:tcPr>
                <w:p w14:paraId="1478F7C3">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p>
              </w:tc>
            </w:tr>
            <w:tr w14:paraId="3FDE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80" w:type="dxa"/>
                  <w:vMerge w:val="restart"/>
                  <w:tcBorders>
                    <w:right w:val="single" w:color="auto" w:sz="4" w:space="0"/>
                  </w:tcBorders>
                  <w:noWrap w:val="0"/>
                  <w:vAlign w:val="center"/>
                </w:tcPr>
                <w:p w14:paraId="478F3C11">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w:t>
                  </w:r>
                </w:p>
              </w:tc>
              <w:tc>
                <w:tcPr>
                  <w:tcW w:w="706" w:type="dxa"/>
                  <w:vMerge w:val="restart"/>
                  <w:tcBorders>
                    <w:left w:val="single" w:color="auto" w:sz="4" w:space="0"/>
                    <w:right w:val="single" w:color="auto" w:sz="4" w:space="0"/>
                  </w:tcBorders>
                  <w:noWrap w:val="0"/>
                  <w:vAlign w:val="center"/>
                </w:tcPr>
                <w:p w14:paraId="2EBC5E4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危废暂存间废气</w:t>
                  </w:r>
                </w:p>
              </w:tc>
              <w:tc>
                <w:tcPr>
                  <w:tcW w:w="887" w:type="dxa"/>
                  <w:tcBorders>
                    <w:left w:val="single" w:color="auto" w:sz="4" w:space="0"/>
                    <w:right w:val="single" w:color="auto" w:sz="4" w:space="0"/>
                  </w:tcBorders>
                  <w:noWrap w:val="0"/>
                  <w:vAlign w:val="center"/>
                </w:tcPr>
                <w:p w14:paraId="7F7BDEF6">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sz w:val="21"/>
                      <w:szCs w:val="21"/>
                      <w:u w:val="none" w:color="auto"/>
                      <w:vertAlign w:val="baseline"/>
                      <w:lang w:val="en-US" w:eastAsia="zh-CN"/>
                    </w:rPr>
                    <w:t>硫化氢</w:t>
                  </w:r>
                </w:p>
              </w:tc>
              <w:tc>
                <w:tcPr>
                  <w:tcW w:w="1275" w:type="dxa"/>
                  <w:vMerge w:val="restart"/>
                  <w:tcBorders>
                    <w:left w:val="single" w:color="auto" w:sz="4" w:space="0"/>
                    <w:right w:val="single" w:color="auto" w:sz="4" w:space="0"/>
                  </w:tcBorders>
                  <w:noWrap w:val="0"/>
                  <w:vAlign w:val="center"/>
                </w:tcPr>
                <w:p w14:paraId="37D2DF99">
                  <w:pPr>
                    <w:pStyle w:val="48"/>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kern w:val="0"/>
                      <w:sz w:val="21"/>
                      <w:szCs w:val="21"/>
                      <w:u w:val="none" w:color="auto"/>
                      <w:lang w:val="en-US" w:eastAsia="zh-CN" w:bidi="ar-SA"/>
                    </w:rPr>
                  </w:pPr>
                  <w:r>
                    <w:rPr>
                      <w:rFonts w:hint="eastAsia" w:ascii="Times New Roman" w:hAnsi="Times New Roman" w:cs="Times New Roman"/>
                      <w:color w:val="auto"/>
                      <w:kern w:val="0"/>
                      <w:sz w:val="21"/>
                      <w:szCs w:val="21"/>
                      <w:u w:val="none" w:color="auto"/>
                      <w:lang w:val="en-US" w:eastAsia="zh-CN" w:bidi="ar-SA"/>
                    </w:rPr>
                    <w:t>源头密闭+危废暂存间通风</w:t>
                  </w:r>
                </w:p>
              </w:tc>
              <w:tc>
                <w:tcPr>
                  <w:tcW w:w="3202" w:type="dxa"/>
                  <w:vMerge w:val="restart"/>
                  <w:tcBorders>
                    <w:top w:val="single" w:color="auto" w:sz="4" w:space="0"/>
                    <w:left w:val="single" w:color="auto" w:sz="4" w:space="0"/>
                    <w:right w:val="single" w:color="auto" w:sz="4" w:space="0"/>
                  </w:tcBorders>
                  <w:shd w:val="clear" w:color="auto" w:fill="auto"/>
                  <w:noWrap w:val="0"/>
                  <w:vAlign w:val="center"/>
                </w:tcPr>
                <w:p w14:paraId="495D421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vertAlign w:val="baseline"/>
                      <w:lang w:val="en-US" w:eastAsia="zh-CN" w:bidi="ar-SA"/>
                    </w:rPr>
                    <w:t>《恶臭污染物排放标准》（GB14554-93）表1恶臭污染物厂界标准值</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EB26B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0.06</w:t>
                  </w:r>
                </w:p>
              </w:tc>
              <w:tc>
                <w:tcPr>
                  <w:tcW w:w="943" w:type="dxa"/>
                  <w:vMerge w:val="restart"/>
                  <w:tcBorders>
                    <w:left w:val="single" w:color="auto" w:sz="4" w:space="0"/>
                  </w:tcBorders>
                  <w:noWrap w:val="0"/>
                  <w:vAlign w:val="center"/>
                </w:tcPr>
                <w:p w14:paraId="0326204A">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少量</w:t>
                  </w:r>
                </w:p>
              </w:tc>
            </w:tr>
            <w:tr w14:paraId="703D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0" w:type="dxa"/>
                  <w:vMerge w:val="continue"/>
                  <w:tcBorders>
                    <w:bottom w:val="single" w:color="auto" w:sz="4" w:space="0"/>
                    <w:right w:val="single" w:color="auto" w:sz="4" w:space="0"/>
                  </w:tcBorders>
                  <w:noWrap w:val="0"/>
                  <w:vAlign w:val="center"/>
                </w:tcPr>
                <w:p w14:paraId="4F3B6F11">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6" w:type="dxa"/>
                  <w:vMerge w:val="continue"/>
                  <w:tcBorders>
                    <w:left w:val="single" w:color="auto" w:sz="4" w:space="0"/>
                    <w:right w:val="single" w:color="auto" w:sz="4" w:space="0"/>
                  </w:tcBorders>
                  <w:noWrap w:val="0"/>
                  <w:vAlign w:val="center"/>
                </w:tcPr>
                <w:p w14:paraId="3738998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887" w:type="dxa"/>
                  <w:tcBorders>
                    <w:left w:val="single" w:color="auto" w:sz="4" w:space="0"/>
                    <w:bottom w:val="single" w:color="auto" w:sz="4" w:space="0"/>
                    <w:right w:val="single" w:color="auto" w:sz="4" w:space="0"/>
                  </w:tcBorders>
                  <w:noWrap w:val="0"/>
                  <w:vAlign w:val="center"/>
                </w:tcPr>
                <w:p w14:paraId="1229E4D5">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sz w:val="21"/>
                      <w:szCs w:val="21"/>
                      <w:u w:val="none" w:color="auto"/>
                      <w:vertAlign w:val="baseline"/>
                      <w:lang w:val="en-US" w:eastAsia="zh-CN"/>
                    </w:rPr>
                    <w:t>氨</w:t>
                  </w:r>
                </w:p>
              </w:tc>
              <w:tc>
                <w:tcPr>
                  <w:tcW w:w="1275" w:type="dxa"/>
                  <w:vMerge w:val="continue"/>
                  <w:tcBorders>
                    <w:left w:val="single" w:color="auto" w:sz="4" w:space="0"/>
                    <w:right w:val="single" w:color="auto" w:sz="4" w:space="0"/>
                  </w:tcBorders>
                  <w:noWrap w:val="0"/>
                  <w:vAlign w:val="center"/>
                </w:tcPr>
                <w:p w14:paraId="64D7F06D">
                  <w:pPr>
                    <w:pStyle w:val="48"/>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kern w:val="0"/>
                      <w:sz w:val="21"/>
                      <w:szCs w:val="21"/>
                      <w:u w:val="none" w:color="auto"/>
                      <w:lang w:val="en-US" w:eastAsia="zh-CN" w:bidi="ar-SA"/>
                    </w:rPr>
                  </w:pPr>
                </w:p>
              </w:tc>
              <w:tc>
                <w:tcPr>
                  <w:tcW w:w="3202" w:type="dxa"/>
                  <w:vMerge w:val="continue"/>
                  <w:tcBorders>
                    <w:left w:val="single" w:color="auto" w:sz="4" w:space="0"/>
                    <w:bottom w:val="single" w:color="auto" w:sz="4" w:space="0"/>
                    <w:right w:val="single" w:color="auto" w:sz="4" w:space="0"/>
                  </w:tcBorders>
                  <w:shd w:val="clear" w:color="auto" w:fill="auto"/>
                  <w:noWrap w:val="0"/>
                  <w:vAlign w:val="center"/>
                </w:tcPr>
                <w:p w14:paraId="1F487872">
                  <w:pPr>
                    <w:pStyle w:val="47"/>
                    <w:numPr>
                      <w:ilvl w:val="0"/>
                      <w:numId w:val="0"/>
                    </w:numPr>
                    <w:adjustRightInd w:val="0"/>
                    <w:spacing w:line="240" w:lineRule="auto"/>
                    <w:ind w:left="0" w:leftChars="0" w:firstLine="0" w:firstLineChars="0"/>
                    <w:jc w:val="center"/>
                    <w:outlineLvl w:val="9"/>
                    <w:rPr>
                      <w:rFonts w:hint="eastAsia" w:ascii="Times New Roman" w:hAnsi="Times New Roman" w:eastAsia="宋体" w:cs="Times New Roman"/>
                      <w:color w:val="auto"/>
                      <w:kern w:val="2"/>
                      <w:sz w:val="21"/>
                      <w:szCs w:val="21"/>
                      <w:u w:val="none" w:color="auto"/>
                      <w:lang w:val="en-US" w:eastAsia="zh-CN" w:bidi="ar-SA"/>
                    </w:rPr>
                  </w:pPr>
                </w:p>
              </w:tc>
              <w:tc>
                <w:tcPr>
                  <w:tcW w:w="1195" w:type="dxa"/>
                  <w:tcBorders>
                    <w:top w:val="single" w:color="auto" w:sz="4" w:space="0"/>
                    <w:left w:val="single" w:color="auto" w:sz="4" w:space="0"/>
                    <w:right w:val="single" w:color="auto" w:sz="4" w:space="0"/>
                  </w:tcBorders>
                  <w:shd w:val="clear" w:color="auto" w:fill="auto"/>
                  <w:noWrap w:val="0"/>
                  <w:vAlign w:val="center"/>
                </w:tcPr>
                <w:p w14:paraId="73D99FFF">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cs="Times New Roman"/>
                      <w:color w:val="auto"/>
                      <w:sz w:val="21"/>
                      <w:szCs w:val="21"/>
                      <w:u w:val="none" w:color="auto"/>
                      <w:vertAlign w:val="baseline"/>
                      <w:lang w:val="en-US" w:eastAsia="zh-CN"/>
                    </w:rPr>
                    <w:t>1.5</w:t>
                  </w:r>
                </w:p>
              </w:tc>
              <w:tc>
                <w:tcPr>
                  <w:tcW w:w="943" w:type="dxa"/>
                  <w:vMerge w:val="continue"/>
                  <w:tcBorders>
                    <w:left w:val="single" w:color="auto" w:sz="4" w:space="0"/>
                    <w:bottom w:val="single" w:color="auto" w:sz="4" w:space="0"/>
                  </w:tcBorders>
                  <w:noWrap w:val="0"/>
                  <w:vAlign w:val="center"/>
                </w:tcPr>
                <w:p w14:paraId="4607ABC8">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p>
              </w:tc>
            </w:tr>
            <w:tr w14:paraId="122E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0" w:type="dxa"/>
                  <w:vMerge w:val="continue"/>
                  <w:tcBorders>
                    <w:bottom w:val="single" w:color="auto" w:sz="4" w:space="0"/>
                    <w:right w:val="single" w:color="auto" w:sz="4" w:space="0"/>
                  </w:tcBorders>
                  <w:noWrap w:val="0"/>
                  <w:vAlign w:val="center"/>
                </w:tcPr>
                <w:p w14:paraId="737F6A9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pPr>
                </w:p>
              </w:tc>
              <w:tc>
                <w:tcPr>
                  <w:tcW w:w="706" w:type="dxa"/>
                  <w:vMerge w:val="continue"/>
                  <w:tcBorders>
                    <w:left w:val="single" w:color="auto" w:sz="4" w:space="0"/>
                    <w:right w:val="single" w:color="auto" w:sz="4" w:space="0"/>
                  </w:tcBorders>
                  <w:noWrap w:val="0"/>
                  <w:vAlign w:val="center"/>
                </w:tcPr>
                <w:p w14:paraId="2BC39B6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pPr>
                </w:p>
              </w:tc>
              <w:tc>
                <w:tcPr>
                  <w:tcW w:w="887" w:type="dxa"/>
                  <w:tcBorders>
                    <w:left w:val="single" w:color="auto" w:sz="4" w:space="0"/>
                    <w:bottom w:val="single" w:color="auto" w:sz="4" w:space="0"/>
                    <w:right w:val="single" w:color="auto" w:sz="4" w:space="0"/>
                  </w:tcBorders>
                  <w:noWrap w:val="0"/>
                  <w:vAlign w:val="center"/>
                </w:tcPr>
                <w:p w14:paraId="3F7A7AF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臭气浓度</w:t>
                  </w:r>
                </w:p>
              </w:tc>
              <w:tc>
                <w:tcPr>
                  <w:tcW w:w="1275" w:type="dxa"/>
                  <w:vMerge w:val="continue"/>
                  <w:tcBorders>
                    <w:left w:val="single" w:color="auto" w:sz="4" w:space="0"/>
                    <w:right w:val="single" w:color="auto" w:sz="4" w:space="0"/>
                  </w:tcBorders>
                  <w:noWrap w:val="0"/>
                  <w:vAlign w:val="center"/>
                </w:tcPr>
                <w:p w14:paraId="44317F2D">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color w:val="auto"/>
                      <w:sz w:val="21"/>
                      <w:szCs w:val="21"/>
                      <w:u w:val="none" w:color="auto"/>
                      <w:vertAlign w:val="baseline"/>
                      <w:lang w:val="en-US" w:eastAsia="zh-CN"/>
                    </w:rPr>
                  </w:pPr>
                </w:p>
              </w:tc>
              <w:tc>
                <w:tcPr>
                  <w:tcW w:w="3202" w:type="dxa"/>
                  <w:vMerge w:val="continue"/>
                  <w:tcBorders>
                    <w:left w:val="single" w:color="auto" w:sz="4" w:space="0"/>
                    <w:bottom w:val="single" w:color="auto" w:sz="4" w:space="0"/>
                    <w:right w:val="single" w:color="auto" w:sz="4" w:space="0"/>
                  </w:tcBorders>
                  <w:shd w:val="clear" w:color="auto" w:fill="auto"/>
                  <w:noWrap w:val="0"/>
                  <w:vAlign w:val="center"/>
                </w:tcPr>
                <w:p w14:paraId="7670081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color w:val="auto"/>
                      <w:sz w:val="21"/>
                      <w:szCs w:val="21"/>
                      <w:u w:val="none" w:color="auto"/>
                      <w:vertAlign w:val="baseline"/>
                      <w:lang w:val="en-US" w:eastAsia="zh-CN"/>
                    </w:rPr>
                  </w:pPr>
                </w:p>
              </w:tc>
              <w:tc>
                <w:tcPr>
                  <w:tcW w:w="1195" w:type="dxa"/>
                  <w:tcBorders>
                    <w:left w:val="single" w:color="auto" w:sz="4" w:space="0"/>
                    <w:bottom w:val="single" w:color="auto" w:sz="4" w:space="0"/>
                    <w:right w:val="single" w:color="auto" w:sz="4" w:space="0"/>
                  </w:tcBorders>
                  <w:shd w:val="clear" w:color="auto" w:fill="auto"/>
                  <w:noWrap w:val="0"/>
                  <w:vAlign w:val="center"/>
                </w:tcPr>
                <w:p w14:paraId="1EBA28E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20（无量纲）</w:t>
                  </w:r>
                </w:p>
              </w:tc>
              <w:tc>
                <w:tcPr>
                  <w:tcW w:w="943" w:type="dxa"/>
                  <w:vMerge w:val="continue"/>
                  <w:tcBorders>
                    <w:left w:val="single" w:color="auto" w:sz="4" w:space="0"/>
                    <w:bottom w:val="single" w:color="auto" w:sz="4" w:space="0"/>
                  </w:tcBorders>
                  <w:noWrap w:val="0"/>
                  <w:vAlign w:val="center"/>
                </w:tcPr>
                <w:p w14:paraId="01EF870F">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color w:val="auto"/>
                      <w:sz w:val="21"/>
                      <w:szCs w:val="21"/>
                      <w:u w:val="none" w:color="auto"/>
                      <w:vertAlign w:val="baseline"/>
                      <w:lang w:val="en-US" w:eastAsia="zh-CN"/>
                    </w:rPr>
                  </w:pPr>
                </w:p>
              </w:tc>
            </w:tr>
            <w:tr w14:paraId="6569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restart"/>
                  <w:tcBorders>
                    <w:right w:val="single" w:color="auto" w:sz="4" w:space="0"/>
                  </w:tcBorders>
                  <w:noWrap w:val="0"/>
                  <w:vAlign w:val="center"/>
                </w:tcPr>
                <w:p w14:paraId="093CE400">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w:t>
                  </w:r>
                </w:p>
              </w:tc>
              <w:tc>
                <w:tcPr>
                  <w:tcW w:w="706" w:type="dxa"/>
                  <w:vMerge w:val="restart"/>
                  <w:tcBorders>
                    <w:left w:val="single" w:color="auto" w:sz="4" w:space="0"/>
                    <w:right w:val="single" w:color="auto" w:sz="4" w:space="0"/>
                  </w:tcBorders>
                  <w:noWrap w:val="0"/>
                  <w:vAlign w:val="center"/>
                </w:tcPr>
                <w:p w14:paraId="313D606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待宰间恶臭</w:t>
                  </w:r>
                </w:p>
              </w:tc>
              <w:tc>
                <w:tcPr>
                  <w:tcW w:w="887" w:type="dxa"/>
                  <w:tcBorders>
                    <w:left w:val="single" w:color="auto" w:sz="4" w:space="0"/>
                    <w:bottom w:val="single" w:color="auto" w:sz="4" w:space="0"/>
                    <w:right w:val="single" w:color="auto" w:sz="4" w:space="0"/>
                  </w:tcBorders>
                  <w:shd w:val="clear" w:color="auto" w:fill="auto"/>
                  <w:noWrap w:val="0"/>
                  <w:vAlign w:val="center"/>
                </w:tcPr>
                <w:p w14:paraId="36A98D0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硫化氢</w:t>
                  </w:r>
                </w:p>
              </w:tc>
              <w:tc>
                <w:tcPr>
                  <w:tcW w:w="1275" w:type="dxa"/>
                  <w:vMerge w:val="restart"/>
                  <w:tcBorders>
                    <w:left w:val="single" w:color="auto" w:sz="4" w:space="0"/>
                    <w:right w:val="single" w:color="auto" w:sz="4" w:space="0"/>
                  </w:tcBorders>
                  <w:noWrap w:val="0"/>
                  <w:vAlign w:val="center"/>
                </w:tcPr>
                <w:p w14:paraId="111B087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r>
                    <w:rPr>
                      <w:rFonts w:hint="eastAsia" w:cs="Times New Roman"/>
                      <w:color w:val="auto"/>
                      <w:sz w:val="21"/>
                      <w:szCs w:val="21"/>
                      <w:u w:val="none" w:color="auto"/>
                      <w:vertAlign w:val="baseline"/>
                      <w:lang w:val="en-US" w:eastAsia="zh-CN"/>
                    </w:rPr>
                    <w:t>喷洒除臭剂+车间通风</w:t>
                  </w:r>
                </w:p>
              </w:tc>
              <w:tc>
                <w:tcPr>
                  <w:tcW w:w="3202" w:type="dxa"/>
                  <w:vMerge w:val="restart"/>
                  <w:tcBorders>
                    <w:top w:val="single" w:color="auto" w:sz="4" w:space="0"/>
                    <w:left w:val="single" w:color="auto" w:sz="4" w:space="0"/>
                    <w:right w:val="single" w:color="auto" w:sz="4" w:space="0"/>
                  </w:tcBorders>
                  <w:noWrap w:val="0"/>
                  <w:vAlign w:val="center"/>
                </w:tcPr>
                <w:p w14:paraId="0CF1E0B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vertAlign w:val="baseline"/>
                      <w:lang w:val="en-US" w:eastAsia="zh-CN" w:bidi="ar-SA"/>
                    </w:rPr>
                    <w:t>《恶臭污染物排放标准》（GB14554-93）表1恶臭污染物厂界标准值</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7CB7553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color w:val="auto"/>
                      <w:sz w:val="21"/>
                      <w:szCs w:val="21"/>
                      <w:highlight w:val="none"/>
                      <w:u w:val="none" w:color="auto"/>
                      <w:lang w:val="en-US" w:eastAsia="zh-CN"/>
                    </w:rPr>
                  </w:pPr>
                  <w:r>
                    <w:rPr>
                      <w:rFonts w:hint="eastAsia" w:ascii="Times New Roman" w:hAnsi="Times New Roman" w:cs="Times New Roman"/>
                      <w:color w:val="auto"/>
                      <w:sz w:val="21"/>
                      <w:szCs w:val="21"/>
                      <w:u w:val="none" w:color="auto"/>
                      <w:vertAlign w:val="baseline"/>
                      <w:lang w:val="en-US" w:eastAsia="zh-CN"/>
                    </w:rPr>
                    <w:t>0.06</w:t>
                  </w:r>
                </w:p>
              </w:tc>
              <w:tc>
                <w:tcPr>
                  <w:tcW w:w="943" w:type="dxa"/>
                  <w:tcBorders>
                    <w:left w:val="single" w:color="auto" w:sz="4" w:space="0"/>
                    <w:bottom w:val="single" w:color="auto" w:sz="4" w:space="0"/>
                  </w:tcBorders>
                  <w:noWrap w:val="0"/>
                  <w:vAlign w:val="center"/>
                </w:tcPr>
                <w:p w14:paraId="251CC2BE">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0.02</w:t>
                  </w:r>
                </w:p>
              </w:tc>
            </w:tr>
            <w:tr w14:paraId="504F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continue"/>
                  <w:tcBorders>
                    <w:bottom w:val="single" w:color="auto" w:sz="4" w:space="0"/>
                    <w:right w:val="single" w:color="auto" w:sz="4" w:space="0"/>
                  </w:tcBorders>
                  <w:noWrap w:val="0"/>
                  <w:vAlign w:val="center"/>
                </w:tcPr>
                <w:p w14:paraId="1B7C1071">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6" w:type="dxa"/>
                  <w:vMerge w:val="continue"/>
                  <w:tcBorders>
                    <w:left w:val="single" w:color="auto" w:sz="4" w:space="0"/>
                    <w:right w:val="single" w:color="auto" w:sz="4" w:space="0"/>
                  </w:tcBorders>
                  <w:noWrap w:val="0"/>
                  <w:vAlign w:val="center"/>
                </w:tcPr>
                <w:p w14:paraId="51CDB3F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887" w:type="dxa"/>
                  <w:tcBorders>
                    <w:left w:val="single" w:color="auto" w:sz="4" w:space="0"/>
                    <w:bottom w:val="single" w:color="auto" w:sz="4" w:space="0"/>
                    <w:right w:val="single" w:color="auto" w:sz="4" w:space="0"/>
                  </w:tcBorders>
                  <w:shd w:val="clear" w:color="auto" w:fill="auto"/>
                  <w:noWrap w:val="0"/>
                  <w:vAlign w:val="center"/>
                </w:tcPr>
                <w:p w14:paraId="14DDC831">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氨</w:t>
                  </w:r>
                </w:p>
              </w:tc>
              <w:tc>
                <w:tcPr>
                  <w:tcW w:w="1275" w:type="dxa"/>
                  <w:vMerge w:val="continue"/>
                  <w:tcBorders>
                    <w:left w:val="single" w:color="auto" w:sz="4" w:space="0"/>
                    <w:right w:val="single" w:color="auto" w:sz="4" w:space="0"/>
                  </w:tcBorders>
                  <w:noWrap w:val="0"/>
                  <w:vAlign w:val="center"/>
                </w:tcPr>
                <w:p w14:paraId="1783D69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p>
              </w:tc>
              <w:tc>
                <w:tcPr>
                  <w:tcW w:w="3202" w:type="dxa"/>
                  <w:vMerge w:val="continue"/>
                  <w:tcBorders>
                    <w:left w:val="single" w:color="auto" w:sz="4" w:space="0"/>
                    <w:bottom w:val="single" w:color="auto" w:sz="4" w:space="0"/>
                    <w:right w:val="single" w:color="auto" w:sz="4" w:space="0"/>
                  </w:tcBorders>
                  <w:noWrap w:val="0"/>
                  <w:vAlign w:val="center"/>
                </w:tcPr>
                <w:p w14:paraId="384B946A">
                  <w:pPr>
                    <w:pStyle w:val="47"/>
                    <w:numPr>
                      <w:ilvl w:val="0"/>
                      <w:numId w:val="0"/>
                    </w:numPr>
                    <w:adjustRightInd w:val="0"/>
                    <w:spacing w:line="240" w:lineRule="auto"/>
                    <w:ind w:left="0" w:leftChars="0"/>
                    <w:jc w:val="center"/>
                    <w:outlineLvl w:val="9"/>
                    <w:rPr>
                      <w:rFonts w:hint="eastAsia" w:ascii="Times New Roman" w:hAnsi="Times New Roman" w:eastAsia="宋体" w:cs="Times New Roman"/>
                      <w:color w:val="auto"/>
                      <w:kern w:val="2"/>
                      <w:sz w:val="21"/>
                      <w:szCs w:val="21"/>
                      <w:u w:val="none" w:color="auto"/>
                      <w:lang w:val="en-US" w:eastAsia="zh-CN" w:bidi="ar-SA"/>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79052E0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color w:val="auto"/>
                      <w:sz w:val="21"/>
                      <w:szCs w:val="21"/>
                      <w:highlight w:val="none"/>
                      <w:u w:val="none" w:color="auto"/>
                      <w:lang w:val="en-US" w:eastAsia="zh-CN"/>
                    </w:rPr>
                  </w:pPr>
                  <w:r>
                    <w:rPr>
                      <w:rFonts w:hint="eastAsia" w:ascii="Times New Roman" w:hAnsi="Times New Roman" w:cs="Times New Roman"/>
                      <w:color w:val="auto"/>
                      <w:sz w:val="21"/>
                      <w:szCs w:val="21"/>
                      <w:u w:val="none" w:color="auto"/>
                      <w:vertAlign w:val="baseline"/>
                      <w:lang w:val="en-US" w:eastAsia="zh-CN"/>
                    </w:rPr>
                    <w:t>1.5</w:t>
                  </w:r>
                </w:p>
              </w:tc>
              <w:tc>
                <w:tcPr>
                  <w:tcW w:w="943" w:type="dxa"/>
                  <w:tcBorders>
                    <w:left w:val="single" w:color="auto" w:sz="4" w:space="0"/>
                    <w:bottom w:val="single" w:color="auto" w:sz="4" w:space="0"/>
                  </w:tcBorders>
                  <w:noWrap w:val="0"/>
                  <w:vAlign w:val="center"/>
                </w:tcPr>
                <w:p w14:paraId="2391472F">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0.445</w:t>
                  </w:r>
                </w:p>
              </w:tc>
            </w:tr>
            <w:tr w14:paraId="7EB6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80" w:type="dxa"/>
                  <w:vMerge w:val="restart"/>
                  <w:tcBorders>
                    <w:right w:val="single" w:color="auto" w:sz="4" w:space="0"/>
                  </w:tcBorders>
                  <w:noWrap w:val="0"/>
                  <w:vAlign w:val="center"/>
                </w:tcPr>
                <w:p w14:paraId="5772A36B">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w:t>
                  </w:r>
                </w:p>
              </w:tc>
              <w:tc>
                <w:tcPr>
                  <w:tcW w:w="706" w:type="dxa"/>
                  <w:vMerge w:val="restart"/>
                  <w:tcBorders>
                    <w:left w:val="single" w:color="auto" w:sz="4" w:space="0"/>
                    <w:right w:val="single" w:color="auto" w:sz="4" w:space="0"/>
                  </w:tcBorders>
                  <w:noWrap w:val="0"/>
                  <w:vAlign w:val="center"/>
                </w:tcPr>
                <w:p w14:paraId="3AF5DE10">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屠宰间、急宰间恶臭</w:t>
                  </w:r>
                </w:p>
              </w:tc>
              <w:tc>
                <w:tcPr>
                  <w:tcW w:w="887" w:type="dxa"/>
                  <w:tcBorders>
                    <w:left w:val="single" w:color="auto" w:sz="4" w:space="0"/>
                    <w:bottom w:val="single" w:color="auto" w:sz="4" w:space="0"/>
                    <w:right w:val="single" w:color="auto" w:sz="4" w:space="0"/>
                  </w:tcBorders>
                  <w:shd w:val="clear" w:color="auto" w:fill="auto"/>
                  <w:noWrap w:val="0"/>
                  <w:vAlign w:val="center"/>
                </w:tcPr>
                <w:p w14:paraId="140FCB7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硫化氢</w:t>
                  </w:r>
                </w:p>
              </w:tc>
              <w:tc>
                <w:tcPr>
                  <w:tcW w:w="1275" w:type="dxa"/>
                  <w:vMerge w:val="restart"/>
                  <w:tcBorders>
                    <w:left w:val="single" w:color="auto" w:sz="4" w:space="0"/>
                    <w:right w:val="single" w:color="auto" w:sz="4" w:space="0"/>
                  </w:tcBorders>
                  <w:noWrap w:val="0"/>
                  <w:vAlign w:val="center"/>
                </w:tcPr>
                <w:p w14:paraId="30B45FFD">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r>
                    <w:rPr>
                      <w:rFonts w:hint="eastAsia" w:cs="Times New Roman"/>
                      <w:color w:val="auto"/>
                      <w:sz w:val="21"/>
                      <w:szCs w:val="21"/>
                      <w:u w:val="none" w:color="auto"/>
                      <w:vertAlign w:val="baseline"/>
                      <w:lang w:val="en-US" w:eastAsia="zh-CN"/>
                    </w:rPr>
                    <w:t>喷洒除臭剂+车间通风</w:t>
                  </w:r>
                </w:p>
              </w:tc>
              <w:tc>
                <w:tcPr>
                  <w:tcW w:w="3202" w:type="dxa"/>
                  <w:vMerge w:val="restart"/>
                  <w:tcBorders>
                    <w:top w:val="single" w:color="auto" w:sz="4" w:space="0"/>
                    <w:left w:val="single" w:color="auto" w:sz="4" w:space="0"/>
                    <w:right w:val="single" w:color="auto" w:sz="4" w:space="0"/>
                  </w:tcBorders>
                  <w:noWrap w:val="0"/>
                  <w:vAlign w:val="center"/>
                </w:tcPr>
                <w:p w14:paraId="302B084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vertAlign w:val="baseline"/>
                      <w:lang w:val="en-US" w:eastAsia="zh-CN" w:bidi="ar-SA"/>
                    </w:rPr>
                    <w:t>《恶臭污染物排放标准》（GB14554-93）表1恶臭污染物厂界标准值</w:t>
                  </w:r>
                </w:p>
              </w:tc>
              <w:tc>
                <w:tcPr>
                  <w:tcW w:w="1195" w:type="dxa"/>
                  <w:tcBorders>
                    <w:top w:val="single" w:color="auto" w:sz="4" w:space="0"/>
                    <w:left w:val="single" w:color="auto" w:sz="4" w:space="0"/>
                    <w:bottom w:val="single" w:color="auto" w:sz="4" w:space="0"/>
                    <w:right w:val="single" w:color="auto" w:sz="4" w:space="0"/>
                  </w:tcBorders>
                  <w:noWrap w:val="0"/>
                  <w:vAlign w:val="center"/>
                </w:tcPr>
                <w:p w14:paraId="45AD3BB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color w:val="auto"/>
                      <w:sz w:val="21"/>
                      <w:szCs w:val="21"/>
                      <w:highlight w:val="none"/>
                      <w:u w:val="none" w:color="auto"/>
                      <w:lang w:val="en-US" w:eastAsia="zh-CN"/>
                    </w:rPr>
                  </w:pPr>
                  <w:r>
                    <w:rPr>
                      <w:rFonts w:hint="eastAsia" w:ascii="Times New Roman" w:hAnsi="Times New Roman" w:cs="Times New Roman"/>
                      <w:color w:val="auto"/>
                      <w:sz w:val="21"/>
                      <w:szCs w:val="21"/>
                      <w:u w:val="none" w:color="auto"/>
                      <w:vertAlign w:val="baseline"/>
                      <w:lang w:val="en-US" w:eastAsia="zh-CN"/>
                    </w:rPr>
                    <w:t>0.06</w:t>
                  </w:r>
                </w:p>
              </w:tc>
              <w:tc>
                <w:tcPr>
                  <w:tcW w:w="943" w:type="dxa"/>
                  <w:tcBorders>
                    <w:left w:val="single" w:color="auto" w:sz="4" w:space="0"/>
                    <w:bottom w:val="single" w:color="auto" w:sz="4" w:space="0"/>
                  </w:tcBorders>
                  <w:noWrap w:val="0"/>
                  <w:vAlign w:val="center"/>
                </w:tcPr>
                <w:p w14:paraId="484B042D">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0.003</w:t>
                  </w:r>
                </w:p>
              </w:tc>
            </w:tr>
            <w:tr w14:paraId="1EF8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continue"/>
                  <w:tcBorders>
                    <w:bottom w:val="single" w:color="auto" w:sz="4" w:space="0"/>
                    <w:right w:val="single" w:color="auto" w:sz="4" w:space="0"/>
                  </w:tcBorders>
                  <w:noWrap w:val="0"/>
                  <w:vAlign w:val="center"/>
                </w:tcPr>
                <w:p w14:paraId="38312951">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6" w:type="dxa"/>
                  <w:vMerge w:val="continue"/>
                  <w:tcBorders>
                    <w:left w:val="single" w:color="auto" w:sz="4" w:space="0"/>
                    <w:right w:val="single" w:color="auto" w:sz="4" w:space="0"/>
                  </w:tcBorders>
                  <w:noWrap w:val="0"/>
                  <w:vAlign w:val="center"/>
                </w:tcPr>
                <w:p w14:paraId="778850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887" w:type="dxa"/>
                  <w:tcBorders>
                    <w:left w:val="single" w:color="auto" w:sz="4" w:space="0"/>
                    <w:bottom w:val="single" w:color="auto" w:sz="4" w:space="0"/>
                    <w:right w:val="single" w:color="auto" w:sz="4" w:space="0"/>
                  </w:tcBorders>
                  <w:shd w:val="clear" w:color="auto" w:fill="auto"/>
                  <w:noWrap w:val="0"/>
                  <w:vAlign w:val="center"/>
                </w:tcPr>
                <w:p w14:paraId="69C8D896">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氨</w:t>
                  </w:r>
                </w:p>
              </w:tc>
              <w:tc>
                <w:tcPr>
                  <w:tcW w:w="1275" w:type="dxa"/>
                  <w:vMerge w:val="continue"/>
                  <w:tcBorders>
                    <w:left w:val="single" w:color="auto" w:sz="4" w:space="0"/>
                    <w:right w:val="single" w:color="auto" w:sz="4" w:space="0"/>
                  </w:tcBorders>
                  <w:noWrap w:val="0"/>
                  <w:vAlign w:val="center"/>
                </w:tcPr>
                <w:p w14:paraId="4A2BF68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p>
              </w:tc>
              <w:tc>
                <w:tcPr>
                  <w:tcW w:w="3202" w:type="dxa"/>
                  <w:vMerge w:val="continue"/>
                  <w:tcBorders>
                    <w:left w:val="single" w:color="auto" w:sz="4" w:space="0"/>
                    <w:bottom w:val="single" w:color="auto" w:sz="4" w:space="0"/>
                    <w:right w:val="single" w:color="auto" w:sz="4" w:space="0"/>
                  </w:tcBorders>
                  <w:noWrap w:val="0"/>
                  <w:vAlign w:val="center"/>
                </w:tcPr>
                <w:p w14:paraId="684BB1AC">
                  <w:pPr>
                    <w:pStyle w:val="47"/>
                    <w:numPr>
                      <w:ilvl w:val="0"/>
                      <w:numId w:val="0"/>
                    </w:numPr>
                    <w:adjustRightInd w:val="0"/>
                    <w:spacing w:line="240" w:lineRule="auto"/>
                    <w:ind w:left="0" w:leftChars="0"/>
                    <w:jc w:val="center"/>
                    <w:outlineLvl w:val="9"/>
                    <w:rPr>
                      <w:rFonts w:hint="eastAsia" w:ascii="Times New Roman" w:hAnsi="Times New Roman" w:eastAsia="宋体" w:cs="Times New Roman"/>
                      <w:color w:val="auto"/>
                      <w:kern w:val="2"/>
                      <w:sz w:val="21"/>
                      <w:szCs w:val="21"/>
                      <w:u w:val="none" w:color="auto"/>
                      <w:lang w:val="en-US" w:eastAsia="zh-CN" w:bidi="ar-SA"/>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7BDC79F">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color w:val="auto"/>
                      <w:sz w:val="21"/>
                      <w:szCs w:val="21"/>
                      <w:highlight w:val="none"/>
                      <w:u w:val="none" w:color="auto"/>
                      <w:lang w:val="en-US" w:eastAsia="zh-CN"/>
                    </w:rPr>
                  </w:pPr>
                  <w:r>
                    <w:rPr>
                      <w:rFonts w:hint="eastAsia" w:ascii="Times New Roman" w:hAnsi="Times New Roman" w:cs="Times New Roman"/>
                      <w:color w:val="auto"/>
                      <w:sz w:val="21"/>
                      <w:szCs w:val="21"/>
                      <w:u w:val="none" w:color="auto"/>
                      <w:vertAlign w:val="baseline"/>
                      <w:lang w:val="en-US" w:eastAsia="zh-CN"/>
                    </w:rPr>
                    <w:t>1.5</w:t>
                  </w:r>
                </w:p>
              </w:tc>
              <w:tc>
                <w:tcPr>
                  <w:tcW w:w="943" w:type="dxa"/>
                  <w:tcBorders>
                    <w:left w:val="single" w:color="auto" w:sz="4" w:space="0"/>
                    <w:bottom w:val="single" w:color="auto" w:sz="4" w:space="0"/>
                  </w:tcBorders>
                  <w:noWrap w:val="0"/>
                  <w:vAlign w:val="center"/>
                </w:tcPr>
                <w:p w14:paraId="01A4BE9E">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0.153</w:t>
                  </w:r>
                </w:p>
              </w:tc>
            </w:tr>
            <w:tr w14:paraId="3D5B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80" w:type="dxa"/>
                  <w:vMerge w:val="restart"/>
                  <w:tcBorders>
                    <w:right w:val="single" w:color="auto" w:sz="4" w:space="0"/>
                  </w:tcBorders>
                  <w:noWrap w:val="0"/>
                  <w:vAlign w:val="center"/>
                </w:tcPr>
                <w:p w14:paraId="5198AA7C">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w:t>
                  </w:r>
                </w:p>
              </w:tc>
              <w:tc>
                <w:tcPr>
                  <w:tcW w:w="706" w:type="dxa"/>
                  <w:vMerge w:val="restart"/>
                  <w:tcBorders>
                    <w:left w:val="single" w:color="auto" w:sz="4" w:space="0"/>
                    <w:right w:val="single" w:color="auto" w:sz="4" w:space="0"/>
                  </w:tcBorders>
                  <w:noWrap w:val="0"/>
                  <w:vAlign w:val="center"/>
                </w:tcPr>
                <w:p w14:paraId="46FE5E5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污水处理站恶臭</w:t>
                  </w:r>
                </w:p>
              </w:tc>
              <w:tc>
                <w:tcPr>
                  <w:tcW w:w="887" w:type="dxa"/>
                  <w:tcBorders>
                    <w:left w:val="single" w:color="auto" w:sz="4" w:space="0"/>
                    <w:bottom w:val="single" w:color="auto" w:sz="4" w:space="0"/>
                    <w:right w:val="single" w:color="auto" w:sz="4" w:space="0"/>
                  </w:tcBorders>
                  <w:shd w:val="clear" w:color="auto" w:fill="auto"/>
                  <w:noWrap w:val="0"/>
                  <w:vAlign w:val="center"/>
                </w:tcPr>
                <w:p w14:paraId="378FF12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硫化氢</w:t>
                  </w:r>
                </w:p>
              </w:tc>
              <w:tc>
                <w:tcPr>
                  <w:tcW w:w="1275" w:type="dxa"/>
                  <w:vMerge w:val="restart"/>
                  <w:tcBorders>
                    <w:left w:val="single" w:color="auto" w:sz="4" w:space="0"/>
                    <w:right w:val="single" w:color="auto" w:sz="4" w:space="0"/>
                  </w:tcBorders>
                  <w:noWrap w:val="0"/>
                  <w:vAlign w:val="center"/>
                </w:tcPr>
                <w:p w14:paraId="6D4AE06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自然通风</w:t>
                  </w:r>
                </w:p>
              </w:tc>
              <w:tc>
                <w:tcPr>
                  <w:tcW w:w="3202" w:type="dxa"/>
                  <w:vMerge w:val="restart"/>
                  <w:tcBorders>
                    <w:left w:val="single" w:color="auto" w:sz="4" w:space="0"/>
                    <w:right w:val="single" w:color="auto" w:sz="4" w:space="0"/>
                  </w:tcBorders>
                  <w:noWrap w:val="0"/>
                  <w:vAlign w:val="center"/>
                </w:tcPr>
                <w:p w14:paraId="5C0A5FF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vertAlign w:val="baseline"/>
                      <w:lang w:val="en-US" w:eastAsia="zh-CN" w:bidi="ar-SA"/>
                    </w:rPr>
                    <w:t>《恶臭污染物排放标准》（GB14554-93）表1恶臭污染物厂界标准值</w:t>
                  </w: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680111">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0.06</w:t>
                  </w:r>
                </w:p>
              </w:tc>
              <w:tc>
                <w:tcPr>
                  <w:tcW w:w="943" w:type="dxa"/>
                  <w:tcBorders>
                    <w:left w:val="single" w:color="auto" w:sz="4" w:space="0"/>
                    <w:bottom w:val="single" w:color="auto" w:sz="4" w:space="0"/>
                  </w:tcBorders>
                  <w:noWrap w:val="0"/>
                  <w:vAlign w:val="center"/>
                </w:tcPr>
                <w:p w14:paraId="7E9FA20A">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0.0071</w:t>
                  </w:r>
                </w:p>
              </w:tc>
            </w:tr>
            <w:tr w14:paraId="2682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continue"/>
                  <w:tcBorders>
                    <w:right w:val="single" w:color="auto" w:sz="4" w:space="0"/>
                  </w:tcBorders>
                  <w:noWrap w:val="0"/>
                  <w:vAlign w:val="center"/>
                </w:tcPr>
                <w:p w14:paraId="112CF37D">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6" w:type="dxa"/>
                  <w:vMerge w:val="continue"/>
                  <w:tcBorders>
                    <w:left w:val="single" w:color="auto" w:sz="4" w:space="0"/>
                    <w:right w:val="single" w:color="auto" w:sz="4" w:space="0"/>
                  </w:tcBorders>
                  <w:noWrap w:val="0"/>
                  <w:vAlign w:val="center"/>
                </w:tcPr>
                <w:p w14:paraId="0BA8FF1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887" w:type="dxa"/>
                  <w:tcBorders>
                    <w:left w:val="single" w:color="auto" w:sz="4" w:space="0"/>
                    <w:bottom w:val="single" w:color="auto" w:sz="4" w:space="0"/>
                    <w:right w:val="single" w:color="auto" w:sz="4" w:space="0"/>
                  </w:tcBorders>
                  <w:shd w:val="clear" w:color="auto" w:fill="auto"/>
                  <w:noWrap w:val="0"/>
                  <w:vAlign w:val="center"/>
                </w:tcPr>
                <w:p w14:paraId="67A4761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氨</w:t>
                  </w:r>
                </w:p>
              </w:tc>
              <w:tc>
                <w:tcPr>
                  <w:tcW w:w="1275" w:type="dxa"/>
                  <w:vMerge w:val="continue"/>
                  <w:tcBorders>
                    <w:left w:val="single" w:color="auto" w:sz="4" w:space="0"/>
                    <w:right w:val="single" w:color="auto" w:sz="4" w:space="0"/>
                  </w:tcBorders>
                  <w:noWrap w:val="0"/>
                  <w:vAlign w:val="center"/>
                </w:tcPr>
                <w:p w14:paraId="497AE106">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p>
              </w:tc>
              <w:tc>
                <w:tcPr>
                  <w:tcW w:w="3202" w:type="dxa"/>
                  <w:vMerge w:val="continue"/>
                  <w:tcBorders>
                    <w:left w:val="single" w:color="auto" w:sz="4" w:space="0"/>
                    <w:right w:val="single" w:color="auto" w:sz="4" w:space="0"/>
                  </w:tcBorders>
                  <w:noWrap w:val="0"/>
                  <w:vAlign w:val="center"/>
                </w:tcPr>
                <w:p w14:paraId="7050CA36">
                  <w:pPr>
                    <w:pStyle w:val="47"/>
                    <w:numPr>
                      <w:ilvl w:val="0"/>
                      <w:numId w:val="0"/>
                    </w:numPr>
                    <w:adjustRightInd w:val="0"/>
                    <w:spacing w:line="240" w:lineRule="auto"/>
                    <w:ind w:left="0" w:leftChars="0"/>
                    <w:jc w:val="center"/>
                    <w:outlineLvl w:val="9"/>
                    <w:rPr>
                      <w:rFonts w:hint="eastAsia" w:ascii="Times New Roman" w:hAnsi="Times New Roman" w:eastAsia="宋体" w:cs="Times New Roman"/>
                      <w:color w:val="auto"/>
                      <w:kern w:val="2"/>
                      <w:sz w:val="21"/>
                      <w:szCs w:val="21"/>
                      <w:u w:val="none" w:color="auto"/>
                      <w:lang w:val="en-US" w:eastAsia="zh-CN" w:bidi="ar-SA"/>
                    </w:rPr>
                  </w:pP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41F96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1.5</w:t>
                  </w:r>
                </w:p>
              </w:tc>
              <w:tc>
                <w:tcPr>
                  <w:tcW w:w="943" w:type="dxa"/>
                  <w:tcBorders>
                    <w:left w:val="single" w:color="auto" w:sz="4" w:space="0"/>
                    <w:bottom w:val="single" w:color="auto" w:sz="4" w:space="0"/>
                  </w:tcBorders>
                  <w:noWrap w:val="0"/>
                  <w:vAlign w:val="center"/>
                </w:tcPr>
                <w:p w14:paraId="20B8D7CC">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0.2</w:t>
                  </w:r>
                </w:p>
              </w:tc>
            </w:tr>
            <w:tr w14:paraId="4F9B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dxa"/>
                  <w:vMerge w:val="continue"/>
                  <w:tcBorders>
                    <w:bottom w:val="single" w:color="auto" w:sz="4" w:space="0"/>
                    <w:right w:val="single" w:color="auto" w:sz="4" w:space="0"/>
                  </w:tcBorders>
                  <w:noWrap w:val="0"/>
                  <w:vAlign w:val="center"/>
                </w:tcPr>
                <w:p w14:paraId="535DFFFF">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6" w:type="dxa"/>
                  <w:vMerge w:val="continue"/>
                  <w:tcBorders>
                    <w:left w:val="single" w:color="auto" w:sz="4" w:space="0"/>
                    <w:right w:val="single" w:color="auto" w:sz="4" w:space="0"/>
                  </w:tcBorders>
                  <w:noWrap w:val="0"/>
                  <w:vAlign w:val="center"/>
                </w:tcPr>
                <w:p w14:paraId="74CC85B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887" w:type="dxa"/>
                  <w:tcBorders>
                    <w:left w:val="single" w:color="auto" w:sz="4" w:space="0"/>
                    <w:bottom w:val="single" w:color="auto" w:sz="4" w:space="0"/>
                    <w:right w:val="single" w:color="auto" w:sz="4" w:space="0"/>
                  </w:tcBorders>
                  <w:shd w:val="clear" w:color="auto" w:fill="auto"/>
                  <w:noWrap w:val="0"/>
                  <w:vAlign w:val="center"/>
                </w:tcPr>
                <w:p w14:paraId="76DCEB3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臭气浓度</w:t>
                  </w:r>
                </w:p>
              </w:tc>
              <w:tc>
                <w:tcPr>
                  <w:tcW w:w="1275" w:type="dxa"/>
                  <w:vMerge w:val="continue"/>
                  <w:tcBorders>
                    <w:left w:val="single" w:color="auto" w:sz="4" w:space="0"/>
                    <w:right w:val="single" w:color="auto" w:sz="4" w:space="0"/>
                  </w:tcBorders>
                  <w:noWrap w:val="0"/>
                  <w:vAlign w:val="center"/>
                </w:tcPr>
                <w:p w14:paraId="708A3135">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kern w:val="0"/>
                      <w:sz w:val="21"/>
                      <w:szCs w:val="21"/>
                      <w:u w:val="none" w:color="auto"/>
                      <w:lang w:val="en-US" w:eastAsia="zh-CN" w:bidi="ar-SA"/>
                    </w:rPr>
                  </w:pPr>
                </w:p>
              </w:tc>
              <w:tc>
                <w:tcPr>
                  <w:tcW w:w="3202" w:type="dxa"/>
                  <w:vMerge w:val="continue"/>
                  <w:tcBorders>
                    <w:left w:val="single" w:color="auto" w:sz="4" w:space="0"/>
                    <w:bottom w:val="single" w:color="auto" w:sz="4" w:space="0"/>
                    <w:right w:val="single" w:color="auto" w:sz="4" w:space="0"/>
                  </w:tcBorders>
                  <w:noWrap w:val="0"/>
                  <w:vAlign w:val="center"/>
                </w:tcPr>
                <w:p w14:paraId="0A0089BA">
                  <w:pPr>
                    <w:pStyle w:val="47"/>
                    <w:numPr>
                      <w:ilvl w:val="0"/>
                      <w:numId w:val="0"/>
                    </w:numPr>
                    <w:adjustRightInd w:val="0"/>
                    <w:spacing w:line="240" w:lineRule="auto"/>
                    <w:ind w:left="0" w:leftChars="0"/>
                    <w:jc w:val="center"/>
                    <w:outlineLvl w:val="9"/>
                    <w:rPr>
                      <w:rFonts w:hint="eastAsia" w:ascii="Times New Roman" w:hAnsi="Times New Roman" w:eastAsia="宋体" w:cs="Times New Roman"/>
                      <w:color w:val="auto"/>
                      <w:kern w:val="2"/>
                      <w:sz w:val="21"/>
                      <w:szCs w:val="21"/>
                      <w:u w:val="none" w:color="auto"/>
                      <w:lang w:val="en-US" w:eastAsia="zh-CN" w:bidi="ar-SA"/>
                    </w:rPr>
                  </w:pPr>
                </w:p>
              </w:tc>
              <w:tc>
                <w:tcPr>
                  <w:tcW w:w="11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021AFD">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20（无量纲）</w:t>
                  </w:r>
                </w:p>
              </w:tc>
              <w:tc>
                <w:tcPr>
                  <w:tcW w:w="943" w:type="dxa"/>
                  <w:tcBorders>
                    <w:left w:val="single" w:color="auto" w:sz="4" w:space="0"/>
                    <w:bottom w:val="single" w:color="auto" w:sz="4" w:space="0"/>
                  </w:tcBorders>
                  <w:noWrap w:val="0"/>
                  <w:vAlign w:val="center"/>
                </w:tcPr>
                <w:p w14:paraId="31675555">
                  <w:pPr>
                    <w:pStyle w:val="4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u w:val="none" w:color="auto"/>
                      <w:lang w:val="en-US" w:eastAsia="zh-CN"/>
                    </w:rPr>
                  </w:pPr>
                  <w:r>
                    <w:rPr>
                      <w:rFonts w:hint="eastAsia" w:ascii="Times New Roman" w:hAnsi="Times New Roman" w:cs="Times New Roman"/>
                      <w:color w:val="auto"/>
                      <w:kern w:val="0"/>
                      <w:u w:val="none" w:color="auto"/>
                      <w:lang w:val="en-US" w:eastAsia="zh-CN"/>
                    </w:rPr>
                    <w:t>少量</w:t>
                  </w:r>
                </w:p>
              </w:tc>
            </w:tr>
            <w:tr w14:paraId="3869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gridSpan w:val="2"/>
                  <w:vMerge w:val="restart"/>
                  <w:tcBorders>
                    <w:right w:val="single" w:color="auto" w:sz="4" w:space="0"/>
                  </w:tcBorders>
                  <w:noWrap w:val="0"/>
                  <w:vAlign w:val="center"/>
                </w:tcPr>
                <w:p w14:paraId="16793B6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合计</w:t>
                  </w:r>
                </w:p>
              </w:tc>
              <w:tc>
                <w:tcPr>
                  <w:tcW w:w="6559"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1D1EDE51">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硫化氢</w:t>
                  </w:r>
                </w:p>
              </w:tc>
              <w:tc>
                <w:tcPr>
                  <w:tcW w:w="943" w:type="dxa"/>
                  <w:tcBorders>
                    <w:top w:val="single" w:color="auto" w:sz="4" w:space="0"/>
                    <w:left w:val="single" w:color="auto" w:sz="4" w:space="0"/>
                    <w:bottom w:val="single" w:color="auto" w:sz="4" w:space="0"/>
                  </w:tcBorders>
                  <w:shd w:val="clear" w:color="auto" w:fill="auto"/>
                  <w:noWrap w:val="0"/>
                  <w:vAlign w:val="center"/>
                </w:tcPr>
                <w:p w14:paraId="0060B55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0.0301</w:t>
                  </w:r>
                </w:p>
              </w:tc>
            </w:tr>
            <w:tr w14:paraId="7614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gridSpan w:val="2"/>
                  <w:vMerge w:val="continue"/>
                  <w:tcBorders>
                    <w:right w:val="single" w:color="auto" w:sz="4" w:space="0"/>
                  </w:tcBorders>
                  <w:noWrap w:val="0"/>
                  <w:vAlign w:val="center"/>
                </w:tcPr>
                <w:p w14:paraId="51A38E11">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auto"/>
                      <w:sz w:val="21"/>
                      <w:szCs w:val="21"/>
                      <w:u w:val="none" w:color="auto"/>
                      <w:lang w:val="en-US" w:eastAsia="zh-CN"/>
                    </w:rPr>
                  </w:pPr>
                </w:p>
              </w:tc>
              <w:tc>
                <w:tcPr>
                  <w:tcW w:w="6559"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15ECFBC5">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氨</w:t>
                  </w:r>
                </w:p>
              </w:tc>
              <w:tc>
                <w:tcPr>
                  <w:tcW w:w="943" w:type="dxa"/>
                  <w:tcBorders>
                    <w:top w:val="single" w:color="auto" w:sz="4" w:space="0"/>
                    <w:left w:val="single" w:color="auto" w:sz="4" w:space="0"/>
                    <w:bottom w:val="single" w:color="auto" w:sz="4" w:space="0"/>
                  </w:tcBorders>
                  <w:shd w:val="clear" w:color="auto" w:fill="auto"/>
                  <w:noWrap w:val="0"/>
                  <w:vAlign w:val="center"/>
                </w:tcPr>
                <w:p w14:paraId="15AAF4D2">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0.789</w:t>
                  </w:r>
                </w:p>
              </w:tc>
            </w:tr>
            <w:tr w14:paraId="729E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gridSpan w:val="2"/>
                  <w:vMerge w:val="continue"/>
                  <w:tcBorders>
                    <w:right w:val="single" w:color="auto" w:sz="4" w:space="0"/>
                  </w:tcBorders>
                  <w:noWrap w:val="0"/>
                  <w:vAlign w:val="center"/>
                </w:tcPr>
                <w:p w14:paraId="1114D89D">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auto"/>
                      <w:sz w:val="21"/>
                      <w:szCs w:val="21"/>
                      <w:u w:val="none" w:color="auto"/>
                      <w:lang w:val="en-US" w:eastAsia="zh-CN"/>
                    </w:rPr>
                  </w:pPr>
                </w:p>
              </w:tc>
              <w:tc>
                <w:tcPr>
                  <w:tcW w:w="6559"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4A72012D">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臭气浓度</w:t>
                  </w:r>
                </w:p>
              </w:tc>
              <w:tc>
                <w:tcPr>
                  <w:tcW w:w="943" w:type="dxa"/>
                  <w:tcBorders>
                    <w:top w:val="single" w:color="auto" w:sz="4" w:space="0"/>
                    <w:left w:val="single" w:color="auto" w:sz="4" w:space="0"/>
                    <w:bottom w:val="single" w:color="auto" w:sz="4" w:space="0"/>
                  </w:tcBorders>
                  <w:shd w:val="clear" w:color="auto" w:fill="auto"/>
                  <w:noWrap w:val="0"/>
                  <w:vAlign w:val="center"/>
                </w:tcPr>
                <w:p w14:paraId="705DCA5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少量</w:t>
                  </w:r>
                </w:p>
              </w:tc>
            </w:tr>
            <w:tr w14:paraId="73D7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8" w:type="dxa"/>
                  <w:gridSpan w:val="7"/>
                  <w:noWrap w:val="0"/>
                  <w:vAlign w:val="center"/>
                </w:tcPr>
                <w:p w14:paraId="1BE2D710">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left"/>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注：本项目废气均为无组织排放，故无有组织废气排放信息。</w:t>
                  </w:r>
                </w:p>
              </w:tc>
            </w:tr>
          </w:tbl>
          <w:p w14:paraId="4F710DE4">
            <w:pPr>
              <w:autoSpaceDE w:val="0"/>
              <w:autoSpaceDN w:val="0"/>
              <w:spacing w:line="360" w:lineRule="auto"/>
              <w:jc w:val="center"/>
              <w:rPr>
                <w:rFonts w:hint="default" w:ascii="Times New Roman" w:hAnsi="Times New Roman" w:cs="Times New Roman"/>
                <w:color w:val="auto"/>
                <w:kern w:val="0"/>
                <w:sz w:val="24"/>
                <w:szCs w:val="20"/>
                <w:u w:val="none" w:color="auto"/>
              </w:rPr>
            </w:pPr>
            <w:r>
              <w:rPr>
                <w:rFonts w:hint="default" w:ascii="Times New Roman" w:hAnsi="Times New Roman" w:cs="Times New Roman"/>
                <w:color w:val="auto"/>
                <w:kern w:val="0"/>
                <w:sz w:val="24"/>
                <w:szCs w:val="20"/>
                <w:u w:val="none" w:color="auto"/>
              </w:rPr>
              <w:t>表4</w:t>
            </w:r>
            <w:r>
              <w:rPr>
                <w:rFonts w:hint="default" w:ascii="Times New Roman" w:hAnsi="Times New Roman" w:cs="Times New Roman"/>
                <w:color w:val="auto"/>
                <w:kern w:val="0"/>
                <w:sz w:val="24"/>
                <w:szCs w:val="20"/>
                <w:u w:val="none" w:color="auto"/>
                <w:lang w:val="en-US" w:eastAsia="zh-CN"/>
              </w:rPr>
              <w:t>.</w:t>
            </w:r>
            <w:r>
              <w:rPr>
                <w:rFonts w:hint="eastAsia" w:cs="Times New Roman"/>
                <w:color w:val="auto"/>
                <w:kern w:val="0"/>
                <w:sz w:val="24"/>
                <w:szCs w:val="20"/>
                <w:u w:val="none" w:color="auto"/>
                <w:lang w:val="en-US" w:eastAsia="zh-CN"/>
              </w:rPr>
              <w:t>6</w:t>
            </w:r>
            <w:r>
              <w:rPr>
                <w:rFonts w:hint="default" w:ascii="Times New Roman" w:hAnsi="Times New Roman" w:cs="Times New Roman"/>
                <w:color w:val="auto"/>
                <w:kern w:val="0"/>
                <w:sz w:val="24"/>
                <w:szCs w:val="20"/>
                <w:u w:val="none" w:color="auto"/>
              </w:rPr>
              <w:t>-</w:t>
            </w:r>
            <w:r>
              <w:rPr>
                <w:rFonts w:hint="eastAsia" w:cs="Times New Roman"/>
                <w:color w:val="auto"/>
                <w:kern w:val="0"/>
                <w:sz w:val="24"/>
                <w:szCs w:val="20"/>
                <w:u w:val="none" w:color="auto"/>
                <w:lang w:val="en-US" w:eastAsia="zh-CN"/>
              </w:rPr>
              <w:t>5</w:t>
            </w:r>
            <w:r>
              <w:rPr>
                <w:rFonts w:hint="default" w:ascii="Times New Roman" w:hAnsi="Times New Roman" w:cs="Times New Roman"/>
                <w:color w:val="auto"/>
                <w:kern w:val="0"/>
                <w:sz w:val="24"/>
                <w:szCs w:val="20"/>
                <w:u w:val="none" w:color="auto"/>
                <w:lang w:val="en-US" w:eastAsia="zh-CN"/>
              </w:rPr>
              <w:t xml:space="preserve"> </w:t>
            </w:r>
            <w:r>
              <w:rPr>
                <w:rFonts w:hint="default" w:ascii="Times New Roman" w:hAnsi="Times New Roman" w:cs="Times New Roman"/>
                <w:color w:val="auto"/>
                <w:kern w:val="0"/>
                <w:sz w:val="24"/>
                <w:szCs w:val="20"/>
                <w:u w:val="none" w:color="auto"/>
              </w:rPr>
              <w:t>大气污染物年排放量核算表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109"/>
              <w:gridCol w:w="3158"/>
            </w:tblGrid>
            <w:tr w14:paraId="5584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74" w:type="pct"/>
                  <w:noWrap w:val="0"/>
                  <w:vAlign w:val="center"/>
                </w:tcPr>
                <w:p w14:paraId="61DD82CB">
                  <w:pPr>
                    <w:pStyle w:val="48"/>
                    <w:rPr>
                      <w:rFonts w:ascii="Times New Roman" w:hAnsi="Times New Roman" w:cs="Times New Roman"/>
                      <w:color w:val="auto"/>
                      <w:u w:val="none" w:color="auto"/>
                    </w:rPr>
                  </w:pPr>
                  <w:r>
                    <w:rPr>
                      <w:rFonts w:ascii="Times New Roman" w:hAnsi="Times New Roman" w:cs="Times New Roman"/>
                      <w:color w:val="auto"/>
                      <w:u w:val="none" w:color="auto"/>
                    </w:rPr>
                    <w:t>序号</w:t>
                  </w:r>
                </w:p>
              </w:tc>
              <w:tc>
                <w:tcPr>
                  <w:tcW w:w="1798" w:type="pct"/>
                  <w:noWrap w:val="0"/>
                  <w:vAlign w:val="center"/>
                </w:tcPr>
                <w:p w14:paraId="219B7CF3">
                  <w:pPr>
                    <w:pStyle w:val="48"/>
                    <w:rPr>
                      <w:rFonts w:ascii="Times New Roman" w:hAnsi="Times New Roman" w:cs="Times New Roman"/>
                      <w:color w:val="auto"/>
                      <w:u w:val="none" w:color="auto"/>
                    </w:rPr>
                  </w:pPr>
                  <w:r>
                    <w:rPr>
                      <w:rFonts w:ascii="Times New Roman" w:hAnsi="Times New Roman" w:cs="Times New Roman"/>
                      <w:color w:val="auto"/>
                      <w:u w:val="none" w:color="auto"/>
                    </w:rPr>
                    <w:t>污染物</w:t>
                  </w:r>
                </w:p>
              </w:tc>
              <w:tc>
                <w:tcPr>
                  <w:tcW w:w="1826" w:type="pct"/>
                  <w:noWrap w:val="0"/>
                  <w:vAlign w:val="center"/>
                </w:tcPr>
                <w:p w14:paraId="7FB840EF">
                  <w:pPr>
                    <w:pStyle w:val="48"/>
                    <w:rPr>
                      <w:rFonts w:hint="default" w:ascii="Times New Roman" w:hAnsi="Times New Roman" w:cs="Times New Roman"/>
                      <w:color w:val="auto"/>
                      <w:u w:val="none" w:color="auto"/>
                    </w:rPr>
                  </w:pPr>
                  <w:r>
                    <w:rPr>
                      <w:rFonts w:ascii="Times New Roman" w:hAnsi="Times New Roman" w:cs="Times New Roman"/>
                      <w:color w:val="auto"/>
                      <w:u w:val="none" w:color="auto"/>
                    </w:rPr>
                    <w:t>年排放量</w:t>
                  </w:r>
                  <w:r>
                    <w:rPr>
                      <w:rFonts w:hint="default" w:ascii="Times New Roman" w:hAnsi="Times New Roman" w:cs="Times New Roman"/>
                      <w:color w:val="auto"/>
                      <w:u w:val="none" w:color="auto"/>
                    </w:rPr>
                    <w:t>（</w:t>
                  </w:r>
                  <w:r>
                    <w:rPr>
                      <w:rFonts w:ascii="Times New Roman" w:hAnsi="Times New Roman" w:cs="Times New Roman"/>
                      <w:color w:val="auto"/>
                      <w:u w:val="none" w:color="auto"/>
                    </w:rPr>
                    <w:t>t/a</w:t>
                  </w:r>
                  <w:r>
                    <w:rPr>
                      <w:rFonts w:hint="default" w:ascii="Times New Roman" w:hAnsi="Times New Roman" w:cs="Times New Roman"/>
                      <w:color w:val="auto"/>
                      <w:u w:val="none" w:color="auto"/>
                    </w:rPr>
                    <w:t>）</w:t>
                  </w:r>
                </w:p>
              </w:tc>
            </w:tr>
            <w:tr w14:paraId="2916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pct"/>
                  <w:noWrap w:val="0"/>
                  <w:vAlign w:val="center"/>
                </w:tcPr>
                <w:p w14:paraId="38110AC4">
                  <w:pPr>
                    <w:pStyle w:val="48"/>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798" w:type="pct"/>
                  <w:noWrap w:val="0"/>
                  <w:vAlign w:val="center"/>
                </w:tcPr>
                <w:p w14:paraId="15538DE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sz w:val="21"/>
                      <w:szCs w:val="21"/>
                      <w:u w:val="none" w:color="auto"/>
                      <w:vertAlign w:val="baseline"/>
                      <w:lang w:val="en-US" w:eastAsia="zh-CN"/>
                    </w:rPr>
                    <w:t>硫化氢</w:t>
                  </w:r>
                </w:p>
              </w:tc>
              <w:tc>
                <w:tcPr>
                  <w:tcW w:w="3158" w:type="dxa"/>
                  <w:shd w:val="clear" w:color="auto" w:fill="auto"/>
                  <w:noWrap w:val="0"/>
                  <w:vAlign w:val="center"/>
                </w:tcPr>
                <w:p w14:paraId="2678681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0.0301</w:t>
                  </w:r>
                </w:p>
              </w:tc>
            </w:tr>
            <w:tr w14:paraId="45A8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pct"/>
                  <w:noWrap w:val="0"/>
                  <w:vAlign w:val="center"/>
                </w:tcPr>
                <w:p w14:paraId="33B9E19D">
                  <w:pPr>
                    <w:pStyle w:val="48"/>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2</w:t>
                  </w:r>
                </w:p>
              </w:tc>
              <w:tc>
                <w:tcPr>
                  <w:tcW w:w="1798" w:type="pct"/>
                  <w:noWrap w:val="0"/>
                  <w:vAlign w:val="center"/>
                </w:tcPr>
                <w:p w14:paraId="77100AC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sz w:val="21"/>
                      <w:szCs w:val="21"/>
                      <w:u w:val="none" w:color="auto"/>
                      <w:vertAlign w:val="baseline"/>
                      <w:lang w:val="en-US" w:eastAsia="zh-CN"/>
                    </w:rPr>
                    <w:t>氨</w:t>
                  </w:r>
                </w:p>
              </w:tc>
              <w:tc>
                <w:tcPr>
                  <w:tcW w:w="3158" w:type="dxa"/>
                  <w:shd w:val="clear" w:color="auto" w:fill="auto"/>
                  <w:noWrap w:val="0"/>
                  <w:vAlign w:val="center"/>
                </w:tcPr>
                <w:p w14:paraId="5CE1B45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0.789</w:t>
                  </w:r>
                </w:p>
              </w:tc>
            </w:tr>
          </w:tbl>
          <w:p w14:paraId="0C7E75EF">
            <w:pPr>
              <w:bidi w:val="0"/>
              <w:ind w:left="0" w:leftChars="0" w:firstLine="0" w:firstLineChars="0"/>
              <w:rPr>
                <w:rFonts w:hint="eastAsia"/>
                <w:b/>
                <w:bCs/>
                <w:color w:val="auto"/>
                <w:u w:val="none" w:color="auto"/>
              </w:rPr>
            </w:pPr>
            <w:r>
              <w:rPr>
                <w:rFonts w:hint="eastAsia"/>
                <w:b/>
                <w:bCs/>
                <w:color w:val="auto"/>
                <w:u w:val="none" w:color="auto"/>
                <w:lang w:eastAsia="zh-CN"/>
              </w:rPr>
              <w:t>4.</w:t>
            </w:r>
            <w:r>
              <w:rPr>
                <w:rFonts w:hint="eastAsia"/>
                <w:b/>
                <w:bCs/>
                <w:color w:val="auto"/>
                <w:u w:val="none" w:color="auto"/>
                <w:lang w:val="en-US" w:eastAsia="zh-CN"/>
              </w:rPr>
              <w:t>6</w:t>
            </w:r>
            <w:r>
              <w:rPr>
                <w:rFonts w:hint="eastAsia"/>
                <w:b/>
                <w:bCs/>
                <w:color w:val="auto"/>
                <w:u w:val="none" w:color="auto"/>
              </w:rPr>
              <w:t>.</w:t>
            </w:r>
            <w:r>
              <w:rPr>
                <w:rFonts w:hint="eastAsia"/>
                <w:b/>
                <w:bCs/>
                <w:color w:val="auto"/>
                <w:u w:val="none" w:color="auto"/>
                <w:lang w:val="en-US" w:eastAsia="zh-CN"/>
              </w:rPr>
              <w:t>3</w:t>
            </w:r>
            <w:r>
              <w:rPr>
                <w:rFonts w:hint="eastAsia"/>
                <w:b/>
                <w:bCs/>
                <w:color w:val="auto"/>
                <w:u w:val="none" w:color="auto"/>
              </w:rPr>
              <w:t xml:space="preserve"> </w:t>
            </w:r>
            <w:r>
              <w:rPr>
                <w:rFonts w:hint="eastAsia" w:ascii="黑体" w:hAnsi="黑体" w:eastAsia="黑体" w:cs="黑体"/>
                <w:b/>
                <w:bCs/>
                <w:color w:val="auto"/>
                <w:u w:val="none" w:color="auto"/>
                <w:lang w:val="en-US" w:eastAsia="zh-CN"/>
              </w:rPr>
              <w:t>非正常工况下废气排放情况</w:t>
            </w:r>
          </w:p>
          <w:p w14:paraId="292F01A9">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z w:val="24"/>
                <w:u w:val="none" w:color="auto"/>
              </w:rPr>
            </w:pPr>
            <w:r>
              <w:rPr>
                <w:rFonts w:hint="eastAsia" w:cs="Times New Roman"/>
                <w:color w:val="auto"/>
                <w:kern w:val="2"/>
                <w:sz w:val="24"/>
                <w:szCs w:val="24"/>
                <w:u w:val="none" w:color="auto"/>
                <w:lang w:val="en-US" w:eastAsia="zh-CN" w:bidi="ar-SA"/>
              </w:rPr>
              <w:t>本项废</w:t>
            </w:r>
            <w:r>
              <w:rPr>
                <w:rFonts w:hint="eastAsia"/>
                <w:color w:val="auto"/>
                <w:kern w:val="0"/>
                <w:sz w:val="24"/>
                <w:szCs w:val="20"/>
                <w:u w:val="none" w:color="auto"/>
                <w:lang w:val="en-US" w:eastAsia="zh-CN"/>
              </w:rPr>
              <w:t>目</w:t>
            </w:r>
            <w:r>
              <w:rPr>
                <w:rFonts w:hint="eastAsia" w:cs="Times New Roman"/>
                <w:color w:val="auto"/>
                <w:kern w:val="2"/>
                <w:sz w:val="24"/>
                <w:szCs w:val="24"/>
                <w:u w:val="none" w:color="auto"/>
                <w:lang w:val="en-US" w:eastAsia="zh-CN" w:bidi="ar-SA"/>
              </w:rPr>
              <w:t>气均为无组织排放，除臭剂为人工定时喷洒，</w:t>
            </w:r>
            <w:r>
              <w:rPr>
                <w:rFonts w:hint="eastAsia"/>
                <w:color w:val="auto"/>
                <w:kern w:val="0"/>
                <w:sz w:val="24"/>
                <w:szCs w:val="20"/>
                <w:u w:val="none" w:color="auto"/>
                <w:lang w:val="en-US" w:eastAsia="zh-CN"/>
              </w:rPr>
              <w:t>不存在废气非正常排放情况。</w:t>
            </w:r>
          </w:p>
          <w:p w14:paraId="6A0078F1">
            <w:pPr>
              <w:bidi w:val="0"/>
              <w:ind w:left="0" w:leftChars="0" w:firstLine="0" w:firstLineChars="0"/>
              <w:rPr>
                <w:rFonts w:hint="eastAsia"/>
                <w:b/>
                <w:bCs/>
                <w:color w:val="auto"/>
                <w:u w:val="none" w:color="auto"/>
                <w:lang w:val="en-US" w:eastAsia="zh-CN"/>
              </w:rPr>
            </w:pPr>
            <w:r>
              <w:rPr>
                <w:rFonts w:hint="eastAsia"/>
                <w:b/>
                <w:bCs/>
                <w:color w:val="auto"/>
                <w:u w:val="none" w:color="auto"/>
                <w:lang w:eastAsia="zh-CN"/>
              </w:rPr>
              <w:t>4.</w:t>
            </w:r>
            <w:r>
              <w:rPr>
                <w:rFonts w:hint="eastAsia"/>
                <w:b/>
                <w:bCs/>
                <w:color w:val="auto"/>
                <w:u w:val="none" w:color="auto"/>
                <w:lang w:val="en-US" w:eastAsia="zh-CN"/>
              </w:rPr>
              <w:t>6</w:t>
            </w:r>
            <w:r>
              <w:rPr>
                <w:rFonts w:hint="eastAsia"/>
                <w:b/>
                <w:bCs/>
                <w:color w:val="auto"/>
                <w:u w:val="none" w:color="auto"/>
              </w:rPr>
              <w:t>.</w:t>
            </w:r>
            <w:r>
              <w:rPr>
                <w:rFonts w:hint="eastAsia"/>
                <w:b/>
                <w:bCs/>
                <w:color w:val="auto"/>
                <w:u w:val="none" w:color="auto"/>
                <w:lang w:val="en-US" w:eastAsia="zh-CN"/>
              </w:rPr>
              <w:t>4</w:t>
            </w:r>
            <w:r>
              <w:rPr>
                <w:rFonts w:hint="eastAsia"/>
                <w:b/>
                <w:bCs/>
                <w:color w:val="auto"/>
                <w:u w:val="none" w:color="auto"/>
              </w:rPr>
              <w:t xml:space="preserve"> </w:t>
            </w:r>
            <w:r>
              <w:rPr>
                <w:rFonts w:hint="eastAsia" w:ascii="黑体" w:hAnsi="黑体" w:eastAsia="黑体" w:cs="黑体"/>
                <w:b/>
                <w:bCs/>
                <w:color w:val="auto"/>
                <w:u w:val="none" w:color="auto"/>
                <w:lang w:val="en-US" w:eastAsia="zh-CN"/>
              </w:rPr>
              <w:t>废气处理措施可行性分析</w:t>
            </w:r>
          </w:p>
          <w:p w14:paraId="31B8FEFB">
            <w:pPr>
              <w:spacing w:before="184" w:line="373" w:lineRule="auto"/>
              <w:ind w:right="96" w:firstLine="52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0"/>
                <w:sz w:val="24"/>
                <w:szCs w:val="24"/>
              </w:rPr>
              <w:t>本项目拟对待宰间、屠宰间进行密闭，仅留大门进行物料运输</w:t>
            </w:r>
            <w:r>
              <w:rPr>
                <w:rFonts w:hint="default" w:ascii="Times New Roman" w:hAnsi="Times New Roman" w:eastAsia="宋体" w:cs="Times New Roman"/>
                <w:color w:val="auto"/>
                <w:spacing w:val="10"/>
                <w:sz w:val="24"/>
                <w:szCs w:val="24"/>
                <w:lang w:eastAsia="zh-CN"/>
              </w:rPr>
              <w:t>，</w:t>
            </w:r>
            <w:r>
              <w:rPr>
                <w:rFonts w:hint="default" w:ascii="Times New Roman" w:hAnsi="Times New Roman" w:eastAsia="宋体" w:cs="Times New Roman"/>
                <w:color w:val="auto"/>
                <w:spacing w:val="10"/>
                <w:sz w:val="24"/>
                <w:szCs w:val="24"/>
              </w:rPr>
              <w:t>合理设置排气扇</w:t>
            </w:r>
            <w:r>
              <w:rPr>
                <w:rFonts w:hint="default" w:ascii="Times New Roman" w:hAnsi="Times New Roman" w:eastAsia="宋体" w:cs="Times New Roman"/>
                <w:color w:val="auto"/>
                <w:spacing w:val="10"/>
                <w:sz w:val="24"/>
                <w:szCs w:val="24"/>
                <w:lang w:eastAsia="zh-CN"/>
              </w:rPr>
              <w:t>，</w:t>
            </w:r>
            <w:r>
              <w:rPr>
                <w:rFonts w:hint="default" w:ascii="Times New Roman" w:hAnsi="Times New Roman" w:eastAsia="宋体" w:cs="Times New Roman"/>
                <w:color w:val="auto"/>
                <w:spacing w:val="14"/>
                <w:sz w:val="24"/>
                <w:szCs w:val="24"/>
              </w:rPr>
              <w:t>通过喷</w:t>
            </w:r>
            <w:r>
              <w:rPr>
                <w:rFonts w:hint="default" w:ascii="Times New Roman" w:hAnsi="Times New Roman" w:eastAsia="宋体" w:cs="Times New Roman"/>
                <w:color w:val="auto"/>
                <w:spacing w:val="8"/>
                <w:sz w:val="24"/>
                <w:szCs w:val="24"/>
              </w:rPr>
              <w:t>洒</w:t>
            </w:r>
            <w:r>
              <w:rPr>
                <w:rFonts w:hint="default" w:ascii="Times New Roman" w:hAnsi="Times New Roman" w:eastAsia="宋体" w:cs="Times New Roman"/>
                <w:color w:val="auto"/>
                <w:spacing w:val="7"/>
                <w:sz w:val="24"/>
                <w:szCs w:val="24"/>
              </w:rPr>
              <w:t>除臭剂去除生产过程产生的恶臭；污水处理站</w:t>
            </w:r>
            <w:r>
              <w:rPr>
                <w:rFonts w:hint="eastAsia" w:cs="Times New Roman"/>
                <w:color w:val="auto"/>
                <w:spacing w:val="7"/>
                <w:sz w:val="24"/>
                <w:szCs w:val="24"/>
                <w:lang w:val="en-US" w:eastAsia="zh-CN"/>
              </w:rPr>
              <w:t>附近</w:t>
            </w:r>
            <w:r>
              <w:rPr>
                <w:rFonts w:hint="default" w:ascii="Times New Roman" w:hAnsi="Times New Roman" w:eastAsia="宋体" w:cs="Times New Roman"/>
                <w:color w:val="auto"/>
                <w:spacing w:val="7"/>
                <w:sz w:val="24"/>
                <w:szCs w:val="24"/>
              </w:rPr>
              <w:t>加强绿</w:t>
            </w:r>
            <w:r>
              <w:rPr>
                <w:rFonts w:hint="default" w:ascii="Times New Roman" w:hAnsi="Times New Roman" w:eastAsia="宋体" w:cs="Times New Roman"/>
                <w:color w:val="auto"/>
                <w:spacing w:val="3"/>
                <w:sz w:val="24"/>
                <w:szCs w:val="24"/>
              </w:rPr>
              <w:t>化，</w:t>
            </w:r>
            <w:r>
              <w:rPr>
                <w:rFonts w:hint="eastAsia" w:cs="Times New Roman"/>
                <w:color w:val="auto"/>
                <w:spacing w:val="3"/>
                <w:sz w:val="24"/>
                <w:szCs w:val="24"/>
                <w:lang w:val="en-US" w:eastAsia="zh-CN"/>
              </w:rPr>
              <w:t>进行自然通风</w:t>
            </w:r>
            <w:r>
              <w:rPr>
                <w:rFonts w:hint="default" w:ascii="Times New Roman" w:hAnsi="Times New Roman" w:eastAsia="宋体" w:cs="Times New Roman"/>
                <w:color w:val="auto"/>
                <w:spacing w:val="3"/>
                <w:sz w:val="24"/>
                <w:szCs w:val="24"/>
              </w:rPr>
              <w:t>。项目采取以上措施后</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pacing w:val="3"/>
                <w:position w:val="-1"/>
                <w:sz w:val="24"/>
                <w:szCs w:val="24"/>
                <w:vertAlign w:val="subscript"/>
              </w:rPr>
              <w:t>3</w:t>
            </w:r>
            <w:r>
              <w:rPr>
                <w:rFonts w:hint="default" w:ascii="Times New Roman" w:hAnsi="Times New Roman" w:eastAsia="宋体" w:cs="Times New Roman"/>
                <w:color w:val="auto"/>
                <w:spacing w:val="3"/>
                <w:sz w:val="24"/>
                <w:szCs w:val="24"/>
              </w:rPr>
              <w:t>和</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pacing w:val="3"/>
                <w:position w:val="-1"/>
                <w:sz w:val="24"/>
                <w:szCs w:val="24"/>
                <w:vertAlign w:val="subscript"/>
              </w:rPr>
              <w:t>2</w:t>
            </w:r>
            <w:r>
              <w:rPr>
                <w:rFonts w:hint="default" w:ascii="Times New Roman" w:hAnsi="Times New Roman" w:eastAsia="宋体" w:cs="Times New Roman"/>
                <w:color w:val="auto"/>
                <w:sz w:val="24"/>
                <w:szCs w:val="24"/>
              </w:rPr>
              <w:t>S均</w:t>
            </w:r>
            <w:r>
              <w:rPr>
                <w:rFonts w:hint="default" w:ascii="Times New Roman" w:hAnsi="Times New Roman" w:eastAsia="宋体" w:cs="Times New Roman"/>
                <w:color w:val="auto"/>
                <w:spacing w:val="6"/>
                <w:sz w:val="24"/>
                <w:szCs w:val="24"/>
              </w:rPr>
              <w:t>能达到《恶</w:t>
            </w:r>
            <w:r>
              <w:rPr>
                <w:rFonts w:hint="default" w:ascii="Times New Roman" w:hAnsi="Times New Roman" w:eastAsia="宋体" w:cs="Times New Roman"/>
                <w:color w:val="auto"/>
                <w:spacing w:val="5"/>
                <w:sz w:val="24"/>
                <w:szCs w:val="24"/>
              </w:rPr>
              <w:t>臭</w:t>
            </w:r>
            <w:r>
              <w:rPr>
                <w:rFonts w:hint="default" w:ascii="Times New Roman" w:hAnsi="Times New Roman" w:eastAsia="宋体" w:cs="Times New Roman"/>
                <w:color w:val="auto"/>
                <w:spacing w:val="3"/>
                <w:sz w:val="24"/>
                <w:szCs w:val="24"/>
              </w:rPr>
              <w:t>污染物排放标准》</w:t>
            </w:r>
            <w:r>
              <w:rPr>
                <w:rFonts w:hint="eastAsia" w:cs="Times New Roman"/>
                <w:color w:val="auto"/>
                <w:spacing w:val="3"/>
                <w:sz w:val="24"/>
                <w:szCs w:val="24"/>
                <w:lang w:eastAsia="zh-CN"/>
              </w:rPr>
              <w:t>（</w:t>
            </w:r>
            <w:r>
              <w:rPr>
                <w:rFonts w:hint="default" w:ascii="Times New Roman" w:hAnsi="Times New Roman" w:eastAsia="宋体" w:cs="Times New Roman"/>
                <w:color w:val="auto"/>
                <w:sz w:val="24"/>
                <w:szCs w:val="24"/>
              </w:rPr>
              <w:t>GB</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pacing w:val="3"/>
                <w:sz w:val="24"/>
                <w:szCs w:val="24"/>
              </w:rPr>
              <w:t>14554-93</w:t>
            </w:r>
            <w:r>
              <w:rPr>
                <w:rFonts w:hint="eastAsia" w:cs="Times New Roman"/>
                <w:color w:val="auto"/>
                <w:spacing w:val="3"/>
                <w:sz w:val="24"/>
                <w:szCs w:val="24"/>
                <w:lang w:eastAsia="zh-CN"/>
              </w:rPr>
              <w:t>）</w:t>
            </w:r>
            <w:r>
              <w:rPr>
                <w:rFonts w:hint="default" w:ascii="Times New Roman" w:hAnsi="Times New Roman" w:eastAsia="宋体" w:cs="Times New Roman"/>
                <w:color w:val="auto"/>
                <w:spacing w:val="3"/>
                <w:sz w:val="24"/>
                <w:szCs w:val="24"/>
              </w:rPr>
              <w:t>表</w:t>
            </w:r>
            <w:r>
              <w:rPr>
                <w:rFonts w:hint="default" w:ascii="Times New Roman" w:hAnsi="Times New Roman" w:eastAsia="宋体" w:cs="Times New Roman"/>
                <w:color w:val="auto"/>
                <w:spacing w:val="3"/>
                <w:sz w:val="24"/>
                <w:szCs w:val="24"/>
                <w:lang w:val="en-US" w:eastAsia="zh-CN"/>
              </w:rPr>
              <w:t>1</w:t>
            </w:r>
            <w:r>
              <w:rPr>
                <w:rFonts w:hint="default" w:ascii="Times New Roman" w:hAnsi="Times New Roman" w:eastAsia="宋体" w:cs="Times New Roman"/>
                <w:color w:val="auto"/>
                <w:spacing w:val="3"/>
                <w:sz w:val="24"/>
                <w:szCs w:val="24"/>
              </w:rPr>
              <w:t>恶臭污染物厂界二级标准值要求，</w:t>
            </w:r>
            <w:r>
              <w:rPr>
                <w:rFonts w:hint="default" w:ascii="Times New Roman" w:hAnsi="Times New Roman" w:eastAsia="宋体" w:cs="Times New Roman"/>
                <w:color w:val="auto"/>
                <w:spacing w:val="13"/>
                <w:sz w:val="24"/>
                <w:szCs w:val="24"/>
              </w:rPr>
              <w:t>对</w:t>
            </w:r>
            <w:r>
              <w:rPr>
                <w:rFonts w:hint="default" w:ascii="Times New Roman" w:hAnsi="Times New Roman" w:eastAsia="宋体" w:cs="Times New Roman"/>
                <w:color w:val="auto"/>
                <w:spacing w:val="8"/>
                <w:sz w:val="24"/>
                <w:szCs w:val="24"/>
              </w:rPr>
              <w:t>周边大气环境影响较小。</w:t>
            </w:r>
          </w:p>
          <w:p w14:paraId="5DBDC797">
            <w:pPr>
              <w:pStyle w:val="9"/>
              <w:rPr>
                <w:rFonts w:hint="eastAsia" w:cs="Times New Roman"/>
                <w:color w:val="auto"/>
                <w:u w:val="single" w:color="auto"/>
                <w:lang w:eastAsia="zh-CN"/>
              </w:rPr>
            </w:pPr>
            <w:r>
              <w:rPr>
                <w:rFonts w:hint="default" w:ascii="Times New Roman" w:hAnsi="Times New Roman" w:eastAsia="宋体" w:cs="Times New Roman"/>
                <w:color w:val="auto"/>
                <w:spacing w:val="15"/>
                <w:sz w:val="24"/>
                <w:szCs w:val="24"/>
                <w:u w:val="single" w:color="auto"/>
              </w:rPr>
              <w:t>根</w:t>
            </w:r>
            <w:r>
              <w:rPr>
                <w:rFonts w:hint="default" w:ascii="Times New Roman" w:hAnsi="Times New Roman" w:eastAsia="宋体" w:cs="Times New Roman"/>
                <w:color w:val="auto"/>
                <w:spacing w:val="9"/>
                <w:sz w:val="24"/>
                <w:szCs w:val="24"/>
                <w:u w:val="single" w:color="auto"/>
              </w:rPr>
              <w:t>据《排污许可证申请与核发技术规范农副食品加工工业—屠宰及肉类加工工业》</w:t>
            </w:r>
            <w:r>
              <w:rPr>
                <w:rFonts w:hint="eastAsia" w:cs="Times New Roman"/>
                <w:color w:val="auto"/>
                <w:spacing w:val="15"/>
                <w:sz w:val="24"/>
                <w:szCs w:val="24"/>
                <w:u w:val="single" w:color="auto"/>
                <w:lang w:eastAsia="zh-CN"/>
              </w:rPr>
              <w:t>（</w:t>
            </w:r>
            <w:r>
              <w:rPr>
                <w:rFonts w:hint="default" w:ascii="Times New Roman" w:hAnsi="Times New Roman" w:eastAsia="宋体" w:cs="Times New Roman"/>
                <w:color w:val="auto"/>
                <w:sz w:val="24"/>
                <w:szCs w:val="24"/>
                <w:u w:val="single" w:color="auto"/>
              </w:rPr>
              <w:t>HJ</w:t>
            </w:r>
            <w:r>
              <w:rPr>
                <w:rFonts w:hint="eastAsia" w:ascii="Times New Roman" w:hAnsi="Times New Roman" w:eastAsia="宋体" w:cs="Times New Roman"/>
                <w:color w:val="auto"/>
                <w:sz w:val="24"/>
                <w:szCs w:val="24"/>
                <w:u w:val="single" w:color="auto"/>
                <w:lang w:val="en-US" w:eastAsia="zh-CN"/>
              </w:rPr>
              <w:t xml:space="preserve"> </w:t>
            </w:r>
            <w:r>
              <w:rPr>
                <w:rFonts w:hint="default" w:ascii="Times New Roman" w:hAnsi="Times New Roman" w:eastAsia="宋体" w:cs="Times New Roman"/>
                <w:color w:val="auto"/>
                <w:spacing w:val="10"/>
                <w:sz w:val="24"/>
                <w:szCs w:val="24"/>
                <w:u w:val="single" w:color="auto"/>
              </w:rPr>
              <w:t>860.3-2018</w:t>
            </w:r>
            <w:r>
              <w:rPr>
                <w:rFonts w:hint="eastAsia" w:cs="Times New Roman"/>
                <w:color w:val="auto"/>
                <w:spacing w:val="15"/>
                <w:sz w:val="24"/>
                <w:szCs w:val="24"/>
                <w:u w:val="single" w:color="auto"/>
                <w:lang w:eastAsia="zh-CN"/>
              </w:rPr>
              <w:t>）</w:t>
            </w:r>
            <w:r>
              <w:rPr>
                <w:rFonts w:hint="default" w:ascii="Times New Roman" w:hAnsi="Times New Roman" w:eastAsia="宋体" w:cs="Times New Roman"/>
                <w:color w:val="auto"/>
                <w:spacing w:val="10"/>
                <w:sz w:val="24"/>
                <w:szCs w:val="24"/>
                <w:u w:val="single" w:color="auto"/>
              </w:rPr>
              <w:t>中相关</w:t>
            </w:r>
            <w:r>
              <w:rPr>
                <w:rFonts w:hint="eastAsia" w:cs="Times New Roman"/>
                <w:color w:val="auto"/>
                <w:spacing w:val="10"/>
                <w:sz w:val="24"/>
                <w:szCs w:val="24"/>
                <w:u w:val="single" w:color="auto"/>
                <w:lang w:val="en-US" w:eastAsia="zh-CN"/>
              </w:rPr>
              <w:t>内容，除臭剂为处理恶臭气体的可行性技术</w:t>
            </w:r>
            <w:r>
              <w:rPr>
                <w:rFonts w:hint="default" w:ascii="Times New Roman" w:hAnsi="Times New Roman" w:eastAsia="宋体" w:cs="Times New Roman"/>
                <w:color w:val="auto"/>
                <w:spacing w:val="4"/>
                <w:sz w:val="24"/>
                <w:szCs w:val="24"/>
                <w:u w:val="single" w:color="auto"/>
              </w:rPr>
              <w:t>。</w:t>
            </w:r>
            <w:r>
              <w:rPr>
                <w:rFonts w:hint="eastAsia" w:cs="Times New Roman"/>
                <w:color w:val="auto"/>
                <w:spacing w:val="4"/>
                <w:sz w:val="24"/>
                <w:szCs w:val="24"/>
                <w:u w:val="single" w:color="auto"/>
                <w:lang w:val="en-US" w:eastAsia="zh-CN"/>
              </w:rPr>
              <w:t>故本项目废气处理措施可行</w:t>
            </w:r>
            <w:r>
              <w:rPr>
                <w:rFonts w:hint="default" w:ascii="Times New Roman" w:hAnsi="Times New Roman" w:eastAsia="宋体" w:cs="Times New Roman"/>
                <w:color w:val="auto"/>
                <w:spacing w:val="4"/>
                <w:sz w:val="24"/>
                <w:szCs w:val="24"/>
                <w:u w:val="single" w:color="auto"/>
              </w:rPr>
              <w:t>。</w:t>
            </w:r>
          </w:p>
          <w:p w14:paraId="19C8338A">
            <w:pPr>
              <w:bidi w:val="0"/>
              <w:ind w:left="0" w:leftChars="0" w:firstLine="0" w:firstLineChars="0"/>
              <w:rPr>
                <w:rFonts w:hint="default" w:ascii="Times New Roman" w:hAnsi="Times New Roman" w:cs="Times New Roman"/>
                <w:b/>
                <w:bCs/>
                <w:color w:val="auto"/>
                <w:u w:val="none" w:color="auto"/>
                <w:lang w:val="en-US" w:eastAsia="zh-CN"/>
              </w:rPr>
            </w:pPr>
            <w:r>
              <w:rPr>
                <w:rFonts w:hint="eastAsia" w:cs="Times New Roman"/>
                <w:b/>
                <w:bCs/>
                <w:color w:val="auto"/>
                <w:u w:val="none" w:color="auto"/>
                <w:lang w:eastAsia="zh-CN"/>
              </w:rPr>
              <w:t>4.6</w:t>
            </w:r>
            <w:r>
              <w:rPr>
                <w:rFonts w:hint="default" w:ascii="Times New Roman" w:hAnsi="Times New Roman" w:cs="Times New Roman"/>
                <w:b/>
                <w:bCs/>
                <w:color w:val="auto"/>
                <w:u w:val="none" w:color="auto"/>
                <w:lang w:val="en-US" w:eastAsia="zh-CN"/>
              </w:rPr>
              <w:t>.</w:t>
            </w:r>
            <w:r>
              <w:rPr>
                <w:rFonts w:hint="eastAsia" w:cs="Times New Roman"/>
                <w:b/>
                <w:bCs/>
                <w:color w:val="auto"/>
                <w:u w:val="none" w:color="auto"/>
                <w:lang w:val="en-US" w:eastAsia="zh-CN"/>
              </w:rPr>
              <w:t>5</w:t>
            </w:r>
            <w:r>
              <w:rPr>
                <w:rFonts w:hint="default" w:ascii="Times New Roman" w:hAnsi="Times New Roman" w:cs="Times New Roman"/>
                <w:b/>
                <w:bCs/>
                <w:color w:val="auto"/>
                <w:u w:val="none" w:color="auto"/>
              </w:rPr>
              <w:t xml:space="preserve"> </w:t>
            </w:r>
            <w:r>
              <w:rPr>
                <w:rFonts w:hint="eastAsia" w:eastAsia="黑体" w:cs="Times New Roman"/>
                <w:b/>
                <w:bCs/>
                <w:color w:val="auto"/>
                <w:u w:val="none" w:color="auto"/>
                <w:lang w:val="en-US" w:eastAsia="zh-CN"/>
              </w:rPr>
              <w:t>卫生防护距离</w:t>
            </w:r>
          </w:p>
          <w:p w14:paraId="6A392454">
            <w:pPr>
              <w:autoSpaceDE w:val="0"/>
              <w:autoSpaceDN w:val="0"/>
              <w:bidi w:val="0"/>
              <w:adjustRightInd w:val="0"/>
              <w:spacing w:line="440" w:lineRule="exact"/>
              <w:ind w:left="0" w:leftChars="0" w:firstLine="480" w:firstLineChars="200"/>
              <w:rPr>
                <w:rFonts w:hint="eastAsia" w:cs="Times New Roman"/>
                <w:color w:val="auto"/>
                <w:u w:val="none" w:color="auto"/>
                <w:lang w:eastAsia="zh-CN"/>
              </w:rPr>
            </w:pPr>
            <w:r>
              <w:rPr>
                <w:rFonts w:hint="eastAsia" w:ascii="Times New Roman" w:hAnsi="Times New Roman" w:eastAsia="宋体" w:cs="Times New Roman"/>
                <w:color w:val="auto"/>
                <w:sz w:val="24"/>
                <w:szCs w:val="24"/>
                <w:highlight w:val="none"/>
                <w:u w:val="none"/>
                <w:lang w:val="en-US" w:eastAsia="zh-CN"/>
              </w:rPr>
              <w:t>根据《农副食品加工卫生防护距离第1部分：屠宰及肉类加工业》（GB 18078.1-2012）中表1 屠宰及肉类（畜类）加工生产企业卫生防护距离限值及表2 屠宰及肉类（禽类）加工生产企业卫生防护距离限值，本项目</w:t>
            </w:r>
            <w:r>
              <w:rPr>
                <w:rFonts w:hint="default" w:ascii="Times New Roman" w:hAnsi="Times New Roman" w:eastAsia="宋体" w:cs="Times New Roman"/>
                <w:bCs/>
                <w:snapToGrid w:val="0"/>
                <w:color w:val="auto"/>
                <w:sz w:val="24"/>
                <w:u w:val="none"/>
              </w:rPr>
              <w:t>年屠宰生猪</w:t>
            </w:r>
            <w:r>
              <w:rPr>
                <w:rFonts w:hint="eastAsia" w:cs="Times New Roman"/>
                <w:bCs/>
                <w:snapToGrid w:val="0"/>
                <w:color w:val="auto"/>
                <w:sz w:val="24"/>
                <w:u w:val="none"/>
                <w:lang w:val="en-US" w:eastAsia="zh-CN"/>
              </w:rPr>
              <w:t>26273</w:t>
            </w:r>
            <w:r>
              <w:rPr>
                <w:rFonts w:hint="default" w:ascii="Times New Roman" w:hAnsi="Times New Roman" w:eastAsia="宋体" w:cs="Times New Roman"/>
                <w:bCs/>
                <w:snapToGrid w:val="0"/>
                <w:color w:val="auto"/>
                <w:sz w:val="24"/>
                <w:u w:val="none"/>
              </w:rPr>
              <w:t>头</w:t>
            </w:r>
            <w:r>
              <w:rPr>
                <w:rFonts w:hint="eastAsia" w:ascii="Times New Roman" w:hAnsi="Times New Roman" w:eastAsia="宋体" w:cs="Times New Roman"/>
                <w:bCs/>
                <w:snapToGrid w:val="0"/>
                <w:color w:val="auto"/>
                <w:sz w:val="24"/>
                <w:u w:val="none"/>
                <w:lang w:eastAsia="zh-CN"/>
              </w:rPr>
              <w:t>、肉牛</w:t>
            </w:r>
            <w:r>
              <w:rPr>
                <w:rFonts w:hint="eastAsia" w:cs="Times New Roman"/>
                <w:bCs/>
                <w:snapToGrid w:val="0"/>
                <w:color w:val="auto"/>
                <w:sz w:val="24"/>
                <w:u w:val="none"/>
                <w:lang w:val="en-US" w:eastAsia="zh-CN"/>
              </w:rPr>
              <w:t>9040</w:t>
            </w:r>
            <w:r>
              <w:rPr>
                <w:rFonts w:hint="eastAsia" w:ascii="Times New Roman" w:hAnsi="Times New Roman" w:eastAsia="宋体" w:cs="Times New Roman"/>
                <w:bCs/>
                <w:snapToGrid w:val="0"/>
                <w:color w:val="auto"/>
                <w:sz w:val="24"/>
                <w:u w:val="none"/>
                <w:lang w:val="en-US" w:eastAsia="zh-CN"/>
              </w:rPr>
              <w:t>头</w:t>
            </w:r>
            <w:r>
              <w:rPr>
                <w:rFonts w:hint="eastAsia" w:cs="Times New Roman"/>
                <w:bCs/>
                <w:snapToGrid w:val="0"/>
                <w:color w:val="auto"/>
                <w:sz w:val="24"/>
                <w:u w:val="none"/>
                <w:lang w:val="en-US" w:eastAsia="zh-CN"/>
              </w:rPr>
              <w:t>、年屠宰肉鸡1000只、年屠宰肉鸭1000只、年屠宰肉鹅1000只</w:t>
            </w:r>
            <w:r>
              <w:rPr>
                <w:rFonts w:hint="default" w:ascii="Times New Roman" w:hAnsi="Times New Roman" w:eastAsia="宋体" w:cs="Times New Roman"/>
                <w:bCs/>
                <w:snapToGrid w:val="0"/>
                <w:color w:val="auto"/>
                <w:sz w:val="24"/>
                <w:u w:val="none"/>
              </w:rPr>
              <w:t>。</w:t>
            </w:r>
            <w:r>
              <w:rPr>
                <w:rFonts w:hint="eastAsia" w:ascii="Times New Roman" w:hAnsi="Times New Roman" w:eastAsia="宋体" w:cs="Times New Roman"/>
                <w:bCs/>
                <w:snapToGrid w:val="0"/>
                <w:color w:val="auto"/>
                <w:sz w:val="24"/>
                <w:u w:val="none"/>
                <w:lang w:val="en-US" w:eastAsia="zh-CN"/>
              </w:rPr>
              <w:t>溆浦县</w:t>
            </w:r>
            <w:r>
              <w:rPr>
                <w:rFonts w:hint="eastAsia" w:ascii="Times New Roman" w:hAnsi="Times New Roman" w:eastAsia="宋体" w:cs="Times New Roman"/>
                <w:color w:val="auto"/>
                <w:sz w:val="24"/>
                <w:szCs w:val="24"/>
                <w:highlight w:val="none"/>
                <w:u w:val="none"/>
                <w:lang w:val="en-US" w:eastAsia="zh-CN"/>
              </w:rPr>
              <w:t>年平均风速为1.8 m/s，因此本项目卫生防护距离为500 m。根据实地调查，目前项目周边500 m范围内环境保护目标，根据</w:t>
            </w:r>
            <w:r>
              <w:rPr>
                <w:rFonts w:hint="eastAsia"/>
                <w:color w:val="auto"/>
                <w:u w:val="none" w:color="auto"/>
                <w:lang w:val="en-US" w:eastAsia="zh-CN"/>
              </w:rPr>
              <w:t>湖南正鸿检测技术有限公司于</w:t>
            </w:r>
            <w:r>
              <w:rPr>
                <w:rFonts w:hint="eastAsia" w:ascii="Times New Roman" w:hAnsi="Times New Roman" w:eastAsia="宋体" w:cs="Times New Roman"/>
                <w:color w:val="auto"/>
                <w:sz w:val="24"/>
                <w:highlight w:val="none"/>
                <w:u w:val="none" w:color="auto"/>
                <w:lang w:val="en-US" w:eastAsia="zh-CN"/>
              </w:rPr>
              <w:t>20</w:t>
            </w:r>
            <w:r>
              <w:rPr>
                <w:rFonts w:hint="eastAsia" w:cs="Times New Roman"/>
                <w:color w:val="auto"/>
                <w:sz w:val="24"/>
                <w:highlight w:val="none"/>
                <w:u w:val="none" w:color="auto"/>
                <w:lang w:val="en-US" w:eastAsia="zh-CN"/>
              </w:rPr>
              <w:t>25</w:t>
            </w:r>
            <w:r>
              <w:rPr>
                <w:rFonts w:hint="eastAsia" w:ascii="Times New Roman" w:hAnsi="Times New Roman" w:eastAsia="宋体" w:cs="Times New Roman"/>
                <w:color w:val="auto"/>
                <w:sz w:val="24"/>
                <w:highlight w:val="none"/>
                <w:u w:val="none" w:color="auto"/>
                <w:lang w:val="en-US" w:eastAsia="zh-CN"/>
              </w:rPr>
              <w:t>年</w:t>
            </w:r>
            <w:r>
              <w:rPr>
                <w:rFonts w:hint="eastAsia" w:cs="Times New Roman"/>
                <w:color w:val="auto"/>
                <w:sz w:val="24"/>
                <w:highlight w:val="none"/>
                <w:u w:val="none" w:color="auto"/>
                <w:lang w:val="en-US" w:eastAsia="zh-CN"/>
              </w:rPr>
              <w:t>8</w:t>
            </w:r>
            <w:r>
              <w:rPr>
                <w:rFonts w:hint="eastAsia" w:ascii="Times New Roman" w:hAnsi="Times New Roman" w:eastAsia="宋体" w:cs="Times New Roman"/>
                <w:color w:val="auto"/>
                <w:sz w:val="24"/>
                <w:highlight w:val="none"/>
                <w:u w:val="none" w:color="auto"/>
                <w:lang w:val="en-US" w:eastAsia="zh-CN"/>
              </w:rPr>
              <w:t>月</w:t>
            </w:r>
            <w:r>
              <w:rPr>
                <w:rFonts w:hint="eastAsia" w:cs="Times New Roman"/>
                <w:color w:val="auto"/>
                <w:sz w:val="24"/>
                <w:highlight w:val="none"/>
                <w:u w:val="none" w:color="auto"/>
                <w:lang w:val="en-US" w:eastAsia="zh-CN"/>
              </w:rPr>
              <w:t>4</w:t>
            </w:r>
            <w:r>
              <w:rPr>
                <w:rFonts w:hint="eastAsia" w:ascii="Times New Roman" w:hAnsi="Times New Roman" w:eastAsia="宋体" w:cs="Times New Roman"/>
                <w:color w:val="auto"/>
                <w:sz w:val="24"/>
                <w:highlight w:val="none"/>
                <w:u w:val="none" w:color="auto"/>
                <w:lang w:val="en-US" w:eastAsia="zh-CN"/>
              </w:rPr>
              <w:t>日~</w:t>
            </w:r>
            <w:r>
              <w:rPr>
                <w:rFonts w:hint="eastAsia" w:cs="Times New Roman"/>
                <w:color w:val="auto"/>
                <w:sz w:val="24"/>
                <w:highlight w:val="none"/>
                <w:u w:val="none" w:color="auto"/>
                <w:lang w:val="en-US" w:eastAsia="zh-CN"/>
              </w:rPr>
              <w:t>8</w:t>
            </w:r>
            <w:r>
              <w:rPr>
                <w:rFonts w:hint="eastAsia" w:ascii="Times New Roman" w:hAnsi="Times New Roman" w:eastAsia="宋体" w:cs="Times New Roman"/>
                <w:color w:val="auto"/>
                <w:sz w:val="24"/>
                <w:highlight w:val="none"/>
                <w:u w:val="none" w:color="auto"/>
                <w:lang w:val="en-US" w:eastAsia="zh-CN"/>
              </w:rPr>
              <w:t>月</w:t>
            </w:r>
            <w:r>
              <w:rPr>
                <w:rFonts w:hint="eastAsia" w:cs="Times New Roman"/>
                <w:color w:val="auto"/>
                <w:sz w:val="24"/>
                <w:highlight w:val="none"/>
                <w:u w:val="none" w:color="auto"/>
                <w:lang w:val="en-US" w:eastAsia="zh-CN"/>
              </w:rPr>
              <w:t>6</w:t>
            </w:r>
            <w:r>
              <w:rPr>
                <w:rFonts w:hint="eastAsia" w:ascii="Times New Roman" w:hAnsi="Times New Roman" w:eastAsia="宋体" w:cs="Times New Roman"/>
                <w:color w:val="auto"/>
                <w:sz w:val="24"/>
                <w:highlight w:val="none"/>
                <w:u w:val="none" w:color="auto"/>
                <w:lang w:val="en-US" w:eastAsia="zh-CN"/>
              </w:rPr>
              <w:t>日对项目所在地的硫化氢、氨的现状监测可知，项目所在地硫化氢、氨</w:t>
            </w:r>
            <w:r>
              <w:rPr>
                <w:rFonts w:hint="eastAsia"/>
                <w:snapToGrid/>
                <w:color w:val="auto"/>
                <w:kern w:val="2"/>
                <w:szCs w:val="24"/>
                <w:u w:val="none" w:color="auto"/>
                <w:lang w:val="en-US" w:eastAsia="zh-CN"/>
              </w:rPr>
              <w:t>均</w:t>
            </w:r>
            <w:r>
              <w:rPr>
                <w:rFonts w:hint="eastAsia" w:ascii="Times New Roman" w:hAnsi="Times New Roman" w:eastAsia="宋体"/>
                <w:snapToGrid/>
                <w:color w:val="auto"/>
                <w:kern w:val="2"/>
                <w:szCs w:val="24"/>
                <w:u w:val="none" w:color="auto"/>
              </w:rPr>
              <w:t>满足《环境影响评价技术导则大气环境》（HJ</w:t>
            </w:r>
            <w:r>
              <w:rPr>
                <w:rFonts w:hint="eastAsia"/>
                <w:snapToGrid/>
                <w:color w:val="auto"/>
                <w:kern w:val="2"/>
                <w:szCs w:val="24"/>
                <w:u w:val="none" w:color="auto"/>
                <w:lang w:val="en-US" w:eastAsia="zh-CN"/>
              </w:rPr>
              <w:t xml:space="preserve"> </w:t>
            </w:r>
            <w:r>
              <w:rPr>
                <w:rFonts w:hint="eastAsia" w:ascii="Times New Roman" w:hAnsi="Times New Roman" w:eastAsia="宋体"/>
                <w:snapToGrid/>
                <w:color w:val="auto"/>
                <w:kern w:val="2"/>
                <w:szCs w:val="24"/>
                <w:u w:val="none" w:color="auto"/>
              </w:rPr>
              <w:t>2.2-2018）附录D表D.1其他污染物空气质量浓度参考限值</w:t>
            </w:r>
            <w:r>
              <w:rPr>
                <w:rFonts w:hint="eastAsia" w:ascii="Times New Roman" w:hAnsi="Times New Roman" w:eastAsia="宋体" w:cs="Times New Roman"/>
                <w:color w:val="auto"/>
                <w:sz w:val="24"/>
                <w:szCs w:val="24"/>
                <w:highlight w:val="none"/>
                <w:u w:val="none"/>
                <w:lang w:val="en-US" w:eastAsia="zh-CN"/>
              </w:rPr>
              <w:t>。根据该项目的实际情况，业主应加强管理，及明清理粪便和有机杂物，尽可能减少大气污染源的排放量，同时加强厂区的绿化，在厂区边界种植一定宽度的绿化带，并对厂区内部进行合理的绿化布局，选择叶茂枝密、树冠低垂、生长迅速的品种，以减小屠宰生产线和污水处理站排放的恶臭气体对现有居民点的影响范围。另外，本评价建议：在卫生距离范围内不得再新建居住区。</w:t>
            </w:r>
          </w:p>
          <w:p w14:paraId="69808959">
            <w:pPr>
              <w:bidi w:val="0"/>
              <w:ind w:left="0" w:leftChars="0" w:firstLine="0" w:firstLineChars="0"/>
              <w:rPr>
                <w:rFonts w:hint="default" w:ascii="Times New Roman" w:hAnsi="Times New Roman" w:cs="Times New Roman"/>
                <w:b/>
                <w:bCs/>
                <w:color w:val="auto"/>
                <w:u w:val="none" w:color="auto"/>
                <w:lang w:val="en-US" w:eastAsia="zh-CN"/>
              </w:rPr>
            </w:pPr>
            <w:r>
              <w:rPr>
                <w:rFonts w:hint="eastAsia" w:cs="Times New Roman"/>
                <w:b/>
                <w:bCs/>
                <w:color w:val="auto"/>
                <w:u w:val="none" w:color="auto"/>
                <w:lang w:eastAsia="zh-CN"/>
              </w:rPr>
              <w:t>4.</w:t>
            </w:r>
            <w:r>
              <w:rPr>
                <w:rFonts w:hint="eastAsia" w:cs="Times New Roman"/>
                <w:b/>
                <w:bCs/>
                <w:color w:val="auto"/>
                <w:u w:val="none" w:color="auto"/>
                <w:lang w:val="en-US" w:eastAsia="zh-CN"/>
              </w:rPr>
              <w:t>6</w:t>
            </w:r>
            <w:r>
              <w:rPr>
                <w:rFonts w:hint="default" w:ascii="Times New Roman" w:hAnsi="Times New Roman" w:cs="Times New Roman"/>
                <w:b/>
                <w:bCs/>
                <w:color w:val="auto"/>
                <w:u w:val="none" w:color="auto"/>
                <w:lang w:val="en-US" w:eastAsia="zh-CN"/>
              </w:rPr>
              <w:t>.</w:t>
            </w:r>
            <w:r>
              <w:rPr>
                <w:rFonts w:hint="eastAsia" w:cs="Times New Roman"/>
                <w:b/>
                <w:bCs/>
                <w:color w:val="auto"/>
                <w:u w:val="none" w:color="auto"/>
                <w:lang w:val="en-US" w:eastAsia="zh-CN"/>
              </w:rPr>
              <w:t>6</w:t>
            </w:r>
            <w:r>
              <w:rPr>
                <w:rFonts w:hint="default" w:ascii="Times New Roman" w:hAnsi="Times New Roman" w:cs="Times New Roman"/>
                <w:b/>
                <w:bCs/>
                <w:color w:val="auto"/>
                <w:u w:val="none" w:color="auto"/>
              </w:rPr>
              <w:t xml:space="preserve"> </w:t>
            </w:r>
            <w:r>
              <w:rPr>
                <w:rFonts w:hint="default" w:ascii="Times New Roman" w:hAnsi="Times New Roman" w:eastAsia="黑体" w:cs="Times New Roman"/>
                <w:b/>
                <w:bCs/>
                <w:color w:val="auto"/>
                <w:u w:val="none" w:color="auto"/>
                <w:lang w:val="en-US" w:eastAsia="zh-CN"/>
              </w:rPr>
              <w:t>监测计划</w:t>
            </w:r>
          </w:p>
          <w:p w14:paraId="0B599F9C">
            <w:pPr>
              <w:bidi w:val="0"/>
              <w:rPr>
                <w:rFonts w:hint="default" w:ascii="Times New Roman" w:hAnsi="Times New Roman" w:cs="Times New Roman"/>
                <w:color w:val="auto"/>
                <w:u w:val="none" w:color="auto"/>
                <w:lang w:val="en-US" w:eastAsia="zh-CN"/>
              </w:rPr>
            </w:pPr>
            <w:bookmarkStart w:id="178" w:name="OLE_LINK127"/>
            <w:bookmarkStart w:id="179" w:name="OLE_LINK181"/>
            <w:r>
              <w:rPr>
                <w:rFonts w:hint="default" w:ascii="Times New Roman" w:hAnsi="Times New Roman" w:cs="Times New Roman"/>
                <w:color w:val="auto"/>
                <w:sz w:val="24"/>
                <w:szCs w:val="24"/>
                <w:u w:val="none" w:color="auto"/>
                <w:lang w:val="en-US" w:eastAsia="zh-CN"/>
              </w:rPr>
              <w:t>根据</w:t>
            </w:r>
            <w:r>
              <w:rPr>
                <w:rFonts w:hint="default" w:ascii="Times New Roman" w:hAnsi="Times New Roman" w:cs="Times New Roman"/>
                <w:color w:val="auto"/>
                <w:u w:val="none" w:color="auto"/>
                <w:lang w:val="en-US" w:eastAsia="zh-CN"/>
              </w:rPr>
              <w:t xml:space="preserve">《排污单位自行监测技术指南 </w:t>
            </w:r>
            <w:r>
              <w:rPr>
                <w:rFonts w:hint="eastAsia" w:cs="Times New Roman"/>
                <w:color w:val="auto"/>
                <w:u w:val="none" w:color="auto"/>
                <w:lang w:val="en-US" w:eastAsia="zh-CN"/>
              </w:rPr>
              <w:t>总则</w:t>
            </w:r>
            <w:r>
              <w:rPr>
                <w:rFonts w:hint="default" w:ascii="Times New Roman" w:hAnsi="Times New Roman" w:cs="Times New Roman"/>
                <w:color w:val="auto"/>
                <w:u w:val="none" w:color="auto"/>
                <w:lang w:val="en-US" w:eastAsia="zh-CN"/>
              </w:rPr>
              <w:t xml:space="preserve">》（HJ </w:t>
            </w:r>
            <w:r>
              <w:rPr>
                <w:rFonts w:hint="eastAsia" w:cs="Times New Roman"/>
                <w:color w:val="auto"/>
                <w:u w:val="none" w:color="auto"/>
                <w:lang w:val="en-US" w:eastAsia="zh-CN"/>
              </w:rPr>
              <w:t>819</w:t>
            </w:r>
            <w:r>
              <w:rPr>
                <w:rFonts w:hint="default" w:ascii="Times New Roman" w:hAnsi="Times New Roman" w:cs="Times New Roman"/>
                <w:color w:val="auto"/>
                <w:u w:val="none" w:color="auto"/>
                <w:lang w:val="en-US" w:eastAsia="zh-CN"/>
              </w:rPr>
              <w:t>-20</w:t>
            </w:r>
            <w:r>
              <w:rPr>
                <w:rFonts w:hint="eastAsia" w:cs="Times New Roman"/>
                <w:color w:val="auto"/>
                <w:u w:val="none" w:color="auto"/>
                <w:lang w:val="en-US" w:eastAsia="zh-CN"/>
              </w:rPr>
              <w:t>17</w:t>
            </w:r>
            <w:r>
              <w:rPr>
                <w:rFonts w:hint="default" w:ascii="Times New Roman" w:hAnsi="Times New Roman" w:cs="Times New Roman"/>
                <w:color w:val="auto"/>
                <w:u w:val="none" w:color="auto"/>
                <w:lang w:val="en-US" w:eastAsia="zh-CN"/>
              </w:rPr>
              <w:t>）、</w:t>
            </w:r>
            <w:bookmarkEnd w:id="178"/>
            <w:bookmarkStart w:id="180" w:name="OLE_LINK153"/>
            <w:r>
              <w:rPr>
                <w:rFonts w:hint="eastAsia" w:cs="Times New Roman"/>
                <w:color w:val="auto"/>
                <w:u w:val="none" w:color="auto"/>
                <w:lang w:val="en-US" w:eastAsia="zh-CN"/>
              </w:rPr>
              <w:t>《</w:t>
            </w:r>
            <w:r>
              <w:rPr>
                <w:rFonts w:hint="default" w:ascii="Times New Roman" w:hAnsi="Times New Roman" w:cs="Times New Roman"/>
                <w:color w:val="auto"/>
                <w:u w:val="none" w:color="auto"/>
                <w:lang w:val="en-US" w:eastAsia="zh-CN"/>
              </w:rPr>
              <w:t>排污单位自行监测技术指南</w:t>
            </w:r>
            <w:r>
              <w:rPr>
                <w:rFonts w:hint="eastAsia" w:cs="Times New Roman"/>
                <w:color w:val="auto"/>
                <w:u w:val="none" w:color="auto"/>
                <w:lang w:val="en-US" w:eastAsia="zh-CN"/>
              </w:rPr>
              <w:t xml:space="preserve"> 印刷工业》（HJ 1246-2022）</w:t>
            </w:r>
            <w:bookmarkEnd w:id="179"/>
            <w:bookmarkEnd w:id="180"/>
            <w:r>
              <w:rPr>
                <w:rFonts w:hint="eastAsia" w:cs="Times New Roman"/>
                <w:color w:val="auto"/>
                <w:u w:val="none" w:color="auto"/>
                <w:lang w:val="en-US" w:eastAsia="zh-CN"/>
              </w:rPr>
              <w:t>、</w:t>
            </w:r>
            <w:r>
              <w:rPr>
                <w:rFonts w:hint="eastAsia"/>
                <w:color w:val="auto"/>
                <w:sz w:val="24"/>
                <w:szCs w:val="24"/>
              </w:rPr>
              <w:t>《排污许可证申请与核发技术规范 农副食品加工工业—屠宰及肉类加工工业》</w:t>
            </w:r>
            <w:r>
              <w:rPr>
                <w:rFonts w:hint="eastAsia"/>
                <w:color w:val="auto"/>
                <w:sz w:val="24"/>
                <w:szCs w:val="24"/>
                <w:lang w:eastAsia="zh-CN"/>
              </w:rPr>
              <w:t>（</w:t>
            </w:r>
            <w:r>
              <w:rPr>
                <w:rFonts w:hint="eastAsia"/>
                <w:color w:val="auto"/>
                <w:sz w:val="24"/>
                <w:szCs w:val="24"/>
              </w:rPr>
              <w:t>HJ</w:t>
            </w:r>
            <w:r>
              <w:rPr>
                <w:rFonts w:hint="eastAsia"/>
                <w:color w:val="auto"/>
                <w:sz w:val="24"/>
                <w:szCs w:val="24"/>
                <w:lang w:val="en-US" w:eastAsia="zh-CN"/>
              </w:rPr>
              <w:t xml:space="preserve"> </w:t>
            </w:r>
            <w:r>
              <w:rPr>
                <w:rFonts w:hint="eastAsia"/>
                <w:color w:val="auto"/>
                <w:sz w:val="24"/>
                <w:szCs w:val="24"/>
              </w:rPr>
              <w:t>860.3-2018</w:t>
            </w:r>
            <w:r>
              <w:rPr>
                <w:rFonts w:hint="eastAsia"/>
                <w:color w:val="auto"/>
                <w:sz w:val="24"/>
                <w:szCs w:val="24"/>
                <w:lang w:eastAsia="zh-CN"/>
              </w:rPr>
              <w:t>）、</w:t>
            </w:r>
            <w:r>
              <w:rPr>
                <w:rFonts w:hint="eastAsia" w:ascii="Times New Roman" w:hAnsi="Times New Roman" w:eastAsia="宋体" w:cstheme="minorBidi"/>
                <w:color w:val="auto"/>
                <w:kern w:val="2"/>
                <w:sz w:val="24"/>
                <w:szCs w:val="24"/>
                <w:lang w:val="en-US" w:eastAsia="zh-CN" w:bidi="ar"/>
              </w:rPr>
              <w:t>《排污单位自行监测技术指南</w:t>
            </w:r>
            <w:r>
              <w:rPr>
                <w:rFonts w:hint="eastAsia" w:cstheme="minorBidi"/>
                <w:color w:val="auto"/>
                <w:kern w:val="2"/>
                <w:sz w:val="24"/>
                <w:szCs w:val="24"/>
                <w:lang w:val="en-US" w:eastAsia="zh-CN" w:bidi="ar"/>
              </w:rPr>
              <w:t xml:space="preserve"> </w:t>
            </w:r>
            <w:r>
              <w:rPr>
                <w:rFonts w:hint="eastAsia" w:ascii="Times New Roman" w:hAnsi="Times New Roman" w:eastAsia="宋体" w:cstheme="minorBidi"/>
                <w:color w:val="auto"/>
                <w:kern w:val="2"/>
                <w:sz w:val="24"/>
                <w:szCs w:val="24"/>
                <w:lang w:val="en-US" w:eastAsia="zh-CN" w:bidi="ar"/>
              </w:rPr>
              <w:t>农副食品加工业》</w:t>
            </w:r>
            <w:r>
              <w:rPr>
                <w:rFonts w:hint="eastAsia" w:cstheme="minorBidi"/>
                <w:color w:val="auto"/>
                <w:kern w:val="2"/>
                <w:sz w:val="24"/>
                <w:szCs w:val="24"/>
                <w:lang w:val="en-US" w:eastAsia="zh-CN" w:bidi="ar"/>
              </w:rPr>
              <w:t>（</w:t>
            </w:r>
            <w:r>
              <w:rPr>
                <w:rFonts w:hint="eastAsia" w:ascii="Times New Roman" w:hAnsi="Times New Roman" w:eastAsia="宋体" w:cstheme="minorBidi"/>
                <w:color w:val="auto"/>
                <w:kern w:val="2"/>
                <w:sz w:val="24"/>
                <w:szCs w:val="24"/>
                <w:lang w:val="en-US" w:eastAsia="zh-CN" w:bidi="ar"/>
              </w:rPr>
              <w:t>HJ 986-2018</w:t>
            </w:r>
            <w:r>
              <w:rPr>
                <w:rFonts w:hint="eastAsia" w:cstheme="minorBidi"/>
                <w:color w:val="auto"/>
                <w:kern w:val="2"/>
                <w:sz w:val="24"/>
                <w:szCs w:val="24"/>
                <w:lang w:val="en-US" w:eastAsia="zh-CN" w:bidi="ar"/>
              </w:rPr>
              <w:t>）</w:t>
            </w:r>
            <w:r>
              <w:rPr>
                <w:rFonts w:hint="default" w:ascii="Times New Roman" w:hAnsi="Times New Roman" w:cs="Times New Roman"/>
                <w:color w:val="auto"/>
                <w:u w:val="none" w:color="auto"/>
                <w:lang w:val="en-US" w:eastAsia="zh-CN"/>
              </w:rPr>
              <w:t>，结合项目所在地环境特征，本项目运营期废气监测计划见下表。</w:t>
            </w:r>
          </w:p>
          <w:p w14:paraId="5A05B9E7">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w:t>
            </w:r>
            <w:r>
              <w:rPr>
                <w:rFonts w:hint="eastAsia" w:cs="Times New Roman"/>
                <w:color w:val="auto"/>
                <w:u w:val="none" w:color="auto"/>
                <w:lang w:val="en-US" w:eastAsia="zh-CN"/>
              </w:rPr>
              <w:t>4.6-6</w:t>
            </w:r>
            <w:r>
              <w:rPr>
                <w:rFonts w:hint="default" w:ascii="Times New Roman" w:hAnsi="Times New Roman" w:cs="Times New Roman"/>
                <w:color w:val="auto"/>
                <w:u w:val="none" w:color="auto"/>
                <w:lang w:val="en-US" w:eastAsia="zh-CN"/>
              </w:rPr>
              <w:t xml:space="preserve"> 自行监测计划一览表</w:t>
            </w:r>
          </w:p>
          <w:tbl>
            <w:tblPr>
              <w:tblStyle w:val="23"/>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112"/>
              <w:gridCol w:w="1162"/>
              <w:gridCol w:w="4363"/>
              <w:gridCol w:w="1072"/>
            </w:tblGrid>
            <w:tr w14:paraId="7F93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5" w:type="pct"/>
                  <w:noWrap w:val="0"/>
                  <w:vAlign w:val="center"/>
                </w:tcPr>
                <w:p w14:paraId="5BF03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类别</w:t>
                  </w:r>
                </w:p>
              </w:tc>
              <w:tc>
                <w:tcPr>
                  <w:tcW w:w="644" w:type="pct"/>
                  <w:noWrap w:val="0"/>
                  <w:vAlign w:val="center"/>
                </w:tcPr>
                <w:p w14:paraId="32F21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监测点位</w:t>
                  </w:r>
                </w:p>
              </w:tc>
              <w:tc>
                <w:tcPr>
                  <w:tcW w:w="672" w:type="pct"/>
                  <w:noWrap w:val="0"/>
                  <w:vAlign w:val="center"/>
                </w:tcPr>
                <w:p w14:paraId="32499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监测因子</w:t>
                  </w:r>
                </w:p>
              </w:tc>
              <w:tc>
                <w:tcPr>
                  <w:tcW w:w="2526" w:type="pct"/>
                  <w:noWrap w:val="0"/>
                  <w:vAlign w:val="center"/>
                </w:tcPr>
                <w:p w14:paraId="6363E0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执行标准</w:t>
                  </w:r>
                </w:p>
              </w:tc>
              <w:tc>
                <w:tcPr>
                  <w:tcW w:w="620" w:type="pct"/>
                  <w:noWrap w:val="0"/>
                  <w:vAlign w:val="center"/>
                </w:tcPr>
                <w:p w14:paraId="081D0D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监测频次</w:t>
                  </w:r>
                </w:p>
              </w:tc>
            </w:tr>
            <w:tr w14:paraId="2BC7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5" w:type="pct"/>
                  <w:vMerge w:val="restart"/>
                  <w:noWrap w:val="0"/>
                  <w:vAlign w:val="center"/>
                </w:tcPr>
                <w:p w14:paraId="41EAC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无组织废气</w:t>
                  </w:r>
                </w:p>
              </w:tc>
              <w:tc>
                <w:tcPr>
                  <w:tcW w:w="644" w:type="pct"/>
                  <w:vMerge w:val="restart"/>
                  <w:noWrap w:val="0"/>
                  <w:vAlign w:val="center"/>
                </w:tcPr>
                <w:p w14:paraId="28029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厂界</w:t>
                  </w:r>
                </w:p>
              </w:tc>
              <w:tc>
                <w:tcPr>
                  <w:tcW w:w="672" w:type="pct"/>
                  <w:noWrap w:val="0"/>
                  <w:vAlign w:val="center"/>
                </w:tcPr>
                <w:p w14:paraId="32DBD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硫化氢</w:t>
                  </w:r>
                </w:p>
              </w:tc>
              <w:tc>
                <w:tcPr>
                  <w:tcW w:w="2526" w:type="pct"/>
                  <w:vMerge w:val="restart"/>
                  <w:noWrap w:val="0"/>
                  <w:vAlign w:val="center"/>
                </w:tcPr>
                <w:p w14:paraId="6066EE5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kern w:val="2"/>
                      <w:sz w:val="21"/>
                      <w:szCs w:val="21"/>
                      <w:u w:val="none" w:color="auto"/>
                      <w:vertAlign w:val="baseline"/>
                      <w:lang w:val="en-US" w:eastAsia="zh-CN" w:bidi="ar-SA"/>
                    </w:rPr>
                    <w:t>《恶臭污染物排放标准》（GB14554-93）表1恶臭污染物厂界标准值</w:t>
                  </w:r>
                </w:p>
              </w:tc>
              <w:tc>
                <w:tcPr>
                  <w:tcW w:w="620" w:type="pct"/>
                  <w:noWrap w:val="0"/>
                  <w:vAlign w:val="center"/>
                </w:tcPr>
                <w:p w14:paraId="7F5E9D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1次/半年</w:t>
                  </w:r>
                </w:p>
              </w:tc>
            </w:tr>
            <w:tr w14:paraId="3679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5" w:type="pct"/>
                  <w:vMerge w:val="continue"/>
                  <w:noWrap w:val="0"/>
                  <w:vAlign w:val="center"/>
                </w:tcPr>
                <w:p w14:paraId="4C3EA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644" w:type="pct"/>
                  <w:vMerge w:val="continue"/>
                  <w:noWrap w:val="0"/>
                  <w:vAlign w:val="center"/>
                </w:tcPr>
                <w:p w14:paraId="3CD0CF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672" w:type="pct"/>
                  <w:noWrap w:val="0"/>
                  <w:vAlign w:val="center"/>
                </w:tcPr>
                <w:p w14:paraId="34C67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氨</w:t>
                  </w:r>
                </w:p>
              </w:tc>
              <w:tc>
                <w:tcPr>
                  <w:tcW w:w="2526" w:type="pct"/>
                  <w:vMerge w:val="continue"/>
                  <w:noWrap w:val="0"/>
                  <w:vAlign w:val="center"/>
                </w:tcPr>
                <w:p w14:paraId="69B94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620" w:type="pct"/>
                  <w:noWrap w:val="0"/>
                  <w:vAlign w:val="center"/>
                </w:tcPr>
                <w:p w14:paraId="71BD2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1次/半年</w:t>
                  </w:r>
                </w:p>
              </w:tc>
            </w:tr>
            <w:tr w14:paraId="163E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35" w:type="pct"/>
                  <w:vMerge w:val="continue"/>
                  <w:noWrap w:val="0"/>
                  <w:vAlign w:val="center"/>
                </w:tcPr>
                <w:p w14:paraId="455E2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644" w:type="pct"/>
                  <w:vMerge w:val="continue"/>
                  <w:noWrap w:val="0"/>
                  <w:vAlign w:val="center"/>
                </w:tcPr>
                <w:p w14:paraId="0431D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672" w:type="pct"/>
                  <w:noWrap w:val="0"/>
                  <w:vAlign w:val="center"/>
                </w:tcPr>
                <w:p w14:paraId="0765F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臭气浓度</w:t>
                  </w:r>
                </w:p>
              </w:tc>
              <w:tc>
                <w:tcPr>
                  <w:tcW w:w="2526" w:type="pct"/>
                  <w:vMerge w:val="continue"/>
                  <w:noWrap w:val="0"/>
                  <w:vAlign w:val="center"/>
                </w:tcPr>
                <w:p w14:paraId="19EF34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620" w:type="pct"/>
                  <w:noWrap w:val="0"/>
                  <w:vAlign w:val="center"/>
                </w:tcPr>
                <w:p w14:paraId="34978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1次/半年</w:t>
                  </w:r>
                </w:p>
              </w:tc>
            </w:tr>
          </w:tbl>
          <w:p w14:paraId="37BC797A">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7</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运营期废水</w:t>
            </w:r>
          </w:p>
          <w:p w14:paraId="6C59E70F">
            <w:pPr>
              <w:bidi w:val="0"/>
              <w:ind w:left="0" w:leftChars="0" w:firstLine="0" w:firstLineChars="0"/>
              <w:rPr>
                <w:rFonts w:hint="eastAsia"/>
                <w:b/>
                <w:bCs/>
                <w:color w:val="auto"/>
                <w:u w:val="none" w:color="auto"/>
                <w:lang w:val="en-US" w:eastAsia="zh-CN"/>
              </w:rPr>
            </w:pPr>
            <w:r>
              <w:rPr>
                <w:rFonts w:hint="eastAsia"/>
                <w:b/>
                <w:bCs/>
                <w:color w:val="auto"/>
                <w:u w:val="none" w:color="auto"/>
              </w:rPr>
              <w:t>4.</w:t>
            </w:r>
            <w:r>
              <w:rPr>
                <w:rFonts w:hint="eastAsia"/>
                <w:b/>
                <w:bCs/>
                <w:color w:val="auto"/>
                <w:u w:val="none" w:color="auto"/>
                <w:lang w:val="en-US" w:eastAsia="zh-CN"/>
              </w:rPr>
              <w:t>7</w:t>
            </w:r>
            <w:r>
              <w:rPr>
                <w:rFonts w:hint="eastAsia"/>
                <w:b/>
                <w:bCs/>
                <w:color w:val="auto"/>
                <w:u w:val="none" w:color="auto"/>
              </w:rPr>
              <w:t>.</w:t>
            </w:r>
            <w:r>
              <w:rPr>
                <w:rFonts w:hint="eastAsia"/>
                <w:b/>
                <w:bCs/>
                <w:color w:val="auto"/>
                <w:u w:val="none" w:color="auto"/>
                <w:lang w:val="en-US" w:eastAsia="zh-CN"/>
              </w:rPr>
              <w:t>1</w:t>
            </w:r>
            <w:r>
              <w:rPr>
                <w:rFonts w:hint="eastAsia"/>
                <w:b/>
                <w:bCs/>
                <w:color w:val="auto"/>
                <w:u w:val="none" w:color="auto"/>
              </w:rPr>
              <w:t xml:space="preserve"> </w:t>
            </w:r>
            <w:r>
              <w:rPr>
                <w:rFonts w:hint="eastAsia" w:ascii="黑体" w:hAnsi="黑体" w:eastAsia="黑体" w:cs="黑体"/>
                <w:b/>
                <w:bCs/>
                <w:color w:val="auto"/>
                <w:u w:val="none" w:color="auto"/>
                <w:lang w:val="en-US" w:eastAsia="zh-CN"/>
              </w:rPr>
              <w:t>污染源强核算</w:t>
            </w:r>
          </w:p>
          <w:p w14:paraId="796678CB">
            <w:pPr>
              <w:ind w:firstLine="480" w:firstLineChars="200"/>
              <w:rPr>
                <w:color w:val="auto"/>
              </w:rPr>
            </w:pPr>
            <w:r>
              <w:rPr>
                <w:rFonts w:hint="eastAsia"/>
                <w:color w:val="auto"/>
              </w:rPr>
              <w:t>项目运营期废水主要为屠宰过程中的</w:t>
            </w:r>
            <w:r>
              <w:rPr>
                <w:rFonts w:hint="eastAsia"/>
                <w:color w:val="auto"/>
                <w:lang w:val="en-US" w:eastAsia="zh-CN"/>
              </w:rPr>
              <w:t>屠宰生产</w:t>
            </w:r>
            <w:r>
              <w:rPr>
                <w:rFonts w:hint="eastAsia"/>
                <w:color w:val="auto"/>
              </w:rPr>
              <w:t>废水、运输车辆清洗废水。</w:t>
            </w:r>
          </w:p>
          <w:p w14:paraId="20BCFF34">
            <w:pPr>
              <w:ind w:firstLine="480" w:firstLineChars="200"/>
              <w:rPr>
                <w:color w:val="auto"/>
              </w:rPr>
            </w:pPr>
            <w:r>
              <w:rPr>
                <w:rFonts w:hint="eastAsia"/>
                <w:color w:val="auto"/>
              </w:rPr>
              <w:t>1、</w:t>
            </w:r>
            <w:r>
              <w:rPr>
                <w:rFonts w:hint="eastAsia"/>
                <w:color w:val="auto"/>
                <w:lang w:val="en-US" w:eastAsia="zh-CN"/>
              </w:rPr>
              <w:t>屠宰生产</w:t>
            </w:r>
            <w:r>
              <w:rPr>
                <w:rFonts w:hint="eastAsia"/>
                <w:color w:val="auto"/>
              </w:rPr>
              <w:t>废水</w:t>
            </w:r>
          </w:p>
          <w:p w14:paraId="6809BADD">
            <w:pPr>
              <w:ind w:firstLine="480" w:firstLineChars="200"/>
              <w:rPr>
                <w:color w:val="auto"/>
              </w:rPr>
            </w:pPr>
            <w:r>
              <w:rPr>
                <w:rFonts w:hint="eastAsia"/>
                <w:color w:val="auto"/>
              </w:rPr>
              <w:t>根据前文分析，</w:t>
            </w:r>
            <w:r>
              <w:rPr>
                <w:rFonts w:hint="eastAsia"/>
                <w:color w:val="auto"/>
                <w:lang w:val="en-US" w:eastAsia="zh-CN"/>
              </w:rPr>
              <w:t>屠宰生产</w:t>
            </w:r>
            <w:r>
              <w:rPr>
                <w:rFonts w:hint="eastAsia"/>
                <w:color w:val="auto"/>
              </w:rPr>
              <w:t>废水量预计为</w:t>
            </w:r>
            <w:r>
              <w:rPr>
                <w:rFonts w:hint="eastAsia" w:cs="Times New Roman"/>
                <w:color w:val="auto"/>
                <w:sz w:val="24"/>
                <w:u w:val="none" w:color="auto"/>
                <w:lang w:val="en-US" w:eastAsia="zh-CN"/>
              </w:rPr>
              <w:t>63583.575</w:t>
            </w:r>
            <w:r>
              <w:rPr>
                <w:rFonts w:hint="eastAsia"/>
                <w:color w:val="auto"/>
                <w:lang w:val="en-US" w:eastAsia="zh-CN"/>
              </w:rPr>
              <w:t xml:space="preserve"> </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lang w:val="en-US" w:eastAsia="zh-CN"/>
              </w:rPr>
              <w:t>其中屠宰生猪废水量为</w:t>
            </w:r>
            <w:r>
              <w:rPr>
                <w:rFonts w:hint="eastAsia"/>
                <w:color w:val="000000"/>
                <w:sz w:val="24"/>
                <w:szCs w:val="24"/>
                <w:lang w:val="en-US" w:eastAsia="zh-CN"/>
              </w:rPr>
              <w:t>89733*0.535+9588*1.59</w:t>
            </w:r>
            <w:r>
              <w:rPr>
                <w:rFonts w:hint="eastAsia"/>
                <w:color w:val="auto"/>
                <w:sz w:val="24"/>
                <w:szCs w:val="24"/>
                <w:lang w:val="en-US" w:eastAsia="zh-CN"/>
              </w:rPr>
              <w:t>=63252.075</w:t>
            </w:r>
            <w:r>
              <w:rPr>
                <w:rFonts w:hint="eastAsia"/>
                <w:color w:val="auto"/>
                <w:sz w:val="24"/>
                <w:szCs w:val="24"/>
                <w:u w:val="none"/>
                <w:lang w:val="en-US" w:eastAsia="zh-CN"/>
              </w:rPr>
              <w:t xml:space="preserve"> t/a、</w:t>
            </w:r>
            <w:r>
              <w:rPr>
                <w:rFonts w:hint="eastAsia"/>
                <w:color w:val="auto"/>
                <w:lang w:val="en-US" w:eastAsia="zh-CN"/>
              </w:rPr>
              <w:t>屠宰肉牛废水量为</w:t>
            </w:r>
            <w:r>
              <w:rPr>
                <w:rFonts w:hint="eastAsia"/>
                <w:color w:val="auto"/>
                <w:sz w:val="24"/>
                <w:szCs w:val="24"/>
                <w:lang w:val="en-US" w:eastAsia="zh-CN"/>
              </w:rPr>
              <w:t>1000*0.27</w:t>
            </w:r>
            <w:r>
              <w:rPr>
                <w:rFonts w:hint="eastAsia"/>
                <w:color w:val="auto"/>
                <w:sz w:val="24"/>
                <w:szCs w:val="24"/>
                <w:u w:val="none"/>
                <w:lang w:val="en-US" w:eastAsia="zh-CN"/>
              </w:rPr>
              <w:t>=270 t/a、</w:t>
            </w:r>
            <w:r>
              <w:rPr>
                <w:rFonts w:hint="eastAsia"/>
                <w:color w:val="auto"/>
                <w:lang w:val="en-US" w:eastAsia="zh-CN"/>
              </w:rPr>
              <w:t>屠宰肉鸡废水量为</w:t>
            </w:r>
            <w:r>
              <w:rPr>
                <w:rFonts w:hint="eastAsia"/>
                <w:color w:val="auto"/>
                <w:sz w:val="24"/>
                <w:szCs w:val="24"/>
                <w:lang w:val="en-US" w:eastAsia="zh-CN"/>
              </w:rPr>
              <w:t>1000*1.43/100</w:t>
            </w:r>
            <w:r>
              <w:rPr>
                <w:rFonts w:hint="eastAsia"/>
                <w:color w:val="auto"/>
                <w:sz w:val="24"/>
                <w:szCs w:val="24"/>
                <w:u w:val="none"/>
                <w:lang w:val="en-US" w:eastAsia="zh-CN"/>
              </w:rPr>
              <w:t>=14.3 t/a、</w:t>
            </w:r>
            <w:r>
              <w:rPr>
                <w:rFonts w:hint="eastAsia"/>
                <w:color w:val="auto"/>
                <w:lang w:val="en-US" w:eastAsia="zh-CN"/>
              </w:rPr>
              <w:t>屠宰肉鸭废水量为</w:t>
            </w:r>
            <w:r>
              <w:rPr>
                <w:rFonts w:hint="eastAsia"/>
                <w:color w:val="auto"/>
                <w:sz w:val="24"/>
                <w:szCs w:val="24"/>
                <w:lang w:val="en-US" w:eastAsia="zh-CN"/>
              </w:rPr>
              <w:t>1000*</w:t>
            </w:r>
            <w:r>
              <w:rPr>
                <w:rFonts w:hint="eastAsia" w:cs="Times New Roman"/>
                <w:bCs/>
                <w:snapToGrid w:val="0"/>
                <w:color w:val="auto"/>
                <w:sz w:val="24"/>
                <w:u w:val="none"/>
                <w:lang w:val="en-US" w:eastAsia="zh-CN"/>
              </w:rPr>
              <w:t>2.15/100</w:t>
            </w:r>
            <w:r>
              <w:rPr>
                <w:rFonts w:hint="eastAsia"/>
                <w:color w:val="auto"/>
                <w:sz w:val="24"/>
                <w:szCs w:val="24"/>
                <w:u w:val="none"/>
                <w:lang w:val="en-US" w:eastAsia="zh-CN"/>
              </w:rPr>
              <w:t>=21.5 t/a、</w:t>
            </w:r>
            <w:r>
              <w:rPr>
                <w:rFonts w:hint="eastAsia"/>
                <w:color w:val="auto"/>
                <w:lang w:val="en-US" w:eastAsia="zh-CN"/>
              </w:rPr>
              <w:t>屠宰肉鹅废水量为</w:t>
            </w:r>
            <w:r>
              <w:rPr>
                <w:rFonts w:hint="eastAsia" w:cs="Times New Roman"/>
                <w:bCs/>
                <w:snapToGrid w:val="0"/>
                <w:color w:val="auto"/>
                <w:sz w:val="24"/>
                <w:u w:val="none"/>
                <w:lang w:val="en-US" w:eastAsia="zh-CN"/>
              </w:rPr>
              <w:t>1000*2.57/100</w:t>
            </w:r>
            <w:r>
              <w:rPr>
                <w:rFonts w:hint="eastAsia"/>
                <w:color w:val="auto"/>
                <w:sz w:val="24"/>
                <w:szCs w:val="24"/>
                <w:u w:val="none"/>
                <w:lang w:val="en-US" w:eastAsia="zh-CN"/>
              </w:rPr>
              <w:t>=25.7 t/a</w:t>
            </w:r>
            <w:r>
              <w:rPr>
                <w:rFonts w:hint="eastAsia"/>
                <w:color w:val="auto"/>
                <w:lang w:eastAsia="zh-CN"/>
              </w:rPr>
              <w:t>）</w:t>
            </w:r>
            <w:r>
              <w:rPr>
                <w:rFonts w:hint="eastAsia"/>
                <w:color w:val="auto"/>
              </w:rPr>
              <w:t>，此外根据收集的资料可知，相关污染物浓度见下表。</w:t>
            </w:r>
          </w:p>
          <w:p w14:paraId="5BA14AE4">
            <w:pPr>
              <w:spacing w:line="240" w:lineRule="auto"/>
              <w:jc w:val="center"/>
              <w:rPr>
                <w:rFonts w:hint="eastAsia" w:eastAsia="宋体"/>
                <w:b w:val="0"/>
                <w:bCs w:val="0"/>
                <w:color w:val="auto"/>
                <w:lang w:eastAsia="zh-CN"/>
              </w:rPr>
            </w:pPr>
            <w:r>
              <w:rPr>
                <w:rFonts w:hint="eastAsia"/>
                <w:b w:val="0"/>
                <w:bCs w:val="0"/>
                <w:color w:val="auto"/>
              </w:rPr>
              <w:t>表4</w:t>
            </w:r>
            <w:r>
              <w:rPr>
                <w:rFonts w:hint="eastAsia"/>
                <w:b w:val="0"/>
                <w:bCs w:val="0"/>
                <w:color w:val="auto"/>
                <w:lang w:val="en-US" w:eastAsia="zh-CN"/>
              </w:rPr>
              <w:t xml:space="preserve">.7-1 </w:t>
            </w:r>
            <w:r>
              <w:rPr>
                <w:rFonts w:hint="eastAsia"/>
                <w:b w:val="0"/>
                <w:bCs w:val="0"/>
                <w:color w:val="auto"/>
              </w:rPr>
              <w:t>屠宰工业的废水产污系数及产生情况表</w:t>
            </w:r>
            <w:r>
              <w:rPr>
                <w:rFonts w:hint="eastAsia"/>
                <w:b w:val="0"/>
                <w:bCs w:val="0"/>
                <w:color w:val="auto"/>
                <w:lang w:eastAsia="zh-CN"/>
              </w:rPr>
              <w:t>（</w:t>
            </w:r>
            <w:r>
              <w:rPr>
                <w:rFonts w:hint="eastAsia"/>
                <w:b w:val="0"/>
                <w:bCs w:val="0"/>
                <w:color w:val="auto"/>
                <w:lang w:val="en-US" w:eastAsia="zh-CN"/>
              </w:rPr>
              <w:t>单位：mg/L，pH无量纲</w:t>
            </w:r>
            <w:r>
              <w:rPr>
                <w:rFonts w:hint="eastAsia"/>
                <w:b w:val="0"/>
                <w:bCs w:val="0"/>
                <w:color w:val="auto"/>
                <w:lang w:eastAsia="zh-CN"/>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32"/>
              <w:gridCol w:w="766"/>
              <w:gridCol w:w="994"/>
              <w:gridCol w:w="994"/>
              <w:gridCol w:w="761"/>
              <w:gridCol w:w="800"/>
              <w:gridCol w:w="800"/>
              <w:gridCol w:w="842"/>
              <w:gridCol w:w="763"/>
            </w:tblGrid>
            <w:tr w14:paraId="30E8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14:paraId="0AFCDC5F">
                  <w:pPr>
                    <w:spacing w:line="240" w:lineRule="auto"/>
                    <w:ind w:firstLine="0" w:firstLineChars="0"/>
                    <w:jc w:val="center"/>
                    <w:rPr>
                      <w:color w:val="auto"/>
                      <w:sz w:val="21"/>
                      <w:szCs w:val="21"/>
                      <w:u w:val="single"/>
                    </w:rPr>
                  </w:pPr>
                  <w:r>
                    <w:rPr>
                      <w:rFonts w:hint="eastAsia"/>
                      <w:color w:val="auto"/>
                      <w:sz w:val="21"/>
                      <w:szCs w:val="21"/>
                      <w:u w:val="single"/>
                      <w:lang w:val="en-US" w:eastAsia="zh-CN"/>
                    </w:rPr>
                    <w:t>屠宰类型</w:t>
                  </w:r>
                </w:p>
              </w:tc>
              <w:tc>
                <w:tcPr>
                  <w:tcW w:w="712" w:type="pct"/>
                  <w:shd w:val="clear" w:color="auto" w:fill="auto"/>
                  <w:noWrap w:val="0"/>
                  <w:vAlign w:val="center"/>
                </w:tcPr>
                <w:p w14:paraId="3092C49F">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来源</w:t>
                  </w:r>
                </w:p>
              </w:tc>
              <w:tc>
                <w:tcPr>
                  <w:tcW w:w="443" w:type="pct"/>
                  <w:noWrap w:val="0"/>
                  <w:vAlign w:val="center"/>
                </w:tcPr>
                <w:p w14:paraId="2DCF7916">
                  <w:pPr>
                    <w:spacing w:line="240" w:lineRule="auto"/>
                    <w:ind w:firstLine="0" w:firstLineChars="0"/>
                    <w:jc w:val="center"/>
                    <w:rPr>
                      <w:color w:val="auto"/>
                      <w:sz w:val="21"/>
                      <w:szCs w:val="21"/>
                      <w:u w:val="single"/>
                    </w:rPr>
                  </w:pPr>
                  <w:r>
                    <w:rPr>
                      <w:rFonts w:hint="eastAsia"/>
                      <w:color w:val="auto"/>
                      <w:sz w:val="21"/>
                      <w:szCs w:val="21"/>
                      <w:u w:val="single"/>
                    </w:rPr>
                    <w:t>COD</w:t>
                  </w:r>
                </w:p>
              </w:tc>
              <w:tc>
                <w:tcPr>
                  <w:tcW w:w="575" w:type="pct"/>
                  <w:noWrap w:val="0"/>
                  <w:vAlign w:val="center"/>
                </w:tcPr>
                <w:p w14:paraId="6CA3FA58">
                  <w:pPr>
                    <w:spacing w:line="240" w:lineRule="auto"/>
                    <w:ind w:firstLine="0" w:firstLineChars="0"/>
                    <w:jc w:val="center"/>
                    <w:rPr>
                      <w:color w:val="auto"/>
                      <w:sz w:val="21"/>
                      <w:szCs w:val="21"/>
                      <w:u w:val="single"/>
                    </w:rPr>
                  </w:pPr>
                  <w:r>
                    <w:rPr>
                      <w:rFonts w:hint="eastAsia"/>
                      <w:color w:val="auto"/>
                      <w:sz w:val="21"/>
                      <w:szCs w:val="21"/>
                      <w:u w:val="single"/>
                    </w:rPr>
                    <w:t>BOD</w:t>
                  </w:r>
                  <w:r>
                    <w:rPr>
                      <w:rFonts w:hint="eastAsia"/>
                      <w:color w:val="auto"/>
                      <w:sz w:val="21"/>
                      <w:szCs w:val="21"/>
                      <w:u w:val="single"/>
                      <w:vertAlign w:val="subscript"/>
                    </w:rPr>
                    <w:t>5</w:t>
                  </w:r>
                </w:p>
              </w:tc>
              <w:tc>
                <w:tcPr>
                  <w:tcW w:w="575" w:type="pct"/>
                  <w:noWrap w:val="0"/>
                  <w:vAlign w:val="center"/>
                </w:tcPr>
                <w:p w14:paraId="5D470B9D">
                  <w:pPr>
                    <w:spacing w:line="240" w:lineRule="auto"/>
                    <w:ind w:firstLine="0" w:firstLineChars="0"/>
                    <w:jc w:val="center"/>
                    <w:rPr>
                      <w:color w:val="auto"/>
                      <w:sz w:val="21"/>
                      <w:szCs w:val="21"/>
                      <w:u w:val="single"/>
                    </w:rPr>
                  </w:pPr>
                  <w:r>
                    <w:rPr>
                      <w:rFonts w:hint="eastAsia"/>
                      <w:color w:val="auto"/>
                      <w:sz w:val="21"/>
                      <w:szCs w:val="21"/>
                      <w:u w:val="single"/>
                    </w:rPr>
                    <w:t>SS</w:t>
                  </w:r>
                </w:p>
              </w:tc>
              <w:tc>
                <w:tcPr>
                  <w:tcW w:w="440" w:type="pct"/>
                  <w:noWrap w:val="0"/>
                  <w:vAlign w:val="center"/>
                </w:tcPr>
                <w:p w14:paraId="0690AF3B">
                  <w:pPr>
                    <w:spacing w:line="240" w:lineRule="auto"/>
                    <w:ind w:firstLine="0" w:firstLineChars="0"/>
                    <w:jc w:val="center"/>
                    <w:rPr>
                      <w:color w:val="auto"/>
                      <w:sz w:val="21"/>
                      <w:szCs w:val="21"/>
                      <w:u w:val="single"/>
                    </w:rPr>
                  </w:pPr>
                  <w:r>
                    <w:rPr>
                      <w:rFonts w:hint="eastAsia"/>
                      <w:color w:val="auto"/>
                      <w:sz w:val="21"/>
                      <w:szCs w:val="21"/>
                      <w:u w:val="single"/>
                    </w:rPr>
                    <w:t>NH</w:t>
                  </w:r>
                  <w:r>
                    <w:rPr>
                      <w:rFonts w:hint="eastAsia"/>
                      <w:color w:val="auto"/>
                      <w:sz w:val="21"/>
                      <w:szCs w:val="21"/>
                      <w:u w:val="single"/>
                      <w:vertAlign w:val="subscript"/>
                    </w:rPr>
                    <w:t>3</w:t>
                  </w:r>
                  <w:r>
                    <w:rPr>
                      <w:rFonts w:hint="eastAsia"/>
                      <w:color w:val="auto"/>
                      <w:sz w:val="21"/>
                      <w:szCs w:val="21"/>
                      <w:u w:val="single"/>
                    </w:rPr>
                    <w:t>-N</w:t>
                  </w:r>
                </w:p>
              </w:tc>
              <w:tc>
                <w:tcPr>
                  <w:tcW w:w="462" w:type="pct"/>
                  <w:noWrap w:val="0"/>
                  <w:vAlign w:val="center"/>
                </w:tcPr>
                <w:p w14:paraId="78CA385B">
                  <w:pPr>
                    <w:spacing w:line="240" w:lineRule="auto"/>
                    <w:ind w:firstLine="0" w:firstLineChars="0"/>
                    <w:jc w:val="center"/>
                    <w:rPr>
                      <w:color w:val="auto"/>
                      <w:sz w:val="21"/>
                      <w:szCs w:val="21"/>
                      <w:u w:val="single"/>
                    </w:rPr>
                  </w:pPr>
                  <w:r>
                    <w:rPr>
                      <w:rFonts w:hint="eastAsia"/>
                      <w:color w:val="auto"/>
                      <w:sz w:val="21"/>
                      <w:szCs w:val="21"/>
                      <w:u w:val="single"/>
                    </w:rPr>
                    <w:t>pH</w:t>
                  </w:r>
                </w:p>
              </w:tc>
              <w:tc>
                <w:tcPr>
                  <w:tcW w:w="462" w:type="pct"/>
                  <w:noWrap w:val="0"/>
                  <w:vAlign w:val="center"/>
                </w:tcPr>
                <w:p w14:paraId="08746ED9">
                  <w:pPr>
                    <w:spacing w:line="240" w:lineRule="auto"/>
                    <w:ind w:firstLine="0" w:firstLineChars="0"/>
                    <w:jc w:val="center"/>
                    <w:rPr>
                      <w:color w:val="auto"/>
                      <w:sz w:val="21"/>
                      <w:szCs w:val="21"/>
                      <w:u w:val="single"/>
                    </w:rPr>
                  </w:pPr>
                  <w:r>
                    <w:rPr>
                      <w:rFonts w:hint="eastAsia"/>
                      <w:color w:val="auto"/>
                      <w:sz w:val="21"/>
                      <w:szCs w:val="21"/>
                      <w:u w:val="single"/>
                    </w:rPr>
                    <w:t>动植物油</w:t>
                  </w:r>
                </w:p>
              </w:tc>
              <w:tc>
                <w:tcPr>
                  <w:tcW w:w="487" w:type="pct"/>
                  <w:noWrap w:val="0"/>
                  <w:vAlign w:val="center"/>
                </w:tcPr>
                <w:p w14:paraId="251A7F7E">
                  <w:pPr>
                    <w:spacing w:line="240" w:lineRule="auto"/>
                    <w:ind w:firstLine="0" w:firstLineChars="0"/>
                    <w:jc w:val="center"/>
                    <w:rPr>
                      <w:color w:val="auto"/>
                      <w:sz w:val="21"/>
                      <w:szCs w:val="21"/>
                      <w:u w:val="single"/>
                    </w:rPr>
                  </w:pPr>
                  <w:r>
                    <w:rPr>
                      <w:rFonts w:hint="eastAsia"/>
                      <w:color w:val="auto"/>
                      <w:sz w:val="21"/>
                      <w:szCs w:val="21"/>
                      <w:u w:val="single"/>
                    </w:rPr>
                    <w:t>总氮</w:t>
                  </w:r>
                </w:p>
              </w:tc>
              <w:tc>
                <w:tcPr>
                  <w:tcW w:w="441" w:type="pct"/>
                  <w:noWrap w:val="0"/>
                  <w:vAlign w:val="center"/>
                </w:tcPr>
                <w:p w14:paraId="3AFBC4D3">
                  <w:pPr>
                    <w:spacing w:line="240" w:lineRule="auto"/>
                    <w:ind w:firstLine="0" w:firstLineChars="0"/>
                    <w:jc w:val="center"/>
                    <w:rPr>
                      <w:color w:val="auto"/>
                      <w:sz w:val="21"/>
                      <w:szCs w:val="21"/>
                      <w:u w:val="single"/>
                    </w:rPr>
                  </w:pPr>
                  <w:r>
                    <w:rPr>
                      <w:rFonts w:hint="eastAsia"/>
                      <w:color w:val="auto"/>
                      <w:sz w:val="21"/>
                      <w:szCs w:val="21"/>
                      <w:u w:val="single"/>
                    </w:rPr>
                    <w:t>总磷</w:t>
                  </w:r>
                </w:p>
              </w:tc>
            </w:tr>
            <w:tr w14:paraId="1DC7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restart"/>
                  <w:noWrap w:val="0"/>
                  <w:vAlign w:val="center"/>
                </w:tcPr>
                <w:p w14:paraId="26AD7E87">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生猪</w:t>
                  </w:r>
                </w:p>
              </w:tc>
              <w:tc>
                <w:tcPr>
                  <w:tcW w:w="712" w:type="pct"/>
                  <w:shd w:val="clear" w:color="auto" w:fill="auto"/>
                  <w:noWrap w:val="0"/>
                  <w:vAlign w:val="center"/>
                </w:tcPr>
                <w:p w14:paraId="2B54BF2B">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2004-2010</w:t>
                  </w:r>
                </w:p>
              </w:tc>
              <w:tc>
                <w:tcPr>
                  <w:tcW w:w="443" w:type="pct"/>
                  <w:noWrap w:val="0"/>
                  <w:vAlign w:val="center"/>
                </w:tcPr>
                <w:p w14:paraId="769C46F2">
                  <w:pPr>
                    <w:spacing w:line="240" w:lineRule="auto"/>
                    <w:ind w:firstLine="0" w:firstLineChars="0"/>
                    <w:jc w:val="center"/>
                    <w:rPr>
                      <w:color w:val="auto"/>
                      <w:sz w:val="21"/>
                      <w:szCs w:val="21"/>
                      <w:u w:val="single"/>
                    </w:rPr>
                  </w:pPr>
                  <w:r>
                    <w:rPr>
                      <w:rFonts w:hint="eastAsia"/>
                      <w:color w:val="auto"/>
                      <w:sz w:val="21"/>
                      <w:szCs w:val="21"/>
                      <w:u w:val="single"/>
                    </w:rPr>
                    <w:t>800~2000</w:t>
                  </w:r>
                </w:p>
              </w:tc>
              <w:tc>
                <w:tcPr>
                  <w:tcW w:w="575" w:type="pct"/>
                  <w:noWrap w:val="0"/>
                  <w:vAlign w:val="center"/>
                </w:tcPr>
                <w:p w14:paraId="49CD9E7E">
                  <w:pPr>
                    <w:spacing w:line="240" w:lineRule="auto"/>
                    <w:ind w:firstLine="0" w:firstLineChars="0"/>
                    <w:jc w:val="center"/>
                    <w:rPr>
                      <w:color w:val="auto"/>
                      <w:sz w:val="21"/>
                      <w:szCs w:val="21"/>
                      <w:u w:val="single"/>
                    </w:rPr>
                  </w:pPr>
                  <w:r>
                    <w:rPr>
                      <w:rFonts w:hint="eastAsia"/>
                      <w:color w:val="auto"/>
                      <w:sz w:val="21"/>
                      <w:szCs w:val="21"/>
                      <w:u w:val="single"/>
                    </w:rPr>
                    <w:t>500~1000</w:t>
                  </w:r>
                </w:p>
              </w:tc>
              <w:tc>
                <w:tcPr>
                  <w:tcW w:w="575" w:type="pct"/>
                  <w:noWrap w:val="0"/>
                  <w:vAlign w:val="center"/>
                </w:tcPr>
                <w:p w14:paraId="68BD4C50">
                  <w:pPr>
                    <w:spacing w:line="240" w:lineRule="auto"/>
                    <w:ind w:firstLine="0" w:firstLineChars="0"/>
                    <w:jc w:val="center"/>
                    <w:rPr>
                      <w:color w:val="auto"/>
                      <w:sz w:val="21"/>
                      <w:szCs w:val="21"/>
                      <w:u w:val="single"/>
                    </w:rPr>
                  </w:pPr>
                  <w:r>
                    <w:rPr>
                      <w:rFonts w:hint="eastAsia"/>
                      <w:color w:val="auto"/>
                      <w:sz w:val="21"/>
                      <w:szCs w:val="21"/>
                      <w:u w:val="single"/>
                    </w:rPr>
                    <w:t>500~1000</w:t>
                  </w:r>
                </w:p>
              </w:tc>
              <w:tc>
                <w:tcPr>
                  <w:tcW w:w="440" w:type="pct"/>
                  <w:noWrap w:val="0"/>
                  <w:vAlign w:val="center"/>
                </w:tcPr>
                <w:p w14:paraId="0B962480">
                  <w:pPr>
                    <w:spacing w:line="240" w:lineRule="auto"/>
                    <w:ind w:firstLine="0" w:firstLineChars="0"/>
                    <w:jc w:val="center"/>
                    <w:rPr>
                      <w:color w:val="auto"/>
                      <w:sz w:val="21"/>
                      <w:szCs w:val="21"/>
                      <w:u w:val="single"/>
                    </w:rPr>
                  </w:pPr>
                  <w:r>
                    <w:rPr>
                      <w:rFonts w:hint="eastAsia"/>
                      <w:color w:val="auto"/>
                      <w:sz w:val="21"/>
                      <w:szCs w:val="21"/>
                      <w:u w:val="single"/>
                    </w:rPr>
                    <w:t>25~70</w:t>
                  </w:r>
                </w:p>
              </w:tc>
              <w:tc>
                <w:tcPr>
                  <w:tcW w:w="462" w:type="pct"/>
                  <w:noWrap w:val="0"/>
                  <w:vAlign w:val="center"/>
                </w:tcPr>
                <w:p w14:paraId="358B0E2C">
                  <w:pPr>
                    <w:spacing w:line="240" w:lineRule="auto"/>
                    <w:ind w:firstLine="0" w:firstLineChars="0"/>
                    <w:jc w:val="center"/>
                    <w:rPr>
                      <w:color w:val="auto"/>
                      <w:sz w:val="21"/>
                      <w:szCs w:val="21"/>
                      <w:u w:val="single"/>
                    </w:rPr>
                  </w:pPr>
                  <w:r>
                    <w:rPr>
                      <w:rFonts w:hint="eastAsia"/>
                      <w:color w:val="auto"/>
                      <w:sz w:val="21"/>
                      <w:szCs w:val="21"/>
                      <w:u w:val="single"/>
                    </w:rPr>
                    <w:t>6.5~7.5</w:t>
                  </w:r>
                </w:p>
              </w:tc>
              <w:tc>
                <w:tcPr>
                  <w:tcW w:w="462" w:type="pct"/>
                  <w:noWrap w:val="0"/>
                  <w:vAlign w:val="center"/>
                </w:tcPr>
                <w:p w14:paraId="7F7EE377">
                  <w:pPr>
                    <w:spacing w:line="240" w:lineRule="auto"/>
                    <w:ind w:firstLine="0" w:firstLineChars="0"/>
                    <w:jc w:val="center"/>
                    <w:rPr>
                      <w:color w:val="auto"/>
                      <w:sz w:val="21"/>
                      <w:szCs w:val="21"/>
                      <w:u w:val="single"/>
                    </w:rPr>
                  </w:pPr>
                  <w:r>
                    <w:rPr>
                      <w:rFonts w:hint="eastAsia"/>
                      <w:color w:val="auto"/>
                      <w:sz w:val="21"/>
                      <w:szCs w:val="21"/>
                      <w:u w:val="single"/>
                    </w:rPr>
                    <w:t>30~100</w:t>
                  </w:r>
                </w:p>
              </w:tc>
              <w:tc>
                <w:tcPr>
                  <w:tcW w:w="487" w:type="pct"/>
                  <w:noWrap w:val="0"/>
                  <w:vAlign w:val="center"/>
                </w:tcPr>
                <w:p w14:paraId="61E2331D">
                  <w:pPr>
                    <w:spacing w:line="240" w:lineRule="auto"/>
                    <w:ind w:firstLine="0" w:firstLineChars="0"/>
                    <w:jc w:val="center"/>
                    <w:rPr>
                      <w:color w:val="auto"/>
                      <w:sz w:val="21"/>
                      <w:szCs w:val="21"/>
                      <w:u w:val="single"/>
                    </w:rPr>
                  </w:pPr>
                  <w:r>
                    <w:rPr>
                      <w:rFonts w:hint="eastAsia"/>
                      <w:color w:val="auto"/>
                      <w:sz w:val="21"/>
                      <w:szCs w:val="21"/>
                      <w:u w:val="single"/>
                    </w:rPr>
                    <w:t>/</w:t>
                  </w:r>
                </w:p>
              </w:tc>
              <w:tc>
                <w:tcPr>
                  <w:tcW w:w="441" w:type="pct"/>
                  <w:noWrap w:val="0"/>
                  <w:vAlign w:val="center"/>
                </w:tcPr>
                <w:p w14:paraId="56AECE7A">
                  <w:pPr>
                    <w:spacing w:line="240" w:lineRule="auto"/>
                    <w:ind w:firstLine="0" w:firstLineChars="0"/>
                    <w:jc w:val="center"/>
                    <w:rPr>
                      <w:color w:val="auto"/>
                      <w:sz w:val="21"/>
                      <w:szCs w:val="21"/>
                      <w:u w:val="single"/>
                    </w:rPr>
                  </w:pPr>
                  <w:r>
                    <w:rPr>
                      <w:rFonts w:hint="eastAsia"/>
                      <w:color w:val="auto"/>
                      <w:sz w:val="21"/>
                      <w:szCs w:val="21"/>
                      <w:u w:val="single"/>
                    </w:rPr>
                    <w:t>/</w:t>
                  </w:r>
                </w:p>
              </w:tc>
            </w:tr>
            <w:tr w14:paraId="25A1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0ECE9C1B">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2AE05E08">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860.3-2018</w:t>
                  </w:r>
                </w:p>
              </w:tc>
              <w:tc>
                <w:tcPr>
                  <w:tcW w:w="443" w:type="pct"/>
                  <w:noWrap w:val="0"/>
                  <w:vAlign w:val="center"/>
                </w:tcPr>
                <w:p w14:paraId="203BBCE9">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1948.98</w:t>
                  </w:r>
                </w:p>
              </w:tc>
              <w:tc>
                <w:tcPr>
                  <w:tcW w:w="575" w:type="pct"/>
                  <w:noWrap w:val="0"/>
                  <w:vAlign w:val="center"/>
                </w:tcPr>
                <w:p w14:paraId="1C0B00EA">
                  <w:pPr>
                    <w:spacing w:line="240" w:lineRule="auto"/>
                    <w:ind w:firstLine="0" w:firstLineChars="0"/>
                    <w:jc w:val="center"/>
                    <w:rPr>
                      <w:color w:val="auto"/>
                      <w:sz w:val="21"/>
                      <w:szCs w:val="21"/>
                      <w:u w:val="single"/>
                    </w:rPr>
                  </w:pPr>
                  <w:r>
                    <w:rPr>
                      <w:rFonts w:hint="eastAsia"/>
                      <w:color w:val="auto"/>
                      <w:sz w:val="21"/>
                      <w:szCs w:val="21"/>
                      <w:u w:val="single"/>
                    </w:rPr>
                    <w:t>/</w:t>
                  </w:r>
                </w:p>
              </w:tc>
              <w:tc>
                <w:tcPr>
                  <w:tcW w:w="575" w:type="pct"/>
                  <w:noWrap w:val="0"/>
                  <w:vAlign w:val="center"/>
                </w:tcPr>
                <w:p w14:paraId="3F219172">
                  <w:pPr>
                    <w:spacing w:line="240" w:lineRule="auto"/>
                    <w:ind w:firstLine="0" w:firstLineChars="0"/>
                    <w:jc w:val="center"/>
                    <w:rPr>
                      <w:color w:val="auto"/>
                      <w:sz w:val="21"/>
                      <w:szCs w:val="21"/>
                      <w:u w:val="single"/>
                    </w:rPr>
                  </w:pPr>
                  <w:r>
                    <w:rPr>
                      <w:rFonts w:hint="eastAsia"/>
                      <w:color w:val="auto"/>
                      <w:sz w:val="21"/>
                      <w:szCs w:val="21"/>
                      <w:u w:val="single"/>
                    </w:rPr>
                    <w:t>/</w:t>
                  </w:r>
                </w:p>
              </w:tc>
              <w:tc>
                <w:tcPr>
                  <w:tcW w:w="440" w:type="pct"/>
                  <w:noWrap w:val="0"/>
                  <w:vAlign w:val="center"/>
                </w:tcPr>
                <w:p w14:paraId="0186F0D9">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rPr>
                    <w:t>8</w:t>
                  </w:r>
                  <w:r>
                    <w:rPr>
                      <w:rFonts w:hint="eastAsia"/>
                      <w:color w:val="auto"/>
                      <w:sz w:val="21"/>
                      <w:szCs w:val="21"/>
                      <w:u w:val="single"/>
                      <w:lang w:val="en-US" w:eastAsia="zh-CN"/>
                    </w:rPr>
                    <w:t>4.9</w:t>
                  </w:r>
                </w:p>
              </w:tc>
              <w:tc>
                <w:tcPr>
                  <w:tcW w:w="462" w:type="pct"/>
                  <w:noWrap w:val="0"/>
                  <w:vAlign w:val="center"/>
                </w:tcPr>
                <w:p w14:paraId="3F159683">
                  <w:pPr>
                    <w:spacing w:line="240" w:lineRule="auto"/>
                    <w:ind w:firstLine="0" w:firstLineChars="0"/>
                    <w:jc w:val="center"/>
                    <w:rPr>
                      <w:color w:val="auto"/>
                      <w:sz w:val="21"/>
                      <w:szCs w:val="21"/>
                      <w:u w:val="single"/>
                    </w:rPr>
                  </w:pPr>
                  <w:r>
                    <w:rPr>
                      <w:rFonts w:hint="eastAsia"/>
                      <w:color w:val="auto"/>
                      <w:sz w:val="21"/>
                      <w:szCs w:val="21"/>
                      <w:u w:val="single"/>
                    </w:rPr>
                    <w:t>/</w:t>
                  </w:r>
                </w:p>
              </w:tc>
              <w:tc>
                <w:tcPr>
                  <w:tcW w:w="462" w:type="pct"/>
                  <w:noWrap w:val="0"/>
                  <w:vAlign w:val="center"/>
                </w:tcPr>
                <w:p w14:paraId="08B9488B">
                  <w:pPr>
                    <w:spacing w:line="240" w:lineRule="auto"/>
                    <w:ind w:firstLine="0" w:firstLineChars="0"/>
                    <w:jc w:val="center"/>
                    <w:rPr>
                      <w:color w:val="auto"/>
                      <w:sz w:val="21"/>
                      <w:szCs w:val="21"/>
                      <w:u w:val="single"/>
                    </w:rPr>
                  </w:pPr>
                  <w:r>
                    <w:rPr>
                      <w:rFonts w:hint="eastAsia"/>
                      <w:color w:val="auto"/>
                      <w:sz w:val="21"/>
                      <w:szCs w:val="21"/>
                      <w:u w:val="single"/>
                    </w:rPr>
                    <w:t>/</w:t>
                  </w:r>
                </w:p>
              </w:tc>
              <w:tc>
                <w:tcPr>
                  <w:tcW w:w="487" w:type="pct"/>
                  <w:noWrap w:val="0"/>
                  <w:vAlign w:val="center"/>
                </w:tcPr>
                <w:p w14:paraId="72FEC7B6">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rPr>
                    <w:t>1</w:t>
                  </w:r>
                  <w:r>
                    <w:rPr>
                      <w:rFonts w:hint="eastAsia"/>
                      <w:color w:val="auto"/>
                      <w:sz w:val="21"/>
                      <w:szCs w:val="21"/>
                      <w:u w:val="single"/>
                      <w:lang w:val="en-US" w:eastAsia="zh-CN"/>
                    </w:rPr>
                    <w:t>73.776</w:t>
                  </w:r>
                </w:p>
              </w:tc>
              <w:tc>
                <w:tcPr>
                  <w:tcW w:w="441" w:type="pct"/>
                  <w:noWrap w:val="0"/>
                  <w:vAlign w:val="center"/>
                </w:tcPr>
                <w:p w14:paraId="1ED45582">
                  <w:pPr>
                    <w:spacing w:line="240" w:lineRule="auto"/>
                    <w:ind w:firstLine="0" w:firstLineChars="0"/>
                    <w:jc w:val="center"/>
                    <w:rPr>
                      <w:rFonts w:hint="default"/>
                      <w:color w:val="auto"/>
                      <w:sz w:val="21"/>
                      <w:szCs w:val="21"/>
                      <w:u w:val="single"/>
                      <w:lang w:val="en-US"/>
                    </w:rPr>
                  </w:pPr>
                  <w:r>
                    <w:rPr>
                      <w:rFonts w:hint="eastAsia"/>
                      <w:color w:val="auto"/>
                      <w:sz w:val="21"/>
                      <w:szCs w:val="21"/>
                      <w:u w:val="single"/>
                      <w:lang w:val="en-US" w:eastAsia="zh-CN"/>
                    </w:rPr>
                    <w:t>7.1321</w:t>
                  </w:r>
                </w:p>
              </w:tc>
            </w:tr>
            <w:tr w14:paraId="58C3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38E23400">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5A621A35">
                  <w:pPr>
                    <w:spacing w:line="240" w:lineRule="auto"/>
                    <w:ind w:firstLine="0" w:firstLineChars="0"/>
                    <w:jc w:val="center"/>
                    <w:rPr>
                      <w:rFonts w:hint="eastAsia"/>
                      <w:color w:val="auto"/>
                      <w:sz w:val="21"/>
                      <w:szCs w:val="21"/>
                      <w:u w:val="single"/>
                    </w:rPr>
                  </w:pPr>
                  <w:r>
                    <w:rPr>
                      <w:rFonts w:hint="eastAsia" w:ascii="Times New Roman" w:hAnsi="Times New Roman" w:eastAsia="宋体" w:cstheme="minorBidi"/>
                      <w:color w:val="auto"/>
                      <w:spacing w:val="0"/>
                      <w:kern w:val="2"/>
                      <w:sz w:val="21"/>
                      <w:szCs w:val="21"/>
                      <w:u w:val="single"/>
                      <w:lang w:val="en-US" w:eastAsia="zh-CN" w:bidi="ar"/>
                    </w:rPr>
                    <w:t>《排放源统计调查产排污核算方法和系数手册》中的</w:t>
                  </w:r>
                  <w:r>
                    <w:rPr>
                      <w:rFonts w:hint="eastAsia" w:cstheme="minorBidi"/>
                      <w:color w:val="auto"/>
                      <w:spacing w:val="0"/>
                      <w:kern w:val="2"/>
                      <w:sz w:val="21"/>
                      <w:szCs w:val="21"/>
                      <w:u w:val="single"/>
                      <w:lang w:val="en-US" w:eastAsia="zh-CN" w:bidi="ar"/>
                    </w:rPr>
                    <w:t>屠宰及肉类加工</w:t>
                  </w:r>
                  <w:r>
                    <w:rPr>
                      <w:rFonts w:hint="eastAsia" w:ascii="Times New Roman" w:hAnsi="Times New Roman" w:cstheme="minorBidi"/>
                      <w:color w:val="auto"/>
                      <w:spacing w:val="0"/>
                      <w:kern w:val="2"/>
                      <w:sz w:val="21"/>
                      <w:szCs w:val="21"/>
                      <w:u w:val="single"/>
                      <w:lang w:val="en-US" w:eastAsia="zh-CN" w:bidi="ar"/>
                    </w:rPr>
                    <w:t>行业</w:t>
                  </w:r>
                  <w:r>
                    <w:rPr>
                      <w:rFonts w:hint="eastAsia" w:ascii="Times New Roman" w:hAnsi="Times New Roman" w:eastAsia="宋体" w:cstheme="minorBidi"/>
                      <w:color w:val="auto"/>
                      <w:spacing w:val="0"/>
                      <w:kern w:val="2"/>
                      <w:sz w:val="21"/>
                      <w:szCs w:val="21"/>
                      <w:u w:val="single"/>
                      <w:lang w:val="en-US" w:eastAsia="zh-CN" w:bidi="ar"/>
                    </w:rPr>
                    <w:t>系数手册</w:t>
                  </w:r>
                </w:p>
              </w:tc>
              <w:tc>
                <w:tcPr>
                  <w:tcW w:w="443" w:type="pct"/>
                  <w:noWrap w:val="0"/>
                  <w:vAlign w:val="center"/>
                </w:tcPr>
                <w:p w14:paraId="7920C792">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2018.69</w:t>
                  </w:r>
                </w:p>
              </w:tc>
              <w:tc>
                <w:tcPr>
                  <w:tcW w:w="575" w:type="pct"/>
                  <w:noWrap w:val="0"/>
                  <w:vAlign w:val="center"/>
                </w:tcPr>
                <w:p w14:paraId="0DD6C8FA">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575" w:type="pct"/>
                  <w:noWrap w:val="0"/>
                  <w:vAlign w:val="center"/>
                </w:tcPr>
                <w:p w14:paraId="1ED62932">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40" w:type="pct"/>
                  <w:noWrap w:val="0"/>
                  <w:vAlign w:val="center"/>
                </w:tcPr>
                <w:p w14:paraId="6D2BE34D">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65.43</w:t>
                  </w:r>
                </w:p>
              </w:tc>
              <w:tc>
                <w:tcPr>
                  <w:tcW w:w="462" w:type="pct"/>
                  <w:noWrap w:val="0"/>
                  <w:vAlign w:val="center"/>
                </w:tcPr>
                <w:p w14:paraId="6A0BAA86">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62" w:type="pct"/>
                  <w:noWrap w:val="0"/>
                  <w:vAlign w:val="center"/>
                </w:tcPr>
                <w:p w14:paraId="616A7B12">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87" w:type="pct"/>
                  <w:noWrap w:val="0"/>
                  <w:vAlign w:val="center"/>
                </w:tcPr>
                <w:p w14:paraId="6BB27A36">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127.11</w:t>
                  </w:r>
                </w:p>
              </w:tc>
              <w:tc>
                <w:tcPr>
                  <w:tcW w:w="441" w:type="pct"/>
                  <w:noWrap w:val="0"/>
                  <w:vAlign w:val="center"/>
                </w:tcPr>
                <w:p w14:paraId="0220AB09">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18.70</w:t>
                  </w:r>
                </w:p>
              </w:tc>
            </w:tr>
            <w:tr w14:paraId="0A7B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restart"/>
                  <w:noWrap w:val="0"/>
                  <w:vAlign w:val="center"/>
                </w:tcPr>
                <w:p w14:paraId="5B07BB7E">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肉牛</w:t>
                  </w:r>
                </w:p>
              </w:tc>
              <w:tc>
                <w:tcPr>
                  <w:tcW w:w="712" w:type="pct"/>
                  <w:shd w:val="clear" w:color="auto" w:fill="auto"/>
                  <w:noWrap w:val="0"/>
                  <w:vAlign w:val="center"/>
                </w:tcPr>
                <w:p w14:paraId="162A94B6">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2004-2010</w:t>
                  </w:r>
                </w:p>
              </w:tc>
              <w:tc>
                <w:tcPr>
                  <w:tcW w:w="443" w:type="pct"/>
                  <w:shd w:val="clear" w:color="auto" w:fill="auto"/>
                  <w:noWrap w:val="0"/>
                  <w:vAlign w:val="center"/>
                </w:tcPr>
                <w:p w14:paraId="70831496">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800~2000</w:t>
                  </w:r>
                </w:p>
              </w:tc>
              <w:tc>
                <w:tcPr>
                  <w:tcW w:w="575" w:type="pct"/>
                  <w:shd w:val="clear" w:color="auto" w:fill="auto"/>
                  <w:noWrap w:val="0"/>
                  <w:vAlign w:val="center"/>
                </w:tcPr>
                <w:p w14:paraId="0DE2EAAB">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575" w:type="pct"/>
                  <w:shd w:val="clear" w:color="auto" w:fill="auto"/>
                  <w:noWrap w:val="0"/>
                  <w:vAlign w:val="center"/>
                </w:tcPr>
                <w:p w14:paraId="0B769A84">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440" w:type="pct"/>
                  <w:shd w:val="clear" w:color="auto" w:fill="auto"/>
                  <w:noWrap w:val="0"/>
                  <w:vAlign w:val="center"/>
                </w:tcPr>
                <w:p w14:paraId="3CF986BC">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25~70</w:t>
                  </w:r>
                </w:p>
              </w:tc>
              <w:tc>
                <w:tcPr>
                  <w:tcW w:w="462" w:type="pct"/>
                  <w:shd w:val="clear" w:color="auto" w:fill="auto"/>
                  <w:noWrap w:val="0"/>
                  <w:vAlign w:val="center"/>
                </w:tcPr>
                <w:p w14:paraId="555EDFF3">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6.5~7.5</w:t>
                  </w:r>
                </w:p>
              </w:tc>
              <w:tc>
                <w:tcPr>
                  <w:tcW w:w="462" w:type="pct"/>
                  <w:shd w:val="clear" w:color="auto" w:fill="auto"/>
                  <w:noWrap w:val="0"/>
                  <w:vAlign w:val="center"/>
                </w:tcPr>
                <w:p w14:paraId="30C238F9">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30~100</w:t>
                  </w:r>
                </w:p>
              </w:tc>
              <w:tc>
                <w:tcPr>
                  <w:tcW w:w="487" w:type="pct"/>
                  <w:shd w:val="clear" w:color="auto" w:fill="auto"/>
                  <w:noWrap w:val="0"/>
                  <w:vAlign w:val="center"/>
                </w:tcPr>
                <w:p w14:paraId="4FD4706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441" w:type="pct"/>
                  <w:shd w:val="clear" w:color="auto" w:fill="auto"/>
                  <w:noWrap w:val="0"/>
                  <w:vAlign w:val="center"/>
                </w:tcPr>
                <w:p w14:paraId="07F008A2">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r>
            <w:tr w14:paraId="0480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6022F05D">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10515E05">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860.3-2018</w:t>
                  </w:r>
                </w:p>
              </w:tc>
              <w:tc>
                <w:tcPr>
                  <w:tcW w:w="443" w:type="pct"/>
                  <w:shd w:val="clear" w:color="auto" w:fill="auto"/>
                  <w:noWrap w:val="0"/>
                  <w:vAlign w:val="center"/>
                </w:tcPr>
                <w:p w14:paraId="1C1938A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1948.98</w:t>
                  </w:r>
                </w:p>
              </w:tc>
              <w:tc>
                <w:tcPr>
                  <w:tcW w:w="575" w:type="pct"/>
                  <w:shd w:val="clear" w:color="auto" w:fill="auto"/>
                  <w:noWrap w:val="0"/>
                  <w:vAlign w:val="center"/>
                </w:tcPr>
                <w:p w14:paraId="3ED83C36">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575" w:type="pct"/>
                  <w:shd w:val="clear" w:color="auto" w:fill="auto"/>
                  <w:noWrap w:val="0"/>
                  <w:vAlign w:val="center"/>
                </w:tcPr>
                <w:p w14:paraId="7286DF15">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440" w:type="pct"/>
                  <w:shd w:val="clear" w:color="auto" w:fill="auto"/>
                  <w:noWrap w:val="0"/>
                  <w:vAlign w:val="center"/>
                </w:tcPr>
                <w:p w14:paraId="110E42B8">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8</w:t>
                  </w:r>
                  <w:r>
                    <w:rPr>
                      <w:rFonts w:hint="eastAsia"/>
                      <w:color w:val="auto"/>
                      <w:sz w:val="21"/>
                      <w:szCs w:val="21"/>
                      <w:u w:val="single"/>
                      <w:lang w:val="en-US" w:eastAsia="zh-CN"/>
                    </w:rPr>
                    <w:t>4.9</w:t>
                  </w:r>
                </w:p>
              </w:tc>
              <w:tc>
                <w:tcPr>
                  <w:tcW w:w="462" w:type="pct"/>
                  <w:shd w:val="clear" w:color="auto" w:fill="auto"/>
                  <w:noWrap w:val="0"/>
                  <w:vAlign w:val="center"/>
                </w:tcPr>
                <w:p w14:paraId="638124C1">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462" w:type="pct"/>
                  <w:shd w:val="clear" w:color="auto" w:fill="auto"/>
                  <w:noWrap w:val="0"/>
                  <w:vAlign w:val="center"/>
                </w:tcPr>
                <w:p w14:paraId="513B54EE">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487" w:type="pct"/>
                  <w:shd w:val="clear" w:color="auto" w:fill="auto"/>
                  <w:noWrap w:val="0"/>
                  <w:vAlign w:val="center"/>
                </w:tcPr>
                <w:p w14:paraId="485E3CB4">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1</w:t>
                  </w:r>
                  <w:r>
                    <w:rPr>
                      <w:rFonts w:hint="eastAsia"/>
                      <w:color w:val="auto"/>
                      <w:sz w:val="21"/>
                      <w:szCs w:val="21"/>
                      <w:u w:val="single"/>
                      <w:lang w:val="en-US" w:eastAsia="zh-CN"/>
                    </w:rPr>
                    <w:t>73.776</w:t>
                  </w:r>
                </w:p>
              </w:tc>
              <w:tc>
                <w:tcPr>
                  <w:tcW w:w="441" w:type="pct"/>
                  <w:shd w:val="clear" w:color="auto" w:fill="auto"/>
                  <w:noWrap w:val="0"/>
                  <w:vAlign w:val="center"/>
                </w:tcPr>
                <w:p w14:paraId="12747B7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7.1321</w:t>
                  </w:r>
                </w:p>
              </w:tc>
            </w:tr>
            <w:tr w14:paraId="29CC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74DC45BF">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0DA541CA">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ascii="Times New Roman" w:hAnsi="Times New Roman" w:eastAsia="宋体" w:cstheme="minorBidi"/>
                      <w:color w:val="auto"/>
                      <w:spacing w:val="0"/>
                      <w:kern w:val="2"/>
                      <w:sz w:val="21"/>
                      <w:szCs w:val="21"/>
                      <w:u w:val="single"/>
                      <w:lang w:val="en-US" w:eastAsia="zh-CN" w:bidi="ar"/>
                    </w:rPr>
                    <w:t>《排放源统计调查产排污核算方法和系数手册》中的</w:t>
                  </w:r>
                  <w:r>
                    <w:rPr>
                      <w:rFonts w:hint="eastAsia" w:cstheme="minorBidi"/>
                      <w:color w:val="auto"/>
                      <w:spacing w:val="0"/>
                      <w:kern w:val="2"/>
                      <w:sz w:val="21"/>
                      <w:szCs w:val="21"/>
                      <w:u w:val="single"/>
                      <w:lang w:val="en-US" w:eastAsia="zh-CN" w:bidi="ar"/>
                    </w:rPr>
                    <w:t>屠宰及肉类加工</w:t>
                  </w:r>
                  <w:r>
                    <w:rPr>
                      <w:rFonts w:hint="eastAsia" w:ascii="Times New Roman" w:hAnsi="Times New Roman" w:cstheme="minorBidi"/>
                      <w:color w:val="auto"/>
                      <w:spacing w:val="0"/>
                      <w:kern w:val="2"/>
                      <w:sz w:val="21"/>
                      <w:szCs w:val="21"/>
                      <w:u w:val="single"/>
                      <w:lang w:val="en-US" w:eastAsia="zh-CN" w:bidi="ar"/>
                    </w:rPr>
                    <w:t>行业</w:t>
                  </w:r>
                  <w:r>
                    <w:rPr>
                      <w:rFonts w:hint="eastAsia" w:ascii="Times New Roman" w:hAnsi="Times New Roman" w:eastAsia="宋体" w:cstheme="minorBidi"/>
                      <w:color w:val="auto"/>
                      <w:spacing w:val="0"/>
                      <w:kern w:val="2"/>
                      <w:sz w:val="21"/>
                      <w:szCs w:val="21"/>
                      <w:u w:val="single"/>
                      <w:lang w:val="en-US" w:eastAsia="zh-CN" w:bidi="ar"/>
                    </w:rPr>
                    <w:t>系数手册</w:t>
                  </w:r>
                </w:p>
              </w:tc>
              <w:tc>
                <w:tcPr>
                  <w:tcW w:w="443" w:type="pct"/>
                  <w:noWrap w:val="0"/>
                  <w:vAlign w:val="center"/>
                </w:tcPr>
                <w:p w14:paraId="7ACC58BD">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4112.65</w:t>
                  </w:r>
                </w:p>
              </w:tc>
              <w:tc>
                <w:tcPr>
                  <w:tcW w:w="575" w:type="pct"/>
                  <w:noWrap w:val="0"/>
                  <w:vAlign w:val="center"/>
                </w:tcPr>
                <w:p w14:paraId="54D6CBFA">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575" w:type="pct"/>
                  <w:noWrap w:val="0"/>
                  <w:vAlign w:val="center"/>
                </w:tcPr>
                <w:p w14:paraId="494043B4">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40" w:type="pct"/>
                  <w:noWrap w:val="0"/>
                  <w:vAlign w:val="center"/>
                </w:tcPr>
                <w:p w14:paraId="008C9525">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113.71</w:t>
                  </w:r>
                </w:p>
              </w:tc>
              <w:tc>
                <w:tcPr>
                  <w:tcW w:w="462" w:type="pct"/>
                  <w:noWrap w:val="0"/>
                  <w:vAlign w:val="center"/>
                </w:tcPr>
                <w:p w14:paraId="79D1CD48">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62" w:type="pct"/>
                  <w:noWrap w:val="0"/>
                  <w:vAlign w:val="center"/>
                </w:tcPr>
                <w:p w14:paraId="1EBF7DD9">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87" w:type="pct"/>
                  <w:noWrap w:val="0"/>
                  <w:vAlign w:val="center"/>
                </w:tcPr>
                <w:p w14:paraId="60BC19FF">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240.17</w:t>
                  </w:r>
                </w:p>
              </w:tc>
              <w:tc>
                <w:tcPr>
                  <w:tcW w:w="441" w:type="pct"/>
                  <w:noWrap w:val="0"/>
                  <w:vAlign w:val="center"/>
                </w:tcPr>
                <w:p w14:paraId="19590C68">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13.82</w:t>
                  </w:r>
                </w:p>
              </w:tc>
            </w:tr>
            <w:tr w14:paraId="1788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restart"/>
                  <w:noWrap w:val="0"/>
                  <w:vAlign w:val="center"/>
                </w:tcPr>
                <w:p w14:paraId="0AFDAF7F">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肉鸡</w:t>
                  </w:r>
                </w:p>
              </w:tc>
              <w:tc>
                <w:tcPr>
                  <w:tcW w:w="712" w:type="pct"/>
                  <w:shd w:val="clear" w:color="auto" w:fill="auto"/>
                  <w:noWrap w:val="0"/>
                  <w:vAlign w:val="center"/>
                </w:tcPr>
                <w:p w14:paraId="5D87D9C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2004-2010</w:t>
                  </w:r>
                </w:p>
              </w:tc>
              <w:tc>
                <w:tcPr>
                  <w:tcW w:w="443" w:type="pct"/>
                  <w:shd w:val="clear" w:color="auto" w:fill="auto"/>
                  <w:noWrap w:val="0"/>
                  <w:vAlign w:val="center"/>
                </w:tcPr>
                <w:p w14:paraId="29E74E6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800~2000</w:t>
                  </w:r>
                </w:p>
              </w:tc>
              <w:tc>
                <w:tcPr>
                  <w:tcW w:w="575" w:type="pct"/>
                  <w:shd w:val="clear" w:color="auto" w:fill="auto"/>
                  <w:noWrap w:val="0"/>
                  <w:vAlign w:val="center"/>
                </w:tcPr>
                <w:p w14:paraId="04A6010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575" w:type="pct"/>
                  <w:shd w:val="clear" w:color="auto" w:fill="auto"/>
                  <w:noWrap w:val="0"/>
                  <w:vAlign w:val="center"/>
                </w:tcPr>
                <w:p w14:paraId="41A523C1">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440" w:type="pct"/>
                  <w:shd w:val="clear" w:color="auto" w:fill="auto"/>
                  <w:noWrap w:val="0"/>
                  <w:vAlign w:val="center"/>
                </w:tcPr>
                <w:p w14:paraId="4769B2E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25~70</w:t>
                  </w:r>
                </w:p>
              </w:tc>
              <w:tc>
                <w:tcPr>
                  <w:tcW w:w="462" w:type="pct"/>
                  <w:shd w:val="clear" w:color="auto" w:fill="auto"/>
                  <w:noWrap w:val="0"/>
                  <w:vAlign w:val="center"/>
                </w:tcPr>
                <w:p w14:paraId="369BC0DE">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6.5~7.5</w:t>
                  </w:r>
                </w:p>
              </w:tc>
              <w:tc>
                <w:tcPr>
                  <w:tcW w:w="462" w:type="pct"/>
                  <w:shd w:val="clear" w:color="auto" w:fill="auto"/>
                  <w:noWrap w:val="0"/>
                  <w:vAlign w:val="center"/>
                </w:tcPr>
                <w:p w14:paraId="3BA08D4F">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30~100</w:t>
                  </w:r>
                </w:p>
              </w:tc>
              <w:tc>
                <w:tcPr>
                  <w:tcW w:w="487" w:type="pct"/>
                  <w:shd w:val="clear" w:color="auto" w:fill="auto"/>
                  <w:noWrap w:val="0"/>
                  <w:vAlign w:val="center"/>
                </w:tcPr>
                <w:p w14:paraId="3D6CA72F">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441" w:type="pct"/>
                  <w:shd w:val="clear" w:color="auto" w:fill="auto"/>
                  <w:noWrap w:val="0"/>
                  <w:vAlign w:val="center"/>
                </w:tcPr>
                <w:p w14:paraId="219518B9">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r>
            <w:tr w14:paraId="6064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2E4E19F9">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415CC186">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860.3-2018</w:t>
                  </w:r>
                </w:p>
              </w:tc>
              <w:tc>
                <w:tcPr>
                  <w:tcW w:w="443" w:type="pct"/>
                  <w:noWrap w:val="0"/>
                  <w:vAlign w:val="center"/>
                </w:tcPr>
                <w:p w14:paraId="23FB93B5">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1559.959</w:t>
                  </w:r>
                </w:p>
              </w:tc>
              <w:tc>
                <w:tcPr>
                  <w:tcW w:w="575" w:type="pct"/>
                  <w:noWrap w:val="0"/>
                  <w:vAlign w:val="center"/>
                </w:tcPr>
                <w:p w14:paraId="0BC6FE48">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575" w:type="pct"/>
                  <w:noWrap w:val="0"/>
                  <w:vAlign w:val="center"/>
                </w:tcPr>
                <w:p w14:paraId="0C5152A6">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40" w:type="pct"/>
                  <w:noWrap w:val="0"/>
                  <w:vAlign w:val="center"/>
                </w:tcPr>
                <w:p w14:paraId="0A976AD7">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83.824</w:t>
                  </w:r>
                </w:p>
              </w:tc>
              <w:tc>
                <w:tcPr>
                  <w:tcW w:w="462" w:type="pct"/>
                  <w:noWrap w:val="0"/>
                  <w:vAlign w:val="center"/>
                </w:tcPr>
                <w:p w14:paraId="73DBA518">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62" w:type="pct"/>
                  <w:noWrap w:val="0"/>
                  <w:vAlign w:val="center"/>
                </w:tcPr>
                <w:p w14:paraId="4679EF1C">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w:t>
                  </w:r>
                </w:p>
              </w:tc>
              <w:tc>
                <w:tcPr>
                  <w:tcW w:w="487" w:type="pct"/>
                  <w:noWrap w:val="0"/>
                  <w:vAlign w:val="center"/>
                </w:tcPr>
                <w:p w14:paraId="5F77D83C">
                  <w:pPr>
                    <w:spacing w:line="240" w:lineRule="auto"/>
                    <w:ind w:firstLine="0" w:firstLineChars="0"/>
                    <w:jc w:val="center"/>
                    <w:rPr>
                      <w:rFonts w:hint="default" w:eastAsia="宋体"/>
                      <w:color w:val="auto"/>
                      <w:sz w:val="21"/>
                      <w:szCs w:val="21"/>
                      <w:u w:val="single"/>
                      <w:lang w:val="en-US" w:eastAsia="zh-CN"/>
                    </w:rPr>
                  </w:pPr>
                  <w:r>
                    <w:rPr>
                      <w:rFonts w:hint="eastAsia"/>
                      <w:color w:val="auto"/>
                      <w:sz w:val="21"/>
                      <w:szCs w:val="21"/>
                      <w:u w:val="single"/>
                      <w:lang w:val="en-US" w:eastAsia="zh-CN"/>
                    </w:rPr>
                    <w:t>161.133</w:t>
                  </w:r>
                </w:p>
              </w:tc>
              <w:tc>
                <w:tcPr>
                  <w:tcW w:w="441" w:type="pct"/>
                  <w:noWrap w:val="0"/>
                  <w:vAlign w:val="center"/>
                </w:tcPr>
                <w:p w14:paraId="247E3FE1">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7.268</w:t>
                  </w:r>
                </w:p>
              </w:tc>
            </w:tr>
            <w:tr w14:paraId="45CA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6E564606">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27BB40E2">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ascii="Times New Roman" w:hAnsi="Times New Roman" w:eastAsia="宋体" w:cstheme="minorBidi"/>
                      <w:color w:val="auto"/>
                      <w:spacing w:val="0"/>
                      <w:kern w:val="2"/>
                      <w:sz w:val="21"/>
                      <w:szCs w:val="21"/>
                      <w:u w:val="single"/>
                      <w:lang w:val="en-US" w:eastAsia="zh-CN" w:bidi="ar"/>
                    </w:rPr>
                    <w:t>《排放源统计调查产排污核算方法和系数手册》中的</w:t>
                  </w:r>
                  <w:r>
                    <w:rPr>
                      <w:rFonts w:hint="eastAsia" w:cstheme="minorBidi"/>
                      <w:color w:val="auto"/>
                      <w:spacing w:val="0"/>
                      <w:kern w:val="2"/>
                      <w:sz w:val="21"/>
                      <w:szCs w:val="21"/>
                      <w:u w:val="single"/>
                      <w:lang w:val="en-US" w:eastAsia="zh-CN" w:bidi="ar"/>
                    </w:rPr>
                    <w:t>屠宰及肉类加工</w:t>
                  </w:r>
                  <w:r>
                    <w:rPr>
                      <w:rFonts w:hint="eastAsia" w:ascii="Times New Roman" w:hAnsi="Times New Roman" w:cstheme="minorBidi"/>
                      <w:color w:val="auto"/>
                      <w:spacing w:val="0"/>
                      <w:kern w:val="2"/>
                      <w:sz w:val="21"/>
                      <w:szCs w:val="21"/>
                      <w:u w:val="single"/>
                      <w:lang w:val="en-US" w:eastAsia="zh-CN" w:bidi="ar"/>
                    </w:rPr>
                    <w:t>行业</w:t>
                  </w:r>
                  <w:r>
                    <w:rPr>
                      <w:rFonts w:hint="eastAsia" w:ascii="Times New Roman" w:hAnsi="Times New Roman" w:eastAsia="宋体" w:cstheme="minorBidi"/>
                      <w:color w:val="auto"/>
                      <w:spacing w:val="0"/>
                      <w:kern w:val="2"/>
                      <w:sz w:val="21"/>
                      <w:szCs w:val="21"/>
                      <w:u w:val="single"/>
                      <w:lang w:val="en-US" w:eastAsia="zh-CN" w:bidi="ar"/>
                    </w:rPr>
                    <w:t>系数手册</w:t>
                  </w:r>
                </w:p>
              </w:tc>
              <w:tc>
                <w:tcPr>
                  <w:tcW w:w="443" w:type="pct"/>
                  <w:noWrap w:val="0"/>
                  <w:vAlign w:val="center"/>
                </w:tcPr>
                <w:p w14:paraId="257FAD16">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1538.46</w:t>
                  </w:r>
                </w:p>
              </w:tc>
              <w:tc>
                <w:tcPr>
                  <w:tcW w:w="575" w:type="pct"/>
                  <w:noWrap w:val="0"/>
                  <w:vAlign w:val="center"/>
                </w:tcPr>
                <w:p w14:paraId="3EA89F87">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w:t>
                  </w:r>
                </w:p>
              </w:tc>
              <w:tc>
                <w:tcPr>
                  <w:tcW w:w="575" w:type="pct"/>
                  <w:noWrap w:val="0"/>
                  <w:vAlign w:val="center"/>
                </w:tcPr>
                <w:p w14:paraId="23A65472">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w:t>
                  </w:r>
                </w:p>
              </w:tc>
              <w:tc>
                <w:tcPr>
                  <w:tcW w:w="440" w:type="pct"/>
                  <w:noWrap w:val="0"/>
                  <w:vAlign w:val="center"/>
                </w:tcPr>
                <w:p w14:paraId="658096BB">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51.75</w:t>
                  </w:r>
                </w:p>
              </w:tc>
              <w:tc>
                <w:tcPr>
                  <w:tcW w:w="462" w:type="pct"/>
                  <w:noWrap w:val="0"/>
                  <w:vAlign w:val="center"/>
                </w:tcPr>
                <w:p w14:paraId="57736DB2">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w:t>
                  </w:r>
                </w:p>
              </w:tc>
              <w:tc>
                <w:tcPr>
                  <w:tcW w:w="462" w:type="pct"/>
                  <w:noWrap w:val="0"/>
                  <w:vAlign w:val="center"/>
                </w:tcPr>
                <w:p w14:paraId="11EC3535">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w:t>
                  </w:r>
                </w:p>
              </w:tc>
              <w:tc>
                <w:tcPr>
                  <w:tcW w:w="487" w:type="pct"/>
                  <w:noWrap w:val="0"/>
                  <w:vAlign w:val="center"/>
                </w:tcPr>
                <w:p w14:paraId="1138D403">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166.43</w:t>
                  </w:r>
                </w:p>
              </w:tc>
              <w:tc>
                <w:tcPr>
                  <w:tcW w:w="441" w:type="pct"/>
                  <w:noWrap w:val="0"/>
                  <w:vAlign w:val="center"/>
                </w:tcPr>
                <w:p w14:paraId="281B801D">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23.78</w:t>
                  </w:r>
                </w:p>
              </w:tc>
            </w:tr>
            <w:tr w14:paraId="037D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restart"/>
                  <w:noWrap w:val="0"/>
                  <w:vAlign w:val="center"/>
                </w:tcPr>
                <w:p w14:paraId="19DD36AB">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肉鸭</w:t>
                  </w:r>
                </w:p>
              </w:tc>
              <w:tc>
                <w:tcPr>
                  <w:tcW w:w="712" w:type="pct"/>
                  <w:shd w:val="clear" w:color="auto" w:fill="auto"/>
                  <w:noWrap w:val="0"/>
                  <w:vAlign w:val="center"/>
                </w:tcPr>
                <w:p w14:paraId="4F1BB0C6">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2004-2010</w:t>
                  </w:r>
                </w:p>
              </w:tc>
              <w:tc>
                <w:tcPr>
                  <w:tcW w:w="443" w:type="pct"/>
                  <w:shd w:val="clear" w:color="auto" w:fill="auto"/>
                  <w:noWrap w:val="0"/>
                  <w:vAlign w:val="center"/>
                </w:tcPr>
                <w:p w14:paraId="2C6C5B4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800~2000</w:t>
                  </w:r>
                </w:p>
              </w:tc>
              <w:tc>
                <w:tcPr>
                  <w:tcW w:w="575" w:type="pct"/>
                  <w:shd w:val="clear" w:color="auto" w:fill="auto"/>
                  <w:noWrap w:val="0"/>
                  <w:vAlign w:val="center"/>
                </w:tcPr>
                <w:p w14:paraId="7E25FFA5">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575" w:type="pct"/>
                  <w:shd w:val="clear" w:color="auto" w:fill="auto"/>
                  <w:noWrap w:val="0"/>
                  <w:vAlign w:val="center"/>
                </w:tcPr>
                <w:p w14:paraId="0748B5E7">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440" w:type="pct"/>
                  <w:shd w:val="clear" w:color="auto" w:fill="auto"/>
                  <w:noWrap w:val="0"/>
                  <w:vAlign w:val="center"/>
                </w:tcPr>
                <w:p w14:paraId="0B750292">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25~70</w:t>
                  </w:r>
                </w:p>
              </w:tc>
              <w:tc>
                <w:tcPr>
                  <w:tcW w:w="462" w:type="pct"/>
                  <w:shd w:val="clear" w:color="auto" w:fill="auto"/>
                  <w:noWrap w:val="0"/>
                  <w:vAlign w:val="center"/>
                </w:tcPr>
                <w:p w14:paraId="227D77B2">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6.5~7.5</w:t>
                  </w:r>
                </w:p>
              </w:tc>
              <w:tc>
                <w:tcPr>
                  <w:tcW w:w="462" w:type="pct"/>
                  <w:shd w:val="clear" w:color="auto" w:fill="auto"/>
                  <w:noWrap w:val="0"/>
                  <w:vAlign w:val="center"/>
                </w:tcPr>
                <w:p w14:paraId="3DD442F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30~100</w:t>
                  </w:r>
                </w:p>
              </w:tc>
              <w:tc>
                <w:tcPr>
                  <w:tcW w:w="487" w:type="pct"/>
                  <w:shd w:val="clear" w:color="auto" w:fill="auto"/>
                  <w:noWrap w:val="0"/>
                  <w:vAlign w:val="center"/>
                </w:tcPr>
                <w:p w14:paraId="7159E4B4">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441" w:type="pct"/>
                  <w:shd w:val="clear" w:color="auto" w:fill="auto"/>
                  <w:noWrap w:val="0"/>
                  <w:vAlign w:val="center"/>
                </w:tcPr>
                <w:p w14:paraId="0F38724C">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r>
            <w:tr w14:paraId="1B16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2D61CDEE">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6054B8AA">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860.3-2018</w:t>
                  </w:r>
                </w:p>
              </w:tc>
              <w:tc>
                <w:tcPr>
                  <w:tcW w:w="443" w:type="pct"/>
                  <w:shd w:val="clear" w:color="auto" w:fill="auto"/>
                  <w:noWrap w:val="0"/>
                  <w:vAlign w:val="center"/>
                </w:tcPr>
                <w:p w14:paraId="5089D71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1559.959</w:t>
                  </w:r>
                </w:p>
              </w:tc>
              <w:tc>
                <w:tcPr>
                  <w:tcW w:w="575" w:type="pct"/>
                  <w:shd w:val="clear" w:color="auto" w:fill="auto"/>
                  <w:noWrap w:val="0"/>
                  <w:vAlign w:val="center"/>
                </w:tcPr>
                <w:p w14:paraId="607154A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575" w:type="pct"/>
                  <w:shd w:val="clear" w:color="auto" w:fill="auto"/>
                  <w:noWrap w:val="0"/>
                  <w:vAlign w:val="center"/>
                </w:tcPr>
                <w:p w14:paraId="0B4CE2DA">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440" w:type="pct"/>
                  <w:shd w:val="clear" w:color="auto" w:fill="auto"/>
                  <w:noWrap w:val="0"/>
                  <w:vAlign w:val="center"/>
                </w:tcPr>
                <w:p w14:paraId="1E0DD183">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83.824</w:t>
                  </w:r>
                </w:p>
              </w:tc>
              <w:tc>
                <w:tcPr>
                  <w:tcW w:w="462" w:type="pct"/>
                  <w:shd w:val="clear" w:color="auto" w:fill="auto"/>
                  <w:noWrap w:val="0"/>
                  <w:vAlign w:val="center"/>
                </w:tcPr>
                <w:p w14:paraId="303E0F6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462" w:type="pct"/>
                  <w:shd w:val="clear" w:color="auto" w:fill="auto"/>
                  <w:noWrap w:val="0"/>
                  <w:vAlign w:val="center"/>
                </w:tcPr>
                <w:p w14:paraId="16926717">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487" w:type="pct"/>
                  <w:shd w:val="clear" w:color="auto" w:fill="auto"/>
                  <w:noWrap w:val="0"/>
                  <w:vAlign w:val="center"/>
                </w:tcPr>
                <w:p w14:paraId="611DC89A">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161.133</w:t>
                  </w:r>
                </w:p>
              </w:tc>
              <w:tc>
                <w:tcPr>
                  <w:tcW w:w="441" w:type="pct"/>
                  <w:shd w:val="clear" w:color="auto" w:fill="auto"/>
                  <w:noWrap w:val="0"/>
                  <w:vAlign w:val="center"/>
                </w:tcPr>
                <w:p w14:paraId="65FE374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7.268</w:t>
                  </w:r>
                </w:p>
              </w:tc>
            </w:tr>
            <w:tr w14:paraId="2D38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73539ED7">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4F27FDD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ascii="Times New Roman" w:hAnsi="Times New Roman" w:eastAsia="宋体" w:cstheme="minorBidi"/>
                      <w:color w:val="auto"/>
                      <w:spacing w:val="0"/>
                      <w:kern w:val="2"/>
                      <w:sz w:val="21"/>
                      <w:szCs w:val="21"/>
                      <w:u w:val="single"/>
                      <w:lang w:val="en-US" w:eastAsia="zh-CN" w:bidi="ar"/>
                    </w:rPr>
                    <w:t>《排放源统计调查产排污核算方法和系数手册》中的</w:t>
                  </w:r>
                  <w:r>
                    <w:rPr>
                      <w:rFonts w:hint="eastAsia" w:cstheme="minorBidi"/>
                      <w:color w:val="auto"/>
                      <w:spacing w:val="0"/>
                      <w:kern w:val="2"/>
                      <w:sz w:val="21"/>
                      <w:szCs w:val="21"/>
                      <w:u w:val="single"/>
                      <w:lang w:val="en-US" w:eastAsia="zh-CN" w:bidi="ar"/>
                    </w:rPr>
                    <w:t>屠宰及肉类加工</w:t>
                  </w:r>
                  <w:r>
                    <w:rPr>
                      <w:rFonts w:hint="eastAsia" w:ascii="Times New Roman" w:hAnsi="Times New Roman" w:cstheme="minorBidi"/>
                      <w:color w:val="auto"/>
                      <w:spacing w:val="0"/>
                      <w:kern w:val="2"/>
                      <w:sz w:val="21"/>
                      <w:szCs w:val="21"/>
                      <w:u w:val="single"/>
                      <w:lang w:val="en-US" w:eastAsia="zh-CN" w:bidi="ar"/>
                    </w:rPr>
                    <w:t>行业</w:t>
                  </w:r>
                  <w:r>
                    <w:rPr>
                      <w:rFonts w:hint="eastAsia" w:ascii="Times New Roman" w:hAnsi="Times New Roman" w:eastAsia="宋体" w:cstheme="minorBidi"/>
                      <w:color w:val="auto"/>
                      <w:spacing w:val="0"/>
                      <w:kern w:val="2"/>
                      <w:sz w:val="21"/>
                      <w:szCs w:val="21"/>
                      <w:u w:val="single"/>
                      <w:lang w:val="en-US" w:eastAsia="zh-CN" w:bidi="ar"/>
                    </w:rPr>
                    <w:t>系数手册</w:t>
                  </w:r>
                </w:p>
              </w:tc>
              <w:tc>
                <w:tcPr>
                  <w:tcW w:w="443" w:type="pct"/>
                  <w:shd w:val="clear" w:color="auto" w:fill="auto"/>
                  <w:noWrap w:val="0"/>
                  <w:vAlign w:val="center"/>
                </w:tcPr>
                <w:p w14:paraId="60618215">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1534.88</w:t>
                  </w:r>
                </w:p>
              </w:tc>
              <w:tc>
                <w:tcPr>
                  <w:tcW w:w="575" w:type="pct"/>
                  <w:shd w:val="clear" w:color="auto" w:fill="auto"/>
                  <w:noWrap w:val="0"/>
                  <w:vAlign w:val="center"/>
                </w:tcPr>
                <w:p w14:paraId="625195C7">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575" w:type="pct"/>
                  <w:shd w:val="clear" w:color="auto" w:fill="auto"/>
                  <w:noWrap w:val="0"/>
                  <w:vAlign w:val="center"/>
                </w:tcPr>
                <w:p w14:paraId="23D56E65">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440" w:type="pct"/>
                  <w:shd w:val="clear" w:color="auto" w:fill="auto"/>
                  <w:noWrap w:val="0"/>
                  <w:vAlign w:val="center"/>
                </w:tcPr>
                <w:p w14:paraId="63B71C2A">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51.63</w:t>
                  </w:r>
                </w:p>
              </w:tc>
              <w:tc>
                <w:tcPr>
                  <w:tcW w:w="462" w:type="pct"/>
                  <w:shd w:val="clear" w:color="auto" w:fill="auto"/>
                  <w:noWrap w:val="0"/>
                  <w:vAlign w:val="center"/>
                </w:tcPr>
                <w:p w14:paraId="2ED4579F">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462" w:type="pct"/>
                  <w:shd w:val="clear" w:color="auto" w:fill="auto"/>
                  <w:noWrap w:val="0"/>
                  <w:vAlign w:val="center"/>
                </w:tcPr>
                <w:p w14:paraId="22CA2979">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487" w:type="pct"/>
                  <w:shd w:val="clear" w:color="auto" w:fill="auto"/>
                  <w:noWrap w:val="0"/>
                  <w:vAlign w:val="center"/>
                </w:tcPr>
                <w:p w14:paraId="7C2EBB4E">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165.58</w:t>
                  </w:r>
                </w:p>
              </w:tc>
              <w:tc>
                <w:tcPr>
                  <w:tcW w:w="441" w:type="pct"/>
                  <w:shd w:val="clear" w:color="auto" w:fill="auto"/>
                  <w:noWrap w:val="0"/>
                  <w:vAlign w:val="center"/>
                </w:tcPr>
                <w:p w14:paraId="71484FEE">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23.72</w:t>
                  </w:r>
                </w:p>
              </w:tc>
            </w:tr>
            <w:tr w14:paraId="12D3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restart"/>
                  <w:noWrap w:val="0"/>
                  <w:vAlign w:val="center"/>
                </w:tcPr>
                <w:p w14:paraId="6529DC5D">
                  <w:pPr>
                    <w:spacing w:line="240" w:lineRule="auto"/>
                    <w:ind w:firstLine="0" w:firstLineChars="0"/>
                    <w:jc w:val="center"/>
                    <w:rPr>
                      <w:rFonts w:hint="eastAsia" w:eastAsia="宋体"/>
                      <w:color w:val="auto"/>
                      <w:sz w:val="21"/>
                      <w:szCs w:val="21"/>
                      <w:u w:val="single"/>
                      <w:lang w:val="en-US" w:eastAsia="zh-CN"/>
                    </w:rPr>
                  </w:pPr>
                  <w:r>
                    <w:rPr>
                      <w:rFonts w:hint="eastAsia"/>
                      <w:color w:val="auto"/>
                      <w:sz w:val="21"/>
                      <w:szCs w:val="21"/>
                      <w:u w:val="single"/>
                      <w:lang w:val="en-US" w:eastAsia="zh-CN"/>
                    </w:rPr>
                    <w:t>肉鹅</w:t>
                  </w:r>
                </w:p>
              </w:tc>
              <w:tc>
                <w:tcPr>
                  <w:tcW w:w="712" w:type="pct"/>
                  <w:shd w:val="clear" w:color="auto" w:fill="auto"/>
                  <w:noWrap w:val="0"/>
                  <w:vAlign w:val="center"/>
                </w:tcPr>
                <w:p w14:paraId="2E88E864">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2004-2010</w:t>
                  </w:r>
                </w:p>
              </w:tc>
              <w:tc>
                <w:tcPr>
                  <w:tcW w:w="443" w:type="pct"/>
                  <w:shd w:val="clear" w:color="auto" w:fill="auto"/>
                  <w:noWrap w:val="0"/>
                  <w:vAlign w:val="center"/>
                </w:tcPr>
                <w:p w14:paraId="352E0A59">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800~2000</w:t>
                  </w:r>
                </w:p>
              </w:tc>
              <w:tc>
                <w:tcPr>
                  <w:tcW w:w="575" w:type="pct"/>
                  <w:shd w:val="clear" w:color="auto" w:fill="auto"/>
                  <w:noWrap w:val="0"/>
                  <w:vAlign w:val="center"/>
                </w:tcPr>
                <w:p w14:paraId="639633C1">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575" w:type="pct"/>
                  <w:shd w:val="clear" w:color="auto" w:fill="auto"/>
                  <w:noWrap w:val="0"/>
                  <w:vAlign w:val="center"/>
                </w:tcPr>
                <w:p w14:paraId="03F3686B">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500~1000</w:t>
                  </w:r>
                </w:p>
              </w:tc>
              <w:tc>
                <w:tcPr>
                  <w:tcW w:w="440" w:type="pct"/>
                  <w:shd w:val="clear" w:color="auto" w:fill="auto"/>
                  <w:noWrap w:val="0"/>
                  <w:vAlign w:val="center"/>
                </w:tcPr>
                <w:p w14:paraId="38B8A19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25~70</w:t>
                  </w:r>
                </w:p>
              </w:tc>
              <w:tc>
                <w:tcPr>
                  <w:tcW w:w="462" w:type="pct"/>
                  <w:shd w:val="clear" w:color="auto" w:fill="auto"/>
                  <w:noWrap w:val="0"/>
                  <w:vAlign w:val="center"/>
                </w:tcPr>
                <w:p w14:paraId="0221C47F">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6.5~7.5</w:t>
                  </w:r>
                </w:p>
              </w:tc>
              <w:tc>
                <w:tcPr>
                  <w:tcW w:w="462" w:type="pct"/>
                  <w:shd w:val="clear" w:color="auto" w:fill="auto"/>
                  <w:noWrap w:val="0"/>
                  <w:vAlign w:val="center"/>
                </w:tcPr>
                <w:p w14:paraId="11A280CE">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30~100</w:t>
                  </w:r>
                </w:p>
              </w:tc>
              <w:tc>
                <w:tcPr>
                  <w:tcW w:w="487" w:type="pct"/>
                  <w:shd w:val="clear" w:color="auto" w:fill="auto"/>
                  <w:noWrap w:val="0"/>
                  <w:vAlign w:val="center"/>
                </w:tcPr>
                <w:p w14:paraId="2A12C82C">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c>
                <w:tcPr>
                  <w:tcW w:w="441" w:type="pct"/>
                  <w:shd w:val="clear" w:color="auto" w:fill="auto"/>
                  <w:noWrap w:val="0"/>
                  <w:vAlign w:val="center"/>
                </w:tcPr>
                <w:p w14:paraId="55A9A574">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w:t>
                  </w:r>
                </w:p>
              </w:tc>
            </w:tr>
            <w:tr w14:paraId="2328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554E0DFD">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1B483F9C">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860.3-2018</w:t>
                  </w:r>
                </w:p>
              </w:tc>
              <w:tc>
                <w:tcPr>
                  <w:tcW w:w="443" w:type="pct"/>
                  <w:shd w:val="clear" w:color="auto" w:fill="auto"/>
                  <w:noWrap w:val="0"/>
                  <w:vAlign w:val="center"/>
                </w:tcPr>
                <w:p w14:paraId="2402078A">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1559.959</w:t>
                  </w:r>
                </w:p>
              </w:tc>
              <w:tc>
                <w:tcPr>
                  <w:tcW w:w="575" w:type="pct"/>
                  <w:shd w:val="clear" w:color="auto" w:fill="auto"/>
                  <w:noWrap w:val="0"/>
                  <w:vAlign w:val="center"/>
                </w:tcPr>
                <w:p w14:paraId="5CE2FC4D">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575" w:type="pct"/>
                  <w:shd w:val="clear" w:color="auto" w:fill="auto"/>
                  <w:noWrap w:val="0"/>
                  <w:vAlign w:val="center"/>
                </w:tcPr>
                <w:p w14:paraId="626B3DD6">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440" w:type="pct"/>
                  <w:shd w:val="clear" w:color="auto" w:fill="auto"/>
                  <w:noWrap w:val="0"/>
                  <w:vAlign w:val="center"/>
                </w:tcPr>
                <w:p w14:paraId="116A121A">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83.824</w:t>
                  </w:r>
                </w:p>
              </w:tc>
              <w:tc>
                <w:tcPr>
                  <w:tcW w:w="462" w:type="pct"/>
                  <w:shd w:val="clear" w:color="auto" w:fill="auto"/>
                  <w:noWrap w:val="0"/>
                  <w:vAlign w:val="center"/>
                </w:tcPr>
                <w:p w14:paraId="7961F8EC">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462" w:type="pct"/>
                  <w:shd w:val="clear" w:color="auto" w:fill="auto"/>
                  <w:noWrap w:val="0"/>
                  <w:vAlign w:val="center"/>
                </w:tcPr>
                <w:p w14:paraId="362F788F">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w:t>
                  </w:r>
                </w:p>
              </w:tc>
              <w:tc>
                <w:tcPr>
                  <w:tcW w:w="487" w:type="pct"/>
                  <w:shd w:val="clear" w:color="auto" w:fill="auto"/>
                  <w:noWrap w:val="0"/>
                  <w:vAlign w:val="center"/>
                </w:tcPr>
                <w:p w14:paraId="239B36F3">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161.133</w:t>
                  </w:r>
                </w:p>
              </w:tc>
              <w:tc>
                <w:tcPr>
                  <w:tcW w:w="441" w:type="pct"/>
                  <w:shd w:val="clear" w:color="auto" w:fill="auto"/>
                  <w:noWrap w:val="0"/>
                  <w:vAlign w:val="center"/>
                </w:tcPr>
                <w:p w14:paraId="497D0E60">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color w:val="auto"/>
                      <w:sz w:val="21"/>
                      <w:szCs w:val="21"/>
                      <w:u w:val="single"/>
                      <w:lang w:val="en-US" w:eastAsia="zh-CN"/>
                    </w:rPr>
                    <w:t>7.268</w:t>
                  </w:r>
                </w:p>
              </w:tc>
            </w:tr>
            <w:tr w14:paraId="2164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vMerge w:val="continue"/>
                  <w:noWrap w:val="0"/>
                  <w:vAlign w:val="center"/>
                </w:tcPr>
                <w:p w14:paraId="1DD0C76F">
                  <w:pPr>
                    <w:spacing w:line="240" w:lineRule="auto"/>
                    <w:ind w:firstLine="0" w:firstLineChars="0"/>
                    <w:jc w:val="center"/>
                    <w:rPr>
                      <w:rFonts w:hint="eastAsia" w:eastAsia="宋体"/>
                      <w:color w:val="auto"/>
                      <w:sz w:val="21"/>
                      <w:szCs w:val="21"/>
                      <w:u w:val="single"/>
                      <w:lang w:val="en-US" w:eastAsia="zh-CN"/>
                    </w:rPr>
                  </w:pPr>
                </w:p>
              </w:tc>
              <w:tc>
                <w:tcPr>
                  <w:tcW w:w="712" w:type="pct"/>
                  <w:shd w:val="clear" w:color="auto" w:fill="auto"/>
                  <w:noWrap w:val="0"/>
                  <w:vAlign w:val="center"/>
                </w:tcPr>
                <w:p w14:paraId="635E0F32">
                  <w:pPr>
                    <w:spacing w:line="240" w:lineRule="auto"/>
                    <w:ind w:firstLine="0" w:firstLineChars="0"/>
                    <w:jc w:val="center"/>
                    <w:rPr>
                      <w:rFonts w:hint="eastAsia" w:ascii="Times New Roman" w:hAnsi="Times New Roman" w:eastAsia="宋体" w:cstheme="minorBidi"/>
                      <w:color w:val="auto"/>
                      <w:kern w:val="2"/>
                      <w:sz w:val="21"/>
                      <w:szCs w:val="21"/>
                      <w:u w:val="single"/>
                      <w:lang w:val="en-US" w:eastAsia="zh-CN" w:bidi="ar-SA"/>
                    </w:rPr>
                  </w:pPr>
                  <w:r>
                    <w:rPr>
                      <w:rFonts w:hint="eastAsia" w:ascii="Times New Roman" w:hAnsi="Times New Roman" w:eastAsia="宋体" w:cstheme="minorBidi"/>
                      <w:color w:val="auto"/>
                      <w:spacing w:val="0"/>
                      <w:kern w:val="2"/>
                      <w:sz w:val="21"/>
                      <w:szCs w:val="21"/>
                      <w:u w:val="single"/>
                      <w:lang w:val="en-US" w:eastAsia="zh-CN" w:bidi="ar"/>
                    </w:rPr>
                    <w:t>《排放源统计调查产排污核算方法和系数手册》中的</w:t>
                  </w:r>
                  <w:r>
                    <w:rPr>
                      <w:rFonts w:hint="eastAsia" w:cstheme="minorBidi"/>
                      <w:color w:val="auto"/>
                      <w:spacing w:val="0"/>
                      <w:kern w:val="2"/>
                      <w:sz w:val="21"/>
                      <w:szCs w:val="21"/>
                      <w:u w:val="single"/>
                      <w:lang w:val="en-US" w:eastAsia="zh-CN" w:bidi="ar"/>
                    </w:rPr>
                    <w:t>屠宰及肉类加工</w:t>
                  </w:r>
                  <w:r>
                    <w:rPr>
                      <w:rFonts w:hint="eastAsia" w:ascii="Times New Roman" w:hAnsi="Times New Roman" w:cstheme="minorBidi"/>
                      <w:color w:val="auto"/>
                      <w:spacing w:val="0"/>
                      <w:kern w:val="2"/>
                      <w:sz w:val="21"/>
                      <w:szCs w:val="21"/>
                      <w:u w:val="single"/>
                      <w:lang w:val="en-US" w:eastAsia="zh-CN" w:bidi="ar"/>
                    </w:rPr>
                    <w:t>行业</w:t>
                  </w:r>
                  <w:r>
                    <w:rPr>
                      <w:rFonts w:hint="eastAsia" w:ascii="Times New Roman" w:hAnsi="Times New Roman" w:eastAsia="宋体" w:cstheme="minorBidi"/>
                      <w:color w:val="auto"/>
                      <w:spacing w:val="0"/>
                      <w:kern w:val="2"/>
                      <w:sz w:val="21"/>
                      <w:szCs w:val="21"/>
                      <w:u w:val="single"/>
                      <w:lang w:val="en-US" w:eastAsia="zh-CN" w:bidi="ar"/>
                    </w:rPr>
                    <w:t>系数手册</w:t>
                  </w:r>
                </w:p>
              </w:tc>
              <w:tc>
                <w:tcPr>
                  <w:tcW w:w="443" w:type="pct"/>
                  <w:shd w:val="clear" w:color="auto" w:fill="auto"/>
                  <w:noWrap w:val="0"/>
                  <w:vAlign w:val="center"/>
                </w:tcPr>
                <w:p w14:paraId="2A3AABBD">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1544.75</w:t>
                  </w:r>
                </w:p>
              </w:tc>
              <w:tc>
                <w:tcPr>
                  <w:tcW w:w="575" w:type="pct"/>
                  <w:shd w:val="clear" w:color="auto" w:fill="auto"/>
                  <w:noWrap w:val="0"/>
                  <w:vAlign w:val="center"/>
                </w:tcPr>
                <w:p w14:paraId="2FB7C1F8">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575" w:type="pct"/>
                  <w:shd w:val="clear" w:color="auto" w:fill="auto"/>
                  <w:noWrap w:val="0"/>
                  <w:vAlign w:val="center"/>
                </w:tcPr>
                <w:p w14:paraId="0423414E">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440" w:type="pct"/>
                  <w:shd w:val="clear" w:color="auto" w:fill="auto"/>
                  <w:noWrap w:val="0"/>
                  <w:vAlign w:val="center"/>
                </w:tcPr>
                <w:p w14:paraId="2430B135">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51.75</w:t>
                  </w:r>
                </w:p>
              </w:tc>
              <w:tc>
                <w:tcPr>
                  <w:tcW w:w="462" w:type="pct"/>
                  <w:shd w:val="clear" w:color="auto" w:fill="auto"/>
                  <w:noWrap w:val="0"/>
                  <w:vAlign w:val="center"/>
                </w:tcPr>
                <w:p w14:paraId="029C7B6E">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462" w:type="pct"/>
                  <w:shd w:val="clear" w:color="auto" w:fill="auto"/>
                  <w:noWrap w:val="0"/>
                  <w:vAlign w:val="center"/>
                </w:tcPr>
                <w:p w14:paraId="1452F123">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w:t>
                  </w:r>
                </w:p>
              </w:tc>
              <w:tc>
                <w:tcPr>
                  <w:tcW w:w="487" w:type="pct"/>
                  <w:shd w:val="clear" w:color="auto" w:fill="auto"/>
                  <w:noWrap w:val="0"/>
                  <w:vAlign w:val="center"/>
                </w:tcPr>
                <w:p w14:paraId="18C428A3">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166.54</w:t>
                  </w:r>
                </w:p>
              </w:tc>
              <w:tc>
                <w:tcPr>
                  <w:tcW w:w="441" w:type="pct"/>
                  <w:shd w:val="clear" w:color="auto" w:fill="auto"/>
                  <w:noWrap w:val="0"/>
                  <w:vAlign w:val="center"/>
                </w:tcPr>
                <w:p w14:paraId="23996061">
                  <w:pPr>
                    <w:spacing w:line="240" w:lineRule="auto"/>
                    <w:ind w:firstLine="0" w:firstLineChars="0"/>
                    <w:jc w:val="center"/>
                    <w:rPr>
                      <w:rFonts w:hint="default" w:ascii="Times New Roman" w:hAnsi="Times New Roman" w:eastAsia="宋体" w:cstheme="minorBidi"/>
                      <w:color w:val="auto"/>
                      <w:kern w:val="2"/>
                      <w:sz w:val="21"/>
                      <w:szCs w:val="21"/>
                      <w:u w:val="single"/>
                      <w:lang w:val="en-US" w:eastAsia="zh-CN" w:bidi="ar-SA"/>
                    </w:rPr>
                  </w:pPr>
                  <w:r>
                    <w:rPr>
                      <w:rFonts w:hint="eastAsia" w:cstheme="minorBidi"/>
                      <w:color w:val="auto"/>
                      <w:kern w:val="2"/>
                      <w:sz w:val="21"/>
                      <w:szCs w:val="21"/>
                      <w:u w:val="single"/>
                      <w:lang w:val="en-US" w:eastAsia="zh-CN" w:bidi="ar-SA"/>
                    </w:rPr>
                    <w:t>23.74</w:t>
                  </w:r>
                </w:p>
              </w:tc>
            </w:tr>
            <w:tr w14:paraId="4A65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center"/>
                </w:tcPr>
                <w:p w14:paraId="550A75D6">
                  <w:pPr>
                    <w:spacing w:line="240" w:lineRule="auto"/>
                    <w:ind w:firstLine="0" w:firstLineChars="0"/>
                    <w:rPr>
                      <w:color w:val="auto"/>
                      <w:sz w:val="21"/>
                      <w:szCs w:val="21"/>
                      <w:u w:val="single"/>
                    </w:rPr>
                  </w:pPr>
                  <w:r>
                    <w:rPr>
                      <w:rFonts w:hint="eastAsia"/>
                      <w:color w:val="auto"/>
                      <w:sz w:val="21"/>
                      <w:szCs w:val="21"/>
                      <w:u w:val="single"/>
                    </w:rPr>
                    <w:t>《屠宰与肉类加工废水治理工程技术规范》</w:t>
                  </w:r>
                  <w:r>
                    <w:rPr>
                      <w:rFonts w:hint="eastAsia"/>
                      <w:color w:val="auto"/>
                      <w:sz w:val="21"/>
                      <w:szCs w:val="21"/>
                      <w:u w:val="single"/>
                      <w:lang w:eastAsia="zh-CN"/>
                    </w:rPr>
                    <w:t>（</w:t>
                  </w: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2004-2010</w:t>
                  </w:r>
                  <w:r>
                    <w:rPr>
                      <w:rFonts w:hint="eastAsia"/>
                      <w:color w:val="auto"/>
                      <w:sz w:val="21"/>
                      <w:szCs w:val="21"/>
                      <w:u w:val="single"/>
                      <w:lang w:eastAsia="zh-CN"/>
                    </w:rPr>
                    <w:t>）</w:t>
                  </w:r>
                  <w:r>
                    <w:rPr>
                      <w:rFonts w:hint="eastAsia"/>
                      <w:color w:val="auto"/>
                      <w:sz w:val="21"/>
                      <w:szCs w:val="21"/>
                      <w:u w:val="single"/>
                    </w:rPr>
                    <w:t>；</w:t>
                  </w:r>
                </w:p>
                <w:p w14:paraId="3FCC1955">
                  <w:pPr>
                    <w:spacing w:line="240" w:lineRule="auto"/>
                    <w:ind w:firstLine="0" w:firstLineChars="0"/>
                    <w:rPr>
                      <w:rFonts w:hint="eastAsia" w:eastAsia="宋体"/>
                      <w:color w:val="auto"/>
                      <w:sz w:val="21"/>
                      <w:szCs w:val="21"/>
                      <w:u w:val="single"/>
                      <w:lang w:eastAsia="zh-CN"/>
                    </w:rPr>
                  </w:pPr>
                  <w:r>
                    <w:rPr>
                      <w:rFonts w:hint="eastAsia"/>
                      <w:color w:val="auto"/>
                      <w:sz w:val="21"/>
                      <w:szCs w:val="21"/>
                      <w:u w:val="single"/>
                    </w:rPr>
                    <w:t>《排污许可证申请与核发技术规范 农副食品加工工业—屠宰及肉类加工工业》</w:t>
                  </w:r>
                  <w:r>
                    <w:rPr>
                      <w:rFonts w:hint="eastAsia"/>
                      <w:color w:val="auto"/>
                      <w:sz w:val="21"/>
                      <w:szCs w:val="21"/>
                      <w:u w:val="single"/>
                      <w:lang w:eastAsia="zh-CN"/>
                    </w:rPr>
                    <w:t>（</w:t>
                  </w: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860.3-2018</w:t>
                  </w:r>
                  <w:r>
                    <w:rPr>
                      <w:rFonts w:hint="eastAsia"/>
                      <w:color w:val="auto"/>
                      <w:sz w:val="21"/>
                      <w:szCs w:val="21"/>
                      <w:u w:val="single"/>
                      <w:lang w:eastAsia="zh-CN"/>
                    </w:rPr>
                    <w:t>）</w:t>
                  </w:r>
                  <w:r>
                    <w:rPr>
                      <w:rFonts w:hint="eastAsia"/>
                      <w:color w:val="auto"/>
                      <w:sz w:val="21"/>
                      <w:szCs w:val="21"/>
                      <w:u w:val="single"/>
                    </w:rPr>
                    <w:t>表C.1 主要屠宰工业的废水产污系数计算</w:t>
                  </w:r>
                  <w:r>
                    <w:rPr>
                      <w:rFonts w:hint="eastAsia"/>
                      <w:color w:val="auto"/>
                      <w:sz w:val="21"/>
                      <w:szCs w:val="21"/>
                      <w:u w:val="single"/>
                      <w:lang w:val="en-US" w:eastAsia="zh-CN"/>
                    </w:rPr>
                    <w:t>及表C.2 其他屠宰工业的废水产污系数调整表（根据</w:t>
                  </w:r>
                  <w:r>
                    <w:rPr>
                      <w:rFonts w:hint="eastAsia"/>
                      <w:color w:val="auto"/>
                      <w:sz w:val="21"/>
                      <w:szCs w:val="21"/>
                      <w:u w:val="single"/>
                    </w:rPr>
                    <w:t>HJ</w:t>
                  </w:r>
                  <w:r>
                    <w:rPr>
                      <w:rFonts w:hint="eastAsia"/>
                      <w:color w:val="auto"/>
                      <w:sz w:val="21"/>
                      <w:szCs w:val="21"/>
                      <w:u w:val="single"/>
                      <w:lang w:val="en-US" w:eastAsia="zh-CN"/>
                    </w:rPr>
                    <w:t xml:space="preserve"> </w:t>
                  </w:r>
                  <w:r>
                    <w:rPr>
                      <w:rFonts w:hint="eastAsia"/>
                      <w:color w:val="auto"/>
                      <w:sz w:val="21"/>
                      <w:szCs w:val="21"/>
                      <w:u w:val="single"/>
                    </w:rPr>
                    <w:t>860.3-2018</w:t>
                  </w:r>
                  <w:r>
                    <w:rPr>
                      <w:rFonts w:hint="eastAsia"/>
                      <w:color w:val="auto"/>
                      <w:sz w:val="21"/>
                      <w:szCs w:val="21"/>
                      <w:u w:val="single"/>
                      <w:lang w:val="en-US" w:eastAsia="zh-CN"/>
                    </w:rPr>
                    <w:t>中公式C-1可知，屠宰生猪与肉牛的废水中各污染物浓度一致，屠宰肉鸡肉鸭肉鹅的废水中各污染物浓度一致）</w:t>
                  </w:r>
                  <w:r>
                    <w:rPr>
                      <w:rFonts w:hint="eastAsia"/>
                      <w:color w:val="auto"/>
                      <w:sz w:val="21"/>
                      <w:szCs w:val="21"/>
                      <w:u w:val="single"/>
                      <w:lang w:eastAsia="zh-CN"/>
                    </w:rPr>
                    <w:t>；</w:t>
                  </w:r>
                </w:p>
                <w:p w14:paraId="2C4C7D64">
                  <w:pPr>
                    <w:spacing w:line="240" w:lineRule="auto"/>
                    <w:ind w:firstLine="0" w:firstLineChars="0"/>
                    <w:rPr>
                      <w:rFonts w:hint="default" w:eastAsia="宋体"/>
                      <w:color w:val="auto"/>
                      <w:sz w:val="21"/>
                      <w:szCs w:val="21"/>
                      <w:u w:val="single"/>
                      <w:lang w:val="en-US" w:eastAsia="zh-CN"/>
                    </w:rPr>
                  </w:pPr>
                  <w:r>
                    <w:rPr>
                      <w:rFonts w:hint="eastAsia"/>
                      <w:color w:val="auto"/>
                      <w:sz w:val="21"/>
                      <w:szCs w:val="21"/>
                      <w:u w:val="single"/>
                      <w:lang w:val="en-US" w:eastAsia="zh-CN"/>
                    </w:rPr>
                    <w:t>屠宰一头牛污染物按屠宰五头猪计。</w:t>
                  </w:r>
                </w:p>
              </w:tc>
            </w:tr>
          </w:tbl>
          <w:p w14:paraId="4A576C30">
            <w:pPr>
              <w:bidi w:val="0"/>
              <w:rPr>
                <w:rFonts w:hint="default" w:eastAsia="宋体"/>
                <w:color w:val="auto"/>
                <w:u w:val="none" w:color="auto"/>
                <w:lang w:val="en-US" w:eastAsia="zh-CN"/>
              </w:rPr>
            </w:pPr>
            <w:r>
              <w:rPr>
                <w:rFonts w:hint="eastAsia"/>
                <w:color w:val="auto"/>
                <w:u w:val="none" w:color="auto"/>
                <w:lang w:val="en-US" w:eastAsia="zh-CN"/>
              </w:rPr>
              <w:t>本项目考虑最不利环境影响</w:t>
            </w:r>
            <w:r>
              <w:rPr>
                <w:rFonts w:hint="eastAsia"/>
                <w:color w:val="auto"/>
                <w:u w:val="none" w:color="auto"/>
              </w:rPr>
              <w:t>，</w:t>
            </w:r>
            <w:r>
              <w:rPr>
                <w:rFonts w:hint="eastAsia"/>
                <w:color w:val="auto"/>
                <w:u w:val="none" w:color="auto"/>
                <w:lang w:val="en-US" w:eastAsia="zh-CN"/>
              </w:rPr>
              <w:t>屠宰生猪废水中</w:t>
            </w:r>
            <w:r>
              <w:rPr>
                <w:rFonts w:hint="eastAsia"/>
                <w:color w:val="auto"/>
                <w:u w:val="none" w:color="auto"/>
              </w:rPr>
              <w:t>各污染物的产生浓度分别</w:t>
            </w:r>
            <w:r>
              <w:rPr>
                <w:rFonts w:hint="eastAsia"/>
                <w:color w:val="auto"/>
                <w:u w:val="none" w:color="auto"/>
                <w:lang w:val="en-US" w:eastAsia="zh-CN"/>
              </w:rPr>
              <w:t>按</w:t>
            </w:r>
            <w:r>
              <w:rPr>
                <w:rFonts w:hint="eastAsia"/>
                <w:color w:val="auto"/>
                <w:u w:val="none" w:color="auto"/>
              </w:rPr>
              <w:t>COD：20</w:t>
            </w:r>
            <w:r>
              <w:rPr>
                <w:rFonts w:hint="eastAsia"/>
                <w:color w:val="auto"/>
                <w:u w:val="none" w:color="auto"/>
                <w:lang w:val="en-US" w:eastAsia="zh-CN"/>
              </w:rPr>
              <w:t xml:space="preserve">18.69 </w:t>
            </w:r>
            <w:r>
              <w:rPr>
                <w:rFonts w:hint="eastAsia"/>
                <w:color w:val="auto"/>
                <w:u w:val="none" w:color="auto"/>
              </w:rPr>
              <w:t>mg/L，BOD</w:t>
            </w:r>
            <w:r>
              <w:rPr>
                <w:rFonts w:hint="eastAsia"/>
                <w:color w:val="auto"/>
                <w:u w:val="none" w:color="auto"/>
                <w:vertAlign w:val="subscript"/>
              </w:rPr>
              <w:t>5</w:t>
            </w:r>
            <w:r>
              <w:rPr>
                <w:rFonts w:hint="eastAsia"/>
                <w:color w:val="auto"/>
                <w:u w:val="none" w:color="auto"/>
              </w:rPr>
              <w:t>：1000</w:t>
            </w:r>
            <w:r>
              <w:rPr>
                <w:rFonts w:hint="eastAsia"/>
                <w:color w:val="auto"/>
                <w:u w:val="none" w:color="auto"/>
                <w:lang w:val="en-US" w:eastAsia="zh-CN"/>
              </w:rPr>
              <w:t xml:space="preserve"> </w:t>
            </w:r>
            <w:r>
              <w:rPr>
                <w:rFonts w:hint="eastAsia"/>
                <w:color w:val="auto"/>
                <w:u w:val="none" w:color="auto"/>
              </w:rPr>
              <w:t>mg/L，SS：1000</w:t>
            </w:r>
            <w:r>
              <w:rPr>
                <w:rFonts w:hint="eastAsia"/>
                <w:color w:val="auto"/>
                <w:u w:val="none" w:color="auto"/>
                <w:lang w:val="en-US" w:eastAsia="zh-CN"/>
              </w:rPr>
              <w:t xml:space="preserve"> </w:t>
            </w:r>
            <w:r>
              <w:rPr>
                <w:rFonts w:hint="eastAsia"/>
                <w:color w:val="auto"/>
                <w:u w:val="none" w:color="auto"/>
              </w:rPr>
              <w:t>mg/L，NH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 xml:space="preserve">84.9 </w:t>
            </w:r>
            <w:r>
              <w:rPr>
                <w:rFonts w:hint="eastAsia"/>
                <w:color w:val="auto"/>
                <w:u w:val="none" w:color="auto"/>
              </w:rPr>
              <w:t>mg/L，动植物油：100</w:t>
            </w:r>
            <w:r>
              <w:rPr>
                <w:rFonts w:hint="eastAsia"/>
                <w:color w:val="auto"/>
                <w:u w:val="none" w:color="auto"/>
                <w:lang w:val="en-US" w:eastAsia="zh-CN"/>
              </w:rPr>
              <w:t xml:space="preserve"> </w:t>
            </w:r>
            <w:r>
              <w:rPr>
                <w:rFonts w:hint="eastAsia"/>
                <w:color w:val="auto"/>
                <w:u w:val="none" w:color="auto"/>
              </w:rPr>
              <w:t>mg/L，总氮：1</w:t>
            </w:r>
            <w:r>
              <w:rPr>
                <w:rFonts w:hint="eastAsia"/>
                <w:color w:val="auto"/>
                <w:u w:val="none" w:color="auto"/>
                <w:lang w:val="en-US" w:eastAsia="zh-CN"/>
              </w:rPr>
              <w:t xml:space="preserve">73.776 </w:t>
            </w:r>
            <w:r>
              <w:rPr>
                <w:rFonts w:hint="eastAsia"/>
                <w:color w:val="auto"/>
                <w:u w:val="none" w:color="auto"/>
              </w:rPr>
              <w:t>mg/L，总磷：</w:t>
            </w:r>
            <w:r>
              <w:rPr>
                <w:rFonts w:hint="eastAsia"/>
                <w:color w:val="auto"/>
                <w:u w:val="none" w:color="auto"/>
                <w:lang w:val="en-US" w:eastAsia="zh-CN"/>
              </w:rPr>
              <w:t xml:space="preserve">18.70 </w:t>
            </w:r>
            <w:r>
              <w:rPr>
                <w:rFonts w:hint="eastAsia"/>
                <w:color w:val="auto"/>
                <w:u w:val="none" w:color="auto"/>
              </w:rPr>
              <w:t>mg/L</w:t>
            </w:r>
            <w:r>
              <w:rPr>
                <w:rFonts w:hint="eastAsia"/>
                <w:color w:val="auto"/>
                <w:u w:val="none" w:color="auto"/>
                <w:lang w:val="en-US" w:eastAsia="zh-CN"/>
              </w:rPr>
              <w:t>计</w:t>
            </w:r>
            <w:r>
              <w:rPr>
                <w:rFonts w:hint="eastAsia"/>
                <w:color w:val="auto"/>
                <w:u w:color="auto"/>
              </w:rPr>
              <w:t>。</w:t>
            </w:r>
            <w:r>
              <w:rPr>
                <w:rFonts w:hint="eastAsia"/>
                <w:color w:val="auto"/>
                <w:u w:color="auto"/>
                <w:lang w:val="en-US" w:eastAsia="zh-CN"/>
              </w:rPr>
              <w:t>屠宰生猪的废水产生量为</w:t>
            </w:r>
            <w:r>
              <w:rPr>
                <w:rFonts w:hint="eastAsia"/>
                <w:color w:val="auto"/>
                <w:sz w:val="24"/>
                <w:szCs w:val="24"/>
                <w:lang w:val="en-US" w:eastAsia="zh-CN"/>
              </w:rPr>
              <w:t>209758.75</w:t>
            </w:r>
            <w:r>
              <w:rPr>
                <w:rFonts w:hint="eastAsia"/>
                <w:color w:val="auto"/>
                <w:sz w:val="24"/>
                <w:szCs w:val="24"/>
                <w:u w:val="none"/>
                <w:lang w:val="en-US" w:eastAsia="zh-CN"/>
              </w:rPr>
              <w:t xml:space="preserve"> t/a</w:t>
            </w:r>
          </w:p>
          <w:p w14:paraId="6ACA802D">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表4.7-2 项目营运期生猪屠宰生产废水产排污情况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25"/>
              <w:gridCol w:w="1355"/>
              <w:gridCol w:w="1033"/>
              <w:gridCol w:w="823"/>
              <w:gridCol w:w="1737"/>
              <w:gridCol w:w="1363"/>
            </w:tblGrid>
            <w:tr w14:paraId="1408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noWrap w:val="0"/>
                  <w:vAlign w:val="center"/>
                </w:tcPr>
                <w:p w14:paraId="38A2A6F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377" w:type="pct"/>
                  <w:gridSpan w:val="2"/>
                  <w:noWrap w:val="0"/>
                  <w:vAlign w:val="center"/>
                </w:tcPr>
                <w:p w14:paraId="7E59B57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olor w:val="auto"/>
                      <w:sz w:val="21"/>
                      <w:szCs w:val="21"/>
                      <w:u w:val="none" w:color="auto"/>
                      <w:lang w:val="en-US" w:eastAsia="zh-CN"/>
                    </w:rPr>
                    <w:t>63252.075</w:t>
                  </w:r>
                  <w:r>
                    <w:rPr>
                      <w:rFonts w:hint="default"/>
                      <w:color w:val="auto"/>
                      <w:sz w:val="21"/>
                      <w:szCs w:val="21"/>
                      <w:u w:val="none" w:color="auto"/>
                      <w:lang w:val="en-US" w:eastAsia="zh-CN"/>
                    </w:rPr>
                    <w:t xml:space="preserve"> </w:t>
                  </w:r>
                  <w:r>
                    <w:rPr>
                      <w:color w:val="auto"/>
                      <w:sz w:val="21"/>
                      <w:szCs w:val="21"/>
                      <w:u w:val="none" w:color="auto"/>
                    </w:rPr>
                    <w:t>t/a）</w:t>
                  </w:r>
                </w:p>
              </w:tc>
              <w:tc>
                <w:tcPr>
                  <w:tcW w:w="1074" w:type="pct"/>
                  <w:gridSpan w:val="2"/>
                  <w:noWrap w:val="0"/>
                  <w:vAlign w:val="center"/>
                </w:tcPr>
                <w:p w14:paraId="2D72981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792" w:type="pct"/>
                  <w:gridSpan w:val="2"/>
                  <w:noWrap w:val="0"/>
                  <w:vAlign w:val="center"/>
                </w:tcPr>
                <w:p w14:paraId="1EDB476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olor w:val="auto"/>
                      <w:sz w:val="21"/>
                      <w:szCs w:val="21"/>
                      <w:u w:val="none" w:color="auto"/>
                      <w:lang w:val="en-US" w:eastAsia="zh-CN"/>
                    </w:rPr>
                    <w:t>63252.075</w:t>
                  </w:r>
                  <w:r>
                    <w:rPr>
                      <w:rFonts w:hint="default"/>
                      <w:color w:val="auto"/>
                      <w:sz w:val="21"/>
                      <w:szCs w:val="21"/>
                      <w:u w:val="none" w:color="auto"/>
                      <w:lang w:val="en-US" w:eastAsia="zh-CN"/>
                    </w:rPr>
                    <w:t xml:space="preserve"> </w:t>
                  </w:r>
                  <w:r>
                    <w:rPr>
                      <w:color w:val="auto"/>
                      <w:sz w:val="21"/>
                      <w:szCs w:val="21"/>
                      <w:u w:val="none" w:color="auto"/>
                    </w:rPr>
                    <w:t>t/a）</w:t>
                  </w:r>
                </w:p>
              </w:tc>
            </w:tr>
            <w:tr w14:paraId="53C0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55" w:type="pct"/>
                  <w:vMerge w:val="continue"/>
                  <w:noWrap w:val="0"/>
                  <w:vAlign w:val="center"/>
                </w:tcPr>
                <w:p w14:paraId="24AF06E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593" w:type="pct"/>
                  <w:noWrap w:val="0"/>
                  <w:vAlign w:val="center"/>
                </w:tcPr>
                <w:p w14:paraId="26BCDB1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4" w:type="pct"/>
                  <w:noWrap w:val="0"/>
                  <w:vAlign w:val="center"/>
                </w:tcPr>
                <w:p w14:paraId="6668B19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598" w:type="pct"/>
                  <w:noWrap w:val="0"/>
                  <w:vAlign w:val="center"/>
                </w:tcPr>
                <w:p w14:paraId="7F7151E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475" w:type="pct"/>
                  <w:noWrap w:val="0"/>
                  <w:vAlign w:val="center"/>
                </w:tcPr>
                <w:p w14:paraId="1AA9952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1005" w:type="pct"/>
                  <w:noWrap w:val="0"/>
                  <w:vAlign w:val="center"/>
                </w:tcPr>
                <w:p w14:paraId="7627B8D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7" w:type="pct"/>
                  <w:noWrap w:val="0"/>
                  <w:vAlign w:val="center"/>
                </w:tcPr>
                <w:p w14:paraId="7797981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05FF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3B3E260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593" w:type="pct"/>
                  <w:noWrap w:val="0"/>
                  <w:vAlign w:val="center"/>
                </w:tcPr>
                <w:p w14:paraId="19B3AF4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2018.69</w:t>
                  </w:r>
                </w:p>
              </w:tc>
              <w:tc>
                <w:tcPr>
                  <w:tcW w:w="1356" w:type="dxa"/>
                  <w:noWrap w:val="0"/>
                  <w:vAlign w:val="center"/>
                </w:tcPr>
                <w:p w14:paraId="7B958F7D">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127.6863 </w:t>
                  </w:r>
                </w:p>
              </w:tc>
              <w:tc>
                <w:tcPr>
                  <w:tcW w:w="598" w:type="pct"/>
                  <w:vMerge w:val="restart"/>
                  <w:noWrap w:val="0"/>
                  <w:vAlign w:val="center"/>
                </w:tcPr>
                <w:p w14:paraId="0827221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格栅+隔油+曝气+气浮+厌氧+好氧+沉淀+消毒池</w:t>
                  </w:r>
                </w:p>
              </w:tc>
              <w:tc>
                <w:tcPr>
                  <w:tcW w:w="475" w:type="pct"/>
                  <w:noWrap w:val="0"/>
                  <w:vAlign w:val="center"/>
                </w:tcPr>
                <w:p w14:paraId="12DFAFE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93.75</w:t>
                  </w:r>
                </w:p>
              </w:tc>
              <w:tc>
                <w:tcPr>
                  <w:tcW w:w="1737" w:type="dxa"/>
                  <w:noWrap w:val="0"/>
                  <w:vAlign w:val="center"/>
                </w:tcPr>
                <w:p w14:paraId="5533857D">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126.17 </w:t>
                  </w:r>
                </w:p>
              </w:tc>
              <w:tc>
                <w:tcPr>
                  <w:tcW w:w="1361" w:type="dxa"/>
                  <w:noWrap w:val="0"/>
                  <w:vAlign w:val="center"/>
                </w:tcPr>
                <w:p w14:paraId="552CAF75">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7.9804 </w:t>
                  </w:r>
                </w:p>
              </w:tc>
            </w:tr>
            <w:tr w14:paraId="0BC5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66CA31F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593" w:type="pct"/>
                  <w:noWrap w:val="0"/>
                  <w:vAlign w:val="center"/>
                </w:tcPr>
                <w:p w14:paraId="5D5C2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1000</w:t>
                  </w:r>
                </w:p>
              </w:tc>
              <w:tc>
                <w:tcPr>
                  <w:tcW w:w="1356" w:type="dxa"/>
                  <w:noWrap w:val="0"/>
                  <w:vAlign w:val="center"/>
                </w:tcPr>
                <w:p w14:paraId="792DDC28">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63.2521 </w:t>
                  </w:r>
                </w:p>
              </w:tc>
              <w:tc>
                <w:tcPr>
                  <w:tcW w:w="598" w:type="pct"/>
                  <w:vMerge w:val="continue"/>
                  <w:noWrap w:val="0"/>
                  <w:vAlign w:val="center"/>
                </w:tcPr>
                <w:p w14:paraId="18C10DB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5A915CE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92.5</w:t>
                  </w:r>
                </w:p>
              </w:tc>
              <w:tc>
                <w:tcPr>
                  <w:tcW w:w="1737" w:type="dxa"/>
                  <w:noWrap w:val="0"/>
                  <w:vAlign w:val="center"/>
                </w:tcPr>
                <w:p w14:paraId="3F0F21FE">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75.00 </w:t>
                  </w:r>
                </w:p>
              </w:tc>
              <w:tc>
                <w:tcPr>
                  <w:tcW w:w="1361" w:type="dxa"/>
                  <w:noWrap w:val="0"/>
                  <w:vAlign w:val="center"/>
                </w:tcPr>
                <w:p w14:paraId="498D5150">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4.7439 </w:t>
                  </w:r>
                </w:p>
              </w:tc>
            </w:tr>
            <w:tr w14:paraId="6E48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75784FF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593" w:type="pct"/>
                  <w:noWrap w:val="0"/>
                  <w:vAlign w:val="center"/>
                </w:tcPr>
                <w:p w14:paraId="465AC2E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1000</w:t>
                  </w:r>
                </w:p>
              </w:tc>
              <w:tc>
                <w:tcPr>
                  <w:tcW w:w="1356" w:type="dxa"/>
                  <w:noWrap w:val="0"/>
                  <w:vAlign w:val="center"/>
                </w:tcPr>
                <w:p w14:paraId="64ADD586">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63.2521 </w:t>
                  </w:r>
                </w:p>
              </w:tc>
              <w:tc>
                <w:tcPr>
                  <w:tcW w:w="598" w:type="pct"/>
                  <w:vMerge w:val="continue"/>
                  <w:noWrap w:val="0"/>
                  <w:vAlign w:val="center"/>
                </w:tcPr>
                <w:p w14:paraId="711D0FB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477F06B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86.67</w:t>
                  </w:r>
                </w:p>
              </w:tc>
              <w:tc>
                <w:tcPr>
                  <w:tcW w:w="1737" w:type="dxa"/>
                  <w:noWrap w:val="0"/>
                  <w:vAlign w:val="center"/>
                </w:tcPr>
                <w:p w14:paraId="4D1B3750">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133.30 </w:t>
                  </w:r>
                </w:p>
              </w:tc>
              <w:tc>
                <w:tcPr>
                  <w:tcW w:w="1361" w:type="dxa"/>
                  <w:noWrap w:val="0"/>
                  <w:vAlign w:val="center"/>
                </w:tcPr>
                <w:p w14:paraId="5A9E01DB">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8.4315 </w:t>
                  </w:r>
                </w:p>
              </w:tc>
            </w:tr>
            <w:tr w14:paraId="74B0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4AC7CB9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593" w:type="pct"/>
                  <w:noWrap w:val="0"/>
                  <w:vAlign w:val="center"/>
                </w:tcPr>
                <w:p w14:paraId="5BD9327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84.9</w:t>
                  </w:r>
                </w:p>
              </w:tc>
              <w:tc>
                <w:tcPr>
                  <w:tcW w:w="1356" w:type="dxa"/>
                  <w:noWrap w:val="0"/>
                  <w:vAlign w:val="center"/>
                </w:tcPr>
                <w:p w14:paraId="0042745F">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5.3701 </w:t>
                  </w:r>
                </w:p>
              </w:tc>
              <w:tc>
                <w:tcPr>
                  <w:tcW w:w="598" w:type="pct"/>
                  <w:vMerge w:val="continue"/>
                  <w:noWrap w:val="0"/>
                  <w:vAlign w:val="center"/>
                </w:tcPr>
                <w:p w14:paraId="4CF4191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787D72D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1737" w:type="dxa"/>
                  <w:noWrap w:val="0"/>
                  <w:vAlign w:val="center"/>
                </w:tcPr>
                <w:p w14:paraId="74E6430A">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16.98 </w:t>
                  </w:r>
                </w:p>
              </w:tc>
              <w:tc>
                <w:tcPr>
                  <w:tcW w:w="1361" w:type="dxa"/>
                  <w:noWrap w:val="0"/>
                  <w:vAlign w:val="center"/>
                </w:tcPr>
                <w:p w14:paraId="1366CBC9">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1.0740 </w:t>
                  </w:r>
                </w:p>
              </w:tc>
            </w:tr>
            <w:tr w14:paraId="3557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3A57948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动植物油</w:t>
                  </w:r>
                </w:p>
              </w:tc>
              <w:tc>
                <w:tcPr>
                  <w:tcW w:w="593" w:type="pct"/>
                  <w:noWrap w:val="0"/>
                  <w:vAlign w:val="center"/>
                </w:tcPr>
                <w:p w14:paraId="369195F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1356" w:type="dxa"/>
                  <w:noWrap w:val="0"/>
                  <w:vAlign w:val="center"/>
                </w:tcPr>
                <w:p w14:paraId="38EF61EC">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6.3252 </w:t>
                  </w:r>
                </w:p>
              </w:tc>
              <w:tc>
                <w:tcPr>
                  <w:tcW w:w="598" w:type="pct"/>
                  <w:vMerge w:val="continue"/>
                  <w:noWrap w:val="0"/>
                  <w:vAlign w:val="center"/>
                </w:tcPr>
                <w:p w14:paraId="512F98D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415A149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98</w:t>
                  </w:r>
                </w:p>
              </w:tc>
              <w:tc>
                <w:tcPr>
                  <w:tcW w:w="1737" w:type="dxa"/>
                  <w:noWrap w:val="0"/>
                  <w:vAlign w:val="center"/>
                </w:tcPr>
                <w:p w14:paraId="20121543">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2.00 </w:t>
                  </w:r>
                </w:p>
              </w:tc>
              <w:tc>
                <w:tcPr>
                  <w:tcW w:w="1361" w:type="dxa"/>
                  <w:noWrap w:val="0"/>
                  <w:vAlign w:val="center"/>
                </w:tcPr>
                <w:p w14:paraId="6C4E4C40">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0.1265 </w:t>
                  </w:r>
                </w:p>
              </w:tc>
            </w:tr>
            <w:tr w14:paraId="70B9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6DCCB70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TN</w:t>
                  </w:r>
                </w:p>
              </w:tc>
              <w:tc>
                <w:tcPr>
                  <w:tcW w:w="593" w:type="pct"/>
                  <w:noWrap w:val="0"/>
                  <w:vAlign w:val="center"/>
                </w:tcPr>
                <w:p w14:paraId="67A7AB6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173.776</w:t>
                  </w:r>
                </w:p>
              </w:tc>
              <w:tc>
                <w:tcPr>
                  <w:tcW w:w="1356" w:type="dxa"/>
                  <w:noWrap w:val="0"/>
                  <w:vAlign w:val="center"/>
                </w:tcPr>
                <w:p w14:paraId="14CE1C51">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10.9917 </w:t>
                  </w:r>
                </w:p>
              </w:tc>
              <w:tc>
                <w:tcPr>
                  <w:tcW w:w="598" w:type="pct"/>
                  <w:vMerge w:val="continue"/>
                  <w:noWrap w:val="0"/>
                  <w:vAlign w:val="center"/>
                </w:tcPr>
                <w:p w14:paraId="5EA844B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6E9E551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75</w:t>
                  </w:r>
                </w:p>
              </w:tc>
              <w:tc>
                <w:tcPr>
                  <w:tcW w:w="1737" w:type="dxa"/>
                  <w:noWrap w:val="0"/>
                  <w:vAlign w:val="center"/>
                </w:tcPr>
                <w:p w14:paraId="479E7012">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43.44 </w:t>
                  </w:r>
                </w:p>
              </w:tc>
              <w:tc>
                <w:tcPr>
                  <w:tcW w:w="1361" w:type="dxa"/>
                  <w:noWrap w:val="0"/>
                  <w:vAlign w:val="center"/>
                </w:tcPr>
                <w:p w14:paraId="25BC1574">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2.7479 </w:t>
                  </w:r>
                </w:p>
              </w:tc>
            </w:tr>
            <w:tr w14:paraId="46B8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4F166D2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TP</w:t>
                  </w:r>
                </w:p>
              </w:tc>
              <w:tc>
                <w:tcPr>
                  <w:tcW w:w="593" w:type="pct"/>
                  <w:noWrap w:val="0"/>
                  <w:vAlign w:val="center"/>
                </w:tcPr>
                <w:p w14:paraId="6031B99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18.70</w:t>
                  </w:r>
                </w:p>
              </w:tc>
              <w:tc>
                <w:tcPr>
                  <w:tcW w:w="1356" w:type="dxa"/>
                  <w:noWrap w:val="0"/>
                  <w:vAlign w:val="center"/>
                </w:tcPr>
                <w:p w14:paraId="71F03F1B">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1.1828 </w:t>
                  </w:r>
                </w:p>
              </w:tc>
              <w:tc>
                <w:tcPr>
                  <w:tcW w:w="598" w:type="pct"/>
                  <w:vMerge w:val="continue"/>
                  <w:noWrap w:val="0"/>
                  <w:vAlign w:val="center"/>
                </w:tcPr>
                <w:p w14:paraId="3BCB0B9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12315A0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65</w:t>
                  </w:r>
                </w:p>
              </w:tc>
              <w:tc>
                <w:tcPr>
                  <w:tcW w:w="1737" w:type="dxa"/>
                  <w:noWrap w:val="0"/>
                  <w:vAlign w:val="center"/>
                </w:tcPr>
                <w:p w14:paraId="448C25A9">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6.55 </w:t>
                  </w:r>
                </w:p>
              </w:tc>
              <w:tc>
                <w:tcPr>
                  <w:tcW w:w="1361" w:type="dxa"/>
                  <w:noWrap w:val="0"/>
                  <w:vAlign w:val="center"/>
                </w:tcPr>
                <w:p w14:paraId="76F00D03">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0.4140 </w:t>
                  </w:r>
                </w:p>
              </w:tc>
            </w:tr>
            <w:tr w14:paraId="1451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08308CE7">
                  <w:pPr>
                    <w:keepNext w:val="0"/>
                    <w:keepLines w:val="0"/>
                    <w:pageBreakBefore w:val="0"/>
                    <w:widowControl w:val="0"/>
                    <w:kinsoku/>
                    <w:wordWrap/>
                    <w:overflowPunct/>
                    <w:topLinePunct w:val="0"/>
                    <w:autoSpaceDE w:val="0"/>
                    <w:autoSpaceDN/>
                    <w:bidi w:val="0"/>
                    <w:adjustRightInd/>
                    <w:snapToGrid/>
                    <w:ind w:firstLine="0" w:firstLineChars="0"/>
                    <w:jc w:val="left"/>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注：污水处理实设施效率参考于废水处理设计方案：废水处理效率=（进水浓度-出水浓度）/进水浓度</w:t>
                  </w:r>
                </w:p>
              </w:tc>
            </w:tr>
          </w:tbl>
          <w:p w14:paraId="57F19A4E">
            <w:pPr>
              <w:bidi w:val="0"/>
              <w:rPr>
                <w:rFonts w:hint="default" w:eastAsia="宋体"/>
                <w:color w:val="auto"/>
                <w:u w:val="none" w:color="auto"/>
                <w:lang w:val="en-US" w:eastAsia="zh-CN"/>
              </w:rPr>
            </w:pPr>
            <w:r>
              <w:rPr>
                <w:rFonts w:hint="eastAsia"/>
                <w:color w:val="auto"/>
                <w:u w:val="none" w:color="auto"/>
                <w:lang w:val="en-US" w:eastAsia="zh-CN"/>
              </w:rPr>
              <w:t>本项目考虑最不利环境影响</w:t>
            </w:r>
            <w:r>
              <w:rPr>
                <w:rFonts w:hint="eastAsia"/>
                <w:color w:val="auto"/>
                <w:u w:val="none" w:color="auto"/>
              </w:rPr>
              <w:t>，</w:t>
            </w:r>
            <w:r>
              <w:rPr>
                <w:rFonts w:hint="eastAsia"/>
                <w:color w:val="auto"/>
                <w:u w:val="none" w:color="auto"/>
                <w:lang w:val="en-US" w:eastAsia="zh-CN"/>
              </w:rPr>
              <w:t>屠宰肉牛废水中</w:t>
            </w:r>
            <w:r>
              <w:rPr>
                <w:rFonts w:hint="eastAsia"/>
                <w:color w:val="auto"/>
                <w:u w:val="none" w:color="auto"/>
              </w:rPr>
              <w:t>各污染物的产生浓度分别</w:t>
            </w:r>
            <w:r>
              <w:rPr>
                <w:rFonts w:hint="eastAsia"/>
                <w:color w:val="auto"/>
                <w:u w:val="none" w:color="auto"/>
                <w:lang w:val="en-US" w:eastAsia="zh-CN"/>
              </w:rPr>
              <w:t>按</w:t>
            </w:r>
            <w:r>
              <w:rPr>
                <w:rFonts w:hint="eastAsia"/>
                <w:color w:val="auto"/>
                <w:u w:val="none" w:color="auto"/>
              </w:rPr>
              <w:t>COD：</w:t>
            </w:r>
            <w:r>
              <w:rPr>
                <w:rFonts w:hint="eastAsia"/>
                <w:color w:val="auto"/>
                <w:u w:val="none" w:color="auto"/>
                <w:lang w:val="en-US" w:eastAsia="zh-CN"/>
              </w:rPr>
              <w:t xml:space="preserve">4112.65 </w:t>
            </w:r>
            <w:r>
              <w:rPr>
                <w:rFonts w:hint="eastAsia"/>
                <w:color w:val="auto"/>
                <w:u w:val="none" w:color="auto"/>
              </w:rPr>
              <w:t>mg/L，BOD</w:t>
            </w:r>
            <w:r>
              <w:rPr>
                <w:rFonts w:hint="eastAsia"/>
                <w:color w:val="auto"/>
                <w:u w:val="none" w:color="auto"/>
                <w:vertAlign w:val="subscript"/>
              </w:rPr>
              <w:t>5</w:t>
            </w:r>
            <w:r>
              <w:rPr>
                <w:rFonts w:hint="eastAsia"/>
                <w:color w:val="auto"/>
                <w:u w:val="none" w:color="auto"/>
              </w:rPr>
              <w:t>：1000</w:t>
            </w:r>
            <w:r>
              <w:rPr>
                <w:rFonts w:hint="eastAsia"/>
                <w:color w:val="auto"/>
                <w:u w:val="none" w:color="auto"/>
                <w:lang w:val="en-US" w:eastAsia="zh-CN"/>
              </w:rPr>
              <w:t xml:space="preserve"> </w:t>
            </w:r>
            <w:r>
              <w:rPr>
                <w:rFonts w:hint="eastAsia"/>
                <w:color w:val="auto"/>
                <w:u w:val="none" w:color="auto"/>
              </w:rPr>
              <w:t>mg/L，SS：1000</w:t>
            </w:r>
            <w:r>
              <w:rPr>
                <w:rFonts w:hint="eastAsia"/>
                <w:color w:val="auto"/>
                <w:u w:val="none" w:color="auto"/>
                <w:lang w:val="en-US" w:eastAsia="zh-CN"/>
              </w:rPr>
              <w:t xml:space="preserve"> </w:t>
            </w:r>
            <w:r>
              <w:rPr>
                <w:rFonts w:hint="eastAsia"/>
                <w:color w:val="auto"/>
                <w:u w:val="none" w:color="auto"/>
              </w:rPr>
              <w:t>mg/L，NH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 xml:space="preserve">113.71 </w:t>
            </w:r>
            <w:r>
              <w:rPr>
                <w:rFonts w:hint="eastAsia"/>
                <w:color w:val="auto"/>
                <w:u w:val="none" w:color="auto"/>
              </w:rPr>
              <w:t>mg/L，动植物油：100</w:t>
            </w:r>
            <w:r>
              <w:rPr>
                <w:rFonts w:hint="eastAsia"/>
                <w:color w:val="auto"/>
                <w:u w:val="none" w:color="auto"/>
                <w:lang w:val="en-US" w:eastAsia="zh-CN"/>
              </w:rPr>
              <w:t xml:space="preserve"> </w:t>
            </w:r>
            <w:r>
              <w:rPr>
                <w:rFonts w:hint="eastAsia"/>
                <w:color w:val="auto"/>
                <w:u w:val="none" w:color="auto"/>
              </w:rPr>
              <w:t>mg/L，总氮：</w:t>
            </w:r>
            <w:r>
              <w:rPr>
                <w:rFonts w:hint="eastAsia"/>
                <w:color w:val="auto"/>
                <w:u w:val="none" w:color="auto"/>
                <w:lang w:val="en-US" w:eastAsia="zh-CN"/>
              </w:rPr>
              <w:t xml:space="preserve">240.17 </w:t>
            </w:r>
            <w:r>
              <w:rPr>
                <w:rFonts w:hint="eastAsia"/>
                <w:color w:val="auto"/>
                <w:u w:val="none" w:color="auto"/>
              </w:rPr>
              <w:t>mg/L，总磷：</w:t>
            </w:r>
            <w:r>
              <w:rPr>
                <w:rFonts w:hint="eastAsia"/>
                <w:color w:val="auto"/>
                <w:u w:val="none" w:color="auto"/>
                <w:lang w:val="en-US" w:eastAsia="zh-CN"/>
              </w:rPr>
              <w:t xml:space="preserve">13.82 </w:t>
            </w:r>
            <w:r>
              <w:rPr>
                <w:rFonts w:hint="eastAsia"/>
                <w:color w:val="auto"/>
                <w:u w:val="none" w:color="auto"/>
              </w:rPr>
              <w:t>mg/L</w:t>
            </w:r>
            <w:r>
              <w:rPr>
                <w:rFonts w:hint="eastAsia"/>
                <w:color w:val="auto"/>
                <w:u w:val="none" w:color="auto"/>
                <w:lang w:val="en-US" w:eastAsia="zh-CN"/>
              </w:rPr>
              <w:t>计</w:t>
            </w:r>
            <w:r>
              <w:rPr>
                <w:rFonts w:hint="eastAsia"/>
                <w:color w:val="auto"/>
                <w:u w:color="auto"/>
              </w:rPr>
              <w:t>。</w:t>
            </w:r>
            <w:r>
              <w:rPr>
                <w:rFonts w:hint="eastAsia"/>
                <w:color w:val="auto"/>
                <w:u w:color="auto"/>
                <w:lang w:val="en-US" w:eastAsia="zh-CN"/>
              </w:rPr>
              <w:t>屠宰肉牛的废水产生量为</w:t>
            </w:r>
            <w:r>
              <w:rPr>
                <w:rFonts w:hint="eastAsia"/>
                <w:color w:val="auto"/>
                <w:sz w:val="24"/>
                <w:szCs w:val="24"/>
                <w:lang w:val="en-US" w:eastAsia="zh-CN"/>
              </w:rPr>
              <w:t>270</w:t>
            </w:r>
            <w:r>
              <w:rPr>
                <w:rFonts w:hint="eastAsia"/>
                <w:color w:val="auto"/>
                <w:sz w:val="24"/>
                <w:szCs w:val="24"/>
                <w:u w:val="none"/>
                <w:lang w:val="en-US" w:eastAsia="zh-CN"/>
              </w:rPr>
              <w:t xml:space="preserve"> t/a</w:t>
            </w:r>
          </w:p>
          <w:p w14:paraId="151EBE1A">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表4.7-3 项目营运期肉牛屠宰生产废水产排污情况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25"/>
              <w:gridCol w:w="1355"/>
              <w:gridCol w:w="1033"/>
              <w:gridCol w:w="823"/>
              <w:gridCol w:w="1737"/>
              <w:gridCol w:w="1363"/>
            </w:tblGrid>
            <w:tr w14:paraId="0D64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noWrap w:val="0"/>
                  <w:vAlign w:val="center"/>
                </w:tcPr>
                <w:p w14:paraId="571BD51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377" w:type="pct"/>
                  <w:gridSpan w:val="2"/>
                  <w:noWrap w:val="0"/>
                  <w:vAlign w:val="center"/>
                </w:tcPr>
                <w:p w14:paraId="55053E3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olor w:val="auto"/>
                      <w:sz w:val="21"/>
                      <w:szCs w:val="21"/>
                      <w:u w:val="none" w:color="auto"/>
                      <w:lang w:val="en-US" w:eastAsia="zh-CN"/>
                    </w:rPr>
                    <w:t>270</w:t>
                  </w:r>
                  <w:r>
                    <w:rPr>
                      <w:rFonts w:hint="default"/>
                      <w:color w:val="auto"/>
                      <w:sz w:val="21"/>
                      <w:szCs w:val="21"/>
                      <w:u w:val="none" w:color="auto"/>
                      <w:lang w:val="en-US" w:eastAsia="zh-CN"/>
                    </w:rPr>
                    <w:t xml:space="preserve"> </w:t>
                  </w:r>
                  <w:r>
                    <w:rPr>
                      <w:color w:val="auto"/>
                      <w:sz w:val="21"/>
                      <w:szCs w:val="21"/>
                      <w:u w:val="none" w:color="auto"/>
                    </w:rPr>
                    <w:t>t/a）</w:t>
                  </w:r>
                </w:p>
              </w:tc>
              <w:tc>
                <w:tcPr>
                  <w:tcW w:w="1074" w:type="pct"/>
                  <w:gridSpan w:val="2"/>
                  <w:noWrap w:val="0"/>
                  <w:vAlign w:val="center"/>
                </w:tcPr>
                <w:p w14:paraId="21FBC15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792" w:type="pct"/>
                  <w:gridSpan w:val="2"/>
                  <w:noWrap w:val="0"/>
                  <w:vAlign w:val="center"/>
                </w:tcPr>
                <w:p w14:paraId="79280CC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olor w:val="auto"/>
                      <w:sz w:val="21"/>
                      <w:szCs w:val="21"/>
                      <w:u w:val="none" w:color="auto"/>
                      <w:lang w:val="en-US" w:eastAsia="zh-CN"/>
                    </w:rPr>
                    <w:t>270</w:t>
                  </w:r>
                  <w:r>
                    <w:rPr>
                      <w:rFonts w:hint="default"/>
                      <w:color w:val="auto"/>
                      <w:sz w:val="21"/>
                      <w:szCs w:val="21"/>
                      <w:u w:val="none" w:color="auto"/>
                      <w:lang w:val="en-US" w:eastAsia="zh-CN"/>
                    </w:rPr>
                    <w:t xml:space="preserve"> </w:t>
                  </w:r>
                  <w:r>
                    <w:rPr>
                      <w:color w:val="auto"/>
                      <w:sz w:val="21"/>
                      <w:szCs w:val="21"/>
                      <w:u w:val="none" w:color="auto"/>
                    </w:rPr>
                    <w:t>t/a）</w:t>
                  </w:r>
                </w:p>
              </w:tc>
            </w:tr>
            <w:tr w14:paraId="659F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55" w:type="pct"/>
                  <w:vMerge w:val="continue"/>
                  <w:noWrap w:val="0"/>
                  <w:vAlign w:val="center"/>
                </w:tcPr>
                <w:p w14:paraId="0C6C0C2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593" w:type="pct"/>
                  <w:noWrap w:val="0"/>
                  <w:vAlign w:val="center"/>
                </w:tcPr>
                <w:p w14:paraId="0725015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4" w:type="pct"/>
                  <w:noWrap w:val="0"/>
                  <w:vAlign w:val="center"/>
                </w:tcPr>
                <w:p w14:paraId="25163B7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598" w:type="pct"/>
                  <w:noWrap w:val="0"/>
                  <w:vAlign w:val="center"/>
                </w:tcPr>
                <w:p w14:paraId="5C06330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475" w:type="pct"/>
                  <w:noWrap w:val="0"/>
                  <w:vAlign w:val="center"/>
                </w:tcPr>
                <w:p w14:paraId="1AC87F9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1005" w:type="pct"/>
                  <w:noWrap w:val="0"/>
                  <w:vAlign w:val="center"/>
                </w:tcPr>
                <w:p w14:paraId="5264D11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7" w:type="pct"/>
                  <w:noWrap w:val="0"/>
                  <w:vAlign w:val="center"/>
                </w:tcPr>
                <w:p w14:paraId="5EFF90D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672B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6EADE1B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593" w:type="pct"/>
                  <w:noWrap w:val="0"/>
                  <w:vAlign w:val="center"/>
                </w:tcPr>
                <w:p w14:paraId="5996504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4112.65</w:t>
                  </w:r>
                </w:p>
              </w:tc>
              <w:tc>
                <w:tcPr>
                  <w:tcW w:w="1356" w:type="dxa"/>
                  <w:noWrap w:val="0"/>
                  <w:vAlign w:val="center"/>
                </w:tcPr>
                <w:p w14:paraId="42FAB911">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1.1104 </w:t>
                  </w:r>
                </w:p>
              </w:tc>
              <w:tc>
                <w:tcPr>
                  <w:tcW w:w="598" w:type="pct"/>
                  <w:vMerge w:val="restart"/>
                  <w:noWrap w:val="0"/>
                  <w:vAlign w:val="center"/>
                </w:tcPr>
                <w:p w14:paraId="6F80E63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格栅+隔油+曝气+气浮+厌氧+好氧+沉淀+消毒池</w:t>
                  </w:r>
                </w:p>
              </w:tc>
              <w:tc>
                <w:tcPr>
                  <w:tcW w:w="475" w:type="pct"/>
                  <w:noWrap w:val="0"/>
                  <w:vAlign w:val="center"/>
                </w:tcPr>
                <w:p w14:paraId="2FD9828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93.75</w:t>
                  </w:r>
                </w:p>
              </w:tc>
              <w:tc>
                <w:tcPr>
                  <w:tcW w:w="1737" w:type="dxa"/>
                  <w:noWrap w:val="0"/>
                  <w:vAlign w:val="center"/>
                </w:tcPr>
                <w:p w14:paraId="6BD1DFB7">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257.04 </w:t>
                  </w:r>
                </w:p>
              </w:tc>
              <w:tc>
                <w:tcPr>
                  <w:tcW w:w="1361" w:type="dxa"/>
                  <w:noWrap w:val="0"/>
                  <w:vAlign w:val="center"/>
                </w:tcPr>
                <w:p w14:paraId="62DEF3A6">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0.0694 </w:t>
                  </w:r>
                </w:p>
              </w:tc>
            </w:tr>
            <w:tr w14:paraId="44AE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6B89255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593" w:type="pct"/>
                  <w:noWrap w:val="0"/>
                  <w:vAlign w:val="center"/>
                </w:tcPr>
                <w:p w14:paraId="6EF72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1000</w:t>
                  </w:r>
                </w:p>
              </w:tc>
              <w:tc>
                <w:tcPr>
                  <w:tcW w:w="1356" w:type="dxa"/>
                  <w:noWrap w:val="0"/>
                  <w:vAlign w:val="center"/>
                </w:tcPr>
                <w:p w14:paraId="499A276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0.2700 </w:t>
                  </w:r>
                </w:p>
              </w:tc>
              <w:tc>
                <w:tcPr>
                  <w:tcW w:w="598" w:type="pct"/>
                  <w:vMerge w:val="continue"/>
                  <w:noWrap w:val="0"/>
                  <w:vAlign w:val="center"/>
                </w:tcPr>
                <w:p w14:paraId="7A3B659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5A61C89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92.5</w:t>
                  </w:r>
                </w:p>
              </w:tc>
              <w:tc>
                <w:tcPr>
                  <w:tcW w:w="1737" w:type="dxa"/>
                  <w:noWrap w:val="0"/>
                  <w:vAlign w:val="center"/>
                </w:tcPr>
                <w:p w14:paraId="0254C28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75.00 </w:t>
                  </w:r>
                </w:p>
              </w:tc>
              <w:tc>
                <w:tcPr>
                  <w:tcW w:w="1361" w:type="dxa"/>
                  <w:noWrap w:val="0"/>
                  <w:vAlign w:val="center"/>
                </w:tcPr>
                <w:p w14:paraId="1FDA6FFA">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0.0203 </w:t>
                  </w:r>
                </w:p>
              </w:tc>
            </w:tr>
            <w:tr w14:paraId="75BC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12D2BD2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593" w:type="pct"/>
                  <w:noWrap w:val="0"/>
                  <w:vAlign w:val="center"/>
                </w:tcPr>
                <w:p w14:paraId="33AE4F8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1000</w:t>
                  </w:r>
                </w:p>
              </w:tc>
              <w:tc>
                <w:tcPr>
                  <w:tcW w:w="1356" w:type="dxa"/>
                  <w:noWrap w:val="0"/>
                  <w:vAlign w:val="center"/>
                </w:tcPr>
                <w:p w14:paraId="5A9D734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0.2700 </w:t>
                  </w:r>
                </w:p>
              </w:tc>
              <w:tc>
                <w:tcPr>
                  <w:tcW w:w="598" w:type="pct"/>
                  <w:vMerge w:val="continue"/>
                  <w:noWrap w:val="0"/>
                  <w:vAlign w:val="center"/>
                </w:tcPr>
                <w:p w14:paraId="32E0CED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068D44F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86.67</w:t>
                  </w:r>
                </w:p>
              </w:tc>
              <w:tc>
                <w:tcPr>
                  <w:tcW w:w="1737" w:type="dxa"/>
                  <w:noWrap w:val="0"/>
                  <w:vAlign w:val="center"/>
                </w:tcPr>
                <w:p w14:paraId="7392509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133.30 </w:t>
                  </w:r>
                </w:p>
              </w:tc>
              <w:tc>
                <w:tcPr>
                  <w:tcW w:w="1361" w:type="dxa"/>
                  <w:noWrap w:val="0"/>
                  <w:vAlign w:val="center"/>
                </w:tcPr>
                <w:p w14:paraId="412E4436">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0.0360 </w:t>
                  </w:r>
                </w:p>
              </w:tc>
            </w:tr>
            <w:tr w14:paraId="0862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0896510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593" w:type="pct"/>
                  <w:noWrap w:val="0"/>
                  <w:vAlign w:val="center"/>
                </w:tcPr>
                <w:p w14:paraId="6B56CD8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113.71</w:t>
                  </w:r>
                </w:p>
              </w:tc>
              <w:tc>
                <w:tcPr>
                  <w:tcW w:w="1356" w:type="dxa"/>
                  <w:noWrap w:val="0"/>
                  <w:vAlign w:val="center"/>
                </w:tcPr>
                <w:p w14:paraId="300FFBBC">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0.0307 </w:t>
                  </w:r>
                </w:p>
              </w:tc>
              <w:tc>
                <w:tcPr>
                  <w:tcW w:w="598" w:type="pct"/>
                  <w:vMerge w:val="continue"/>
                  <w:noWrap w:val="0"/>
                  <w:vAlign w:val="center"/>
                </w:tcPr>
                <w:p w14:paraId="0668647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2BEA248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1737" w:type="dxa"/>
                  <w:noWrap w:val="0"/>
                  <w:vAlign w:val="center"/>
                </w:tcPr>
                <w:p w14:paraId="3D162AB4">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22.74 </w:t>
                  </w:r>
                </w:p>
              </w:tc>
              <w:tc>
                <w:tcPr>
                  <w:tcW w:w="1361" w:type="dxa"/>
                  <w:noWrap w:val="0"/>
                  <w:vAlign w:val="center"/>
                </w:tcPr>
                <w:p w14:paraId="135D05F4">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0.0061 </w:t>
                  </w:r>
                </w:p>
              </w:tc>
            </w:tr>
            <w:tr w14:paraId="6A4F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1331BBB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动植物油</w:t>
                  </w:r>
                </w:p>
              </w:tc>
              <w:tc>
                <w:tcPr>
                  <w:tcW w:w="593" w:type="pct"/>
                  <w:noWrap w:val="0"/>
                  <w:vAlign w:val="center"/>
                </w:tcPr>
                <w:p w14:paraId="2E0C4D0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1356" w:type="dxa"/>
                  <w:noWrap w:val="0"/>
                  <w:vAlign w:val="center"/>
                </w:tcPr>
                <w:p w14:paraId="58844E74">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0.0270 </w:t>
                  </w:r>
                </w:p>
              </w:tc>
              <w:tc>
                <w:tcPr>
                  <w:tcW w:w="598" w:type="pct"/>
                  <w:vMerge w:val="continue"/>
                  <w:noWrap w:val="0"/>
                  <w:vAlign w:val="center"/>
                </w:tcPr>
                <w:p w14:paraId="7E65B11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52A6BF8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98</w:t>
                  </w:r>
                </w:p>
              </w:tc>
              <w:tc>
                <w:tcPr>
                  <w:tcW w:w="1737" w:type="dxa"/>
                  <w:noWrap w:val="0"/>
                  <w:vAlign w:val="center"/>
                </w:tcPr>
                <w:p w14:paraId="2CB9B9DB">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2.00 </w:t>
                  </w:r>
                </w:p>
              </w:tc>
              <w:tc>
                <w:tcPr>
                  <w:tcW w:w="1361" w:type="dxa"/>
                  <w:noWrap w:val="0"/>
                  <w:vAlign w:val="center"/>
                </w:tcPr>
                <w:p w14:paraId="6673A829">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0.0005 </w:t>
                  </w:r>
                </w:p>
              </w:tc>
            </w:tr>
            <w:tr w14:paraId="3D9F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24F4ADE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TN</w:t>
                  </w:r>
                </w:p>
              </w:tc>
              <w:tc>
                <w:tcPr>
                  <w:tcW w:w="593" w:type="pct"/>
                  <w:noWrap w:val="0"/>
                  <w:vAlign w:val="center"/>
                </w:tcPr>
                <w:p w14:paraId="43E305C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240.17</w:t>
                  </w:r>
                </w:p>
              </w:tc>
              <w:tc>
                <w:tcPr>
                  <w:tcW w:w="1356" w:type="dxa"/>
                  <w:noWrap w:val="0"/>
                  <w:vAlign w:val="center"/>
                </w:tcPr>
                <w:p w14:paraId="539DB483">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0.0648 </w:t>
                  </w:r>
                </w:p>
              </w:tc>
              <w:tc>
                <w:tcPr>
                  <w:tcW w:w="598" w:type="pct"/>
                  <w:vMerge w:val="continue"/>
                  <w:noWrap w:val="0"/>
                  <w:vAlign w:val="center"/>
                </w:tcPr>
                <w:p w14:paraId="702A8BC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4CD796D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75</w:t>
                  </w:r>
                </w:p>
              </w:tc>
              <w:tc>
                <w:tcPr>
                  <w:tcW w:w="1737" w:type="dxa"/>
                  <w:noWrap w:val="0"/>
                  <w:vAlign w:val="center"/>
                </w:tcPr>
                <w:p w14:paraId="2F54CBCD">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60.04 </w:t>
                  </w:r>
                </w:p>
              </w:tc>
              <w:tc>
                <w:tcPr>
                  <w:tcW w:w="1361" w:type="dxa"/>
                  <w:noWrap w:val="0"/>
                  <w:vAlign w:val="center"/>
                </w:tcPr>
                <w:p w14:paraId="6D12D8B1">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0.0162 </w:t>
                  </w:r>
                </w:p>
              </w:tc>
            </w:tr>
            <w:tr w14:paraId="6774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108B355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TP</w:t>
                  </w:r>
                </w:p>
              </w:tc>
              <w:tc>
                <w:tcPr>
                  <w:tcW w:w="593" w:type="pct"/>
                  <w:noWrap w:val="0"/>
                  <w:vAlign w:val="center"/>
                </w:tcPr>
                <w:p w14:paraId="20BD144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13.82</w:t>
                  </w:r>
                </w:p>
              </w:tc>
              <w:tc>
                <w:tcPr>
                  <w:tcW w:w="1356" w:type="dxa"/>
                  <w:noWrap w:val="0"/>
                  <w:vAlign w:val="center"/>
                </w:tcPr>
                <w:p w14:paraId="5B6653C2">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0.0037 </w:t>
                  </w:r>
                </w:p>
              </w:tc>
              <w:tc>
                <w:tcPr>
                  <w:tcW w:w="598" w:type="pct"/>
                  <w:vMerge w:val="continue"/>
                  <w:noWrap w:val="0"/>
                  <w:vAlign w:val="center"/>
                </w:tcPr>
                <w:p w14:paraId="7DA2C14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165A912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65</w:t>
                  </w:r>
                </w:p>
              </w:tc>
              <w:tc>
                <w:tcPr>
                  <w:tcW w:w="1737" w:type="dxa"/>
                  <w:noWrap w:val="0"/>
                  <w:vAlign w:val="center"/>
                </w:tcPr>
                <w:p w14:paraId="5E3F35F3">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4.84 </w:t>
                  </w:r>
                </w:p>
              </w:tc>
              <w:tc>
                <w:tcPr>
                  <w:tcW w:w="1361" w:type="dxa"/>
                  <w:noWrap w:val="0"/>
                  <w:vAlign w:val="center"/>
                </w:tcPr>
                <w:p w14:paraId="117A5C6B">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0.0013 </w:t>
                  </w:r>
                </w:p>
              </w:tc>
            </w:tr>
            <w:tr w14:paraId="1AAE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419B236F">
                  <w:pPr>
                    <w:keepNext w:val="0"/>
                    <w:keepLines w:val="0"/>
                    <w:pageBreakBefore w:val="0"/>
                    <w:widowControl w:val="0"/>
                    <w:kinsoku/>
                    <w:wordWrap/>
                    <w:overflowPunct/>
                    <w:topLinePunct w:val="0"/>
                    <w:autoSpaceDE w:val="0"/>
                    <w:autoSpaceDN/>
                    <w:bidi w:val="0"/>
                    <w:adjustRightInd/>
                    <w:snapToGrid/>
                    <w:ind w:firstLine="0" w:firstLineChars="0"/>
                    <w:jc w:val="left"/>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注：污水处理实设施效率参考于废水处理设计方案：废水处理效率=（进水浓度-出水浓度）/进水浓度</w:t>
                  </w:r>
                </w:p>
              </w:tc>
            </w:tr>
          </w:tbl>
          <w:p w14:paraId="5C4BA7C7">
            <w:pPr>
              <w:bidi w:val="0"/>
              <w:rPr>
                <w:rFonts w:hint="default" w:eastAsia="宋体"/>
                <w:color w:val="auto"/>
                <w:u w:val="none" w:color="auto"/>
                <w:lang w:val="en-US" w:eastAsia="zh-CN"/>
              </w:rPr>
            </w:pPr>
            <w:r>
              <w:rPr>
                <w:rFonts w:hint="eastAsia"/>
                <w:color w:val="auto"/>
                <w:u w:val="none" w:color="auto"/>
                <w:lang w:val="en-US" w:eastAsia="zh-CN"/>
              </w:rPr>
              <w:t>本项目考虑最不利环境影响</w:t>
            </w:r>
            <w:r>
              <w:rPr>
                <w:rFonts w:hint="eastAsia"/>
                <w:color w:val="auto"/>
                <w:u w:val="none" w:color="auto"/>
              </w:rPr>
              <w:t>，</w:t>
            </w:r>
            <w:r>
              <w:rPr>
                <w:rFonts w:hint="eastAsia"/>
                <w:color w:val="auto"/>
                <w:u w:val="none" w:color="auto"/>
                <w:lang w:val="en-US" w:eastAsia="zh-CN"/>
              </w:rPr>
              <w:t>屠宰肉鸡废水中</w:t>
            </w:r>
            <w:r>
              <w:rPr>
                <w:rFonts w:hint="eastAsia"/>
                <w:color w:val="auto"/>
                <w:u w:val="none" w:color="auto"/>
              </w:rPr>
              <w:t>各污染物的产生浓度分别</w:t>
            </w:r>
            <w:r>
              <w:rPr>
                <w:rFonts w:hint="eastAsia"/>
                <w:color w:val="auto"/>
                <w:u w:val="none" w:color="auto"/>
                <w:lang w:val="en-US" w:eastAsia="zh-CN"/>
              </w:rPr>
              <w:t>按</w:t>
            </w:r>
            <w:r>
              <w:rPr>
                <w:rFonts w:hint="eastAsia"/>
                <w:color w:val="auto"/>
                <w:u w:val="none" w:color="auto"/>
              </w:rPr>
              <w:t>COD：</w:t>
            </w:r>
            <w:r>
              <w:rPr>
                <w:rFonts w:hint="eastAsia"/>
                <w:color w:val="auto"/>
                <w:u w:val="none" w:color="auto"/>
                <w:lang w:val="en-US" w:eastAsia="zh-CN"/>
              </w:rPr>
              <w:t xml:space="preserve">2000 </w:t>
            </w:r>
            <w:r>
              <w:rPr>
                <w:rFonts w:hint="eastAsia"/>
                <w:color w:val="auto"/>
                <w:u w:val="none" w:color="auto"/>
              </w:rPr>
              <w:t>mg/L，BOD</w:t>
            </w:r>
            <w:r>
              <w:rPr>
                <w:rFonts w:hint="eastAsia"/>
                <w:color w:val="auto"/>
                <w:u w:val="none" w:color="auto"/>
                <w:vertAlign w:val="subscript"/>
              </w:rPr>
              <w:t>5</w:t>
            </w:r>
            <w:r>
              <w:rPr>
                <w:rFonts w:hint="eastAsia"/>
                <w:color w:val="auto"/>
                <w:u w:val="none" w:color="auto"/>
              </w:rPr>
              <w:t>：1000</w:t>
            </w:r>
            <w:r>
              <w:rPr>
                <w:rFonts w:hint="eastAsia"/>
                <w:color w:val="auto"/>
                <w:u w:val="none" w:color="auto"/>
                <w:lang w:val="en-US" w:eastAsia="zh-CN"/>
              </w:rPr>
              <w:t xml:space="preserve"> </w:t>
            </w:r>
            <w:r>
              <w:rPr>
                <w:rFonts w:hint="eastAsia"/>
                <w:color w:val="auto"/>
                <w:u w:val="none" w:color="auto"/>
              </w:rPr>
              <w:t>mg/L，SS：1000</w:t>
            </w:r>
            <w:r>
              <w:rPr>
                <w:rFonts w:hint="eastAsia"/>
                <w:color w:val="auto"/>
                <w:u w:val="none" w:color="auto"/>
                <w:lang w:val="en-US" w:eastAsia="zh-CN"/>
              </w:rPr>
              <w:t xml:space="preserve"> </w:t>
            </w:r>
            <w:r>
              <w:rPr>
                <w:rFonts w:hint="eastAsia"/>
                <w:color w:val="auto"/>
                <w:u w:val="none" w:color="auto"/>
              </w:rPr>
              <w:t>mg/L，NH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 xml:space="preserve">83.824 </w:t>
            </w:r>
            <w:r>
              <w:rPr>
                <w:rFonts w:hint="eastAsia"/>
                <w:color w:val="auto"/>
                <w:u w:val="none" w:color="auto"/>
              </w:rPr>
              <w:t>mg/L，动植物油：100</w:t>
            </w:r>
            <w:r>
              <w:rPr>
                <w:rFonts w:hint="eastAsia"/>
                <w:color w:val="auto"/>
                <w:u w:val="none" w:color="auto"/>
                <w:lang w:val="en-US" w:eastAsia="zh-CN"/>
              </w:rPr>
              <w:t xml:space="preserve"> </w:t>
            </w:r>
            <w:r>
              <w:rPr>
                <w:rFonts w:hint="eastAsia"/>
                <w:color w:val="auto"/>
                <w:u w:val="none" w:color="auto"/>
              </w:rPr>
              <w:t>mg/L，总氮：</w:t>
            </w:r>
            <w:r>
              <w:rPr>
                <w:rFonts w:hint="eastAsia"/>
                <w:color w:val="auto"/>
                <w:u w:val="none" w:color="auto"/>
                <w:lang w:val="en-US" w:eastAsia="zh-CN"/>
              </w:rPr>
              <w:t xml:space="preserve">166.43 </w:t>
            </w:r>
            <w:r>
              <w:rPr>
                <w:rFonts w:hint="eastAsia"/>
                <w:color w:val="auto"/>
                <w:u w:val="none" w:color="auto"/>
              </w:rPr>
              <w:t>mg/L，总磷：</w:t>
            </w:r>
            <w:r>
              <w:rPr>
                <w:rFonts w:hint="eastAsia"/>
                <w:color w:val="auto"/>
                <w:u w:val="none" w:color="auto"/>
                <w:lang w:val="en-US" w:eastAsia="zh-CN"/>
              </w:rPr>
              <w:t xml:space="preserve">23.78 </w:t>
            </w:r>
            <w:r>
              <w:rPr>
                <w:rFonts w:hint="eastAsia"/>
                <w:color w:val="auto"/>
                <w:u w:val="none" w:color="auto"/>
              </w:rPr>
              <w:t>mg/L</w:t>
            </w:r>
            <w:r>
              <w:rPr>
                <w:rFonts w:hint="eastAsia"/>
                <w:color w:val="auto"/>
                <w:u w:val="none" w:color="auto"/>
                <w:lang w:val="en-US" w:eastAsia="zh-CN"/>
              </w:rPr>
              <w:t>计</w:t>
            </w:r>
            <w:r>
              <w:rPr>
                <w:rFonts w:hint="eastAsia"/>
                <w:color w:val="auto"/>
                <w:u w:color="auto"/>
              </w:rPr>
              <w:t>。</w:t>
            </w:r>
            <w:r>
              <w:rPr>
                <w:rFonts w:hint="eastAsia"/>
                <w:color w:val="auto"/>
                <w:u w:color="auto"/>
                <w:lang w:val="en-US" w:eastAsia="zh-CN"/>
              </w:rPr>
              <w:t>屠宰肉鸡的废水产生量为</w:t>
            </w:r>
            <w:r>
              <w:rPr>
                <w:rFonts w:hint="eastAsia"/>
                <w:color w:val="auto"/>
                <w:sz w:val="24"/>
                <w:szCs w:val="24"/>
                <w:lang w:val="en-US" w:eastAsia="zh-CN"/>
              </w:rPr>
              <w:t>14.3</w:t>
            </w:r>
            <w:r>
              <w:rPr>
                <w:rFonts w:hint="eastAsia"/>
                <w:color w:val="auto"/>
                <w:sz w:val="24"/>
                <w:szCs w:val="24"/>
                <w:u w:val="none"/>
                <w:lang w:val="en-US" w:eastAsia="zh-CN"/>
              </w:rPr>
              <w:t xml:space="preserve"> t/a</w:t>
            </w:r>
          </w:p>
          <w:p w14:paraId="5B644058">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表4.7-4 项目营运期肉鸡屠宰生产废水产排污情况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25"/>
              <w:gridCol w:w="1355"/>
              <w:gridCol w:w="1033"/>
              <w:gridCol w:w="823"/>
              <w:gridCol w:w="1737"/>
              <w:gridCol w:w="1363"/>
            </w:tblGrid>
            <w:tr w14:paraId="4267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noWrap w:val="0"/>
                  <w:vAlign w:val="center"/>
                </w:tcPr>
                <w:p w14:paraId="5311EB0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377" w:type="pct"/>
                  <w:gridSpan w:val="2"/>
                  <w:noWrap w:val="0"/>
                  <w:vAlign w:val="center"/>
                </w:tcPr>
                <w:p w14:paraId="3E3FF55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olor w:val="auto"/>
                      <w:sz w:val="21"/>
                      <w:szCs w:val="21"/>
                      <w:u w:val="none" w:color="auto"/>
                      <w:lang w:val="en-US" w:eastAsia="zh-CN"/>
                    </w:rPr>
                    <w:t>14.3</w:t>
                  </w:r>
                  <w:r>
                    <w:rPr>
                      <w:rFonts w:hint="default"/>
                      <w:color w:val="auto"/>
                      <w:sz w:val="21"/>
                      <w:szCs w:val="21"/>
                      <w:u w:val="none" w:color="auto"/>
                      <w:lang w:val="en-US" w:eastAsia="zh-CN"/>
                    </w:rPr>
                    <w:t xml:space="preserve"> </w:t>
                  </w:r>
                  <w:r>
                    <w:rPr>
                      <w:color w:val="auto"/>
                      <w:sz w:val="21"/>
                      <w:szCs w:val="21"/>
                      <w:u w:val="none" w:color="auto"/>
                    </w:rPr>
                    <w:t>t/a）</w:t>
                  </w:r>
                </w:p>
              </w:tc>
              <w:tc>
                <w:tcPr>
                  <w:tcW w:w="1074" w:type="pct"/>
                  <w:gridSpan w:val="2"/>
                  <w:noWrap w:val="0"/>
                  <w:vAlign w:val="center"/>
                </w:tcPr>
                <w:p w14:paraId="3766FC3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792" w:type="pct"/>
                  <w:gridSpan w:val="2"/>
                  <w:noWrap w:val="0"/>
                  <w:vAlign w:val="center"/>
                </w:tcPr>
                <w:p w14:paraId="50DAFD8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olor w:val="auto"/>
                      <w:sz w:val="21"/>
                      <w:szCs w:val="21"/>
                      <w:u w:val="none" w:color="auto"/>
                      <w:lang w:val="en-US" w:eastAsia="zh-CN"/>
                    </w:rPr>
                    <w:t>14.3</w:t>
                  </w:r>
                  <w:r>
                    <w:rPr>
                      <w:rFonts w:hint="default"/>
                      <w:color w:val="auto"/>
                      <w:sz w:val="21"/>
                      <w:szCs w:val="21"/>
                      <w:u w:val="none" w:color="auto"/>
                      <w:lang w:val="en-US" w:eastAsia="zh-CN"/>
                    </w:rPr>
                    <w:t xml:space="preserve"> </w:t>
                  </w:r>
                  <w:r>
                    <w:rPr>
                      <w:color w:val="auto"/>
                      <w:sz w:val="21"/>
                      <w:szCs w:val="21"/>
                      <w:u w:val="none" w:color="auto"/>
                    </w:rPr>
                    <w:t>t/a）</w:t>
                  </w:r>
                </w:p>
              </w:tc>
            </w:tr>
            <w:tr w14:paraId="15A6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55" w:type="pct"/>
                  <w:vMerge w:val="continue"/>
                  <w:noWrap w:val="0"/>
                  <w:vAlign w:val="center"/>
                </w:tcPr>
                <w:p w14:paraId="2F6FF0E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593" w:type="pct"/>
                  <w:noWrap w:val="0"/>
                  <w:vAlign w:val="center"/>
                </w:tcPr>
                <w:p w14:paraId="72E7414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4" w:type="pct"/>
                  <w:noWrap w:val="0"/>
                  <w:vAlign w:val="center"/>
                </w:tcPr>
                <w:p w14:paraId="66F5D68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598" w:type="pct"/>
                  <w:noWrap w:val="0"/>
                  <w:vAlign w:val="center"/>
                </w:tcPr>
                <w:p w14:paraId="1F80358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475" w:type="pct"/>
                  <w:noWrap w:val="0"/>
                  <w:vAlign w:val="center"/>
                </w:tcPr>
                <w:p w14:paraId="268675F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1005" w:type="pct"/>
                  <w:noWrap w:val="0"/>
                  <w:vAlign w:val="center"/>
                </w:tcPr>
                <w:p w14:paraId="0888A03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7" w:type="pct"/>
                  <w:noWrap w:val="0"/>
                  <w:vAlign w:val="center"/>
                </w:tcPr>
                <w:p w14:paraId="2738694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5E97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3752F6F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593" w:type="pct"/>
                  <w:noWrap w:val="0"/>
                  <w:vAlign w:val="center"/>
                </w:tcPr>
                <w:p w14:paraId="243FC45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2000</w:t>
                  </w:r>
                </w:p>
              </w:tc>
              <w:tc>
                <w:tcPr>
                  <w:tcW w:w="1356" w:type="dxa"/>
                  <w:noWrap w:val="0"/>
                  <w:vAlign w:val="center"/>
                </w:tcPr>
                <w:p w14:paraId="2C1A7641">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0.0286 </w:t>
                  </w:r>
                </w:p>
              </w:tc>
              <w:tc>
                <w:tcPr>
                  <w:tcW w:w="598" w:type="pct"/>
                  <w:vMerge w:val="restart"/>
                  <w:noWrap w:val="0"/>
                  <w:vAlign w:val="center"/>
                </w:tcPr>
                <w:p w14:paraId="4C6A67C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格栅+隔油+曝气+气浮+厌氧+好氧+沉淀+消毒池</w:t>
                  </w:r>
                </w:p>
              </w:tc>
              <w:tc>
                <w:tcPr>
                  <w:tcW w:w="475" w:type="pct"/>
                  <w:noWrap w:val="0"/>
                  <w:vAlign w:val="center"/>
                </w:tcPr>
                <w:p w14:paraId="5ADBDB5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93.75</w:t>
                  </w:r>
                </w:p>
              </w:tc>
              <w:tc>
                <w:tcPr>
                  <w:tcW w:w="1737" w:type="dxa"/>
                  <w:noWrap w:val="0"/>
                  <w:vAlign w:val="center"/>
                </w:tcPr>
                <w:p w14:paraId="56770EA7">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125.00 </w:t>
                  </w:r>
                </w:p>
              </w:tc>
              <w:tc>
                <w:tcPr>
                  <w:tcW w:w="1361" w:type="dxa"/>
                  <w:noWrap w:val="0"/>
                  <w:vAlign w:val="center"/>
                </w:tcPr>
                <w:p w14:paraId="4758B93E">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0.0018 </w:t>
                  </w:r>
                </w:p>
              </w:tc>
            </w:tr>
            <w:tr w14:paraId="58CC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75F3C7D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593" w:type="pct"/>
                  <w:noWrap w:val="0"/>
                  <w:vAlign w:val="center"/>
                </w:tcPr>
                <w:p w14:paraId="2C5585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1000</w:t>
                  </w:r>
                </w:p>
              </w:tc>
              <w:tc>
                <w:tcPr>
                  <w:tcW w:w="1356" w:type="dxa"/>
                  <w:noWrap w:val="0"/>
                  <w:vAlign w:val="center"/>
                </w:tcPr>
                <w:p w14:paraId="794B211D">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0.0143 </w:t>
                  </w:r>
                </w:p>
              </w:tc>
              <w:tc>
                <w:tcPr>
                  <w:tcW w:w="598" w:type="pct"/>
                  <w:vMerge w:val="continue"/>
                  <w:noWrap w:val="0"/>
                  <w:vAlign w:val="center"/>
                </w:tcPr>
                <w:p w14:paraId="2E4741C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05D59E4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92.5</w:t>
                  </w:r>
                </w:p>
              </w:tc>
              <w:tc>
                <w:tcPr>
                  <w:tcW w:w="1737" w:type="dxa"/>
                  <w:noWrap w:val="0"/>
                  <w:vAlign w:val="center"/>
                </w:tcPr>
                <w:p w14:paraId="572F6E3E">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75.00 </w:t>
                  </w:r>
                </w:p>
              </w:tc>
              <w:tc>
                <w:tcPr>
                  <w:tcW w:w="1361" w:type="dxa"/>
                  <w:noWrap w:val="0"/>
                  <w:vAlign w:val="center"/>
                </w:tcPr>
                <w:p w14:paraId="312F2345">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0.0011 </w:t>
                  </w:r>
                </w:p>
              </w:tc>
            </w:tr>
            <w:tr w14:paraId="5451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2304AE3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593" w:type="pct"/>
                  <w:noWrap w:val="0"/>
                  <w:vAlign w:val="center"/>
                </w:tcPr>
                <w:p w14:paraId="23F8535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1000</w:t>
                  </w:r>
                </w:p>
              </w:tc>
              <w:tc>
                <w:tcPr>
                  <w:tcW w:w="1356" w:type="dxa"/>
                  <w:noWrap w:val="0"/>
                  <w:vAlign w:val="center"/>
                </w:tcPr>
                <w:p w14:paraId="4D07A3F9">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0.0143 </w:t>
                  </w:r>
                </w:p>
              </w:tc>
              <w:tc>
                <w:tcPr>
                  <w:tcW w:w="598" w:type="pct"/>
                  <w:vMerge w:val="continue"/>
                  <w:noWrap w:val="0"/>
                  <w:vAlign w:val="center"/>
                </w:tcPr>
                <w:p w14:paraId="35FA0E7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22969F9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86.67</w:t>
                  </w:r>
                </w:p>
              </w:tc>
              <w:tc>
                <w:tcPr>
                  <w:tcW w:w="1737" w:type="dxa"/>
                  <w:noWrap w:val="0"/>
                  <w:vAlign w:val="center"/>
                </w:tcPr>
                <w:p w14:paraId="1F0261AF">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133.30 </w:t>
                  </w:r>
                </w:p>
              </w:tc>
              <w:tc>
                <w:tcPr>
                  <w:tcW w:w="1361" w:type="dxa"/>
                  <w:noWrap w:val="0"/>
                  <w:vAlign w:val="center"/>
                </w:tcPr>
                <w:p w14:paraId="3277B34B">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0.0019 </w:t>
                  </w:r>
                </w:p>
              </w:tc>
            </w:tr>
            <w:tr w14:paraId="3F8E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3DEA305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593" w:type="pct"/>
                  <w:noWrap w:val="0"/>
                  <w:vAlign w:val="center"/>
                </w:tcPr>
                <w:p w14:paraId="5FEE0CB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83.824</w:t>
                  </w:r>
                </w:p>
              </w:tc>
              <w:tc>
                <w:tcPr>
                  <w:tcW w:w="1356" w:type="dxa"/>
                  <w:noWrap w:val="0"/>
                  <w:vAlign w:val="center"/>
                </w:tcPr>
                <w:p w14:paraId="6039D58B">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0.0012 </w:t>
                  </w:r>
                </w:p>
              </w:tc>
              <w:tc>
                <w:tcPr>
                  <w:tcW w:w="598" w:type="pct"/>
                  <w:vMerge w:val="continue"/>
                  <w:noWrap w:val="0"/>
                  <w:vAlign w:val="center"/>
                </w:tcPr>
                <w:p w14:paraId="422F4BB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6E65EF9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1737" w:type="dxa"/>
                  <w:noWrap w:val="0"/>
                  <w:vAlign w:val="center"/>
                </w:tcPr>
                <w:p w14:paraId="78724F7C">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16.76 </w:t>
                  </w:r>
                </w:p>
              </w:tc>
              <w:tc>
                <w:tcPr>
                  <w:tcW w:w="1361" w:type="dxa"/>
                  <w:noWrap w:val="0"/>
                  <w:vAlign w:val="center"/>
                </w:tcPr>
                <w:p w14:paraId="435EAC4D">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0.0002 </w:t>
                  </w:r>
                </w:p>
              </w:tc>
            </w:tr>
            <w:tr w14:paraId="155A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388D27D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动植物油</w:t>
                  </w:r>
                </w:p>
              </w:tc>
              <w:tc>
                <w:tcPr>
                  <w:tcW w:w="593" w:type="pct"/>
                  <w:noWrap w:val="0"/>
                  <w:vAlign w:val="center"/>
                </w:tcPr>
                <w:p w14:paraId="2197062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1356" w:type="dxa"/>
                  <w:noWrap w:val="0"/>
                  <w:vAlign w:val="center"/>
                </w:tcPr>
                <w:p w14:paraId="2B24EC1F">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0.0014 </w:t>
                  </w:r>
                </w:p>
              </w:tc>
              <w:tc>
                <w:tcPr>
                  <w:tcW w:w="598" w:type="pct"/>
                  <w:vMerge w:val="continue"/>
                  <w:noWrap w:val="0"/>
                  <w:vAlign w:val="center"/>
                </w:tcPr>
                <w:p w14:paraId="28FE500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0AB45D0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98</w:t>
                  </w:r>
                </w:p>
              </w:tc>
              <w:tc>
                <w:tcPr>
                  <w:tcW w:w="1737" w:type="dxa"/>
                  <w:noWrap w:val="0"/>
                  <w:vAlign w:val="center"/>
                </w:tcPr>
                <w:p w14:paraId="000B91BD">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2.00 </w:t>
                  </w:r>
                </w:p>
              </w:tc>
              <w:tc>
                <w:tcPr>
                  <w:tcW w:w="1361" w:type="dxa"/>
                  <w:noWrap w:val="0"/>
                  <w:vAlign w:val="center"/>
                </w:tcPr>
                <w:p w14:paraId="7D1381EB">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0.0000 </w:t>
                  </w:r>
                </w:p>
              </w:tc>
            </w:tr>
            <w:tr w14:paraId="4E72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4097AC6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TN</w:t>
                  </w:r>
                </w:p>
              </w:tc>
              <w:tc>
                <w:tcPr>
                  <w:tcW w:w="593" w:type="pct"/>
                  <w:noWrap w:val="0"/>
                  <w:vAlign w:val="center"/>
                </w:tcPr>
                <w:p w14:paraId="105A466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166.43</w:t>
                  </w:r>
                </w:p>
              </w:tc>
              <w:tc>
                <w:tcPr>
                  <w:tcW w:w="1356" w:type="dxa"/>
                  <w:noWrap w:val="0"/>
                  <w:vAlign w:val="center"/>
                </w:tcPr>
                <w:p w14:paraId="63E2E51B">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0.0024 </w:t>
                  </w:r>
                </w:p>
              </w:tc>
              <w:tc>
                <w:tcPr>
                  <w:tcW w:w="598" w:type="pct"/>
                  <w:vMerge w:val="continue"/>
                  <w:noWrap w:val="0"/>
                  <w:vAlign w:val="center"/>
                </w:tcPr>
                <w:p w14:paraId="59A68CC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735E6C7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75</w:t>
                  </w:r>
                </w:p>
              </w:tc>
              <w:tc>
                <w:tcPr>
                  <w:tcW w:w="1737" w:type="dxa"/>
                  <w:noWrap w:val="0"/>
                  <w:vAlign w:val="center"/>
                </w:tcPr>
                <w:p w14:paraId="1BEF9600">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41.61 </w:t>
                  </w:r>
                </w:p>
              </w:tc>
              <w:tc>
                <w:tcPr>
                  <w:tcW w:w="1361" w:type="dxa"/>
                  <w:noWrap w:val="0"/>
                  <w:vAlign w:val="center"/>
                </w:tcPr>
                <w:p w14:paraId="7DC68EF3">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0.0006 </w:t>
                  </w:r>
                </w:p>
              </w:tc>
            </w:tr>
            <w:tr w14:paraId="0923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740D51F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TP</w:t>
                  </w:r>
                </w:p>
              </w:tc>
              <w:tc>
                <w:tcPr>
                  <w:tcW w:w="593" w:type="pct"/>
                  <w:noWrap w:val="0"/>
                  <w:vAlign w:val="center"/>
                </w:tcPr>
                <w:p w14:paraId="039AC96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23.78</w:t>
                  </w:r>
                </w:p>
              </w:tc>
              <w:tc>
                <w:tcPr>
                  <w:tcW w:w="1356" w:type="dxa"/>
                  <w:noWrap w:val="0"/>
                  <w:vAlign w:val="center"/>
                </w:tcPr>
                <w:p w14:paraId="69772E34">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0.0003 </w:t>
                  </w:r>
                </w:p>
              </w:tc>
              <w:tc>
                <w:tcPr>
                  <w:tcW w:w="598" w:type="pct"/>
                  <w:vMerge w:val="continue"/>
                  <w:noWrap w:val="0"/>
                  <w:vAlign w:val="center"/>
                </w:tcPr>
                <w:p w14:paraId="2A42CE0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3C7D4D0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65</w:t>
                  </w:r>
                </w:p>
              </w:tc>
              <w:tc>
                <w:tcPr>
                  <w:tcW w:w="1737" w:type="dxa"/>
                  <w:noWrap w:val="0"/>
                  <w:vAlign w:val="center"/>
                </w:tcPr>
                <w:p w14:paraId="0FA1CDDB">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8.32 </w:t>
                  </w:r>
                </w:p>
              </w:tc>
              <w:tc>
                <w:tcPr>
                  <w:tcW w:w="1361" w:type="dxa"/>
                  <w:noWrap w:val="0"/>
                  <w:vAlign w:val="center"/>
                </w:tcPr>
                <w:p w14:paraId="6373DCAE">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0.0001 </w:t>
                  </w:r>
                </w:p>
              </w:tc>
            </w:tr>
            <w:tr w14:paraId="01BB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2168CF0A">
                  <w:pPr>
                    <w:keepNext w:val="0"/>
                    <w:keepLines w:val="0"/>
                    <w:pageBreakBefore w:val="0"/>
                    <w:widowControl w:val="0"/>
                    <w:kinsoku/>
                    <w:wordWrap/>
                    <w:overflowPunct/>
                    <w:topLinePunct w:val="0"/>
                    <w:autoSpaceDE w:val="0"/>
                    <w:autoSpaceDN/>
                    <w:bidi w:val="0"/>
                    <w:adjustRightInd/>
                    <w:snapToGrid/>
                    <w:ind w:firstLine="0" w:firstLineChars="0"/>
                    <w:jc w:val="left"/>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注：污水处理实设施效率参考于废水处理设计方案：废水处理效率=（进水浓度-出水浓度）/进水浓度</w:t>
                  </w:r>
                </w:p>
              </w:tc>
            </w:tr>
          </w:tbl>
          <w:p w14:paraId="5B958B14">
            <w:pPr>
              <w:bidi w:val="0"/>
              <w:rPr>
                <w:rFonts w:hint="default" w:eastAsia="宋体"/>
                <w:color w:val="auto"/>
                <w:u w:val="none" w:color="auto"/>
                <w:lang w:val="en-US" w:eastAsia="zh-CN"/>
              </w:rPr>
            </w:pPr>
            <w:r>
              <w:rPr>
                <w:rFonts w:hint="eastAsia"/>
                <w:color w:val="auto"/>
                <w:u w:val="none" w:color="auto"/>
                <w:lang w:val="en-US" w:eastAsia="zh-CN"/>
              </w:rPr>
              <w:t>本项目考虑最不利环境影响</w:t>
            </w:r>
            <w:r>
              <w:rPr>
                <w:rFonts w:hint="eastAsia"/>
                <w:color w:val="auto"/>
                <w:u w:val="none" w:color="auto"/>
              </w:rPr>
              <w:t>，</w:t>
            </w:r>
            <w:r>
              <w:rPr>
                <w:rFonts w:hint="eastAsia"/>
                <w:color w:val="auto"/>
                <w:u w:val="none" w:color="auto"/>
                <w:lang w:val="en-US" w:eastAsia="zh-CN"/>
              </w:rPr>
              <w:t>屠宰肉鸭废水中</w:t>
            </w:r>
            <w:r>
              <w:rPr>
                <w:rFonts w:hint="eastAsia"/>
                <w:color w:val="auto"/>
                <w:u w:val="none" w:color="auto"/>
              </w:rPr>
              <w:t>各污染物的产生浓度分别</w:t>
            </w:r>
            <w:r>
              <w:rPr>
                <w:rFonts w:hint="eastAsia"/>
                <w:color w:val="auto"/>
                <w:u w:val="none" w:color="auto"/>
                <w:lang w:val="en-US" w:eastAsia="zh-CN"/>
              </w:rPr>
              <w:t>按</w:t>
            </w:r>
            <w:r>
              <w:rPr>
                <w:rFonts w:hint="eastAsia"/>
                <w:color w:val="auto"/>
                <w:u w:val="none" w:color="auto"/>
              </w:rPr>
              <w:t>COD：</w:t>
            </w:r>
            <w:r>
              <w:rPr>
                <w:rFonts w:hint="eastAsia"/>
                <w:color w:val="auto"/>
                <w:u w:val="none" w:color="auto"/>
                <w:lang w:val="en-US" w:eastAsia="zh-CN"/>
              </w:rPr>
              <w:t xml:space="preserve">2000 </w:t>
            </w:r>
            <w:r>
              <w:rPr>
                <w:rFonts w:hint="eastAsia"/>
                <w:color w:val="auto"/>
                <w:u w:val="none" w:color="auto"/>
              </w:rPr>
              <w:t>mg/L，BOD</w:t>
            </w:r>
            <w:r>
              <w:rPr>
                <w:rFonts w:hint="eastAsia"/>
                <w:color w:val="auto"/>
                <w:u w:val="none" w:color="auto"/>
                <w:vertAlign w:val="subscript"/>
              </w:rPr>
              <w:t>5</w:t>
            </w:r>
            <w:r>
              <w:rPr>
                <w:rFonts w:hint="eastAsia"/>
                <w:color w:val="auto"/>
                <w:u w:val="none" w:color="auto"/>
              </w:rPr>
              <w:t>：1000</w:t>
            </w:r>
            <w:r>
              <w:rPr>
                <w:rFonts w:hint="eastAsia"/>
                <w:color w:val="auto"/>
                <w:u w:val="none" w:color="auto"/>
                <w:lang w:val="en-US" w:eastAsia="zh-CN"/>
              </w:rPr>
              <w:t xml:space="preserve"> </w:t>
            </w:r>
            <w:r>
              <w:rPr>
                <w:rFonts w:hint="eastAsia"/>
                <w:color w:val="auto"/>
                <w:u w:val="none" w:color="auto"/>
              </w:rPr>
              <w:t>mg/L，SS：1000</w:t>
            </w:r>
            <w:r>
              <w:rPr>
                <w:rFonts w:hint="eastAsia"/>
                <w:color w:val="auto"/>
                <w:u w:val="none" w:color="auto"/>
                <w:lang w:val="en-US" w:eastAsia="zh-CN"/>
              </w:rPr>
              <w:t xml:space="preserve"> </w:t>
            </w:r>
            <w:r>
              <w:rPr>
                <w:rFonts w:hint="eastAsia"/>
                <w:color w:val="auto"/>
                <w:u w:val="none" w:color="auto"/>
              </w:rPr>
              <w:t>mg/L，NH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 xml:space="preserve">83.824 </w:t>
            </w:r>
            <w:r>
              <w:rPr>
                <w:rFonts w:hint="eastAsia"/>
                <w:color w:val="auto"/>
                <w:u w:val="none" w:color="auto"/>
              </w:rPr>
              <w:t>mg/L，动植物油：100</w:t>
            </w:r>
            <w:r>
              <w:rPr>
                <w:rFonts w:hint="eastAsia"/>
                <w:color w:val="auto"/>
                <w:u w:val="none" w:color="auto"/>
                <w:lang w:val="en-US" w:eastAsia="zh-CN"/>
              </w:rPr>
              <w:t xml:space="preserve"> </w:t>
            </w:r>
            <w:r>
              <w:rPr>
                <w:rFonts w:hint="eastAsia"/>
                <w:color w:val="auto"/>
                <w:u w:val="none" w:color="auto"/>
              </w:rPr>
              <w:t>mg/L，总氮：</w:t>
            </w:r>
            <w:r>
              <w:rPr>
                <w:rFonts w:hint="eastAsia"/>
                <w:color w:val="auto"/>
                <w:u w:val="none" w:color="auto"/>
                <w:lang w:val="en-US" w:eastAsia="zh-CN"/>
              </w:rPr>
              <w:t xml:space="preserve">165.58 </w:t>
            </w:r>
            <w:r>
              <w:rPr>
                <w:rFonts w:hint="eastAsia"/>
                <w:color w:val="auto"/>
                <w:u w:val="none" w:color="auto"/>
              </w:rPr>
              <w:t>mg/L，总磷：</w:t>
            </w:r>
            <w:r>
              <w:rPr>
                <w:rFonts w:hint="eastAsia"/>
                <w:color w:val="auto"/>
                <w:u w:val="none" w:color="auto"/>
                <w:lang w:val="en-US" w:eastAsia="zh-CN"/>
              </w:rPr>
              <w:t xml:space="preserve">23.72 </w:t>
            </w:r>
            <w:r>
              <w:rPr>
                <w:rFonts w:hint="eastAsia"/>
                <w:color w:val="auto"/>
                <w:u w:val="none" w:color="auto"/>
              </w:rPr>
              <w:t>mg/L</w:t>
            </w:r>
            <w:r>
              <w:rPr>
                <w:rFonts w:hint="eastAsia"/>
                <w:color w:val="auto"/>
                <w:u w:val="none" w:color="auto"/>
                <w:lang w:val="en-US" w:eastAsia="zh-CN"/>
              </w:rPr>
              <w:t>计</w:t>
            </w:r>
            <w:r>
              <w:rPr>
                <w:rFonts w:hint="eastAsia"/>
                <w:color w:val="auto"/>
                <w:u w:color="auto"/>
              </w:rPr>
              <w:t>。</w:t>
            </w:r>
            <w:r>
              <w:rPr>
                <w:rFonts w:hint="eastAsia"/>
                <w:color w:val="auto"/>
                <w:u w:color="auto"/>
                <w:lang w:val="en-US" w:eastAsia="zh-CN"/>
              </w:rPr>
              <w:t>屠宰肉鸭的废水产生量为</w:t>
            </w:r>
            <w:r>
              <w:rPr>
                <w:rFonts w:hint="eastAsia"/>
                <w:color w:val="auto"/>
                <w:sz w:val="24"/>
                <w:szCs w:val="24"/>
                <w:lang w:val="en-US" w:eastAsia="zh-CN"/>
              </w:rPr>
              <w:t>21.5</w:t>
            </w:r>
            <w:r>
              <w:rPr>
                <w:rFonts w:hint="eastAsia"/>
                <w:color w:val="auto"/>
                <w:sz w:val="24"/>
                <w:szCs w:val="24"/>
                <w:u w:val="none"/>
                <w:lang w:val="en-US" w:eastAsia="zh-CN"/>
              </w:rPr>
              <w:t xml:space="preserve"> t/a</w:t>
            </w:r>
          </w:p>
          <w:p w14:paraId="39FE1217">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表4.7-5 项目营运期肉鸭屠宰生产废水产排污情况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25"/>
              <w:gridCol w:w="1355"/>
              <w:gridCol w:w="1033"/>
              <w:gridCol w:w="823"/>
              <w:gridCol w:w="1737"/>
              <w:gridCol w:w="1363"/>
            </w:tblGrid>
            <w:tr w14:paraId="7B1A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noWrap w:val="0"/>
                  <w:vAlign w:val="center"/>
                </w:tcPr>
                <w:p w14:paraId="4C6ED66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377" w:type="pct"/>
                  <w:gridSpan w:val="2"/>
                  <w:noWrap w:val="0"/>
                  <w:vAlign w:val="center"/>
                </w:tcPr>
                <w:p w14:paraId="79C16F8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olor w:val="auto"/>
                      <w:sz w:val="21"/>
                      <w:szCs w:val="21"/>
                      <w:u w:val="none" w:color="auto"/>
                      <w:lang w:val="en-US" w:eastAsia="zh-CN"/>
                    </w:rPr>
                    <w:t>21.5</w:t>
                  </w:r>
                  <w:r>
                    <w:rPr>
                      <w:rFonts w:hint="default"/>
                      <w:color w:val="auto"/>
                      <w:sz w:val="21"/>
                      <w:szCs w:val="21"/>
                      <w:u w:val="none" w:color="auto"/>
                      <w:lang w:val="en-US" w:eastAsia="zh-CN"/>
                    </w:rPr>
                    <w:t xml:space="preserve"> </w:t>
                  </w:r>
                  <w:r>
                    <w:rPr>
                      <w:color w:val="auto"/>
                      <w:sz w:val="21"/>
                      <w:szCs w:val="21"/>
                      <w:u w:val="none" w:color="auto"/>
                    </w:rPr>
                    <w:t>t/a）</w:t>
                  </w:r>
                </w:p>
              </w:tc>
              <w:tc>
                <w:tcPr>
                  <w:tcW w:w="1074" w:type="pct"/>
                  <w:gridSpan w:val="2"/>
                  <w:noWrap w:val="0"/>
                  <w:vAlign w:val="center"/>
                </w:tcPr>
                <w:p w14:paraId="205AC09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792" w:type="pct"/>
                  <w:gridSpan w:val="2"/>
                  <w:noWrap w:val="0"/>
                  <w:vAlign w:val="center"/>
                </w:tcPr>
                <w:p w14:paraId="0E7F4E5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olor w:val="auto"/>
                      <w:sz w:val="21"/>
                      <w:szCs w:val="21"/>
                      <w:u w:val="none" w:color="auto"/>
                      <w:lang w:val="en-US" w:eastAsia="zh-CN"/>
                    </w:rPr>
                    <w:t>21.5</w:t>
                  </w:r>
                  <w:r>
                    <w:rPr>
                      <w:rFonts w:hint="default"/>
                      <w:color w:val="auto"/>
                      <w:sz w:val="21"/>
                      <w:szCs w:val="21"/>
                      <w:u w:val="none" w:color="auto"/>
                      <w:lang w:val="en-US" w:eastAsia="zh-CN"/>
                    </w:rPr>
                    <w:t xml:space="preserve"> </w:t>
                  </w:r>
                  <w:r>
                    <w:rPr>
                      <w:color w:val="auto"/>
                      <w:sz w:val="21"/>
                      <w:szCs w:val="21"/>
                      <w:u w:val="none" w:color="auto"/>
                    </w:rPr>
                    <w:t>t/a）</w:t>
                  </w:r>
                </w:p>
              </w:tc>
            </w:tr>
            <w:tr w14:paraId="2EAC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55" w:type="pct"/>
                  <w:vMerge w:val="continue"/>
                  <w:noWrap w:val="0"/>
                  <w:vAlign w:val="center"/>
                </w:tcPr>
                <w:p w14:paraId="5120D81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593" w:type="pct"/>
                  <w:noWrap w:val="0"/>
                  <w:vAlign w:val="center"/>
                </w:tcPr>
                <w:p w14:paraId="61BCCE1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4" w:type="pct"/>
                  <w:noWrap w:val="0"/>
                  <w:vAlign w:val="center"/>
                </w:tcPr>
                <w:p w14:paraId="5C34C0E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598" w:type="pct"/>
                  <w:noWrap w:val="0"/>
                  <w:vAlign w:val="center"/>
                </w:tcPr>
                <w:p w14:paraId="378C2E0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475" w:type="pct"/>
                  <w:noWrap w:val="0"/>
                  <w:vAlign w:val="center"/>
                </w:tcPr>
                <w:p w14:paraId="614A383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1005" w:type="pct"/>
                  <w:noWrap w:val="0"/>
                  <w:vAlign w:val="center"/>
                </w:tcPr>
                <w:p w14:paraId="1A36F32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7" w:type="pct"/>
                  <w:noWrap w:val="0"/>
                  <w:vAlign w:val="center"/>
                </w:tcPr>
                <w:p w14:paraId="5B331DD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073F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26AD009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593" w:type="pct"/>
                  <w:noWrap w:val="0"/>
                  <w:vAlign w:val="center"/>
                </w:tcPr>
                <w:p w14:paraId="26706E2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2000</w:t>
                  </w:r>
                </w:p>
              </w:tc>
              <w:tc>
                <w:tcPr>
                  <w:tcW w:w="1356" w:type="dxa"/>
                  <w:noWrap w:val="0"/>
                  <w:vAlign w:val="center"/>
                </w:tcPr>
                <w:p w14:paraId="0F8D23AE">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0.0430 </w:t>
                  </w:r>
                </w:p>
              </w:tc>
              <w:tc>
                <w:tcPr>
                  <w:tcW w:w="598" w:type="pct"/>
                  <w:vMerge w:val="restart"/>
                  <w:noWrap w:val="0"/>
                  <w:vAlign w:val="center"/>
                </w:tcPr>
                <w:p w14:paraId="341B9F4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格栅+隔油+曝气+气浮+厌氧+好氧+沉淀+消毒池</w:t>
                  </w:r>
                </w:p>
              </w:tc>
              <w:tc>
                <w:tcPr>
                  <w:tcW w:w="475" w:type="pct"/>
                  <w:noWrap w:val="0"/>
                  <w:vAlign w:val="center"/>
                </w:tcPr>
                <w:p w14:paraId="3348F92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93.75</w:t>
                  </w:r>
                </w:p>
              </w:tc>
              <w:tc>
                <w:tcPr>
                  <w:tcW w:w="1737" w:type="dxa"/>
                  <w:noWrap w:val="0"/>
                  <w:vAlign w:val="center"/>
                </w:tcPr>
                <w:p w14:paraId="3A1424C6">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125.00 </w:t>
                  </w:r>
                </w:p>
              </w:tc>
              <w:tc>
                <w:tcPr>
                  <w:tcW w:w="1361" w:type="dxa"/>
                  <w:noWrap w:val="0"/>
                  <w:vAlign w:val="center"/>
                </w:tcPr>
                <w:p w14:paraId="70C5BC52">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0.0027 </w:t>
                  </w:r>
                </w:p>
              </w:tc>
            </w:tr>
            <w:tr w14:paraId="14C8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4B08DB0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593" w:type="pct"/>
                  <w:noWrap w:val="0"/>
                  <w:vAlign w:val="center"/>
                </w:tcPr>
                <w:p w14:paraId="1EF84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1000</w:t>
                  </w:r>
                </w:p>
              </w:tc>
              <w:tc>
                <w:tcPr>
                  <w:tcW w:w="1356" w:type="dxa"/>
                  <w:noWrap w:val="0"/>
                  <w:vAlign w:val="center"/>
                </w:tcPr>
                <w:p w14:paraId="339DCAB1">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0.0215 </w:t>
                  </w:r>
                </w:p>
              </w:tc>
              <w:tc>
                <w:tcPr>
                  <w:tcW w:w="598" w:type="pct"/>
                  <w:vMerge w:val="continue"/>
                  <w:noWrap w:val="0"/>
                  <w:vAlign w:val="center"/>
                </w:tcPr>
                <w:p w14:paraId="4132A61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369CFB9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92.5</w:t>
                  </w:r>
                </w:p>
              </w:tc>
              <w:tc>
                <w:tcPr>
                  <w:tcW w:w="1737" w:type="dxa"/>
                  <w:noWrap w:val="0"/>
                  <w:vAlign w:val="center"/>
                </w:tcPr>
                <w:p w14:paraId="540E45A4">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75.00 </w:t>
                  </w:r>
                </w:p>
              </w:tc>
              <w:tc>
                <w:tcPr>
                  <w:tcW w:w="1361" w:type="dxa"/>
                  <w:noWrap w:val="0"/>
                  <w:vAlign w:val="center"/>
                </w:tcPr>
                <w:p w14:paraId="1A346F07">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0.0016 </w:t>
                  </w:r>
                </w:p>
              </w:tc>
            </w:tr>
            <w:tr w14:paraId="5E12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019E16B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593" w:type="pct"/>
                  <w:noWrap w:val="0"/>
                  <w:vAlign w:val="center"/>
                </w:tcPr>
                <w:p w14:paraId="0F2106E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1000</w:t>
                  </w:r>
                </w:p>
              </w:tc>
              <w:tc>
                <w:tcPr>
                  <w:tcW w:w="1356" w:type="dxa"/>
                  <w:noWrap w:val="0"/>
                  <w:vAlign w:val="center"/>
                </w:tcPr>
                <w:p w14:paraId="6B88C07A">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0.0215 </w:t>
                  </w:r>
                </w:p>
              </w:tc>
              <w:tc>
                <w:tcPr>
                  <w:tcW w:w="598" w:type="pct"/>
                  <w:vMerge w:val="continue"/>
                  <w:noWrap w:val="0"/>
                  <w:vAlign w:val="center"/>
                </w:tcPr>
                <w:p w14:paraId="1E9D0D6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4442B26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86.67</w:t>
                  </w:r>
                </w:p>
              </w:tc>
              <w:tc>
                <w:tcPr>
                  <w:tcW w:w="1737" w:type="dxa"/>
                  <w:noWrap w:val="0"/>
                  <w:vAlign w:val="center"/>
                </w:tcPr>
                <w:p w14:paraId="42660E0C">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133.30 </w:t>
                  </w:r>
                </w:p>
              </w:tc>
              <w:tc>
                <w:tcPr>
                  <w:tcW w:w="1361" w:type="dxa"/>
                  <w:noWrap w:val="0"/>
                  <w:vAlign w:val="center"/>
                </w:tcPr>
                <w:p w14:paraId="0AC8A8AC">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0.0029 </w:t>
                  </w:r>
                </w:p>
              </w:tc>
            </w:tr>
            <w:tr w14:paraId="24C0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1A28D7B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593" w:type="pct"/>
                  <w:noWrap w:val="0"/>
                  <w:vAlign w:val="center"/>
                </w:tcPr>
                <w:p w14:paraId="1DBB03E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83.824</w:t>
                  </w:r>
                </w:p>
              </w:tc>
              <w:tc>
                <w:tcPr>
                  <w:tcW w:w="1356" w:type="dxa"/>
                  <w:noWrap w:val="0"/>
                  <w:vAlign w:val="center"/>
                </w:tcPr>
                <w:p w14:paraId="58CEFBD2">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0.0018 </w:t>
                  </w:r>
                </w:p>
              </w:tc>
              <w:tc>
                <w:tcPr>
                  <w:tcW w:w="598" w:type="pct"/>
                  <w:vMerge w:val="continue"/>
                  <w:noWrap w:val="0"/>
                  <w:vAlign w:val="center"/>
                </w:tcPr>
                <w:p w14:paraId="55A6DD0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251F057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1737" w:type="dxa"/>
                  <w:noWrap w:val="0"/>
                  <w:vAlign w:val="center"/>
                </w:tcPr>
                <w:p w14:paraId="7C14FC15">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16.76 </w:t>
                  </w:r>
                </w:p>
              </w:tc>
              <w:tc>
                <w:tcPr>
                  <w:tcW w:w="1361" w:type="dxa"/>
                  <w:noWrap w:val="0"/>
                  <w:vAlign w:val="center"/>
                </w:tcPr>
                <w:p w14:paraId="33E6C467">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0.0004 </w:t>
                  </w:r>
                </w:p>
              </w:tc>
            </w:tr>
            <w:tr w14:paraId="5D65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5E653EB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动植物油</w:t>
                  </w:r>
                </w:p>
              </w:tc>
              <w:tc>
                <w:tcPr>
                  <w:tcW w:w="593" w:type="pct"/>
                  <w:noWrap w:val="0"/>
                  <w:vAlign w:val="center"/>
                </w:tcPr>
                <w:p w14:paraId="1C261F3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1356" w:type="dxa"/>
                  <w:noWrap w:val="0"/>
                  <w:vAlign w:val="center"/>
                </w:tcPr>
                <w:p w14:paraId="6882D0EC">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0.0022 </w:t>
                  </w:r>
                </w:p>
              </w:tc>
              <w:tc>
                <w:tcPr>
                  <w:tcW w:w="598" w:type="pct"/>
                  <w:vMerge w:val="continue"/>
                  <w:noWrap w:val="0"/>
                  <w:vAlign w:val="center"/>
                </w:tcPr>
                <w:p w14:paraId="13D9909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58B83F9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98</w:t>
                  </w:r>
                </w:p>
              </w:tc>
              <w:tc>
                <w:tcPr>
                  <w:tcW w:w="1737" w:type="dxa"/>
                  <w:noWrap w:val="0"/>
                  <w:vAlign w:val="center"/>
                </w:tcPr>
                <w:p w14:paraId="3DC086CD">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2.00 </w:t>
                  </w:r>
                </w:p>
              </w:tc>
              <w:tc>
                <w:tcPr>
                  <w:tcW w:w="1361" w:type="dxa"/>
                  <w:noWrap w:val="0"/>
                  <w:vAlign w:val="center"/>
                </w:tcPr>
                <w:p w14:paraId="2B8CC07B">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0.0000 </w:t>
                  </w:r>
                </w:p>
              </w:tc>
            </w:tr>
            <w:tr w14:paraId="4881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38D66E3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TN</w:t>
                  </w:r>
                </w:p>
              </w:tc>
              <w:tc>
                <w:tcPr>
                  <w:tcW w:w="593" w:type="pct"/>
                  <w:noWrap w:val="0"/>
                  <w:vAlign w:val="center"/>
                </w:tcPr>
                <w:p w14:paraId="2BD85F9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165.58</w:t>
                  </w:r>
                </w:p>
              </w:tc>
              <w:tc>
                <w:tcPr>
                  <w:tcW w:w="1356" w:type="dxa"/>
                  <w:noWrap w:val="0"/>
                  <w:vAlign w:val="center"/>
                </w:tcPr>
                <w:p w14:paraId="00E0D313">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0.0036 </w:t>
                  </w:r>
                </w:p>
              </w:tc>
              <w:tc>
                <w:tcPr>
                  <w:tcW w:w="598" w:type="pct"/>
                  <w:vMerge w:val="continue"/>
                  <w:noWrap w:val="0"/>
                  <w:vAlign w:val="center"/>
                </w:tcPr>
                <w:p w14:paraId="48C6BD5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4946929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75</w:t>
                  </w:r>
                </w:p>
              </w:tc>
              <w:tc>
                <w:tcPr>
                  <w:tcW w:w="1737" w:type="dxa"/>
                  <w:noWrap w:val="0"/>
                  <w:vAlign w:val="center"/>
                </w:tcPr>
                <w:p w14:paraId="72858F23">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41.40 </w:t>
                  </w:r>
                </w:p>
              </w:tc>
              <w:tc>
                <w:tcPr>
                  <w:tcW w:w="1361" w:type="dxa"/>
                  <w:noWrap w:val="0"/>
                  <w:vAlign w:val="center"/>
                </w:tcPr>
                <w:p w14:paraId="052E90CD">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0.0009 </w:t>
                  </w:r>
                </w:p>
              </w:tc>
            </w:tr>
            <w:tr w14:paraId="102A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1D7F9C6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TP</w:t>
                  </w:r>
                </w:p>
              </w:tc>
              <w:tc>
                <w:tcPr>
                  <w:tcW w:w="593" w:type="pct"/>
                  <w:noWrap w:val="0"/>
                  <w:vAlign w:val="center"/>
                </w:tcPr>
                <w:p w14:paraId="3F1960C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23.72</w:t>
                  </w:r>
                </w:p>
              </w:tc>
              <w:tc>
                <w:tcPr>
                  <w:tcW w:w="1356" w:type="dxa"/>
                  <w:noWrap w:val="0"/>
                  <w:vAlign w:val="center"/>
                </w:tcPr>
                <w:p w14:paraId="57D1F647">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0.0005 </w:t>
                  </w:r>
                </w:p>
              </w:tc>
              <w:tc>
                <w:tcPr>
                  <w:tcW w:w="598" w:type="pct"/>
                  <w:vMerge w:val="continue"/>
                  <w:noWrap w:val="0"/>
                  <w:vAlign w:val="center"/>
                </w:tcPr>
                <w:p w14:paraId="6C41489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736087C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65</w:t>
                  </w:r>
                </w:p>
              </w:tc>
              <w:tc>
                <w:tcPr>
                  <w:tcW w:w="1737" w:type="dxa"/>
                  <w:noWrap w:val="0"/>
                  <w:vAlign w:val="center"/>
                </w:tcPr>
                <w:p w14:paraId="4F664076">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8.30 </w:t>
                  </w:r>
                </w:p>
              </w:tc>
              <w:tc>
                <w:tcPr>
                  <w:tcW w:w="1361" w:type="dxa"/>
                  <w:noWrap w:val="0"/>
                  <w:vAlign w:val="center"/>
                </w:tcPr>
                <w:p w14:paraId="53FA4B6B">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0.0002 </w:t>
                  </w:r>
                </w:p>
              </w:tc>
            </w:tr>
            <w:tr w14:paraId="6E32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67031184">
                  <w:pPr>
                    <w:keepNext w:val="0"/>
                    <w:keepLines w:val="0"/>
                    <w:pageBreakBefore w:val="0"/>
                    <w:widowControl w:val="0"/>
                    <w:kinsoku/>
                    <w:wordWrap/>
                    <w:overflowPunct/>
                    <w:topLinePunct w:val="0"/>
                    <w:autoSpaceDE w:val="0"/>
                    <w:autoSpaceDN/>
                    <w:bidi w:val="0"/>
                    <w:adjustRightInd/>
                    <w:snapToGrid/>
                    <w:ind w:firstLine="0" w:firstLineChars="0"/>
                    <w:jc w:val="left"/>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注：污水处理实设施效率参考于废水处理设计方案：废水处理效率=（进水浓度-出水浓度）/进水浓度</w:t>
                  </w:r>
                </w:p>
              </w:tc>
            </w:tr>
          </w:tbl>
          <w:p w14:paraId="5A2CE6D1">
            <w:pPr>
              <w:bidi w:val="0"/>
              <w:rPr>
                <w:rFonts w:hint="default" w:eastAsia="宋体"/>
                <w:color w:val="auto"/>
                <w:u w:val="none" w:color="auto"/>
                <w:lang w:val="en-US" w:eastAsia="zh-CN"/>
              </w:rPr>
            </w:pPr>
            <w:r>
              <w:rPr>
                <w:rFonts w:hint="eastAsia"/>
                <w:color w:val="auto"/>
                <w:u w:val="none" w:color="auto"/>
                <w:lang w:val="en-US" w:eastAsia="zh-CN"/>
              </w:rPr>
              <w:t>本项目考虑最不利环境影响</w:t>
            </w:r>
            <w:r>
              <w:rPr>
                <w:rFonts w:hint="eastAsia"/>
                <w:color w:val="auto"/>
                <w:u w:val="none" w:color="auto"/>
              </w:rPr>
              <w:t>，</w:t>
            </w:r>
            <w:r>
              <w:rPr>
                <w:rFonts w:hint="eastAsia"/>
                <w:color w:val="auto"/>
                <w:u w:val="none" w:color="auto"/>
                <w:lang w:val="en-US" w:eastAsia="zh-CN"/>
              </w:rPr>
              <w:t>屠宰肉鹅废水中</w:t>
            </w:r>
            <w:r>
              <w:rPr>
                <w:rFonts w:hint="eastAsia"/>
                <w:color w:val="auto"/>
                <w:u w:val="none" w:color="auto"/>
              </w:rPr>
              <w:t>各污染物的产生浓度分别</w:t>
            </w:r>
            <w:r>
              <w:rPr>
                <w:rFonts w:hint="eastAsia"/>
                <w:color w:val="auto"/>
                <w:u w:val="none" w:color="auto"/>
                <w:lang w:val="en-US" w:eastAsia="zh-CN"/>
              </w:rPr>
              <w:t>按</w:t>
            </w:r>
            <w:r>
              <w:rPr>
                <w:rFonts w:hint="eastAsia"/>
                <w:color w:val="auto"/>
                <w:u w:val="none" w:color="auto"/>
              </w:rPr>
              <w:t>COD：</w:t>
            </w:r>
            <w:r>
              <w:rPr>
                <w:rFonts w:hint="eastAsia"/>
                <w:color w:val="auto"/>
                <w:u w:val="none" w:color="auto"/>
                <w:lang w:val="en-US" w:eastAsia="zh-CN"/>
              </w:rPr>
              <w:t xml:space="preserve">2000 </w:t>
            </w:r>
            <w:r>
              <w:rPr>
                <w:rFonts w:hint="eastAsia"/>
                <w:color w:val="auto"/>
                <w:u w:val="none" w:color="auto"/>
              </w:rPr>
              <w:t>mg/L，BOD</w:t>
            </w:r>
            <w:r>
              <w:rPr>
                <w:rFonts w:hint="eastAsia"/>
                <w:color w:val="auto"/>
                <w:u w:val="none" w:color="auto"/>
                <w:vertAlign w:val="subscript"/>
              </w:rPr>
              <w:t>5</w:t>
            </w:r>
            <w:r>
              <w:rPr>
                <w:rFonts w:hint="eastAsia"/>
                <w:color w:val="auto"/>
                <w:u w:val="none" w:color="auto"/>
              </w:rPr>
              <w:t>：1000</w:t>
            </w:r>
            <w:r>
              <w:rPr>
                <w:rFonts w:hint="eastAsia"/>
                <w:color w:val="auto"/>
                <w:u w:val="none" w:color="auto"/>
                <w:lang w:val="en-US" w:eastAsia="zh-CN"/>
              </w:rPr>
              <w:t xml:space="preserve"> </w:t>
            </w:r>
            <w:r>
              <w:rPr>
                <w:rFonts w:hint="eastAsia"/>
                <w:color w:val="auto"/>
                <w:u w:val="none" w:color="auto"/>
              </w:rPr>
              <w:t>mg/L，SS：1000</w:t>
            </w:r>
            <w:r>
              <w:rPr>
                <w:rFonts w:hint="eastAsia"/>
                <w:color w:val="auto"/>
                <w:u w:val="none" w:color="auto"/>
                <w:lang w:val="en-US" w:eastAsia="zh-CN"/>
              </w:rPr>
              <w:t xml:space="preserve"> </w:t>
            </w:r>
            <w:r>
              <w:rPr>
                <w:rFonts w:hint="eastAsia"/>
                <w:color w:val="auto"/>
                <w:u w:val="none" w:color="auto"/>
              </w:rPr>
              <w:t>mg/L，NH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 xml:space="preserve">83.824 </w:t>
            </w:r>
            <w:r>
              <w:rPr>
                <w:rFonts w:hint="eastAsia"/>
                <w:color w:val="auto"/>
                <w:u w:val="none" w:color="auto"/>
              </w:rPr>
              <w:t>mg/L，动植物油：100</w:t>
            </w:r>
            <w:r>
              <w:rPr>
                <w:rFonts w:hint="eastAsia"/>
                <w:color w:val="auto"/>
                <w:u w:val="none" w:color="auto"/>
                <w:lang w:val="en-US" w:eastAsia="zh-CN"/>
              </w:rPr>
              <w:t xml:space="preserve"> </w:t>
            </w:r>
            <w:r>
              <w:rPr>
                <w:rFonts w:hint="eastAsia"/>
                <w:color w:val="auto"/>
                <w:u w:val="none" w:color="auto"/>
              </w:rPr>
              <w:t>mg/L，总氮：</w:t>
            </w:r>
            <w:r>
              <w:rPr>
                <w:rFonts w:hint="eastAsia"/>
                <w:color w:val="auto"/>
                <w:u w:val="none" w:color="auto"/>
                <w:lang w:val="en-US" w:eastAsia="zh-CN"/>
              </w:rPr>
              <w:t xml:space="preserve">166.54 </w:t>
            </w:r>
            <w:r>
              <w:rPr>
                <w:rFonts w:hint="eastAsia"/>
                <w:color w:val="auto"/>
                <w:u w:val="none" w:color="auto"/>
              </w:rPr>
              <w:t>mg/L，总磷：</w:t>
            </w:r>
            <w:r>
              <w:rPr>
                <w:rFonts w:hint="eastAsia"/>
                <w:color w:val="auto"/>
                <w:u w:val="none" w:color="auto"/>
                <w:lang w:val="en-US" w:eastAsia="zh-CN"/>
              </w:rPr>
              <w:t xml:space="preserve">23.74 </w:t>
            </w:r>
            <w:r>
              <w:rPr>
                <w:rFonts w:hint="eastAsia"/>
                <w:color w:val="auto"/>
                <w:u w:val="none" w:color="auto"/>
              </w:rPr>
              <w:t>mg/L</w:t>
            </w:r>
            <w:r>
              <w:rPr>
                <w:rFonts w:hint="eastAsia"/>
                <w:color w:val="auto"/>
                <w:u w:val="none" w:color="auto"/>
                <w:lang w:val="en-US" w:eastAsia="zh-CN"/>
              </w:rPr>
              <w:t>计</w:t>
            </w:r>
            <w:r>
              <w:rPr>
                <w:rFonts w:hint="eastAsia"/>
                <w:color w:val="auto"/>
                <w:u w:color="auto"/>
              </w:rPr>
              <w:t>。</w:t>
            </w:r>
            <w:r>
              <w:rPr>
                <w:rFonts w:hint="eastAsia"/>
                <w:color w:val="auto"/>
                <w:u w:color="auto"/>
                <w:lang w:val="en-US" w:eastAsia="zh-CN"/>
              </w:rPr>
              <w:t>屠宰肉鹅的废水产生量为</w:t>
            </w:r>
            <w:r>
              <w:rPr>
                <w:rFonts w:hint="eastAsia"/>
                <w:color w:val="auto"/>
                <w:sz w:val="24"/>
                <w:szCs w:val="24"/>
                <w:lang w:val="en-US" w:eastAsia="zh-CN"/>
              </w:rPr>
              <w:t>25.7</w:t>
            </w:r>
            <w:r>
              <w:rPr>
                <w:rFonts w:hint="eastAsia"/>
                <w:color w:val="auto"/>
                <w:sz w:val="24"/>
                <w:szCs w:val="24"/>
                <w:u w:val="none"/>
                <w:lang w:val="en-US" w:eastAsia="zh-CN"/>
              </w:rPr>
              <w:t xml:space="preserve"> t/a</w:t>
            </w:r>
          </w:p>
          <w:p w14:paraId="3F82F535">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表4.7-6 项目营运期肉鹅屠宰生产废水产排污情况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25"/>
              <w:gridCol w:w="1355"/>
              <w:gridCol w:w="1033"/>
              <w:gridCol w:w="823"/>
              <w:gridCol w:w="1737"/>
              <w:gridCol w:w="1363"/>
            </w:tblGrid>
            <w:tr w14:paraId="21B2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noWrap w:val="0"/>
                  <w:vAlign w:val="center"/>
                </w:tcPr>
                <w:p w14:paraId="34B7225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377" w:type="pct"/>
                  <w:gridSpan w:val="2"/>
                  <w:noWrap w:val="0"/>
                  <w:vAlign w:val="center"/>
                </w:tcPr>
                <w:p w14:paraId="463D0BB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olor w:val="auto"/>
                      <w:sz w:val="21"/>
                      <w:szCs w:val="21"/>
                      <w:u w:val="none" w:color="auto"/>
                      <w:lang w:val="en-US" w:eastAsia="zh-CN"/>
                    </w:rPr>
                    <w:t>25.7</w:t>
                  </w:r>
                  <w:r>
                    <w:rPr>
                      <w:rFonts w:hint="default"/>
                      <w:color w:val="auto"/>
                      <w:sz w:val="21"/>
                      <w:szCs w:val="21"/>
                      <w:u w:val="none" w:color="auto"/>
                      <w:lang w:val="en-US" w:eastAsia="zh-CN"/>
                    </w:rPr>
                    <w:t xml:space="preserve"> </w:t>
                  </w:r>
                  <w:r>
                    <w:rPr>
                      <w:color w:val="auto"/>
                      <w:sz w:val="21"/>
                      <w:szCs w:val="21"/>
                      <w:u w:val="none" w:color="auto"/>
                    </w:rPr>
                    <w:t>t/a）</w:t>
                  </w:r>
                </w:p>
              </w:tc>
              <w:tc>
                <w:tcPr>
                  <w:tcW w:w="1074" w:type="pct"/>
                  <w:gridSpan w:val="2"/>
                  <w:noWrap w:val="0"/>
                  <w:vAlign w:val="center"/>
                </w:tcPr>
                <w:p w14:paraId="47B9757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792" w:type="pct"/>
                  <w:gridSpan w:val="2"/>
                  <w:noWrap w:val="0"/>
                  <w:vAlign w:val="center"/>
                </w:tcPr>
                <w:p w14:paraId="53F57A3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olor w:val="auto"/>
                      <w:sz w:val="21"/>
                      <w:szCs w:val="21"/>
                      <w:u w:val="none" w:color="auto"/>
                      <w:lang w:val="en-US" w:eastAsia="zh-CN"/>
                    </w:rPr>
                    <w:t>25.7</w:t>
                  </w:r>
                  <w:r>
                    <w:rPr>
                      <w:rFonts w:hint="default"/>
                      <w:color w:val="auto"/>
                      <w:sz w:val="21"/>
                      <w:szCs w:val="21"/>
                      <w:u w:val="none" w:color="auto"/>
                      <w:lang w:val="en-US" w:eastAsia="zh-CN"/>
                    </w:rPr>
                    <w:t xml:space="preserve"> </w:t>
                  </w:r>
                  <w:r>
                    <w:rPr>
                      <w:color w:val="auto"/>
                      <w:sz w:val="21"/>
                      <w:szCs w:val="21"/>
                      <w:u w:val="none" w:color="auto"/>
                    </w:rPr>
                    <w:t>t/a）</w:t>
                  </w:r>
                </w:p>
              </w:tc>
            </w:tr>
            <w:tr w14:paraId="2049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55" w:type="pct"/>
                  <w:vMerge w:val="continue"/>
                  <w:noWrap w:val="0"/>
                  <w:vAlign w:val="center"/>
                </w:tcPr>
                <w:p w14:paraId="19B9A99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593" w:type="pct"/>
                  <w:noWrap w:val="0"/>
                  <w:vAlign w:val="center"/>
                </w:tcPr>
                <w:p w14:paraId="6C6607E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4" w:type="pct"/>
                  <w:noWrap w:val="0"/>
                  <w:vAlign w:val="center"/>
                </w:tcPr>
                <w:p w14:paraId="495B889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598" w:type="pct"/>
                  <w:noWrap w:val="0"/>
                  <w:vAlign w:val="center"/>
                </w:tcPr>
                <w:p w14:paraId="6803790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475" w:type="pct"/>
                  <w:noWrap w:val="0"/>
                  <w:vAlign w:val="center"/>
                </w:tcPr>
                <w:p w14:paraId="1319EBC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1005" w:type="pct"/>
                  <w:noWrap w:val="0"/>
                  <w:vAlign w:val="center"/>
                </w:tcPr>
                <w:p w14:paraId="256E4DC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87" w:type="pct"/>
                  <w:noWrap w:val="0"/>
                  <w:vAlign w:val="center"/>
                </w:tcPr>
                <w:p w14:paraId="6C05B872">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297B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5F65D93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593" w:type="pct"/>
                  <w:noWrap w:val="0"/>
                  <w:vAlign w:val="center"/>
                </w:tcPr>
                <w:p w14:paraId="30745E6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2000</w:t>
                  </w:r>
                </w:p>
              </w:tc>
              <w:tc>
                <w:tcPr>
                  <w:tcW w:w="1356" w:type="dxa"/>
                  <w:noWrap w:val="0"/>
                  <w:vAlign w:val="center"/>
                </w:tcPr>
                <w:p w14:paraId="65C278D7">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0.0514 </w:t>
                  </w:r>
                </w:p>
              </w:tc>
              <w:tc>
                <w:tcPr>
                  <w:tcW w:w="598" w:type="pct"/>
                  <w:vMerge w:val="restart"/>
                  <w:noWrap w:val="0"/>
                  <w:vAlign w:val="center"/>
                </w:tcPr>
                <w:p w14:paraId="7F11509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格栅+隔油+曝气+气浮+厌氧+好氧+沉淀+消毒池</w:t>
                  </w:r>
                </w:p>
              </w:tc>
              <w:tc>
                <w:tcPr>
                  <w:tcW w:w="475" w:type="pct"/>
                  <w:noWrap w:val="0"/>
                  <w:vAlign w:val="center"/>
                </w:tcPr>
                <w:p w14:paraId="22DDBEE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93.75</w:t>
                  </w:r>
                </w:p>
              </w:tc>
              <w:tc>
                <w:tcPr>
                  <w:tcW w:w="1737" w:type="dxa"/>
                  <w:noWrap w:val="0"/>
                  <w:vAlign w:val="center"/>
                </w:tcPr>
                <w:p w14:paraId="53622493">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125.00 </w:t>
                  </w:r>
                </w:p>
              </w:tc>
              <w:tc>
                <w:tcPr>
                  <w:tcW w:w="1361" w:type="dxa"/>
                  <w:noWrap w:val="0"/>
                  <w:vAlign w:val="center"/>
                </w:tcPr>
                <w:p w14:paraId="21C402AB">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0.0032 </w:t>
                  </w:r>
                </w:p>
              </w:tc>
            </w:tr>
            <w:tr w14:paraId="37C1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48D09FB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593" w:type="pct"/>
                  <w:noWrap w:val="0"/>
                  <w:vAlign w:val="center"/>
                </w:tcPr>
                <w:p w14:paraId="3499E5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1000</w:t>
                  </w:r>
                </w:p>
              </w:tc>
              <w:tc>
                <w:tcPr>
                  <w:tcW w:w="1356" w:type="dxa"/>
                  <w:noWrap w:val="0"/>
                  <w:vAlign w:val="center"/>
                </w:tcPr>
                <w:p w14:paraId="09CBC745">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0.0257 </w:t>
                  </w:r>
                </w:p>
              </w:tc>
              <w:tc>
                <w:tcPr>
                  <w:tcW w:w="598" w:type="pct"/>
                  <w:vMerge w:val="continue"/>
                  <w:noWrap w:val="0"/>
                  <w:vAlign w:val="center"/>
                </w:tcPr>
                <w:p w14:paraId="1574E67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63ECC8C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92.5</w:t>
                  </w:r>
                </w:p>
              </w:tc>
              <w:tc>
                <w:tcPr>
                  <w:tcW w:w="1737" w:type="dxa"/>
                  <w:noWrap w:val="0"/>
                  <w:vAlign w:val="center"/>
                </w:tcPr>
                <w:p w14:paraId="4B07B0BA">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75.00 </w:t>
                  </w:r>
                </w:p>
              </w:tc>
              <w:tc>
                <w:tcPr>
                  <w:tcW w:w="1361" w:type="dxa"/>
                  <w:noWrap w:val="0"/>
                  <w:vAlign w:val="center"/>
                </w:tcPr>
                <w:p w14:paraId="4FE6BA8B">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0.0019 </w:t>
                  </w:r>
                </w:p>
              </w:tc>
            </w:tr>
            <w:tr w14:paraId="74DA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4DE1B38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593" w:type="pct"/>
                  <w:noWrap w:val="0"/>
                  <w:vAlign w:val="center"/>
                </w:tcPr>
                <w:p w14:paraId="14F5F31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1000</w:t>
                  </w:r>
                </w:p>
              </w:tc>
              <w:tc>
                <w:tcPr>
                  <w:tcW w:w="1356" w:type="dxa"/>
                  <w:noWrap w:val="0"/>
                  <w:vAlign w:val="center"/>
                </w:tcPr>
                <w:p w14:paraId="70AFEE81">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0.0257 </w:t>
                  </w:r>
                </w:p>
              </w:tc>
              <w:tc>
                <w:tcPr>
                  <w:tcW w:w="598" w:type="pct"/>
                  <w:vMerge w:val="continue"/>
                  <w:noWrap w:val="0"/>
                  <w:vAlign w:val="center"/>
                </w:tcPr>
                <w:p w14:paraId="0626398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2DEC809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86.67</w:t>
                  </w:r>
                </w:p>
              </w:tc>
              <w:tc>
                <w:tcPr>
                  <w:tcW w:w="1737" w:type="dxa"/>
                  <w:noWrap w:val="0"/>
                  <w:vAlign w:val="center"/>
                </w:tcPr>
                <w:p w14:paraId="5304BDA2">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133.30 </w:t>
                  </w:r>
                </w:p>
              </w:tc>
              <w:tc>
                <w:tcPr>
                  <w:tcW w:w="1361" w:type="dxa"/>
                  <w:noWrap w:val="0"/>
                  <w:vAlign w:val="center"/>
                </w:tcPr>
                <w:p w14:paraId="097E2F34">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0.0034 </w:t>
                  </w:r>
                </w:p>
              </w:tc>
            </w:tr>
            <w:tr w14:paraId="4873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476C4C1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593" w:type="pct"/>
                  <w:noWrap w:val="0"/>
                  <w:vAlign w:val="center"/>
                </w:tcPr>
                <w:p w14:paraId="241DF24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83.824</w:t>
                  </w:r>
                </w:p>
              </w:tc>
              <w:tc>
                <w:tcPr>
                  <w:tcW w:w="1356" w:type="dxa"/>
                  <w:noWrap w:val="0"/>
                  <w:vAlign w:val="center"/>
                </w:tcPr>
                <w:p w14:paraId="3F1AEAF2">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0.0022 </w:t>
                  </w:r>
                </w:p>
              </w:tc>
              <w:tc>
                <w:tcPr>
                  <w:tcW w:w="598" w:type="pct"/>
                  <w:vMerge w:val="continue"/>
                  <w:noWrap w:val="0"/>
                  <w:vAlign w:val="center"/>
                </w:tcPr>
                <w:p w14:paraId="3CDEE0D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449C68B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1737" w:type="dxa"/>
                  <w:noWrap w:val="0"/>
                  <w:vAlign w:val="center"/>
                </w:tcPr>
                <w:p w14:paraId="53CD9D51">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16.76 </w:t>
                  </w:r>
                </w:p>
              </w:tc>
              <w:tc>
                <w:tcPr>
                  <w:tcW w:w="1361" w:type="dxa"/>
                  <w:noWrap w:val="0"/>
                  <w:vAlign w:val="center"/>
                </w:tcPr>
                <w:p w14:paraId="4F985B3C">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0.0004 </w:t>
                  </w:r>
                </w:p>
              </w:tc>
            </w:tr>
            <w:tr w14:paraId="1ECA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0CDCB9C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动植物油</w:t>
                  </w:r>
                </w:p>
              </w:tc>
              <w:tc>
                <w:tcPr>
                  <w:tcW w:w="593" w:type="pct"/>
                  <w:noWrap w:val="0"/>
                  <w:vAlign w:val="center"/>
                </w:tcPr>
                <w:p w14:paraId="4190A9F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c>
                <w:tcPr>
                  <w:tcW w:w="1356" w:type="dxa"/>
                  <w:noWrap w:val="0"/>
                  <w:vAlign w:val="center"/>
                </w:tcPr>
                <w:p w14:paraId="7725BCA8">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0.0026 </w:t>
                  </w:r>
                </w:p>
              </w:tc>
              <w:tc>
                <w:tcPr>
                  <w:tcW w:w="598" w:type="pct"/>
                  <w:vMerge w:val="continue"/>
                  <w:noWrap w:val="0"/>
                  <w:vAlign w:val="center"/>
                </w:tcPr>
                <w:p w14:paraId="68F2B23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6D0EDDE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98</w:t>
                  </w:r>
                </w:p>
              </w:tc>
              <w:tc>
                <w:tcPr>
                  <w:tcW w:w="1737" w:type="dxa"/>
                  <w:noWrap w:val="0"/>
                  <w:vAlign w:val="center"/>
                </w:tcPr>
                <w:p w14:paraId="13574F1C">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2.00 </w:t>
                  </w:r>
                </w:p>
              </w:tc>
              <w:tc>
                <w:tcPr>
                  <w:tcW w:w="1361" w:type="dxa"/>
                  <w:noWrap w:val="0"/>
                  <w:vAlign w:val="center"/>
                </w:tcPr>
                <w:p w14:paraId="4C032346">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0.0001 </w:t>
                  </w:r>
                </w:p>
              </w:tc>
            </w:tr>
            <w:tr w14:paraId="179A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19F82D9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TN</w:t>
                  </w:r>
                </w:p>
              </w:tc>
              <w:tc>
                <w:tcPr>
                  <w:tcW w:w="593" w:type="pct"/>
                  <w:noWrap w:val="0"/>
                  <w:vAlign w:val="center"/>
                </w:tcPr>
                <w:p w14:paraId="343A17C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166.54</w:t>
                  </w:r>
                </w:p>
              </w:tc>
              <w:tc>
                <w:tcPr>
                  <w:tcW w:w="1356" w:type="dxa"/>
                  <w:noWrap w:val="0"/>
                  <w:vAlign w:val="center"/>
                </w:tcPr>
                <w:p w14:paraId="0B2CBFB7">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0.0043 </w:t>
                  </w:r>
                </w:p>
              </w:tc>
              <w:tc>
                <w:tcPr>
                  <w:tcW w:w="598" w:type="pct"/>
                  <w:vMerge w:val="continue"/>
                  <w:noWrap w:val="0"/>
                  <w:vAlign w:val="center"/>
                </w:tcPr>
                <w:p w14:paraId="013F138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670077E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75</w:t>
                  </w:r>
                </w:p>
              </w:tc>
              <w:tc>
                <w:tcPr>
                  <w:tcW w:w="1737" w:type="dxa"/>
                  <w:noWrap w:val="0"/>
                  <w:vAlign w:val="center"/>
                </w:tcPr>
                <w:p w14:paraId="6685B97C">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41.64 </w:t>
                  </w:r>
                </w:p>
              </w:tc>
              <w:tc>
                <w:tcPr>
                  <w:tcW w:w="1361" w:type="dxa"/>
                  <w:noWrap w:val="0"/>
                  <w:vAlign w:val="center"/>
                </w:tcPr>
                <w:p w14:paraId="68D4A0B3">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0.0011 </w:t>
                  </w:r>
                </w:p>
              </w:tc>
            </w:tr>
            <w:tr w14:paraId="5192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14:paraId="1E490C8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TP</w:t>
                  </w:r>
                </w:p>
              </w:tc>
              <w:tc>
                <w:tcPr>
                  <w:tcW w:w="593" w:type="pct"/>
                  <w:noWrap w:val="0"/>
                  <w:vAlign w:val="center"/>
                </w:tcPr>
                <w:p w14:paraId="4E2DAC4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23.74</w:t>
                  </w:r>
                </w:p>
              </w:tc>
              <w:tc>
                <w:tcPr>
                  <w:tcW w:w="1356" w:type="dxa"/>
                  <w:noWrap w:val="0"/>
                  <w:vAlign w:val="center"/>
                </w:tcPr>
                <w:p w14:paraId="214EA6B9">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0.0006 </w:t>
                  </w:r>
                </w:p>
              </w:tc>
              <w:tc>
                <w:tcPr>
                  <w:tcW w:w="598" w:type="pct"/>
                  <w:vMerge w:val="continue"/>
                  <w:noWrap w:val="0"/>
                  <w:vAlign w:val="center"/>
                </w:tcPr>
                <w:p w14:paraId="421173B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475" w:type="pct"/>
                  <w:noWrap w:val="0"/>
                  <w:vAlign w:val="center"/>
                </w:tcPr>
                <w:p w14:paraId="24CDAC0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65</w:t>
                  </w:r>
                </w:p>
              </w:tc>
              <w:tc>
                <w:tcPr>
                  <w:tcW w:w="1737" w:type="dxa"/>
                  <w:noWrap w:val="0"/>
                  <w:vAlign w:val="center"/>
                </w:tcPr>
                <w:p w14:paraId="225287FB">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8.31 </w:t>
                  </w:r>
                </w:p>
              </w:tc>
              <w:tc>
                <w:tcPr>
                  <w:tcW w:w="1361" w:type="dxa"/>
                  <w:noWrap w:val="0"/>
                  <w:vAlign w:val="center"/>
                </w:tcPr>
                <w:p w14:paraId="6EEC8961">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0.0002 </w:t>
                  </w:r>
                </w:p>
              </w:tc>
            </w:tr>
            <w:tr w14:paraId="6670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5027E356">
                  <w:pPr>
                    <w:keepNext w:val="0"/>
                    <w:keepLines w:val="0"/>
                    <w:pageBreakBefore w:val="0"/>
                    <w:widowControl w:val="0"/>
                    <w:kinsoku/>
                    <w:wordWrap/>
                    <w:overflowPunct/>
                    <w:topLinePunct w:val="0"/>
                    <w:autoSpaceDE w:val="0"/>
                    <w:autoSpaceDN/>
                    <w:bidi w:val="0"/>
                    <w:adjustRightInd/>
                    <w:snapToGrid/>
                    <w:ind w:firstLine="0" w:firstLineChars="0"/>
                    <w:jc w:val="left"/>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注：污水处理实设施效率参考于废水处理设计方案：废水处理效率=（进水浓度-出水浓度）/进水浓度</w:t>
                  </w:r>
                </w:p>
              </w:tc>
            </w:tr>
          </w:tbl>
          <w:p w14:paraId="7EE9DFC3">
            <w:pPr>
              <w:keepNext w:val="0"/>
              <w:keepLines w:val="0"/>
              <w:widowControl/>
              <w:suppressLineNumbers w:val="0"/>
              <w:ind w:left="0" w:leftChars="0" w:firstLine="0" w:firstLineChars="0"/>
              <w:jc w:val="center"/>
              <w:rPr>
                <w:rFonts w:hint="default" w:ascii="Times New Roman" w:hAnsi="Times New Roman" w:cs="Times New Roman"/>
                <w:color w:val="auto"/>
                <w:kern w:val="2"/>
                <w:sz w:val="24"/>
                <w:szCs w:val="24"/>
                <w:u w:val="none" w:color="auto"/>
                <w:lang w:val="en-US" w:eastAsia="zh-CN" w:bidi="ar-SA"/>
              </w:rPr>
            </w:pPr>
            <w:r>
              <w:rPr>
                <w:rFonts w:hint="default" w:ascii="Times New Roman" w:hAnsi="Times New Roman" w:cs="Times New Roman"/>
                <w:color w:val="auto"/>
                <w:kern w:val="2"/>
                <w:sz w:val="24"/>
                <w:szCs w:val="24"/>
                <w:u w:val="none" w:color="auto"/>
                <w:lang w:val="en-US" w:eastAsia="zh-CN" w:bidi="ar-SA"/>
              </w:rPr>
              <w:t>表4.</w:t>
            </w:r>
            <w:r>
              <w:rPr>
                <w:rFonts w:hint="eastAsia" w:cs="Times New Roman"/>
                <w:color w:val="auto"/>
                <w:kern w:val="2"/>
                <w:sz w:val="24"/>
                <w:szCs w:val="24"/>
                <w:u w:val="none" w:color="auto"/>
                <w:lang w:val="en-US" w:eastAsia="zh-CN" w:bidi="ar-SA"/>
              </w:rPr>
              <w:t>7</w:t>
            </w:r>
            <w:r>
              <w:rPr>
                <w:rFonts w:hint="default" w:ascii="Times New Roman" w:hAnsi="Times New Roman"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7</w:t>
            </w:r>
            <w:r>
              <w:rPr>
                <w:rFonts w:hint="default" w:ascii="Times New Roman" w:hAnsi="Times New Roman" w:cs="Times New Roman"/>
                <w:color w:val="auto"/>
                <w:kern w:val="2"/>
                <w:sz w:val="24"/>
                <w:szCs w:val="24"/>
                <w:u w:val="none" w:color="auto"/>
                <w:lang w:val="en-US" w:eastAsia="zh-CN" w:bidi="ar-SA"/>
              </w:rPr>
              <w:t xml:space="preserve"> 项目营运期</w:t>
            </w:r>
            <w:r>
              <w:rPr>
                <w:rFonts w:hint="eastAsia" w:cs="Times New Roman"/>
                <w:color w:val="auto"/>
                <w:kern w:val="2"/>
                <w:sz w:val="24"/>
                <w:szCs w:val="24"/>
                <w:u w:val="none" w:color="auto"/>
                <w:lang w:val="en-US" w:eastAsia="zh-CN" w:bidi="ar-SA"/>
              </w:rPr>
              <w:t>屠宰生产</w:t>
            </w:r>
            <w:r>
              <w:rPr>
                <w:rFonts w:hint="default" w:ascii="Times New Roman" w:hAnsi="Times New Roman" w:cs="Times New Roman"/>
                <w:color w:val="auto"/>
                <w:kern w:val="2"/>
                <w:sz w:val="24"/>
                <w:szCs w:val="24"/>
                <w:u w:val="none" w:color="auto"/>
                <w:lang w:val="en-US" w:eastAsia="zh-CN" w:bidi="ar-SA"/>
              </w:rPr>
              <w:t>废水污染物排污情况</w:t>
            </w:r>
            <w:r>
              <w:rPr>
                <w:rFonts w:hint="eastAsia" w:cs="Times New Roman"/>
                <w:color w:val="auto"/>
                <w:kern w:val="2"/>
                <w:sz w:val="24"/>
                <w:szCs w:val="24"/>
                <w:u w:val="none" w:color="auto"/>
                <w:lang w:val="en-US" w:eastAsia="zh-CN" w:bidi="ar-SA"/>
              </w:rPr>
              <w:t>汇总</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86"/>
              <w:gridCol w:w="986"/>
              <w:gridCol w:w="820"/>
              <w:gridCol w:w="815"/>
              <w:gridCol w:w="800"/>
              <w:gridCol w:w="1028"/>
              <w:gridCol w:w="1029"/>
              <w:gridCol w:w="1042"/>
            </w:tblGrid>
            <w:tr w14:paraId="1B6C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Merge w:val="restart"/>
                  <w:noWrap w:val="0"/>
                  <w:vAlign w:val="center"/>
                </w:tcPr>
                <w:p w14:paraId="40379D7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污染物名称</w:t>
                  </w:r>
                </w:p>
              </w:tc>
              <w:tc>
                <w:tcPr>
                  <w:tcW w:w="3740" w:type="pct"/>
                  <w:gridSpan w:val="7"/>
                  <w:noWrap w:val="0"/>
                  <w:vAlign w:val="center"/>
                </w:tcPr>
                <w:p w14:paraId="18CD48B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混合后</w:t>
                  </w:r>
                  <w:r>
                    <w:rPr>
                      <w:rFonts w:ascii="Times New Roman" w:hAnsi="Times New Roman" w:cs="Times New Roman"/>
                      <w:color w:val="auto"/>
                      <w:sz w:val="21"/>
                      <w:szCs w:val="21"/>
                      <w:u w:val="none" w:color="auto"/>
                    </w:rPr>
                    <w:t>排放量（</w:t>
                  </w:r>
                  <w:r>
                    <w:rPr>
                      <w:rFonts w:hint="eastAsia" w:cs="Times New Roman"/>
                      <w:color w:val="auto"/>
                      <w:sz w:val="21"/>
                      <w:szCs w:val="21"/>
                      <w:u w:val="none" w:color="auto"/>
                      <w:lang w:val="en-US" w:eastAsia="zh-CN"/>
                    </w:rPr>
                    <w:t>63583.575</w:t>
                  </w:r>
                  <w:r>
                    <w:rPr>
                      <w:rFonts w:hint="default" w:ascii="Times New Roman" w:hAnsi="Times New Roman" w:cs="Times New Roman"/>
                      <w:color w:val="auto"/>
                      <w:sz w:val="21"/>
                      <w:szCs w:val="21"/>
                      <w:u w:val="none" w:color="auto"/>
                      <w:lang w:val="en-US" w:eastAsia="zh-CN"/>
                    </w:rPr>
                    <w:t xml:space="preserve"> </w:t>
                  </w:r>
                  <w:r>
                    <w:rPr>
                      <w:rFonts w:ascii="Times New Roman" w:hAnsi="Times New Roman" w:cs="Times New Roman"/>
                      <w:color w:val="auto"/>
                      <w:sz w:val="21"/>
                      <w:szCs w:val="21"/>
                      <w:u w:val="none" w:color="auto"/>
                    </w:rPr>
                    <w:t>t/a）</w:t>
                  </w:r>
                </w:p>
              </w:tc>
              <w:tc>
                <w:tcPr>
                  <w:tcW w:w="603" w:type="pct"/>
                  <w:vMerge w:val="restart"/>
                  <w:noWrap w:val="0"/>
                  <w:vAlign w:val="center"/>
                </w:tcPr>
                <w:p w14:paraId="05F18742">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执行标准</w:t>
                  </w:r>
                  <w:r>
                    <w:rPr>
                      <w:rFonts w:ascii="Times New Roman" w:hAnsi="Times New Roman" w:cs="Times New Roman"/>
                      <w:color w:val="auto"/>
                      <w:sz w:val="21"/>
                      <w:szCs w:val="21"/>
                      <w:u w:val="none" w:color="auto"/>
                    </w:rPr>
                    <w:t>（mg/L）</w:t>
                  </w:r>
                </w:p>
              </w:tc>
            </w:tr>
            <w:tr w14:paraId="3847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6" w:type="pct"/>
                  <w:vMerge w:val="continue"/>
                  <w:noWrap w:val="0"/>
                  <w:vAlign w:val="center"/>
                </w:tcPr>
                <w:p w14:paraId="64A897E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p>
              </w:tc>
              <w:tc>
                <w:tcPr>
                  <w:tcW w:w="3145" w:type="pct"/>
                  <w:gridSpan w:val="6"/>
                  <w:noWrap w:val="0"/>
                  <w:vAlign w:val="center"/>
                </w:tcPr>
                <w:p w14:paraId="6311D387">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排放</w:t>
                  </w:r>
                  <w:r>
                    <w:rPr>
                      <w:rFonts w:ascii="Times New Roman" w:hAnsi="Times New Roman" w:cs="Times New Roman"/>
                      <w:color w:val="auto"/>
                      <w:sz w:val="21"/>
                      <w:szCs w:val="21"/>
                      <w:u w:val="none" w:color="auto"/>
                    </w:rPr>
                    <w:t>量（t/a）</w:t>
                  </w:r>
                </w:p>
              </w:tc>
              <w:tc>
                <w:tcPr>
                  <w:tcW w:w="595" w:type="pct"/>
                  <w:vMerge w:val="restart"/>
                  <w:noWrap w:val="0"/>
                  <w:vAlign w:val="center"/>
                </w:tcPr>
                <w:p w14:paraId="5DE38B6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混合后</w:t>
                  </w:r>
                  <w:r>
                    <w:rPr>
                      <w:rFonts w:ascii="Times New Roman" w:hAnsi="Times New Roman" w:cs="Times New Roman"/>
                      <w:color w:val="auto"/>
                      <w:sz w:val="21"/>
                      <w:szCs w:val="21"/>
                      <w:u w:val="none" w:color="auto"/>
                    </w:rPr>
                    <w:t>浓度（mg/L）</w:t>
                  </w:r>
                </w:p>
              </w:tc>
              <w:tc>
                <w:tcPr>
                  <w:tcW w:w="603" w:type="pct"/>
                  <w:vMerge w:val="continue"/>
                  <w:shd w:val="clear" w:color="auto" w:fill="auto"/>
                  <w:noWrap w:val="0"/>
                  <w:vAlign w:val="center"/>
                </w:tcPr>
                <w:p w14:paraId="67B287CC">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r>
            <w:tr w14:paraId="2D68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6" w:type="pct"/>
                  <w:vMerge w:val="continue"/>
                  <w:noWrap w:val="0"/>
                  <w:vAlign w:val="center"/>
                </w:tcPr>
                <w:p w14:paraId="61774B8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color w:val="auto"/>
                    </w:rPr>
                  </w:pPr>
                </w:p>
              </w:tc>
              <w:tc>
                <w:tcPr>
                  <w:tcW w:w="570" w:type="pct"/>
                  <w:noWrap w:val="0"/>
                  <w:vAlign w:val="center"/>
                </w:tcPr>
                <w:p w14:paraId="3C56D691">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屠宰生猪</w:t>
                  </w:r>
                </w:p>
              </w:tc>
              <w:tc>
                <w:tcPr>
                  <w:tcW w:w="570" w:type="pct"/>
                  <w:noWrap w:val="0"/>
                  <w:vAlign w:val="center"/>
                </w:tcPr>
                <w:p w14:paraId="68A007B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屠宰肉牛</w:t>
                  </w:r>
                </w:p>
              </w:tc>
              <w:tc>
                <w:tcPr>
                  <w:tcW w:w="474" w:type="pct"/>
                  <w:noWrap w:val="0"/>
                  <w:vAlign w:val="center"/>
                </w:tcPr>
                <w:p w14:paraId="0AF8FC0F">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屠宰肉鸡</w:t>
                  </w:r>
                </w:p>
              </w:tc>
              <w:tc>
                <w:tcPr>
                  <w:tcW w:w="471" w:type="pct"/>
                  <w:noWrap w:val="0"/>
                  <w:vAlign w:val="center"/>
                </w:tcPr>
                <w:p w14:paraId="1FA91C46">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屠宰肉鸭</w:t>
                  </w:r>
                </w:p>
              </w:tc>
              <w:tc>
                <w:tcPr>
                  <w:tcW w:w="462" w:type="pct"/>
                  <w:noWrap w:val="0"/>
                  <w:vAlign w:val="center"/>
                </w:tcPr>
                <w:p w14:paraId="2200F73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屠宰肉鹅</w:t>
                  </w:r>
                </w:p>
              </w:tc>
              <w:tc>
                <w:tcPr>
                  <w:tcW w:w="594" w:type="pct"/>
                  <w:noWrap w:val="0"/>
                  <w:vAlign w:val="center"/>
                </w:tcPr>
                <w:p w14:paraId="13A23FF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合计</w:t>
                  </w:r>
                </w:p>
              </w:tc>
              <w:tc>
                <w:tcPr>
                  <w:tcW w:w="595" w:type="pct"/>
                  <w:vMerge w:val="continue"/>
                  <w:noWrap w:val="0"/>
                  <w:vAlign w:val="center"/>
                </w:tcPr>
                <w:p w14:paraId="3B55B79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603" w:type="pct"/>
                  <w:vMerge w:val="continue"/>
                  <w:noWrap w:val="0"/>
                  <w:vAlign w:val="center"/>
                </w:tcPr>
                <w:p w14:paraId="758906B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r>
            <w:tr w14:paraId="7534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noWrap w:val="0"/>
                  <w:vAlign w:val="center"/>
                </w:tcPr>
                <w:p w14:paraId="7323C0C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stheme="minorBidi"/>
                      <w:color w:val="auto"/>
                      <w:kern w:val="2"/>
                      <w:sz w:val="21"/>
                      <w:szCs w:val="21"/>
                      <w:u w:val="none" w:color="auto"/>
                      <w:lang w:val="en-US" w:eastAsia="zh-CN" w:bidi="ar-SA"/>
                    </w:rPr>
                  </w:pPr>
                  <w:r>
                    <w:rPr>
                      <w:color w:val="auto"/>
                      <w:sz w:val="21"/>
                      <w:szCs w:val="21"/>
                      <w:u w:val="none" w:color="auto"/>
                    </w:rPr>
                    <w:t>COD</w:t>
                  </w:r>
                  <w:r>
                    <w:rPr>
                      <w:color w:val="auto"/>
                      <w:sz w:val="21"/>
                      <w:szCs w:val="21"/>
                      <w:u w:val="none" w:color="auto"/>
                      <w:vertAlign w:val="subscript"/>
                    </w:rPr>
                    <w:t>Cr</w:t>
                  </w:r>
                </w:p>
              </w:tc>
              <w:tc>
                <w:tcPr>
                  <w:tcW w:w="570" w:type="pct"/>
                  <w:shd w:val="clear" w:color="auto" w:fill="auto"/>
                  <w:noWrap w:val="0"/>
                  <w:vAlign w:val="center"/>
                </w:tcPr>
                <w:p w14:paraId="7212FF69">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7.9804 </w:t>
                  </w:r>
                </w:p>
              </w:tc>
              <w:tc>
                <w:tcPr>
                  <w:tcW w:w="570" w:type="pct"/>
                  <w:shd w:val="clear" w:color="auto" w:fill="auto"/>
                  <w:noWrap w:val="0"/>
                  <w:vAlign w:val="center"/>
                </w:tcPr>
                <w:p w14:paraId="0D5EF812">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0.0694 </w:t>
                  </w:r>
                </w:p>
              </w:tc>
              <w:tc>
                <w:tcPr>
                  <w:tcW w:w="474" w:type="pct"/>
                  <w:shd w:val="clear" w:color="auto" w:fill="auto"/>
                  <w:noWrap w:val="0"/>
                  <w:vAlign w:val="center"/>
                </w:tcPr>
                <w:p w14:paraId="0CE25CB8">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0.0018 </w:t>
                  </w:r>
                </w:p>
              </w:tc>
              <w:tc>
                <w:tcPr>
                  <w:tcW w:w="471" w:type="pct"/>
                  <w:shd w:val="clear" w:color="auto" w:fill="auto"/>
                  <w:noWrap w:val="0"/>
                  <w:vAlign w:val="center"/>
                </w:tcPr>
                <w:p w14:paraId="617FF2BC">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0.0027 </w:t>
                  </w:r>
                </w:p>
              </w:tc>
              <w:tc>
                <w:tcPr>
                  <w:tcW w:w="462" w:type="pct"/>
                  <w:shd w:val="clear" w:color="auto" w:fill="auto"/>
                  <w:noWrap w:val="0"/>
                  <w:vAlign w:val="center"/>
                </w:tcPr>
                <w:p w14:paraId="27935750">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0.0032 </w:t>
                  </w:r>
                </w:p>
              </w:tc>
              <w:tc>
                <w:tcPr>
                  <w:tcW w:w="1028" w:type="dxa"/>
                  <w:noWrap w:val="0"/>
                  <w:vAlign w:val="center"/>
                </w:tcPr>
                <w:p w14:paraId="09605670">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8.0575</w:t>
                  </w:r>
                </w:p>
              </w:tc>
              <w:tc>
                <w:tcPr>
                  <w:tcW w:w="1029" w:type="dxa"/>
                  <w:noWrap w:val="0"/>
                  <w:vAlign w:val="center"/>
                </w:tcPr>
                <w:p w14:paraId="559D8F24">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126.72 </w:t>
                  </w:r>
                </w:p>
              </w:tc>
              <w:tc>
                <w:tcPr>
                  <w:tcW w:w="603" w:type="pct"/>
                  <w:shd w:val="clear" w:color="auto" w:fill="auto"/>
                  <w:noWrap w:val="0"/>
                  <w:vAlign w:val="center"/>
                </w:tcPr>
                <w:p w14:paraId="1A1C8E3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sz w:val="21"/>
                      <w:szCs w:val="21"/>
                      <w:u w:val="none" w:color="auto"/>
                      <w:vertAlign w:val="baseline"/>
                      <w:lang w:val="en-US" w:eastAsia="zh-CN" w:bidi="ar"/>
                    </w:rPr>
                    <w:t>500</w:t>
                  </w:r>
                </w:p>
              </w:tc>
            </w:tr>
            <w:tr w14:paraId="3CD4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vAlign w:val="center"/>
                </w:tcPr>
                <w:p w14:paraId="2530212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stheme="minorBidi"/>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570" w:type="pct"/>
                  <w:shd w:val="clear" w:color="auto" w:fill="auto"/>
                  <w:vAlign w:val="center"/>
                </w:tcPr>
                <w:p w14:paraId="5E00122E">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4.7439 </w:t>
                  </w:r>
                </w:p>
              </w:tc>
              <w:tc>
                <w:tcPr>
                  <w:tcW w:w="570" w:type="pct"/>
                  <w:shd w:val="clear" w:color="auto" w:fill="auto"/>
                  <w:vAlign w:val="center"/>
                </w:tcPr>
                <w:p w14:paraId="6608C7FC">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0.0203 </w:t>
                  </w:r>
                </w:p>
              </w:tc>
              <w:tc>
                <w:tcPr>
                  <w:tcW w:w="474" w:type="pct"/>
                  <w:shd w:val="clear" w:color="auto" w:fill="auto"/>
                  <w:vAlign w:val="center"/>
                </w:tcPr>
                <w:p w14:paraId="084911C6">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0.0011 </w:t>
                  </w:r>
                </w:p>
              </w:tc>
              <w:tc>
                <w:tcPr>
                  <w:tcW w:w="471" w:type="pct"/>
                  <w:shd w:val="clear" w:color="auto" w:fill="auto"/>
                  <w:vAlign w:val="center"/>
                </w:tcPr>
                <w:p w14:paraId="42FCB0BD">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0.0016 </w:t>
                  </w:r>
                </w:p>
              </w:tc>
              <w:tc>
                <w:tcPr>
                  <w:tcW w:w="462" w:type="pct"/>
                  <w:shd w:val="clear" w:color="auto" w:fill="auto"/>
                  <w:vAlign w:val="center"/>
                </w:tcPr>
                <w:p w14:paraId="04A56B4C">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0.0019 </w:t>
                  </w:r>
                </w:p>
              </w:tc>
              <w:tc>
                <w:tcPr>
                  <w:tcW w:w="1028" w:type="dxa"/>
                  <w:vAlign w:val="center"/>
                </w:tcPr>
                <w:p w14:paraId="24502D8F">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4.7688</w:t>
                  </w:r>
                </w:p>
              </w:tc>
              <w:tc>
                <w:tcPr>
                  <w:tcW w:w="1029" w:type="dxa"/>
                  <w:vAlign w:val="center"/>
                </w:tcPr>
                <w:p w14:paraId="1F984B4D">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75.00 </w:t>
                  </w:r>
                </w:p>
              </w:tc>
              <w:tc>
                <w:tcPr>
                  <w:tcW w:w="603" w:type="pct"/>
                  <w:vAlign w:val="center"/>
                </w:tcPr>
                <w:p w14:paraId="6AA8DBA9">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kern w:val="2"/>
                      <w:sz w:val="21"/>
                      <w:szCs w:val="21"/>
                      <w:u w:val="none" w:color="auto"/>
                      <w:vertAlign w:val="baseline"/>
                      <w:lang w:val="en-US" w:eastAsia="zh-CN" w:bidi="ar"/>
                    </w:rPr>
                    <w:t>300</w:t>
                  </w:r>
                </w:p>
              </w:tc>
            </w:tr>
            <w:tr w14:paraId="14EA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vAlign w:val="center"/>
                </w:tcPr>
                <w:p w14:paraId="1C54714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rPr>
                    <w:t>SS</w:t>
                  </w:r>
                </w:p>
              </w:tc>
              <w:tc>
                <w:tcPr>
                  <w:tcW w:w="570" w:type="pct"/>
                  <w:shd w:val="clear" w:color="auto" w:fill="auto"/>
                  <w:vAlign w:val="center"/>
                </w:tcPr>
                <w:p w14:paraId="27D6BA29">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8.4315 </w:t>
                  </w:r>
                </w:p>
              </w:tc>
              <w:tc>
                <w:tcPr>
                  <w:tcW w:w="570" w:type="pct"/>
                  <w:shd w:val="clear" w:color="auto" w:fill="auto"/>
                  <w:vAlign w:val="center"/>
                </w:tcPr>
                <w:p w14:paraId="54A050C0">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0.0360 </w:t>
                  </w:r>
                </w:p>
              </w:tc>
              <w:tc>
                <w:tcPr>
                  <w:tcW w:w="474" w:type="pct"/>
                  <w:shd w:val="clear" w:color="auto" w:fill="auto"/>
                  <w:vAlign w:val="center"/>
                </w:tcPr>
                <w:p w14:paraId="7B17E631">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0.0019 </w:t>
                  </w:r>
                </w:p>
              </w:tc>
              <w:tc>
                <w:tcPr>
                  <w:tcW w:w="471" w:type="pct"/>
                  <w:shd w:val="clear" w:color="auto" w:fill="auto"/>
                  <w:vAlign w:val="center"/>
                </w:tcPr>
                <w:p w14:paraId="09B60BC7">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0.0029 </w:t>
                  </w:r>
                </w:p>
              </w:tc>
              <w:tc>
                <w:tcPr>
                  <w:tcW w:w="462" w:type="pct"/>
                  <w:shd w:val="clear" w:color="auto" w:fill="auto"/>
                  <w:vAlign w:val="center"/>
                </w:tcPr>
                <w:p w14:paraId="4A28B0B4">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0.0034 </w:t>
                  </w:r>
                </w:p>
              </w:tc>
              <w:tc>
                <w:tcPr>
                  <w:tcW w:w="1028" w:type="dxa"/>
                  <w:vAlign w:val="center"/>
                </w:tcPr>
                <w:p w14:paraId="1DD10E90">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8.4757</w:t>
                  </w:r>
                </w:p>
              </w:tc>
              <w:tc>
                <w:tcPr>
                  <w:tcW w:w="1029" w:type="dxa"/>
                  <w:vAlign w:val="center"/>
                </w:tcPr>
                <w:p w14:paraId="7F27775F">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133.30 </w:t>
                  </w:r>
                </w:p>
              </w:tc>
              <w:tc>
                <w:tcPr>
                  <w:tcW w:w="603" w:type="pct"/>
                  <w:vAlign w:val="center"/>
                </w:tcPr>
                <w:p w14:paraId="74A75EC8">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kern w:val="2"/>
                      <w:sz w:val="21"/>
                      <w:szCs w:val="21"/>
                      <w:u w:val="none" w:color="auto"/>
                      <w:vertAlign w:val="baseline"/>
                      <w:lang w:val="en-US" w:eastAsia="zh-CN" w:bidi="ar"/>
                    </w:rPr>
                    <w:t>400</w:t>
                  </w:r>
                </w:p>
              </w:tc>
            </w:tr>
            <w:tr w14:paraId="3F68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vAlign w:val="center"/>
                </w:tcPr>
                <w:p w14:paraId="3C0AB34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570" w:type="pct"/>
                  <w:shd w:val="clear" w:color="auto" w:fill="auto"/>
                  <w:vAlign w:val="center"/>
                </w:tcPr>
                <w:p w14:paraId="5D1D9A31">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1.0740 </w:t>
                  </w:r>
                </w:p>
              </w:tc>
              <w:tc>
                <w:tcPr>
                  <w:tcW w:w="570" w:type="pct"/>
                  <w:shd w:val="clear" w:color="auto" w:fill="auto"/>
                  <w:vAlign w:val="center"/>
                </w:tcPr>
                <w:p w14:paraId="1D621FB4">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0.0061 </w:t>
                  </w:r>
                </w:p>
              </w:tc>
              <w:tc>
                <w:tcPr>
                  <w:tcW w:w="474" w:type="pct"/>
                  <w:shd w:val="clear" w:color="auto" w:fill="auto"/>
                  <w:vAlign w:val="center"/>
                </w:tcPr>
                <w:p w14:paraId="6F5B68F1">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0.0002 </w:t>
                  </w:r>
                </w:p>
              </w:tc>
              <w:tc>
                <w:tcPr>
                  <w:tcW w:w="471" w:type="pct"/>
                  <w:shd w:val="clear" w:color="auto" w:fill="auto"/>
                  <w:vAlign w:val="center"/>
                </w:tcPr>
                <w:p w14:paraId="2DAA3B34">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0.0004 </w:t>
                  </w:r>
                </w:p>
              </w:tc>
              <w:tc>
                <w:tcPr>
                  <w:tcW w:w="462" w:type="pct"/>
                  <w:shd w:val="clear" w:color="auto" w:fill="auto"/>
                  <w:vAlign w:val="center"/>
                </w:tcPr>
                <w:p w14:paraId="734D474B">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0.0004 </w:t>
                  </w:r>
                </w:p>
              </w:tc>
              <w:tc>
                <w:tcPr>
                  <w:tcW w:w="1028" w:type="dxa"/>
                  <w:vAlign w:val="center"/>
                </w:tcPr>
                <w:p w14:paraId="340F8BA7">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1.0811</w:t>
                  </w:r>
                </w:p>
              </w:tc>
              <w:tc>
                <w:tcPr>
                  <w:tcW w:w="1029" w:type="dxa"/>
                  <w:vAlign w:val="center"/>
                </w:tcPr>
                <w:p w14:paraId="6B52570E">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17.00 </w:t>
                  </w:r>
                </w:p>
              </w:tc>
              <w:tc>
                <w:tcPr>
                  <w:tcW w:w="603" w:type="pct"/>
                  <w:vAlign w:val="center"/>
                </w:tcPr>
                <w:p w14:paraId="2451A64A">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kern w:val="2"/>
                      <w:sz w:val="21"/>
                      <w:szCs w:val="21"/>
                      <w:u w:val="none" w:color="auto"/>
                      <w:vertAlign w:val="baseline"/>
                      <w:lang w:val="en-US" w:eastAsia="zh-CN" w:bidi="ar"/>
                    </w:rPr>
                    <w:t>45</w:t>
                  </w:r>
                </w:p>
              </w:tc>
            </w:tr>
            <w:tr w14:paraId="4E26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vAlign w:val="center"/>
                </w:tcPr>
                <w:p w14:paraId="4774CA4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动植物油</w:t>
                  </w:r>
                </w:p>
              </w:tc>
              <w:tc>
                <w:tcPr>
                  <w:tcW w:w="570" w:type="pct"/>
                  <w:shd w:val="clear" w:color="auto" w:fill="auto"/>
                  <w:vAlign w:val="center"/>
                </w:tcPr>
                <w:p w14:paraId="5EFDA846">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0.1265 </w:t>
                  </w:r>
                </w:p>
              </w:tc>
              <w:tc>
                <w:tcPr>
                  <w:tcW w:w="570" w:type="pct"/>
                  <w:shd w:val="clear" w:color="auto" w:fill="auto"/>
                  <w:vAlign w:val="center"/>
                </w:tcPr>
                <w:p w14:paraId="30A554AC">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0.0005 </w:t>
                  </w:r>
                </w:p>
              </w:tc>
              <w:tc>
                <w:tcPr>
                  <w:tcW w:w="474" w:type="pct"/>
                  <w:shd w:val="clear" w:color="auto" w:fill="auto"/>
                  <w:vAlign w:val="center"/>
                </w:tcPr>
                <w:p w14:paraId="7286AEBC">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0.0000 </w:t>
                  </w:r>
                </w:p>
              </w:tc>
              <w:tc>
                <w:tcPr>
                  <w:tcW w:w="471" w:type="pct"/>
                  <w:shd w:val="clear" w:color="auto" w:fill="auto"/>
                  <w:vAlign w:val="center"/>
                </w:tcPr>
                <w:p w14:paraId="2F19629B">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0.0000 </w:t>
                  </w:r>
                </w:p>
              </w:tc>
              <w:tc>
                <w:tcPr>
                  <w:tcW w:w="462" w:type="pct"/>
                  <w:shd w:val="clear" w:color="auto" w:fill="auto"/>
                  <w:vAlign w:val="center"/>
                </w:tcPr>
                <w:p w14:paraId="1064BEEB">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0.0001 </w:t>
                  </w:r>
                </w:p>
              </w:tc>
              <w:tc>
                <w:tcPr>
                  <w:tcW w:w="1028" w:type="dxa"/>
                  <w:vAlign w:val="center"/>
                </w:tcPr>
                <w:p w14:paraId="433AD980">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0.1271</w:t>
                  </w:r>
                </w:p>
              </w:tc>
              <w:tc>
                <w:tcPr>
                  <w:tcW w:w="1029" w:type="dxa"/>
                  <w:vAlign w:val="center"/>
                </w:tcPr>
                <w:p w14:paraId="51DF3369">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2.00 </w:t>
                  </w:r>
                </w:p>
              </w:tc>
              <w:tc>
                <w:tcPr>
                  <w:tcW w:w="603" w:type="pct"/>
                  <w:vAlign w:val="center"/>
                </w:tcPr>
                <w:p w14:paraId="622214CC">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kern w:val="2"/>
                      <w:sz w:val="21"/>
                      <w:szCs w:val="21"/>
                      <w:u w:val="none" w:color="auto"/>
                      <w:vertAlign w:val="baseline"/>
                      <w:lang w:val="en-US" w:eastAsia="zh-CN" w:bidi="ar"/>
                    </w:rPr>
                    <w:t>100</w:t>
                  </w:r>
                </w:p>
              </w:tc>
            </w:tr>
            <w:tr w14:paraId="556E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vAlign w:val="center"/>
                </w:tcPr>
                <w:p w14:paraId="7410030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TN</w:t>
                  </w:r>
                </w:p>
              </w:tc>
              <w:tc>
                <w:tcPr>
                  <w:tcW w:w="570" w:type="pct"/>
                  <w:shd w:val="clear" w:color="auto" w:fill="auto"/>
                  <w:vAlign w:val="center"/>
                </w:tcPr>
                <w:p w14:paraId="08BA5EB1">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2.7479 </w:t>
                  </w:r>
                </w:p>
              </w:tc>
              <w:tc>
                <w:tcPr>
                  <w:tcW w:w="570" w:type="pct"/>
                  <w:shd w:val="clear" w:color="auto" w:fill="auto"/>
                  <w:vAlign w:val="center"/>
                </w:tcPr>
                <w:p w14:paraId="52D3CBE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0.0162 </w:t>
                  </w:r>
                </w:p>
              </w:tc>
              <w:tc>
                <w:tcPr>
                  <w:tcW w:w="474" w:type="pct"/>
                  <w:shd w:val="clear" w:color="auto" w:fill="auto"/>
                  <w:vAlign w:val="center"/>
                </w:tcPr>
                <w:p w14:paraId="02D365D4">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0.0006 </w:t>
                  </w:r>
                </w:p>
              </w:tc>
              <w:tc>
                <w:tcPr>
                  <w:tcW w:w="471" w:type="pct"/>
                  <w:shd w:val="clear" w:color="auto" w:fill="auto"/>
                  <w:vAlign w:val="center"/>
                </w:tcPr>
                <w:p w14:paraId="394E7F4C">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0.0009 </w:t>
                  </w:r>
                </w:p>
              </w:tc>
              <w:tc>
                <w:tcPr>
                  <w:tcW w:w="462" w:type="pct"/>
                  <w:shd w:val="clear" w:color="auto" w:fill="auto"/>
                  <w:vAlign w:val="center"/>
                </w:tcPr>
                <w:p w14:paraId="25FC984B">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0.0011 </w:t>
                  </w:r>
                </w:p>
              </w:tc>
              <w:tc>
                <w:tcPr>
                  <w:tcW w:w="1028" w:type="dxa"/>
                  <w:vAlign w:val="center"/>
                </w:tcPr>
                <w:p w14:paraId="64310E0C">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2.7667</w:t>
                  </w:r>
                </w:p>
              </w:tc>
              <w:tc>
                <w:tcPr>
                  <w:tcW w:w="1029" w:type="dxa"/>
                  <w:vAlign w:val="center"/>
                </w:tcPr>
                <w:p w14:paraId="13A80A00">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43.51 </w:t>
                  </w:r>
                </w:p>
              </w:tc>
              <w:tc>
                <w:tcPr>
                  <w:tcW w:w="603" w:type="pct"/>
                  <w:vAlign w:val="center"/>
                </w:tcPr>
                <w:p w14:paraId="693DE4B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kern w:val="2"/>
                      <w:sz w:val="21"/>
                      <w:szCs w:val="21"/>
                      <w:u w:val="none" w:color="auto"/>
                      <w:vertAlign w:val="baseline"/>
                      <w:lang w:val="en-US" w:eastAsia="zh-CN" w:bidi="ar"/>
                    </w:rPr>
                    <w:t>70</w:t>
                  </w:r>
                </w:p>
              </w:tc>
            </w:tr>
            <w:tr w14:paraId="6896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vAlign w:val="center"/>
                </w:tcPr>
                <w:p w14:paraId="7E2DE96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TP</w:t>
                  </w:r>
                </w:p>
              </w:tc>
              <w:tc>
                <w:tcPr>
                  <w:tcW w:w="570" w:type="pct"/>
                  <w:shd w:val="clear" w:color="auto" w:fill="auto"/>
                  <w:vAlign w:val="center"/>
                </w:tcPr>
                <w:p w14:paraId="1B5DB187">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0.4140 </w:t>
                  </w:r>
                </w:p>
              </w:tc>
              <w:tc>
                <w:tcPr>
                  <w:tcW w:w="570" w:type="pct"/>
                  <w:shd w:val="clear" w:color="auto" w:fill="auto"/>
                  <w:vAlign w:val="center"/>
                </w:tcPr>
                <w:p w14:paraId="0AB7A2BD">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0.0013 </w:t>
                  </w:r>
                </w:p>
              </w:tc>
              <w:tc>
                <w:tcPr>
                  <w:tcW w:w="474" w:type="pct"/>
                  <w:shd w:val="clear" w:color="auto" w:fill="auto"/>
                  <w:vAlign w:val="center"/>
                </w:tcPr>
                <w:p w14:paraId="018D5044">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0.0001 </w:t>
                  </w:r>
                </w:p>
              </w:tc>
              <w:tc>
                <w:tcPr>
                  <w:tcW w:w="471" w:type="pct"/>
                  <w:shd w:val="clear" w:color="auto" w:fill="auto"/>
                  <w:vAlign w:val="center"/>
                </w:tcPr>
                <w:p w14:paraId="0ED9E4F6">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0.0002 </w:t>
                  </w:r>
                </w:p>
              </w:tc>
              <w:tc>
                <w:tcPr>
                  <w:tcW w:w="462" w:type="pct"/>
                  <w:shd w:val="clear" w:color="auto" w:fill="auto"/>
                  <w:vAlign w:val="center"/>
                </w:tcPr>
                <w:p w14:paraId="2D63B84A">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0.0002 </w:t>
                  </w:r>
                </w:p>
              </w:tc>
              <w:tc>
                <w:tcPr>
                  <w:tcW w:w="1028" w:type="dxa"/>
                  <w:vAlign w:val="center"/>
                </w:tcPr>
                <w:p w14:paraId="0FE23894">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0.4158</w:t>
                  </w:r>
                </w:p>
              </w:tc>
              <w:tc>
                <w:tcPr>
                  <w:tcW w:w="1029" w:type="dxa"/>
                  <w:vAlign w:val="center"/>
                </w:tcPr>
                <w:p w14:paraId="62F20167">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6.54 </w:t>
                  </w:r>
                </w:p>
              </w:tc>
              <w:tc>
                <w:tcPr>
                  <w:tcW w:w="603" w:type="pct"/>
                  <w:vAlign w:val="center"/>
                </w:tcPr>
                <w:p w14:paraId="3725703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
                    </w:rPr>
                  </w:pPr>
                  <w:r>
                    <w:rPr>
                      <w:rFonts w:hint="eastAsia" w:cs="Times New Roman"/>
                      <w:color w:val="auto"/>
                      <w:kern w:val="2"/>
                      <w:sz w:val="21"/>
                      <w:szCs w:val="21"/>
                      <w:u w:val="none" w:color="auto"/>
                      <w:vertAlign w:val="baseline"/>
                      <w:lang w:val="en-US" w:eastAsia="zh-CN" w:bidi="ar"/>
                    </w:rPr>
                    <w:t>8</w:t>
                  </w:r>
                </w:p>
              </w:tc>
            </w:tr>
          </w:tbl>
          <w:p w14:paraId="255F2B48">
            <w:pPr>
              <w:pStyle w:val="9"/>
              <w:rPr>
                <w:rFonts w:hint="default"/>
                <w:color w:val="auto"/>
                <w:lang w:val="en-US" w:eastAsia="zh-CN"/>
              </w:rPr>
            </w:pPr>
            <w:r>
              <w:rPr>
                <w:rFonts w:hint="eastAsia"/>
                <w:color w:val="auto"/>
                <w:lang w:val="en-US" w:eastAsia="zh-CN"/>
              </w:rPr>
              <w:t>2、车辆清洗废水</w:t>
            </w:r>
          </w:p>
          <w:p w14:paraId="195A0DC1">
            <w:pPr>
              <w:ind w:firstLine="480" w:firstLineChars="200"/>
              <w:rPr>
                <w:color w:val="auto"/>
              </w:rPr>
            </w:pPr>
            <w:r>
              <w:rPr>
                <w:rFonts w:hint="eastAsia"/>
                <w:color w:val="auto"/>
              </w:rPr>
              <w:t>车辆清洗前先进行干清粪，即猪粪先人工单独清出，再对车辆进行冲洗。根据《洗车污水排放标准》编制说明</w:t>
            </w:r>
            <w:r>
              <w:rPr>
                <w:rFonts w:hint="eastAsia"/>
                <w:color w:val="auto"/>
                <w:lang w:eastAsia="zh-CN"/>
              </w:rPr>
              <w:t>（</w:t>
            </w:r>
            <w:r>
              <w:rPr>
                <w:rFonts w:hint="eastAsia"/>
                <w:color w:val="auto"/>
              </w:rPr>
              <w:t>征求意见稿</w:t>
            </w:r>
            <w:r>
              <w:rPr>
                <w:rFonts w:hint="eastAsia"/>
                <w:color w:val="auto"/>
                <w:lang w:eastAsia="zh-CN"/>
              </w:rPr>
              <w:t>）</w:t>
            </w:r>
            <w:r>
              <w:rPr>
                <w:rFonts w:hint="eastAsia"/>
                <w:color w:val="auto"/>
              </w:rPr>
              <w:t>，一般洗车水质指标见下表。</w:t>
            </w:r>
          </w:p>
          <w:p w14:paraId="7C490054">
            <w:pPr>
              <w:jc w:val="center"/>
              <w:rPr>
                <w:b/>
                <w:bCs/>
                <w:color w:val="auto"/>
              </w:rPr>
            </w:pPr>
            <w:r>
              <w:rPr>
                <w:rFonts w:hint="eastAsia"/>
                <w:color w:val="auto"/>
                <w:u w:val="none" w:color="auto"/>
                <w:lang w:val="en-US" w:eastAsia="zh-CN"/>
              </w:rPr>
              <w:t>表4.7</w:t>
            </w:r>
            <w:r>
              <w:rPr>
                <w:rFonts w:hint="eastAsia" w:ascii="Times New Roman" w:hAnsi="Times New Roman"/>
                <w:color w:val="auto"/>
                <w:u w:val="none" w:color="auto"/>
                <w:lang w:val="en-US" w:eastAsia="zh-CN"/>
              </w:rPr>
              <w:t>-</w:t>
            </w:r>
            <w:r>
              <w:rPr>
                <w:rFonts w:hint="eastAsia"/>
                <w:color w:val="auto"/>
                <w:u w:val="none" w:color="auto"/>
                <w:lang w:val="en-US" w:eastAsia="zh-CN"/>
              </w:rPr>
              <w:t>8</w:t>
            </w:r>
            <w:r>
              <w:rPr>
                <w:rFonts w:hint="eastAsia" w:ascii="Times New Roman" w:hAnsi="Times New Roman"/>
                <w:b w:val="0"/>
                <w:bCs w:val="0"/>
                <w:color w:val="auto"/>
                <w:u w:val="none" w:color="auto"/>
              </w:rPr>
              <w:t xml:space="preserve"> 洗车废水水质指标</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357"/>
              <w:gridCol w:w="1450"/>
              <w:gridCol w:w="1737"/>
              <w:gridCol w:w="1186"/>
              <w:gridCol w:w="1186"/>
            </w:tblGrid>
            <w:tr w14:paraId="27E4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noWrap w:val="0"/>
                  <w:vAlign w:val="top"/>
                </w:tcPr>
                <w:p w14:paraId="1B3F07A2">
                  <w:pPr>
                    <w:spacing w:line="240" w:lineRule="auto"/>
                    <w:ind w:firstLine="0" w:firstLineChars="0"/>
                    <w:jc w:val="center"/>
                    <w:rPr>
                      <w:color w:val="auto"/>
                      <w:sz w:val="21"/>
                      <w:szCs w:val="21"/>
                    </w:rPr>
                  </w:pPr>
                  <w:r>
                    <w:rPr>
                      <w:rFonts w:hint="eastAsia"/>
                      <w:color w:val="auto"/>
                      <w:sz w:val="21"/>
                      <w:szCs w:val="21"/>
                    </w:rPr>
                    <w:t>水质项目</w:t>
                  </w:r>
                </w:p>
              </w:tc>
              <w:tc>
                <w:tcPr>
                  <w:tcW w:w="1357" w:type="dxa"/>
                  <w:noWrap w:val="0"/>
                  <w:vAlign w:val="top"/>
                </w:tcPr>
                <w:p w14:paraId="117844A7">
                  <w:pPr>
                    <w:spacing w:line="240" w:lineRule="auto"/>
                    <w:ind w:firstLine="0" w:firstLineChars="0"/>
                    <w:jc w:val="center"/>
                    <w:rPr>
                      <w:color w:val="auto"/>
                      <w:sz w:val="21"/>
                      <w:szCs w:val="21"/>
                    </w:rPr>
                  </w:pPr>
                  <w:r>
                    <w:rPr>
                      <w:rFonts w:hint="eastAsia"/>
                      <w:color w:val="auto"/>
                      <w:sz w:val="21"/>
                      <w:szCs w:val="21"/>
                    </w:rPr>
                    <w:t>COD</w:t>
                  </w:r>
                </w:p>
              </w:tc>
              <w:tc>
                <w:tcPr>
                  <w:tcW w:w="1450" w:type="dxa"/>
                  <w:noWrap w:val="0"/>
                  <w:vAlign w:val="top"/>
                </w:tcPr>
                <w:p w14:paraId="6C065E55">
                  <w:pPr>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1737" w:type="dxa"/>
                  <w:noWrap w:val="0"/>
                  <w:vAlign w:val="top"/>
                </w:tcPr>
                <w:p w14:paraId="3200D834">
                  <w:pPr>
                    <w:spacing w:line="240" w:lineRule="auto"/>
                    <w:ind w:firstLine="0" w:firstLineChars="0"/>
                    <w:jc w:val="center"/>
                    <w:rPr>
                      <w:color w:val="auto"/>
                      <w:sz w:val="21"/>
                      <w:szCs w:val="21"/>
                    </w:rPr>
                  </w:pPr>
                  <w:r>
                    <w:rPr>
                      <w:rFonts w:hint="eastAsia"/>
                      <w:color w:val="auto"/>
                      <w:sz w:val="21"/>
                      <w:szCs w:val="21"/>
                    </w:rPr>
                    <w:t>SS</w:t>
                  </w:r>
                </w:p>
              </w:tc>
              <w:tc>
                <w:tcPr>
                  <w:tcW w:w="1186" w:type="dxa"/>
                  <w:noWrap w:val="0"/>
                  <w:vAlign w:val="top"/>
                </w:tcPr>
                <w:p w14:paraId="451FB16C">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1186" w:type="dxa"/>
                  <w:noWrap w:val="0"/>
                  <w:vAlign w:val="top"/>
                </w:tcPr>
                <w:p w14:paraId="5AC9D4AE">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石油类</w:t>
                  </w:r>
                </w:p>
              </w:tc>
            </w:tr>
            <w:tr w14:paraId="5A7A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noWrap w:val="0"/>
                  <w:vAlign w:val="top"/>
                </w:tcPr>
                <w:p w14:paraId="34DC6114">
                  <w:pPr>
                    <w:spacing w:line="240" w:lineRule="auto"/>
                    <w:ind w:firstLine="0" w:firstLineChars="0"/>
                    <w:jc w:val="center"/>
                    <w:rPr>
                      <w:color w:val="auto"/>
                      <w:sz w:val="21"/>
                      <w:szCs w:val="21"/>
                    </w:rPr>
                  </w:pPr>
                  <w:r>
                    <w:rPr>
                      <w:rFonts w:hint="eastAsia"/>
                      <w:color w:val="auto"/>
                      <w:sz w:val="21"/>
                      <w:szCs w:val="21"/>
                    </w:rPr>
                    <w:t>指标</w:t>
                  </w:r>
                </w:p>
              </w:tc>
              <w:tc>
                <w:tcPr>
                  <w:tcW w:w="1357" w:type="dxa"/>
                  <w:noWrap w:val="0"/>
                  <w:vAlign w:val="top"/>
                </w:tcPr>
                <w:p w14:paraId="50B5D132">
                  <w:pPr>
                    <w:spacing w:line="240" w:lineRule="auto"/>
                    <w:ind w:firstLine="0" w:firstLineChars="0"/>
                    <w:jc w:val="center"/>
                    <w:rPr>
                      <w:color w:val="auto"/>
                      <w:sz w:val="21"/>
                      <w:szCs w:val="21"/>
                    </w:rPr>
                  </w:pPr>
                  <w:r>
                    <w:rPr>
                      <w:rFonts w:hint="eastAsia"/>
                      <w:color w:val="auto"/>
                      <w:sz w:val="21"/>
                      <w:szCs w:val="21"/>
                    </w:rPr>
                    <w:t>100~200</w:t>
                  </w:r>
                </w:p>
              </w:tc>
              <w:tc>
                <w:tcPr>
                  <w:tcW w:w="1450" w:type="dxa"/>
                  <w:noWrap w:val="0"/>
                  <w:vAlign w:val="top"/>
                </w:tcPr>
                <w:p w14:paraId="59D323EF">
                  <w:pPr>
                    <w:spacing w:line="240" w:lineRule="auto"/>
                    <w:ind w:firstLine="0" w:firstLineChars="0"/>
                    <w:jc w:val="center"/>
                    <w:rPr>
                      <w:color w:val="auto"/>
                      <w:sz w:val="21"/>
                      <w:szCs w:val="21"/>
                    </w:rPr>
                  </w:pPr>
                  <w:r>
                    <w:rPr>
                      <w:rFonts w:hint="eastAsia"/>
                      <w:color w:val="auto"/>
                      <w:sz w:val="21"/>
                      <w:szCs w:val="21"/>
                    </w:rPr>
                    <w:t>50~100</w:t>
                  </w:r>
                </w:p>
              </w:tc>
              <w:tc>
                <w:tcPr>
                  <w:tcW w:w="1737" w:type="dxa"/>
                  <w:noWrap w:val="0"/>
                  <w:vAlign w:val="top"/>
                </w:tcPr>
                <w:p w14:paraId="6ACCD627">
                  <w:pPr>
                    <w:spacing w:line="240" w:lineRule="auto"/>
                    <w:ind w:firstLine="0" w:firstLineChars="0"/>
                    <w:jc w:val="center"/>
                    <w:rPr>
                      <w:color w:val="auto"/>
                      <w:sz w:val="21"/>
                      <w:szCs w:val="21"/>
                    </w:rPr>
                  </w:pPr>
                  <w:r>
                    <w:rPr>
                      <w:rFonts w:hint="eastAsia"/>
                      <w:color w:val="auto"/>
                      <w:sz w:val="21"/>
                      <w:szCs w:val="21"/>
                    </w:rPr>
                    <w:t>300~500</w:t>
                  </w:r>
                </w:p>
              </w:tc>
              <w:tc>
                <w:tcPr>
                  <w:tcW w:w="1186" w:type="dxa"/>
                  <w:noWrap w:val="0"/>
                  <w:vAlign w:val="top"/>
                </w:tcPr>
                <w:p w14:paraId="2BA51666">
                  <w:pPr>
                    <w:spacing w:line="240" w:lineRule="auto"/>
                    <w:ind w:firstLine="0" w:firstLineChars="0"/>
                    <w:jc w:val="center"/>
                    <w:rPr>
                      <w:color w:val="auto"/>
                      <w:sz w:val="21"/>
                      <w:szCs w:val="21"/>
                    </w:rPr>
                  </w:pPr>
                  <w:r>
                    <w:rPr>
                      <w:rFonts w:hint="eastAsia"/>
                      <w:color w:val="auto"/>
                      <w:sz w:val="21"/>
                      <w:szCs w:val="21"/>
                    </w:rPr>
                    <w:t>10~16</w:t>
                  </w:r>
                </w:p>
              </w:tc>
              <w:tc>
                <w:tcPr>
                  <w:tcW w:w="1186" w:type="dxa"/>
                  <w:noWrap w:val="0"/>
                  <w:vAlign w:val="top"/>
                </w:tcPr>
                <w:p w14:paraId="24461E0A">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eastAsia="zh-CN"/>
                    </w:rPr>
                    <w:t>1</w:t>
                  </w:r>
                  <w:r>
                    <w:rPr>
                      <w:rFonts w:hint="eastAsia"/>
                      <w:color w:val="auto"/>
                      <w:sz w:val="21"/>
                      <w:szCs w:val="21"/>
                      <w:lang w:val="en-US" w:eastAsia="zh-CN"/>
                    </w:rPr>
                    <w:t>5</w:t>
                  </w:r>
                  <w:r>
                    <w:rPr>
                      <w:rFonts w:hint="eastAsia"/>
                      <w:color w:val="auto"/>
                      <w:sz w:val="21"/>
                      <w:szCs w:val="21"/>
                    </w:rPr>
                    <w:t>~</w:t>
                  </w:r>
                  <w:r>
                    <w:rPr>
                      <w:rFonts w:hint="eastAsia"/>
                      <w:color w:val="auto"/>
                      <w:sz w:val="21"/>
                      <w:szCs w:val="21"/>
                      <w:lang w:eastAsia="zh-CN"/>
                    </w:rPr>
                    <w:t>25</w:t>
                  </w:r>
                </w:p>
              </w:tc>
            </w:tr>
          </w:tbl>
          <w:p w14:paraId="59073EC5">
            <w:pPr>
              <w:bidi w:val="0"/>
              <w:rPr>
                <w:rFonts w:hint="eastAsia"/>
                <w:color w:val="auto"/>
                <w:u w:val="none" w:color="auto"/>
                <w:lang w:val="en-US" w:eastAsia="zh-CN"/>
              </w:rPr>
            </w:pPr>
            <w:r>
              <w:rPr>
                <w:rFonts w:hint="eastAsia"/>
                <w:color w:val="auto"/>
                <w:u w:val="none" w:color="auto"/>
                <w:lang w:val="en-US" w:eastAsia="zh-CN"/>
              </w:rPr>
              <w:t>本项目考虑最不利环境影响</w:t>
            </w:r>
            <w:r>
              <w:rPr>
                <w:rFonts w:hint="eastAsia"/>
                <w:color w:val="auto"/>
                <w:u w:val="none" w:color="auto"/>
              </w:rPr>
              <w:t>，各污染物的产生浓度分别</w:t>
            </w:r>
            <w:r>
              <w:rPr>
                <w:rFonts w:hint="eastAsia"/>
                <w:color w:val="auto"/>
                <w:u w:val="none" w:color="auto"/>
                <w:lang w:val="en-US" w:eastAsia="zh-CN"/>
              </w:rPr>
              <w:t>按</w:t>
            </w:r>
            <w:r>
              <w:rPr>
                <w:rFonts w:hint="eastAsia"/>
                <w:color w:val="auto"/>
                <w:u w:val="none" w:color="auto"/>
              </w:rPr>
              <w:t>COD：20</w:t>
            </w:r>
            <w:r>
              <w:rPr>
                <w:rFonts w:hint="eastAsia"/>
                <w:color w:val="auto"/>
                <w:u w:val="none" w:color="auto"/>
                <w:lang w:val="en-US" w:eastAsia="zh-CN"/>
              </w:rPr>
              <w:t xml:space="preserve">0 </w:t>
            </w:r>
            <w:r>
              <w:rPr>
                <w:rFonts w:hint="eastAsia"/>
                <w:color w:val="auto"/>
                <w:u w:val="none" w:color="auto"/>
              </w:rPr>
              <w:t>mg/L，BOD</w:t>
            </w:r>
            <w:r>
              <w:rPr>
                <w:rFonts w:hint="eastAsia"/>
                <w:color w:val="auto"/>
                <w:u w:val="none" w:color="auto"/>
                <w:vertAlign w:val="subscript"/>
              </w:rPr>
              <w:t>5</w:t>
            </w:r>
            <w:r>
              <w:rPr>
                <w:rFonts w:hint="eastAsia"/>
                <w:color w:val="auto"/>
                <w:u w:val="none" w:color="auto"/>
              </w:rPr>
              <w:t>：100</w:t>
            </w:r>
            <w:r>
              <w:rPr>
                <w:rFonts w:hint="eastAsia"/>
                <w:color w:val="auto"/>
                <w:u w:val="none" w:color="auto"/>
                <w:lang w:val="en-US" w:eastAsia="zh-CN"/>
              </w:rPr>
              <w:t xml:space="preserve"> </w:t>
            </w:r>
            <w:r>
              <w:rPr>
                <w:rFonts w:hint="eastAsia"/>
                <w:color w:val="auto"/>
                <w:u w:val="none" w:color="auto"/>
              </w:rPr>
              <w:t>mg/L，SS：</w:t>
            </w:r>
            <w:r>
              <w:rPr>
                <w:rFonts w:hint="eastAsia"/>
                <w:color w:val="auto"/>
                <w:u w:val="none" w:color="auto"/>
                <w:lang w:val="en-US" w:eastAsia="zh-CN"/>
              </w:rPr>
              <w:t>5</w:t>
            </w:r>
            <w:r>
              <w:rPr>
                <w:rFonts w:hint="eastAsia"/>
                <w:color w:val="auto"/>
                <w:u w:val="none" w:color="auto"/>
              </w:rPr>
              <w:t>00</w:t>
            </w:r>
            <w:r>
              <w:rPr>
                <w:rFonts w:hint="eastAsia"/>
                <w:color w:val="auto"/>
                <w:u w:val="none" w:color="auto"/>
                <w:lang w:val="en-US" w:eastAsia="zh-CN"/>
              </w:rPr>
              <w:t xml:space="preserve"> </w:t>
            </w:r>
            <w:r>
              <w:rPr>
                <w:rFonts w:hint="eastAsia"/>
                <w:color w:val="auto"/>
                <w:u w:val="none" w:color="auto"/>
              </w:rPr>
              <w:t>mg/L，NH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 xml:space="preserve">16 </w:t>
            </w:r>
            <w:r>
              <w:rPr>
                <w:rFonts w:hint="eastAsia"/>
                <w:color w:val="auto"/>
                <w:u w:val="none" w:color="auto"/>
              </w:rPr>
              <w:t>mg/L，</w:t>
            </w:r>
            <w:r>
              <w:rPr>
                <w:rFonts w:hint="eastAsia"/>
                <w:color w:val="auto"/>
                <w:u w:val="none" w:color="auto"/>
                <w:lang w:val="en-US" w:eastAsia="zh-CN"/>
              </w:rPr>
              <w:t>石油类</w:t>
            </w:r>
            <w:r>
              <w:rPr>
                <w:rFonts w:hint="eastAsia"/>
                <w:color w:val="auto"/>
                <w:u w:val="none" w:color="auto"/>
              </w:rPr>
              <w:t>：</w:t>
            </w:r>
            <w:r>
              <w:rPr>
                <w:rFonts w:hint="eastAsia"/>
                <w:color w:val="auto"/>
                <w:u w:val="none" w:color="auto"/>
                <w:lang w:val="en-US" w:eastAsia="zh-CN"/>
              </w:rPr>
              <w:t xml:space="preserve">25 </w:t>
            </w:r>
            <w:r>
              <w:rPr>
                <w:rFonts w:hint="eastAsia"/>
                <w:color w:val="auto"/>
                <w:u w:val="none" w:color="auto"/>
              </w:rPr>
              <w:t>mg/L</w:t>
            </w:r>
            <w:r>
              <w:rPr>
                <w:rFonts w:hint="eastAsia"/>
                <w:color w:val="auto"/>
                <w:u w:val="none" w:color="auto"/>
                <w:lang w:val="en-US" w:eastAsia="zh-CN"/>
              </w:rPr>
              <w:t>计</w:t>
            </w:r>
            <w:r>
              <w:rPr>
                <w:rFonts w:hint="eastAsia"/>
                <w:color w:val="auto"/>
                <w:u w:color="auto"/>
              </w:rPr>
              <w:t>。</w:t>
            </w:r>
          </w:p>
          <w:p w14:paraId="2F6ABC59">
            <w:pPr>
              <w:bidi w:val="0"/>
              <w:ind w:left="0" w:leftChars="0" w:firstLine="0" w:firstLineChars="0"/>
              <w:jc w:val="center"/>
              <w:rPr>
                <w:rFonts w:hint="default" w:eastAsia="宋体"/>
                <w:color w:val="auto"/>
                <w:u w:val="none" w:color="auto"/>
                <w:lang w:val="en-US" w:eastAsia="zh-CN"/>
              </w:rPr>
            </w:pPr>
            <w:r>
              <w:rPr>
                <w:rFonts w:hint="eastAsia"/>
                <w:color w:val="auto"/>
                <w:u w:val="none" w:color="auto"/>
                <w:lang w:val="en-US" w:eastAsia="zh-CN"/>
              </w:rPr>
              <w:t>表4.7-9 项目营运期车辆清洗废水产排污情况</w:t>
            </w:r>
          </w:p>
          <w:tbl>
            <w:tblPr>
              <w:tblStyle w:val="22"/>
              <w:tblW w:w="867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328"/>
              <w:gridCol w:w="1315"/>
              <w:gridCol w:w="1189"/>
              <w:gridCol w:w="1128"/>
              <w:gridCol w:w="1356"/>
              <w:gridCol w:w="1458"/>
            </w:tblGrid>
            <w:tr w14:paraId="4B0C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restart"/>
                  <w:noWrap w:val="0"/>
                  <w:vAlign w:val="center"/>
                </w:tcPr>
                <w:p w14:paraId="4524974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污染物名称</w:t>
                  </w:r>
                </w:p>
              </w:tc>
              <w:tc>
                <w:tcPr>
                  <w:tcW w:w="1522" w:type="pct"/>
                  <w:gridSpan w:val="2"/>
                  <w:noWrap w:val="0"/>
                  <w:vAlign w:val="center"/>
                </w:tcPr>
                <w:p w14:paraId="3DC1AC2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w:t>
                  </w:r>
                  <w:r>
                    <w:rPr>
                      <w:rFonts w:hint="eastAsia" w:cs="Times New Roman"/>
                      <w:color w:val="auto"/>
                      <w:sz w:val="21"/>
                      <w:szCs w:val="21"/>
                      <w:u w:val="none" w:color="auto"/>
                      <w:lang w:val="en-US" w:eastAsia="zh-CN"/>
                    </w:rPr>
                    <w:t>1464</w:t>
                  </w:r>
                  <w:r>
                    <w:rPr>
                      <w:rFonts w:hint="eastAsia"/>
                      <w:color w:val="auto"/>
                      <w:sz w:val="21"/>
                      <w:szCs w:val="21"/>
                      <w:u w:val="none" w:color="auto"/>
                      <w:lang w:val="en-US" w:eastAsia="zh-CN"/>
                    </w:rPr>
                    <w:t xml:space="preserve"> </w:t>
                  </w:r>
                  <w:r>
                    <w:rPr>
                      <w:color w:val="auto"/>
                      <w:sz w:val="21"/>
                      <w:szCs w:val="21"/>
                      <w:u w:val="none" w:color="auto"/>
                    </w:rPr>
                    <w:t>t/a）</w:t>
                  </w:r>
                </w:p>
              </w:tc>
              <w:tc>
                <w:tcPr>
                  <w:tcW w:w="1335" w:type="pct"/>
                  <w:gridSpan w:val="2"/>
                  <w:noWrap w:val="0"/>
                  <w:vAlign w:val="center"/>
                </w:tcPr>
                <w:p w14:paraId="6C04A9D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处理措施</w:t>
                  </w:r>
                </w:p>
              </w:tc>
              <w:tc>
                <w:tcPr>
                  <w:tcW w:w="1621" w:type="pct"/>
                  <w:gridSpan w:val="2"/>
                  <w:noWrap w:val="0"/>
                  <w:vAlign w:val="center"/>
                </w:tcPr>
                <w:p w14:paraId="0CB0931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处理后排放量（</w:t>
                  </w:r>
                  <w:r>
                    <w:rPr>
                      <w:rFonts w:hint="eastAsia" w:cs="Times New Roman"/>
                      <w:color w:val="auto"/>
                      <w:sz w:val="21"/>
                      <w:szCs w:val="21"/>
                      <w:u w:val="none" w:color="auto"/>
                      <w:lang w:val="en-US" w:eastAsia="zh-CN"/>
                    </w:rPr>
                    <w:t>1464</w:t>
                  </w:r>
                  <w:r>
                    <w:rPr>
                      <w:rFonts w:hint="eastAsia"/>
                      <w:color w:val="auto"/>
                      <w:sz w:val="21"/>
                      <w:szCs w:val="21"/>
                      <w:u w:val="none" w:color="auto"/>
                      <w:lang w:val="en-US" w:eastAsia="zh-CN"/>
                    </w:rPr>
                    <w:t xml:space="preserve"> </w:t>
                  </w:r>
                  <w:r>
                    <w:rPr>
                      <w:color w:val="auto"/>
                      <w:sz w:val="21"/>
                      <w:szCs w:val="21"/>
                      <w:u w:val="none" w:color="auto"/>
                    </w:rPr>
                    <w:t>t/a）</w:t>
                  </w:r>
                </w:p>
              </w:tc>
            </w:tr>
            <w:tr w14:paraId="4870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520" w:type="pct"/>
                  <w:vMerge w:val="continue"/>
                  <w:noWrap w:val="0"/>
                  <w:vAlign w:val="center"/>
                </w:tcPr>
                <w:p w14:paraId="712F636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p>
              </w:tc>
              <w:tc>
                <w:tcPr>
                  <w:tcW w:w="765" w:type="pct"/>
                  <w:noWrap w:val="0"/>
                  <w:vAlign w:val="center"/>
                </w:tcPr>
                <w:p w14:paraId="7CE9ED8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757" w:type="pct"/>
                  <w:noWrap w:val="0"/>
                  <w:vAlign w:val="center"/>
                </w:tcPr>
                <w:p w14:paraId="424776F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产生量（t/a）</w:t>
                  </w:r>
                </w:p>
              </w:tc>
              <w:tc>
                <w:tcPr>
                  <w:tcW w:w="685" w:type="pct"/>
                  <w:noWrap w:val="0"/>
                  <w:vAlign w:val="center"/>
                </w:tcPr>
                <w:p w14:paraId="7AC1158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工艺</w:t>
                  </w:r>
                </w:p>
              </w:tc>
              <w:tc>
                <w:tcPr>
                  <w:tcW w:w="649" w:type="pct"/>
                  <w:noWrap w:val="0"/>
                  <w:vAlign w:val="center"/>
                </w:tcPr>
                <w:p w14:paraId="6CEF1B1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效率（%）</w:t>
                  </w:r>
                </w:p>
              </w:tc>
              <w:tc>
                <w:tcPr>
                  <w:tcW w:w="781" w:type="pct"/>
                  <w:noWrap w:val="0"/>
                  <w:vAlign w:val="center"/>
                </w:tcPr>
                <w:p w14:paraId="156AD65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浓度（mg/L）</w:t>
                  </w:r>
                </w:p>
              </w:tc>
              <w:tc>
                <w:tcPr>
                  <w:tcW w:w="840" w:type="pct"/>
                  <w:noWrap w:val="0"/>
                  <w:vAlign w:val="center"/>
                </w:tcPr>
                <w:p w14:paraId="1B1872B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排放量（t/a）</w:t>
                  </w:r>
                </w:p>
              </w:tc>
            </w:tr>
            <w:tr w14:paraId="4CE4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noWrap w:val="0"/>
                  <w:vAlign w:val="center"/>
                </w:tcPr>
                <w:p w14:paraId="7225FB1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color w:val="auto"/>
                      <w:sz w:val="21"/>
                      <w:szCs w:val="21"/>
                      <w:u w:val="none" w:color="auto"/>
                    </w:rPr>
                    <w:t>COD</w:t>
                  </w:r>
                  <w:r>
                    <w:rPr>
                      <w:color w:val="auto"/>
                      <w:sz w:val="21"/>
                      <w:szCs w:val="21"/>
                      <w:u w:val="none" w:color="auto"/>
                      <w:vertAlign w:val="subscript"/>
                    </w:rPr>
                    <w:t>Cr</w:t>
                  </w:r>
                </w:p>
              </w:tc>
              <w:tc>
                <w:tcPr>
                  <w:tcW w:w="765" w:type="pct"/>
                  <w:noWrap w:val="0"/>
                  <w:vAlign w:val="center"/>
                </w:tcPr>
                <w:p w14:paraId="7F1E5DA5">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200</w:t>
                  </w:r>
                </w:p>
              </w:tc>
              <w:tc>
                <w:tcPr>
                  <w:tcW w:w="757" w:type="pct"/>
                  <w:noWrap w:val="0"/>
                  <w:vAlign w:val="center"/>
                </w:tcPr>
                <w:p w14:paraId="31DB7849">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0.2928 </w:t>
                  </w:r>
                </w:p>
              </w:tc>
              <w:tc>
                <w:tcPr>
                  <w:tcW w:w="685" w:type="pct"/>
                  <w:vMerge w:val="restart"/>
                  <w:noWrap w:val="0"/>
                  <w:vAlign w:val="center"/>
                </w:tcPr>
                <w:p w14:paraId="4464948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格栅+隔油+曝气+气浮+厌氧+好氧+沉淀+消毒池</w:t>
                  </w:r>
                </w:p>
              </w:tc>
              <w:tc>
                <w:tcPr>
                  <w:tcW w:w="649" w:type="pct"/>
                  <w:shd w:val="clear" w:color="auto" w:fill="auto"/>
                  <w:noWrap w:val="0"/>
                  <w:vAlign w:val="center"/>
                </w:tcPr>
                <w:p w14:paraId="36FB1E2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93.75</w:t>
                  </w:r>
                </w:p>
              </w:tc>
              <w:tc>
                <w:tcPr>
                  <w:tcW w:w="781" w:type="pct"/>
                  <w:noWrap w:val="0"/>
                  <w:vAlign w:val="center"/>
                </w:tcPr>
                <w:p w14:paraId="36649BA9">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12.50 </w:t>
                  </w:r>
                </w:p>
              </w:tc>
              <w:tc>
                <w:tcPr>
                  <w:tcW w:w="840" w:type="pct"/>
                  <w:noWrap w:val="0"/>
                  <w:vAlign w:val="center"/>
                </w:tcPr>
                <w:p w14:paraId="7A580803">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0.0183 </w:t>
                  </w:r>
                </w:p>
              </w:tc>
            </w:tr>
            <w:tr w14:paraId="427F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noWrap w:val="0"/>
                  <w:vAlign w:val="center"/>
                </w:tcPr>
                <w:p w14:paraId="6E1E303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765" w:type="pct"/>
                  <w:noWrap w:val="0"/>
                  <w:vAlign w:val="center"/>
                </w:tcPr>
                <w:p w14:paraId="7E0C87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100</w:t>
                  </w:r>
                </w:p>
              </w:tc>
              <w:tc>
                <w:tcPr>
                  <w:tcW w:w="757" w:type="pct"/>
                  <w:noWrap w:val="0"/>
                  <w:vAlign w:val="center"/>
                </w:tcPr>
                <w:p w14:paraId="28E5B9A7">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0.1464 </w:t>
                  </w:r>
                </w:p>
              </w:tc>
              <w:tc>
                <w:tcPr>
                  <w:tcW w:w="685" w:type="pct"/>
                  <w:vMerge w:val="continue"/>
                  <w:noWrap w:val="0"/>
                  <w:vAlign w:val="center"/>
                </w:tcPr>
                <w:p w14:paraId="4848BB9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49" w:type="pct"/>
                  <w:shd w:val="clear" w:color="auto" w:fill="auto"/>
                  <w:noWrap w:val="0"/>
                  <w:vAlign w:val="center"/>
                </w:tcPr>
                <w:p w14:paraId="79804B7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92.5</w:t>
                  </w:r>
                </w:p>
              </w:tc>
              <w:tc>
                <w:tcPr>
                  <w:tcW w:w="781" w:type="pct"/>
                  <w:noWrap w:val="0"/>
                  <w:vAlign w:val="center"/>
                </w:tcPr>
                <w:p w14:paraId="2FBF1808">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7.50 </w:t>
                  </w:r>
                </w:p>
              </w:tc>
              <w:tc>
                <w:tcPr>
                  <w:tcW w:w="840" w:type="pct"/>
                  <w:noWrap w:val="0"/>
                  <w:vAlign w:val="center"/>
                </w:tcPr>
                <w:p w14:paraId="427B837C">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0.0110 </w:t>
                  </w:r>
                </w:p>
              </w:tc>
            </w:tr>
            <w:tr w14:paraId="3A41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noWrap w:val="0"/>
                  <w:vAlign w:val="center"/>
                </w:tcPr>
                <w:p w14:paraId="1EFE6BC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color w:val="auto"/>
                      <w:sz w:val="21"/>
                      <w:szCs w:val="21"/>
                      <w:u w:val="none" w:color="auto"/>
                    </w:rPr>
                    <w:t>SS</w:t>
                  </w:r>
                </w:p>
              </w:tc>
              <w:tc>
                <w:tcPr>
                  <w:tcW w:w="765" w:type="pct"/>
                  <w:noWrap w:val="0"/>
                  <w:vAlign w:val="center"/>
                </w:tcPr>
                <w:p w14:paraId="4198EB73">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500</w:t>
                  </w:r>
                </w:p>
              </w:tc>
              <w:tc>
                <w:tcPr>
                  <w:tcW w:w="757" w:type="pct"/>
                  <w:noWrap w:val="0"/>
                  <w:vAlign w:val="center"/>
                </w:tcPr>
                <w:p w14:paraId="6B3229C2">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0.7320 </w:t>
                  </w:r>
                </w:p>
              </w:tc>
              <w:tc>
                <w:tcPr>
                  <w:tcW w:w="685" w:type="pct"/>
                  <w:vMerge w:val="continue"/>
                  <w:noWrap w:val="0"/>
                  <w:vAlign w:val="center"/>
                </w:tcPr>
                <w:p w14:paraId="0656965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49" w:type="pct"/>
                  <w:shd w:val="clear" w:color="auto" w:fill="auto"/>
                  <w:noWrap w:val="0"/>
                  <w:vAlign w:val="center"/>
                </w:tcPr>
                <w:p w14:paraId="47E395E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86.67</w:t>
                  </w:r>
                </w:p>
              </w:tc>
              <w:tc>
                <w:tcPr>
                  <w:tcW w:w="781" w:type="pct"/>
                  <w:noWrap w:val="0"/>
                  <w:vAlign w:val="center"/>
                </w:tcPr>
                <w:p w14:paraId="46D7CC13">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66.65 </w:t>
                  </w:r>
                </w:p>
              </w:tc>
              <w:tc>
                <w:tcPr>
                  <w:tcW w:w="840" w:type="pct"/>
                  <w:noWrap w:val="0"/>
                  <w:vAlign w:val="center"/>
                </w:tcPr>
                <w:p w14:paraId="02EC85E4">
                  <w:pPr>
                    <w:keepNext w:val="0"/>
                    <w:keepLines w:val="0"/>
                    <w:widowControl w:val="0"/>
                    <w:suppressLineNumbers w:val="0"/>
                    <w:autoSpaceDE w:val="0"/>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0.0976 </w:t>
                  </w:r>
                </w:p>
              </w:tc>
            </w:tr>
            <w:tr w14:paraId="0BB1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noWrap w:val="0"/>
                  <w:vAlign w:val="center"/>
                </w:tcPr>
                <w:p w14:paraId="5F13F2E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765" w:type="pct"/>
                  <w:noWrap w:val="0"/>
                  <w:vAlign w:val="center"/>
                </w:tcPr>
                <w:p w14:paraId="429CFD9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bidi="ar-SA"/>
                    </w:rPr>
                    <w:t>16</w:t>
                  </w:r>
                </w:p>
              </w:tc>
              <w:tc>
                <w:tcPr>
                  <w:tcW w:w="757" w:type="pct"/>
                  <w:noWrap w:val="0"/>
                  <w:vAlign w:val="center"/>
                </w:tcPr>
                <w:p w14:paraId="7666DDBE">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0.0234 </w:t>
                  </w:r>
                </w:p>
              </w:tc>
              <w:tc>
                <w:tcPr>
                  <w:tcW w:w="685" w:type="pct"/>
                  <w:vMerge w:val="continue"/>
                  <w:noWrap w:val="0"/>
                  <w:vAlign w:val="center"/>
                </w:tcPr>
                <w:p w14:paraId="374566C9">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49" w:type="pct"/>
                  <w:shd w:val="clear" w:color="auto" w:fill="auto"/>
                  <w:noWrap w:val="0"/>
                  <w:vAlign w:val="center"/>
                </w:tcPr>
                <w:p w14:paraId="26245BE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80</w:t>
                  </w:r>
                </w:p>
              </w:tc>
              <w:tc>
                <w:tcPr>
                  <w:tcW w:w="781" w:type="pct"/>
                  <w:noWrap w:val="0"/>
                  <w:vAlign w:val="center"/>
                </w:tcPr>
                <w:p w14:paraId="2B96A886">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3.20 </w:t>
                  </w:r>
                </w:p>
              </w:tc>
              <w:tc>
                <w:tcPr>
                  <w:tcW w:w="840" w:type="pct"/>
                  <w:noWrap w:val="0"/>
                  <w:vAlign w:val="center"/>
                </w:tcPr>
                <w:p w14:paraId="3EF223C8">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0.0047 </w:t>
                  </w:r>
                </w:p>
              </w:tc>
            </w:tr>
            <w:tr w14:paraId="58F9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noWrap w:val="0"/>
                  <w:vAlign w:val="center"/>
                </w:tcPr>
                <w:p w14:paraId="02A1DB8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石油类</w:t>
                  </w:r>
                </w:p>
              </w:tc>
              <w:tc>
                <w:tcPr>
                  <w:tcW w:w="765" w:type="pct"/>
                  <w:noWrap w:val="0"/>
                  <w:vAlign w:val="center"/>
                </w:tcPr>
                <w:p w14:paraId="5E8CD69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25</w:t>
                  </w:r>
                </w:p>
              </w:tc>
              <w:tc>
                <w:tcPr>
                  <w:tcW w:w="757" w:type="pct"/>
                  <w:noWrap w:val="0"/>
                  <w:vAlign w:val="center"/>
                </w:tcPr>
                <w:p w14:paraId="36B14137">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0.0366 </w:t>
                  </w:r>
                </w:p>
              </w:tc>
              <w:tc>
                <w:tcPr>
                  <w:tcW w:w="685" w:type="pct"/>
                  <w:vMerge w:val="continue"/>
                  <w:noWrap w:val="0"/>
                  <w:vAlign w:val="center"/>
                </w:tcPr>
                <w:p w14:paraId="6DB29A94">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649" w:type="pct"/>
                  <w:shd w:val="clear" w:color="auto" w:fill="auto"/>
                  <w:noWrap w:val="0"/>
                  <w:vAlign w:val="center"/>
                </w:tcPr>
                <w:p w14:paraId="5982A04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80</w:t>
                  </w:r>
                </w:p>
              </w:tc>
              <w:tc>
                <w:tcPr>
                  <w:tcW w:w="781" w:type="pct"/>
                  <w:noWrap w:val="0"/>
                  <w:vAlign w:val="center"/>
                </w:tcPr>
                <w:p w14:paraId="6472062C">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5.00 </w:t>
                  </w:r>
                </w:p>
              </w:tc>
              <w:tc>
                <w:tcPr>
                  <w:tcW w:w="840" w:type="pct"/>
                  <w:noWrap w:val="0"/>
                  <w:vAlign w:val="center"/>
                </w:tcPr>
                <w:p w14:paraId="160F834A">
                  <w:pPr>
                    <w:keepNext w:val="0"/>
                    <w:keepLines w:val="0"/>
                    <w:widowControl w:val="0"/>
                    <w:suppressLineNumbers w:val="0"/>
                    <w:autoSpaceDE w:val="0"/>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0.0073 </w:t>
                  </w:r>
                </w:p>
              </w:tc>
            </w:tr>
          </w:tbl>
          <w:p w14:paraId="0106DBC2">
            <w:pPr>
              <w:keepNext w:val="0"/>
              <w:keepLines w:val="0"/>
              <w:widowControl/>
              <w:suppressLineNumbers w:val="0"/>
              <w:ind w:left="0" w:leftChars="0" w:firstLine="480" w:firstLineChars="200"/>
              <w:jc w:val="both"/>
              <w:rPr>
                <w:rFonts w:hint="default" w:ascii="Times New Roman" w:hAnsi="Times New Roman"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本项目废水混合后排放量及排放浓度如下表所示：</w:t>
            </w:r>
          </w:p>
          <w:p w14:paraId="01725031">
            <w:pPr>
              <w:keepNext w:val="0"/>
              <w:keepLines w:val="0"/>
              <w:widowControl/>
              <w:suppressLineNumbers w:val="0"/>
              <w:ind w:left="0" w:leftChars="0" w:firstLine="0" w:firstLineChars="0"/>
              <w:jc w:val="center"/>
              <w:rPr>
                <w:rFonts w:hint="default" w:ascii="Times New Roman" w:hAnsi="Times New Roman" w:cs="Times New Roman"/>
                <w:color w:val="auto"/>
                <w:kern w:val="2"/>
                <w:sz w:val="24"/>
                <w:szCs w:val="24"/>
                <w:u w:val="none" w:color="auto"/>
                <w:lang w:val="en-US" w:eastAsia="zh-CN" w:bidi="ar-SA"/>
              </w:rPr>
            </w:pPr>
            <w:r>
              <w:rPr>
                <w:rFonts w:hint="default" w:ascii="Times New Roman" w:hAnsi="Times New Roman" w:cs="Times New Roman"/>
                <w:color w:val="auto"/>
                <w:kern w:val="2"/>
                <w:sz w:val="24"/>
                <w:szCs w:val="24"/>
                <w:u w:val="none" w:color="auto"/>
                <w:lang w:val="en-US" w:eastAsia="zh-CN" w:bidi="ar-SA"/>
              </w:rPr>
              <w:t>表4.</w:t>
            </w:r>
            <w:r>
              <w:rPr>
                <w:rFonts w:hint="eastAsia" w:cs="Times New Roman"/>
                <w:color w:val="auto"/>
                <w:kern w:val="2"/>
                <w:sz w:val="24"/>
                <w:szCs w:val="24"/>
                <w:u w:val="none" w:color="auto"/>
                <w:lang w:val="en-US" w:eastAsia="zh-CN" w:bidi="ar-SA"/>
              </w:rPr>
              <w:t>7</w:t>
            </w:r>
            <w:r>
              <w:rPr>
                <w:rFonts w:hint="default" w:ascii="Times New Roman" w:hAnsi="Times New Roman"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10</w:t>
            </w:r>
            <w:r>
              <w:rPr>
                <w:rFonts w:hint="default" w:ascii="Times New Roman" w:hAnsi="Times New Roman" w:cs="Times New Roman"/>
                <w:color w:val="auto"/>
                <w:kern w:val="2"/>
                <w:sz w:val="24"/>
                <w:szCs w:val="24"/>
                <w:u w:val="none" w:color="auto"/>
                <w:lang w:val="en-US" w:eastAsia="zh-CN" w:bidi="ar-SA"/>
              </w:rPr>
              <w:t xml:space="preserve"> 项目营运期废水</w:t>
            </w:r>
            <w:r>
              <w:rPr>
                <w:rFonts w:hint="eastAsia" w:cs="Times New Roman"/>
                <w:color w:val="auto"/>
                <w:kern w:val="2"/>
                <w:sz w:val="24"/>
                <w:szCs w:val="24"/>
                <w:u w:val="none" w:color="auto"/>
                <w:lang w:val="en-US" w:eastAsia="zh-CN" w:bidi="ar-SA"/>
              </w:rPr>
              <w:t>混合后</w:t>
            </w:r>
            <w:r>
              <w:rPr>
                <w:rFonts w:hint="default" w:ascii="Times New Roman" w:hAnsi="Times New Roman" w:cs="Times New Roman"/>
                <w:color w:val="auto"/>
                <w:kern w:val="2"/>
                <w:sz w:val="24"/>
                <w:szCs w:val="24"/>
                <w:u w:val="none" w:color="auto"/>
                <w:lang w:val="en-US" w:eastAsia="zh-CN" w:bidi="ar-SA"/>
              </w:rPr>
              <w:t>水污染物排污情况</w:t>
            </w:r>
            <w:r>
              <w:rPr>
                <w:rFonts w:hint="eastAsia" w:cs="Times New Roman"/>
                <w:color w:val="auto"/>
                <w:kern w:val="2"/>
                <w:sz w:val="24"/>
                <w:szCs w:val="24"/>
                <w:u w:val="none" w:color="auto"/>
                <w:lang w:val="en-US" w:eastAsia="zh-CN" w:bidi="ar-SA"/>
              </w:rPr>
              <w:t>汇总</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972"/>
              <w:gridCol w:w="1761"/>
              <w:gridCol w:w="1220"/>
              <w:gridCol w:w="1276"/>
              <w:gridCol w:w="1277"/>
            </w:tblGrid>
            <w:tr w14:paraId="28D7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vMerge w:val="restart"/>
                  <w:noWrap w:val="0"/>
                  <w:vAlign w:val="center"/>
                </w:tcPr>
                <w:p w14:paraId="43E6D8E1">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single" w:color="auto"/>
                    </w:rPr>
                  </w:pPr>
                  <w:r>
                    <w:rPr>
                      <w:rFonts w:ascii="Times New Roman" w:hAnsi="Times New Roman" w:cs="Times New Roman"/>
                      <w:color w:val="auto"/>
                      <w:sz w:val="21"/>
                      <w:szCs w:val="21"/>
                      <w:u w:val="single" w:color="auto"/>
                    </w:rPr>
                    <w:t>污染物名称</w:t>
                  </w:r>
                </w:p>
              </w:tc>
              <w:tc>
                <w:tcPr>
                  <w:tcW w:w="3604" w:type="pct"/>
                  <w:gridSpan w:val="4"/>
                  <w:noWrap w:val="0"/>
                  <w:vAlign w:val="center"/>
                </w:tcPr>
                <w:p w14:paraId="694A430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single" w:color="auto"/>
                    </w:rPr>
                  </w:pPr>
                  <w:r>
                    <w:rPr>
                      <w:rFonts w:hint="eastAsia" w:cs="Times New Roman"/>
                      <w:color w:val="auto"/>
                      <w:sz w:val="21"/>
                      <w:szCs w:val="21"/>
                      <w:u w:val="single" w:color="auto"/>
                      <w:lang w:val="en-US" w:eastAsia="zh-CN"/>
                    </w:rPr>
                    <w:t>混合后</w:t>
                  </w:r>
                  <w:r>
                    <w:rPr>
                      <w:rFonts w:ascii="Times New Roman" w:hAnsi="Times New Roman" w:cs="Times New Roman"/>
                      <w:color w:val="auto"/>
                      <w:sz w:val="21"/>
                      <w:szCs w:val="21"/>
                      <w:u w:val="single" w:color="auto"/>
                    </w:rPr>
                    <w:t>排放量（</w:t>
                  </w:r>
                  <w:r>
                    <w:rPr>
                      <w:rFonts w:hint="eastAsia" w:cs="Times New Roman"/>
                      <w:color w:val="auto"/>
                      <w:sz w:val="21"/>
                      <w:szCs w:val="21"/>
                      <w:u w:val="single" w:color="auto"/>
                      <w:lang w:val="en-US" w:eastAsia="zh-CN"/>
                    </w:rPr>
                    <w:t>65047.575</w:t>
                  </w:r>
                  <w:r>
                    <w:rPr>
                      <w:rFonts w:hint="default" w:ascii="Times New Roman" w:hAnsi="Times New Roman" w:cs="Times New Roman"/>
                      <w:color w:val="auto"/>
                      <w:sz w:val="21"/>
                      <w:szCs w:val="21"/>
                      <w:u w:val="single" w:color="auto"/>
                      <w:lang w:val="en-US" w:eastAsia="zh-CN"/>
                    </w:rPr>
                    <w:t xml:space="preserve"> </w:t>
                  </w:r>
                  <w:r>
                    <w:rPr>
                      <w:rFonts w:ascii="Times New Roman" w:hAnsi="Times New Roman" w:cs="Times New Roman"/>
                      <w:color w:val="auto"/>
                      <w:sz w:val="21"/>
                      <w:szCs w:val="21"/>
                      <w:u w:val="single" w:color="auto"/>
                    </w:rPr>
                    <w:t>t/a）</w:t>
                  </w:r>
                </w:p>
              </w:tc>
              <w:tc>
                <w:tcPr>
                  <w:tcW w:w="739" w:type="pct"/>
                  <w:vMerge w:val="restart"/>
                  <w:noWrap w:val="0"/>
                  <w:vAlign w:val="center"/>
                </w:tcPr>
                <w:p w14:paraId="69438E7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执行标准</w:t>
                  </w:r>
                  <w:r>
                    <w:rPr>
                      <w:rFonts w:ascii="Times New Roman" w:hAnsi="Times New Roman" w:cs="Times New Roman"/>
                      <w:color w:val="auto"/>
                      <w:sz w:val="21"/>
                      <w:szCs w:val="21"/>
                      <w:u w:val="single" w:color="auto"/>
                    </w:rPr>
                    <w:t>（mg/L）</w:t>
                  </w:r>
                </w:p>
              </w:tc>
            </w:tr>
            <w:tr w14:paraId="78E9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6" w:type="pct"/>
                  <w:vMerge w:val="continue"/>
                  <w:noWrap w:val="0"/>
                  <w:vAlign w:val="center"/>
                </w:tcPr>
                <w:p w14:paraId="159E9251">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single" w:color="auto"/>
                    </w:rPr>
                  </w:pPr>
                </w:p>
              </w:tc>
              <w:tc>
                <w:tcPr>
                  <w:tcW w:w="2866" w:type="pct"/>
                  <w:gridSpan w:val="3"/>
                  <w:noWrap w:val="0"/>
                  <w:vAlign w:val="center"/>
                </w:tcPr>
                <w:p w14:paraId="19462AF4">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排放</w:t>
                  </w:r>
                  <w:r>
                    <w:rPr>
                      <w:rFonts w:ascii="Times New Roman" w:hAnsi="Times New Roman" w:cs="Times New Roman"/>
                      <w:color w:val="auto"/>
                      <w:sz w:val="21"/>
                      <w:szCs w:val="21"/>
                      <w:u w:val="single" w:color="auto"/>
                    </w:rPr>
                    <w:t>量（t/a）</w:t>
                  </w:r>
                </w:p>
              </w:tc>
              <w:tc>
                <w:tcPr>
                  <w:tcW w:w="738" w:type="pct"/>
                  <w:vMerge w:val="restart"/>
                  <w:noWrap w:val="0"/>
                  <w:vAlign w:val="center"/>
                </w:tcPr>
                <w:p w14:paraId="097FACB9">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混合后</w:t>
                  </w:r>
                  <w:r>
                    <w:rPr>
                      <w:rFonts w:ascii="Times New Roman" w:hAnsi="Times New Roman" w:cs="Times New Roman"/>
                      <w:color w:val="auto"/>
                      <w:sz w:val="21"/>
                      <w:szCs w:val="21"/>
                      <w:u w:val="single" w:color="auto"/>
                    </w:rPr>
                    <w:t>浓度（mg/L）</w:t>
                  </w:r>
                </w:p>
              </w:tc>
              <w:tc>
                <w:tcPr>
                  <w:tcW w:w="739" w:type="pct"/>
                  <w:vMerge w:val="continue"/>
                  <w:shd w:val="clear" w:color="auto" w:fill="auto"/>
                  <w:noWrap w:val="0"/>
                  <w:vAlign w:val="center"/>
                </w:tcPr>
                <w:p w14:paraId="37C49BC2">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p>
              </w:tc>
            </w:tr>
            <w:tr w14:paraId="2682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56" w:type="pct"/>
                  <w:vMerge w:val="continue"/>
                  <w:noWrap w:val="0"/>
                  <w:vAlign w:val="center"/>
                </w:tcPr>
                <w:p w14:paraId="1702AAA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color w:val="auto"/>
                      <w:u w:val="single" w:color="auto"/>
                    </w:rPr>
                  </w:pPr>
                </w:p>
              </w:tc>
              <w:tc>
                <w:tcPr>
                  <w:tcW w:w="1141" w:type="pct"/>
                  <w:noWrap w:val="0"/>
                  <w:vAlign w:val="center"/>
                </w:tcPr>
                <w:p w14:paraId="1FA9F898">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屠宰生产废水</w:t>
                  </w:r>
                </w:p>
              </w:tc>
              <w:tc>
                <w:tcPr>
                  <w:tcW w:w="1019" w:type="pct"/>
                  <w:noWrap w:val="0"/>
                  <w:vAlign w:val="center"/>
                </w:tcPr>
                <w:p w14:paraId="5CE1DA47">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车辆清洗废水</w:t>
                  </w:r>
                </w:p>
              </w:tc>
              <w:tc>
                <w:tcPr>
                  <w:tcW w:w="706" w:type="pct"/>
                  <w:noWrap w:val="0"/>
                  <w:vAlign w:val="center"/>
                </w:tcPr>
                <w:p w14:paraId="11A7B0A2">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合计</w:t>
                  </w:r>
                </w:p>
              </w:tc>
              <w:tc>
                <w:tcPr>
                  <w:tcW w:w="738" w:type="pct"/>
                  <w:vMerge w:val="continue"/>
                  <w:noWrap w:val="0"/>
                  <w:vAlign w:val="center"/>
                </w:tcPr>
                <w:p w14:paraId="38D7B3C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739" w:type="pct"/>
                  <w:vMerge w:val="continue"/>
                  <w:noWrap w:val="0"/>
                  <w:vAlign w:val="center"/>
                </w:tcPr>
                <w:p w14:paraId="3C6C5815">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p>
              </w:tc>
            </w:tr>
            <w:tr w14:paraId="0BAC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56" w:type="pct"/>
                  <w:shd w:val="clear" w:color="auto" w:fill="auto"/>
                  <w:noWrap w:val="0"/>
                  <w:vAlign w:val="center"/>
                </w:tcPr>
                <w:p w14:paraId="65A6D0D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COD</w:t>
                  </w:r>
                  <w:r>
                    <w:rPr>
                      <w:color w:val="auto"/>
                      <w:sz w:val="21"/>
                      <w:szCs w:val="21"/>
                      <w:u w:val="single" w:color="auto"/>
                      <w:vertAlign w:val="subscript"/>
                    </w:rPr>
                    <w:t>Cr</w:t>
                  </w:r>
                </w:p>
              </w:tc>
              <w:tc>
                <w:tcPr>
                  <w:tcW w:w="1141" w:type="pct"/>
                  <w:shd w:val="clear" w:color="auto" w:fill="auto"/>
                  <w:noWrap w:val="0"/>
                  <w:vAlign w:val="center"/>
                </w:tcPr>
                <w:p w14:paraId="694AEF2F">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8.0575</w:t>
                  </w:r>
                </w:p>
              </w:tc>
              <w:tc>
                <w:tcPr>
                  <w:tcW w:w="1019" w:type="pct"/>
                  <w:shd w:val="clear" w:color="auto" w:fill="auto"/>
                  <w:noWrap w:val="0"/>
                  <w:vAlign w:val="center"/>
                </w:tcPr>
                <w:p w14:paraId="22C379F6">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 xml:space="preserve">0.0183 </w:t>
                  </w:r>
                </w:p>
              </w:tc>
              <w:tc>
                <w:tcPr>
                  <w:tcW w:w="1220" w:type="dxa"/>
                  <w:noWrap w:val="0"/>
                  <w:vAlign w:val="center"/>
                </w:tcPr>
                <w:p w14:paraId="3078D1A7">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8.0758</w:t>
                  </w:r>
                </w:p>
              </w:tc>
              <w:tc>
                <w:tcPr>
                  <w:tcW w:w="1276" w:type="dxa"/>
                  <w:noWrap w:val="0"/>
                  <w:vAlign w:val="center"/>
                </w:tcPr>
                <w:p w14:paraId="0BCD8998">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124.15 </w:t>
                  </w:r>
                </w:p>
              </w:tc>
              <w:tc>
                <w:tcPr>
                  <w:tcW w:w="739" w:type="pct"/>
                  <w:shd w:val="clear" w:color="auto" w:fill="auto"/>
                  <w:noWrap w:val="0"/>
                  <w:vAlign w:val="center"/>
                </w:tcPr>
                <w:p w14:paraId="4EB79A8D">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500</w:t>
                  </w:r>
                </w:p>
              </w:tc>
            </w:tr>
            <w:tr w14:paraId="0684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56" w:type="pct"/>
                  <w:shd w:val="clear" w:color="auto" w:fill="auto"/>
                  <w:noWrap w:val="0"/>
                  <w:vAlign w:val="center"/>
                </w:tcPr>
                <w:p w14:paraId="33ABDFF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BOD</w:t>
                  </w:r>
                  <w:r>
                    <w:rPr>
                      <w:color w:val="auto"/>
                      <w:sz w:val="21"/>
                      <w:szCs w:val="21"/>
                      <w:u w:val="single" w:color="auto"/>
                      <w:vertAlign w:val="subscript"/>
                    </w:rPr>
                    <w:t>5</w:t>
                  </w:r>
                </w:p>
              </w:tc>
              <w:tc>
                <w:tcPr>
                  <w:tcW w:w="1141" w:type="pct"/>
                  <w:shd w:val="clear" w:color="auto" w:fill="auto"/>
                  <w:noWrap w:val="0"/>
                  <w:vAlign w:val="center"/>
                </w:tcPr>
                <w:p w14:paraId="28B41BB1">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4.7688</w:t>
                  </w:r>
                </w:p>
              </w:tc>
              <w:tc>
                <w:tcPr>
                  <w:tcW w:w="1019" w:type="pct"/>
                  <w:shd w:val="clear" w:color="auto" w:fill="auto"/>
                  <w:noWrap w:val="0"/>
                  <w:vAlign w:val="center"/>
                </w:tcPr>
                <w:p w14:paraId="0175EA8C">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 xml:space="preserve">0.0110 </w:t>
                  </w:r>
                </w:p>
              </w:tc>
              <w:tc>
                <w:tcPr>
                  <w:tcW w:w="1220" w:type="dxa"/>
                  <w:noWrap w:val="0"/>
                  <w:vAlign w:val="center"/>
                </w:tcPr>
                <w:p w14:paraId="2DC5C997">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4.7798</w:t>
                  </w:r>
                </w:p>
              </w:tc>
              <w:tc>
                <w:tcPr>
                  <w:tcW w:w="1276" w:type="dxa"/>
                  <w:noWrap w:val="0"/>
                  <w:vAlign w:val="center"/>
                </w:tcPr>
                <w:p w14:paraId="241354E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73.48 </w:t>
                  </w:r>
                </w:p>
              </w:tc>
              <w:tc>
                <w:tcPr>
                  <w:tcW w:w="739" w:type="pct"/>
                  <w:shd w:val="clear" w:color="auto" w:fill="auto"/>
                  <w:noWrap w:val="0"/>
                  <w:vAlign w:val="center"/>
                </w:tcPr>
                <w:p w14:paraId="0237082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300</w:t>
                  </w:r>
                </w:p>
              </w:tc>
            </w:tr>
            <w:tr w14:paraId="49E5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56" w:type="pct"/>
                  <w:shd w:val="clear" w:color="auto" w:fill="auto"/>
                  <w:noWrap w:val="0"/>
                  <w:vAlign w:val="center"/>
                </w:tcPr>
                <w:p w14:paraId="30100BF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SS</w:t>
                  </w:r>
                </w:p>
              </w:tc>
              <w:tc>
                <w:tcPr>
                  <w:tcW w:w="1141" w:type="pct"/>
                  <w:shd w:val="clear" w:color="auto" w:fill="auto"/>
                  <w:noWrap w:val="0"/>
                  <w:vAlign w:val="center"/>
                </w:tcPr>
                <w:p w14:paraId="51CB2A9E">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8.4757</w:t>
                  </w:r>
                </w:p>
              </w:tc>
              <w:tc>
                <w:tcPr>
                  <w:tcW w:w="1019" w:type="pct"/>
                  <w:shd w:val="clear" w:color="auto" w:fill="auto"/>
                  <w:noWrap w:val="0"/>
                  <w:vAlign w:val="center"/>
                </w:tcPr>
                <w:p w14:paraId="303568D5">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 xml:space="preserve">0.0976 </w:t>
                  </w:r>
                </w:p>
              </w:tc>
              <w:tc>
                <w:tcPr>
                  <w:tcW w:w="1220" w:type="dxa"/>
                  <w:noWrap w:val="0"/>
                  <w:vAlign w:val="center"/>
                </w:tcPr>
                <w:p w14:paraId="4F967471">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8.5733</w:t>
                  </w:r>
                </w:p>
              </w:tc>
              <w:tc>
                <w:tcPr>
                  <w:tcW w:w="1276" w:type="dxa"/>
                  <w:noWrap w:val="0"/>
                  <w:vAlign w:val="center"/>
                </w:tcPr>
                <w:p w14:paraId="3AF67D2B">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131.80 </w:t>
                  </w:r>
                </w:p>
              </w:tc>
              <w:tc>
                <w:tcPr>
                  <w:tcW w:w="739" w:type="pct"/>
                  <w:shd w:val="clear" w:color="auto" w:fill="auto"/>
                  <w:noWrap w:val="0"/>
                  <w:vAlign w:val="center"/>
                </w:tcPr>
                <w:p w14:paraId="50CF91BA">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400</w:t>
                  </w:r>
                </w:p>
              </w:tc>
            </w:tr>
            <w:tr w14:paraId="7656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noWrap w:val="0"/>
                  <w:vAlign w:val="center"/>
                </w:tcPr>
                <w:p w14:paraId="2FC86D6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rPr>
                    <w:t>NH</w:t>
                  </w:r>
                  <w:r>
                    <w:rPr>
                      <w:rFonts w:hint="eastAsia"/>
                      <w:color w:val="auto"/>
                      <w:sz w:val="21"/>
                      <w:szCs w:val="21"/>
                      <w:u w:val="single" w:color="auto"/>
                      <w:vertAlign w:val="subscript"/>
                    </w:rPr>
                    <w:t>3</w:t>
                  </w:r>
                  <w:r>
                    <w:rPr>
                      <w:rFonts w:hint="eastAsia"/>
                      <w:color w:val="auto"/>
                      <w:sz w:val="21"/>
                      <w:szCs w:val="21"/>
                      <w:u w:val="single" w:color="auto"/>
                    </w:rPr>
                    <w:t>-N</w:t>
                  </w:r>
                </w:p>
              </w:tc>
              <w:tc>
                <w:tcPr>
                  <w:tcW w:w="1141" w:type="pct"/>
                  <w:shd w:val="clear" w:color="auto" w:fill="auto"/>
                  <w:noWrap w:val="0"/>
                  <w:vAlign w:val="center"/>
                </w:tcPr>
                <w:p w14:paraId="1DA61C62">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1.0811</w:t>
                  </w:r>
                </w:p>
              </w:tc>
              <w:tc>
                <w:tcPr>
                  <w:tcW w:w="1019" w:type="pct"/>
                  <w:shd w:val="clear" w:color="auto" w:fill="auto"/>
                  <w:noWrap w:val="0"/>
                  <w:vAlign w:val="center"/>
                </w:tcPr>
                <w:p w14:paraId="75AA0027">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 xml:space="preserve">0.0047 </w:t>
                  </w:r>
                </w:p>
              </w:tc>
              <w:tc>
                <w:tcPr>
                  <w:tcW w:w="1220" w:type="dxa"/>
                  <w:noWrap w:val="0"/>
                  <w:vAlign w:val="center"/>
                </w:tcPr>
                <w:p w14:paraId="252F1F50">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1.0858</w:t>
                  </w:r>
                </w:p>
              </w:tc>
              <w:tc>
                <w:tcPr>
                  <w:tcW w:w="1276" w:type="dxa"/>
                  <w:noWrap w:val="0"/>
                  <w:vAlign w:val="center"/>
                </w:tcPr>
                <w:p w14:paraId="18006C98">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16.69 </w:t>
                  </w:r>
                </w:p>
              </w:tc>
              <w:tc>
                <w:tcPr>
                  <w:tcW w:w="739" w:type="pct"/>
                  <w:shd w:val="clear" w:color="auto" w:fill="auto"/>
                  <w:noWrap w:val="0"/>
                  <w:vAlign w:val="center"/>
                </w:tcPr>
                <w:p w14:paraId="547F1F7D">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45</w:t>
                  </w:r>
                </w:p>
              </w:tc>
            </w:tr>
            <w:tr w14:paraId="4A78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vAlign w:val="center"/>
                </w:tcPr>
                <w:p w14:paraId="27B315E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动植物油</w:t>
                  </w:r>
                </w:p>
              </w:tc>
              <w:tc>
                <w:tcPr>
                  <w:tcW w:w="1141" w:type="pct"/>
                  <w:shd w:val="clear" w:color="auto" w:fill="auto"/>
                  <w:vAlign w:val="center"/>
                </w:tcPr>
                <w:p w14:paraId="14096F47">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0.1271</w:t>
                  </w:r>
                </w:p>
              </w:tc>
              <w:tc>
                <w:tcPr>
                  <w:tcW w:w="1019" w:type="pct"/>
                  <w:shd w:val="clear" w:color="auto" w:fill="auto"/>
                  <w:vAlign w:val="center"/>
                </w:tcPr>
                <w:p w14:paraId="3B969A9E">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i w:val="0"/>
                      <w:iCs w:val="0"/>
                      <w:color w:val="auto"/>
                      <w:kern w:val="2"/>
                      <w:sz w:val="21"/>
                      <w:szCs w:val="21"/>
                      <w:u w:val="single" w:color="auto"/>
                      <w:lang w:val="en-US" w:eastAsia="zh-CN" w:bidi="ar"/>
                    </w:rPr>
                    <w:t>/</w:t>
                  </w:r>
                </w:p>
              </w:tc>
              <w:tc>
                <w:tcPr>
                  <w:tcW w:w="1220" w:type="dxa"/>
                  <w:vAlign w:val="center"/>
                </w:tcPr>
                <w:p w14:paraId="0FF57DE3">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0.1271</w:t>
                  </w:r>
                </w:p>
              </w:tc>
              <w:tc>
                <w:tcPr>
                  <w:tcW w:w="1276" w:type="dxa"/>
                  <w:vAlign w:val="center"/>
                </w:tcPr>
                <w:p w14:paraId="7299C921">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1.95 </w:t>
                  </w:r>
                </w:p>
              </w:tc>
              <w:tc>
                <w:tcPr>
                  <w:tcW w:w="739" w:type="pct"/>
                  <w:shd w:val="clear" w:color="auto" w:fill="auto"/>
                  <w:vAlign w:val="center"/>
                </w:tcPr>
                <w:p w14:paraId="66D9B0C6">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100</w:t>
                  </w:r>
                </w:p>
              </w:tc>
            </w:tr>
            <w:tr w14:paraId="0683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vAlign w:val="center"/>
                </w:tcPr>
                <w:p w14:paraId="0A529C5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TN</w:t>
                  </w:r>
                </w:p>
              </w:tc>
              <w:tc>
                <w:tcPr>
                  <w:tcW w:w="1141" w:type="pct"/>
                  <w:shd w:val="clear" w:color="auto" w:fill="auto"/>
                  <w:vAlign w:val="center"/>
                </w:tcPr>
                <w:p w14:paraId="7A83A368">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2.7667</w:t>
                  </w:r>
                </w:p>
              </w:tc>
              <w:tc>
                <w:tcPr>
                  <w:tcW w:w="1019" w:type="pct"/>
                </w:tcPr>
                <w:p w14:paraId="1727329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kern w:val="2"/>
                      <w:sz w:val="21"/>
                      <w:szCs w:val="21"/>
                      <w:u w:val="single" w:color="auto"/>
                      <w:lang w:val="en-US" w:eastAsia="zh-CN" w:bidi="ar-SA"/>
                    </w:rPr>
                    <w:t>/</w:t>
                  </w:r>
                </w:p>
              </w:tc>
              <w:tc>
                <w:tcPr>
                  <w:tcW w:w="1220" w:type="dxa"/>
                  <w:vAlign w:val="center"/>
                </w:tcPr>
                <w:p w14:paraId="69870CB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2.7667</w:t>
                  </w:r>
                </w:p>
              </w:tc>
              <w:tc>
                <w:tcPr>
                  <w:tcW w:w="1276" w:type="dxa"/>
                  <w:vAlign w:val="center"/>
                </w:tcPr>
                <w:p w14:paraId="5203805F">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42.53 </w:t>
                  </w:r>
                </w:p>
              </w:tc>
              <w:tc>
                <w:tcPr>
                  <w:tcW w:w="739" w:type="pct"/>
                  <w:shd w:val="clear" w:color="auto" w:fill="auto"/>
                  <w:vAlign w:val="center"/>
                </w:tcPr>
                <w:p w14:paraId="08D37286">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70</w:t>
                  </w:r>
                </w:p>
              </w:tc>
            </w:tr>
            <w:tr w14:paraId="76E2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vAlign w:val="center"/>
                </w:tcPr>
                <w:p w14:paraId="0C37CF5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TP</w:t>
                  </w:r>
                </w:p>
              </w:tc>
              <w:tc>
                <w:tcPr>
                  <w:tcW w:w="1141" w:type="pct"/>
                  <w:shd w:val="clear" w:color="auto" w:fill="auto"/>
                  <w:vAlign w:val="center"/>
                </w:tcPr>
                <w:p w14:paraId="2A00835A">
                  <w:pPr>
                    <w:keepNext w:val="0"/>
                    <w:keepLines w:val="0"/>
                    <w:widowControl w:val="0"/>
                    <w:suppressLineNumbers w:val="0"/>
                    <w:autoSpaceDE w:val="0"/>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0.4158</w:t>
                  </w:r>
                </w:p>
              </w:tc>
              <w:tc>
                <w:tcPr>
                  <w:tcW w:w="1019" w:type="pct"/>
                </w:tcPr>
                <w:p w14:paraId="2ED1B116">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kern w:val="2"/>
                      <w:sz w:val="21"/>
                      <w:szCs w:val="21"/>
                      <w:u w:val="single" w:color="auto"/>
                      <w:lang w:val="en-US" w:eastAsia="zh-CN" w:bidi="ar-SA"/>
                    </w:rPr>
                    <w:t>/</w:t>
                  </w:r>
                </w:p>
              </w:tc>
              <w:tc>
                <w:tcPr>
                  <w:tcW w:w="1220" w:type="dxa"/>
                  <w:vAlign w:val="center"/>
                </w:tcPr>
                <w:p w14:paraId="1AE09B09">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0.4158</w:t>
                  </w:r>
                </w:p>
              </w:tc>
              <w:tc>
                <w:tcPr>
                  <w:tcW w:w="1276" w:type="dxa"/>
                  <w:vAlign w:val="center"/>
                </w:tcPr>
                <w:p w14:paraId="7D7D73DE">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6.39 </w:t>
                  </w:r>
                </w:p>
              </w:tc>
              <w:tc>
                <w:tcPr>
                  <w:tcW w:w="739" w:type="pct"/>
                  <w:shd w:val="clear" w:color="auto" w:fill="auto"/>
                  <w:vAlign w:val="center"/>
                </w:tcPr>
                <w:p w14:paraId="1BD64B39">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8</w:t>
                  </w:r>
                </w:p>
              </w:tc>
            </w:tr>
            <w:tr w14:paraId="5842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vAlign w:val="center"/>
                </w:tcPr>
                <w:p w14:paraId="4FAE8058">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石油类</w:t>
                  </w:r>
                </w:p>
              </w:tc>
              <w:tc>
                <w:tcPr>
                  <w:tcW w:w="1141" w:type="pct"/>
                </w:tcPr>
                <w:p w14:paraId="6B6AF2F1">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kern w:val="2"/>
                      <w:sz w:val="21"/>
                      <w:szCs w:val="21"/>
                      <w:u w:val="single" w:color="auto"/>
                      <w:lang w:val="en-US" w:eastAsia="zh-CN" w:bidi="ar-SA"/>
                    </w:rPr>
                    <w:t>/</w:t>
                  </w:r>
                </w:p>
              </w:tc>
              <w:tc>
                <w:tcPr>
                  <w:tcW w:w="1019" w:type="pct"/>
                </w:tcPr>
                <w:p w14:paraId="2351A5D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0.00</w:t>
                  </w:r>
                  <w:r>
                    <w:rPr>
                      <w:rFonts w:hint="eastAsia" w:cs="Times New Roman"/>
                      <w:i w:val="0"/>
                      <w:iCs w:val="0"/>
                      <w:color w:val="auto"/>
                      <w:kern w:val="2"/>
                      <w:sz w:val="21"/>
                      <w:szCs w:val="21"/>
                      <w:u w:val="single" w:color="auto"/>
                      <w:lang w:val="en-US" w:eastAsia="zh-CN" w:bidi="ar"/>
                    </w:rPr>
                    <w:t>73</w:t>
                  </w:r>
                  <w:r>
                    <w:rPr>
                      <w:rFonts w:hint="eastAsia" w:ascii="Times New Roman" w:hAnsi="Times New Roman" w:eastAsia="宋体" w:cs="Times New Roman"/>
                      <w:i w:val="0"/>
                      <w:iCs w:val="0"/>
                      <w:color w:val="auto"/>
                      <w:kern w:val="2"/>
                      <w:sz w:val="21"/>
                      <w:szCs w:val="21"/>
                      <w:u w:val="single" w:color="auto"/>
                      <w:lang w:val="en-US" w:eastAsia="zh-CN" w:bidi="ar"/>
                    </w:rPr>
                    <w:t xml:space="preserve"> </w:t>
                  </w:r>
                </w:p>
              </w:tc>
              <w:tc>
                <w:tcPr>
                  <w:tcW w:w="1220" w:type="dxa"/>
                  <w:vAlign w:val="center"/>
                </w:tcPr>
                <w:p w14:paraId="489F8D82">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0.0073</w:t>
                  </w:r>
                </w:p>
              </w:tc>
              <w:tc>
                <w:tcPr>
                  <w:tcW w:w="1276" w:type="dxa"/>
                  <w:vAlign w:val="center"/>
                </w:tcPr>
                <w:p w14:paraId="7C3BB915">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 xml:space="preserve">0.11 </w:t>
                  </w:r>
                </w:p>
              </w:tc>
              <w:tc>
                <w:tcPr>
                  <w:tcW w:w="739" w:type="pct"/>
                  <w:shd w:val="clear" w:color="auto" w:fill="auto"/>
                  <w:vAlign w:val="center"/>
                </w:tcPr>
                <w:p w14:paraId="01093304">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
                    </w:rPr>
                  </w:pPr>
                  <w:r>
                    <w:rPr>
                      <w:rFonts w:hint="eastAsia" w:cs="Times New Roman"/>
                      <w:color w:val="auto"/>
                      <w:sz w:val="21"/>
                      <w:szCs w:val="21"/>
                      <w:u w:val="single" w:color="auto"/>
                      <w:vertAlign w:val="baseline"/>
                      <w:lang w:val="en-US" w:eastAsia="zh-CN" w:bidi="ar"/>
                    </w:rPr>
                    <w:t>20</w:t>
                  </w:r>
                </w:p>
              </w:tc>
            </w:tr>
          </w:tbl>
          <w:p w14:paraId="6B2D2449">
            <w:pPr>
              <w:jc w:val="center"/>
              <w:rPr>
                <w:rFonts w:hint="default" w:ascii="Times New Roman" w:hAnsi="Times New Roman" w:eastAsia="宋体" w:cs="Times New Roman"/>
                <w:b w:val="0"/>
                <w:bCs/>
                <w:color w:val="auto"/>
                <w:sz w:val="24"/>
                <w:szCs w:val="24"/>
                <w:highlight w:val="none"/>
                <w:u w:val="none" w:color="auto"/>
              </w:rPr>
            </w:pPr>
            <w:r>
              <w:rPr>
                <w:rFonts w:hint="default" w:ascii="Times New Roman" w:hAnsi="Times New Roman" w:eastAsia="宋体" w:cs="Times New Roman"/>
                <w:b w:val="0"/>
                <w:bCs/>
                <w:color w:val="auto"/>
                <w:sz w:val="24"/>
                <w:szCs w:val="24"/>
                <w:highlight w:val="none"/>
                <w:u w:val="none" w:color="auto"/>
              </w:rPr>
              <w:t>表</w:t>
            </w:r>
            <w:r>
              <w:rPr>
                <w:rFonts w:hint="default" w:ascii="Times New Roman" w:hAnsi="Times New Roman" w:eastAsia="宋体" w:cs="Times New Roman"/>
                <w:b w:val="0"/>
                <w:bCs/>
                <w:color w:val="auto"/>
                <w:sz w:val="24"/>
                <w:szCs w:val="24"/>
                <w:highlight w:val="none"/>
                <w:u w:val="none" w:color="auto"/>
                <w:lang w:val="en-US" w:eastAsia="zh-CN"/>
              </w:rPr>
              <w:t>4</w:t>
            </w:r>
            <w:r>
              <w:rPr>
                <w:rFonts w:hint="default" w:ascii="Times New Roman" w:hAnsi="Times New Roman" w:cs="Times New Roman"/>
                <w:b w:val="0"/>
                <w:bCs/>
                <w:color w:val="auto"/>
                <w:sz w:val="24"/>
                <w:szCs w:val="24"/>
                <w:highlight w:val="none"/>
                <w:u w:val="none" w:color="auto"/>
                <w:lang w:val="en-US" w:eastAsia="zh-CN"/>
              </w:rPr>
              <w:t>.7-</w:t>
            </w:r>
            <w:r>
              <w:rPr>
                <w:rFonts w:hint="eastAsia" w:cs="Times New Roman"/>
                <w:b w:val="0"/>
                <w:bCs/>
                <w:color w:val="auto"/>
                <w:sz w:val="24"/>
                <w:szCs w:val="24"/>
                <w:highlight w:val="none"/>
                <w:u w:val="none" w:color="auto"/>
                <w:lang w:val="en-US" w:eastAsia="zh-CN"/>
              </w:rPr>
              <w:t>11</w:t>
            </w:r>
            <w:r>
              <w:rPr>
                <w:rFonts w:hint="default" w:ascii="Times New Roman" w:hAnsi="Times New Roman" w:eastAsia="宋体" w:cs="Times New Roman"/>
                <w:b w:val="0"/>
                <w:bCs/>
                <w:color w:val="auto"/>
                <w:sz w:val="24"/>
                <w:szCs w:val="24"/>
                <w:highlight w:val="none"/>
                <w:u w:val="none" w:color="auto"/>
              </w:rPr>
              <w:t xml:space="preserve"> 废水污染物排放信息表</w:t>
            </w:r>
          </w:p>
          <w:tbl>
            <w:tblPr>
              <w:tblStyle w:val="22"/>
              <w:tblW w:w="4997"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6"/>
              <w:gridCol w:w="1018"/>
              <w:gridCol w:w="1134"/>
              <w:gridCol w:w="1112"/>
              <w:gridCol w:w="1415"/>
              <w:gridCol w:w="1763"/>
              <w:gridCol w:w="1520"/>
            </w:tblGrid>
            <w:tr w14:paraId="0359E6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7" w:hRule="atLeast"/>
              </w:trPr>
              <w:tc>
                <w:tcPr>
                  <w:tcW w:w="385" w:type="pct"/>
                  <w:tcBorders>
                    <w:tl2br w:val="nil"/>
                    <w:tr2bl w:val="nil"/>
                  </w:tcBorders>
                  <w:noWrap w:val="0"/>
                  <w:vAlign w:val="center"/>
                </w:tcPr>
                <w:p w14:paraId="0AD94065">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序号</w:t>
                  </w:r>
                </w:p>
              </w:tc>
              <w:tc>
                <w:tcPr>
                  <w:tcW w:w="589" w:type="pct"/>
                  <w:tcBorders>
                    <w:tl2br w:val="nil"/>
                    <w:tr2bl w:val="nil"/>
                  </w:tcBorders>
                  <w:noWrap w:val="0"/>
                  <w:vAlign w:val="center"/>
                </w:tcPr>
                <w:p w14:paraId="1B51C3C3">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排放</w:t>
                  </w:r>
                </w:p>
                <w:p w14:paraId="5461FB02">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口编号</w:t>
                  </w:r>
                </w:p>
              </w:tc>
              <w:tc>
                <w:tcPr>
                  <w:tcW w:w="657" w:type="pct"/>
                  <w:tcBorders>
                    <w:tl2br w:val="nil"/>
                    <w:tr2bl w:val="nil"/>
                  </w:tcBorders>
                  <w:noWrap w:val="0"/>
                  <w:vAlign w:val="center"/>
                </w:tcPr>
                <w:p w14:paraId="744CB93C">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污染物种类</w:t>
                  </w:r>
                </w:p>
              </w:tc>
              <w:tc>
                <w:tcPr>
                  <w:tcW w:w="644" w:type="pct"/>
                  <w:tcBorders>
                    <w:tl2br w:val="nil"/>
                    <w:tr2bl w:val="nil"/>
                  </w:tcBorders>
                  <w:noWrap w:val="0"/>
                  <w:vAlign w:val="center"/>
                </w:tcPr>
                <w:p w14:paraId="57AF8887">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排放浓度/（mg/L）</w:t>
                  </w:r>
                </w:p>
              </w:tc>
              <w:tc>
                <w:tcPr>
                  <w:tcW w:w="820" w:type="pct"/>
                  <w:tcBorders>
                    <w:tl2br w:val="nil"/>
                    <w:tr2bl w:val="nil"/>
                  </w:tcBorders>
                  <w:shd w:val="clear" w:color="auto" w:fill="auto"/>
                  <w:noWrap w:val="0"/>
                  <w:vAlign w:val="center"/>
                </w:tcPr>
                <w:p w14:paraId="798CB092">
                  <w:pPr>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r>
                    <w:rPr>
                      <w:rFonts w:hint="eastAsia" w:ascii="Times New Roman" w:hAnsi="Times New Roman" w:cs="Times New Roman"/>
                      <w:b w:val="0"/>
                      <w:bCs/>
                      <w:color w:val="auto"/>
                      <w:sz w:val="21"/>
                      <w:szCs w:val="21"/>
                      <w:highlight w:val="none"/>
                      <w:u w:val="none" w:color="auto"/>
                      <w:lang w:val="en-US" w:eastAsia="zh-CN"/>
                    </w:rPr>
                    <w:t>卢峰镇污水处理厂出水</w:t>
                  </w:r>
                  <w:r>
                    <w:rPr>
                      <w:rFonts w:hint="default" w:ascii="Times New Roman" w:hAnsi="Times New Roman" w:cs="Times New Roman"/>
                      <w:b w:val="0"/>
                      <w:bCs/>
                      <w:color w:val="auto"/>
                      <w:sz w:val="21"/>
                      <w:szCs w:val="21"/>
                      <w:highlight w:val="none"/>
                      <w:u w:val="none" w:color="auto"/>
                    </w:rPr>
                    <w:t>浓度/（mg/L）</w:t>
                  </w:r>
                </w:p>
              </w:tc>
              <w:tc>
                <w:tcPr>
                  <w:tcW w:w="1021" w:type="pct"/>
                  <w:tcBorders>
                    <w:tl2br w:val="nil"/>
                    <w:tr2bl w:val="nil"/>
                  </w:tcBorders>
                  <w:noWrap w:val="0"/>
                  <w:vAlign w:val="center"/>
                </w:tcPr>
                <w:p w14:paraId="2654DB6B">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eastAsia" w:ascii="Times New Roman" w:hAnsi="Times New Roman" w:cs="Times New Roman"/>
                      <w:b w:val="0"/>
                      <w:bCs/>
                      <w:color w:val="auto"/>
                      <w:sz w:val="21"/>
                      <w:szCs w:val="21"/>
                      <w:highlight w:val="none"/>
                      <w:u w:val="none" w:color="auto"/>
                      <w:lang w:val="en-US" w:eastAsia="zh-CN"/>
                    </w:rPr>
                    <w:t>进入卢峰镇污水处理厂的</w:t>
                  </w:r>
                  <w:r>
                    <w:rPr>
                      <w:rFonts w:hint="default" w:ascii="Times New Roman" w:hAnsi="Times New Roman" w:cs="Times New Roman"/>
                      <w:b w:val="0"/>
                      <w:bCs/>
                      <w:color w:val="auto"/>
                      <w:sz w:val="21"/>
                      <w:szCs w:val="21"/>
                      <w:highlight w:val="none"/>
                      <w:u w:val="none" w:color="auto"/>
                    </w:rPr>
                    <w:t>年排放</w:t>
                  </w:r>
                  <w:r>
                    <w:rPr>
                      <w:rFonts w:hint="default" w:ascii="Times New Roman" w:hAnsi="Times New Roman" w:cs="Times New Roman"/>
                      <w:b w:val="0"/>
                      <w:bCs/>
                      <w:color w:val="auto"/>
                      <w:sz w:val="21"/>
                      <w:szCs w:val="21"/>
                      <w:highlight w:val="none"/>
                      <w:u w:val="none" w:color="auto"/>
                      <w:lang w:val="en-US" w:eastAsia="zh-CN"/>
                    </w:rPr>
                    <w:t>总</w:t>
                  </w:r>
                  <w:r>
                    <w:rPr>
                      <w:rFonts w:hint="default" w:ascii="Times New Roman" w:hAnsi="Times New Roman" w:cs="Times New Roman"/>
                      <w:b w:val="0"/>
                      <w:bCs/>
                      <w:color w:val="auto"/>
                      <w:sz w:val="21"/>
                      <w:szCs w:val="21"/>
                      <w:highlight w:val="none"/>
                      <w:u w:val="none" w:color="auto"/>
                    </w:rPr>
                    <w:t>量/（t/a）</w:t>
                  </w:r>
                </w:p>
              </w:tc>
              <w:tc>
                <w:tcPr>
                  <w:tcW w:w="880" w:type="pct"/>
                  <w:tcBorders>
                    <w:tl2br w:val="nil"/>
                    <w:tr2bl w:val="nil"/>
                  </w:tcBorders>
                  <w:noWrap w:val="0"/>
                  <w:vAlign w:val="center"/>
                </w:tcPr>
                <w:p w14:paraId="5F43A0F1">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eastAsia" w:ascii="Times New Roman" w:hAnsi="Times New Roman" w:cs="Times New Roman"/>
                      <w:b w:val="0"/>
                      <w:bCs/>
                      <w:color w:val="auto"/>
                      <w:sz w:val="21"/>
                      <w:szCs w:val="21"/>
                      <w:highlight w:val="none"/>
                      <w:u w:val="none" w:color="auto"/>
                      <w:lang w:val="en-US" w:eastAsia="zh-CN"/>
                    </w:rPr>
                    <w:t>本项目进入外环境的</w:t>
                  </w:r>
                  <w:r>
                    <w:rPr>
                      <w:rFonts w:hint="default" w:ascii="Times New Roman" w:hAnsi="Times New Roman" w:cs="Times New Roman"/>
                      <w:b w:val="0"/>
                      <w:bCs/>
                      <w:color w:val="auto"/>
                      <w:sz w:val="21"/>
                      <w:szCs w:val="21"/>
                      <w:highlight w:val="none"/>
                      <w:u w:val="none" w:color="auto"/>
                    </w:rPr>
                    <w:t>年排放</w:t>
                  </w:r>
                  <w:r>
                    <w:rPr>
                      <w:rFonts w:hint="default" w:ascii="Times New Roman" w:hAnsi="Times New Roman" w:cs="Times New Roman"/>
                      <w:b w:val="0"/>
                      <w:bCs/>
                      <w:color w:val="auto"/>
                      <w:sz w:val="21"/>
                      <w:szCs w:val="21"/>
                      <w:highlight w:val="none"/>
                      <w:u w:val="none" w:color="auto"/>
                      <w:lang w:val="en-US" w:eastAsia="zh-CN"/>
                    </w:rPr>
                    <w:t>总</w:t>
                  </w:r>
                  <w:r>
                    <w:rPr>
                      <w:rFonts w:hint="default" w:ascii="Times New Roman" w:hAnsi="Times New Roman" w:cs="Times New Roman"/>
                      <w:b w:val="0"/>
                      <w:bCs/>
                      <w:color w:val="auto"/>
                      <w:sz w:val="21"/>
                      <w:szCs w:val="21"/>
                      <w:highlight w:val="none"/>
                      <w:u w:val="none" w:color="auto"/>
                    </w:rPr>
                    <w:t>量/（t/a）</w:t>
                  </w:r>
                </w:p>
              </w:tc>
            </w:tr>
            <w:tr w14:paraId="2B08BD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385" w:type="pct"/>
                  <w:vMerge w:val="restart"/>
                  <w:tcBorders>
                    <w:tl2br w:val="nil"/>
                    <w:tr2bl w:val="nil"/>
                  </w:tcBorders>
                  <w:noWrap w:val="0"/>
                  <w:vAlign w:val="center"/>
                </w:tcPr>
                <w:p w14:paraId="2CFEF441">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w:t>
                  </w:r>
                </w:p>
              </w:tc>
              <w:tc>
                <w:tcPr>
                  <w:tcW w:w="589" w:type="pct"/>
                  <w:vMerge w:val="restart"/>
                  <w:tcBorders>
                    <w:tl2br w:val="nil"/>
                    <w:tr2bl w:val="nil"/>
                  </w:tcBorders>
                  <w:noWrap w:val="0"/>
                  <w:vAlign w:val="center"/>
                </w:tcPr>
                <w:p w14:paraId="6BC78E2E">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DW001</w:t>
                  </w:r>
                </w:p>
              </w:tc>
              <w:tc>
                <w:tcPr>
                  <w:tcW w:w="657" w:type="pct"/>
                  <w:tcBorders>
                    <w:tl2br w:val="nil"/>
                    <w:tr2bl w:val="nil"/>
                  </w:tcBorders>
                  <w:noWrap w:val="0"/>
                  <w:vAlign w:val="center"/>
                </w:tcPr>
                <w:p w14:paraId="5209074B">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废水量</w:t>
                  </w:r>
                </w:p>
              </w:tc>
              <w:tc>
                <w:tcPr>
                  <w:tcW w:w="644" w:type="pct"/>
                  <w:tcBorders>
                    <w:tl2br w:val="nil"/>
                    <w:tr2bl w:val="nil"/>
                  </w:tcBorders>
                  <w:noWrap w:val="0"/>
                  <w:vAlign w:val="center"/>
                </w:tcPr>
                <w:p w14:paraId="2EC0A89A">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w:t>
                  </w:r>
                </w:p>
              </w:tc>
              <w:tc>
                <w:tcPr>
                  <w:tcW w:w="820" w:type="pct"/>
                  <w:tcBorders>
                    <w:tl2br w:val="nil"/>
                    <w:tr2bl w:val="nil"/>
                  </w:tcBorders>
                  <w:noWrap w:val="0"/>
                  <w:vAlign w:val="center"/>
                </w:tcPr>
                <w:p w14:paraId="717E613C">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w:t>
                  </w:r>
                </w:p>
              </w:tc>
              <w:tc>
                <w:tcPr>
                  <w:tcW w:w="1021" w:type="pct"/>
                  <w:tcBorders>
                    <w:tl2br w:val="nil"/>
                    <w:tr2bl w:val="nil"/>
                  </w:tcBorders>
                  <w:noWrap w:val="0"/>
                  <w:vAlign w:val="center"/>
                </w:tcPr>
                <w:p w14:paraId="23B70A99">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65047.575</w:t>
                  </w:r>
                </w:p>
              </w:tc>
              <w:tc>
                <w:tcPr>
                  <w:tcW w:w="880" w:type="pct"/>
                  <w:tcBorders>
                    <w:tl2br w:val="nil"/>
                    <w:tr2bl w:val="nil"/>
                  </w:tcBorders>
                  <w:noWrap w:val="0"/>
                  <w:vAlign w:val="center"/>
                </w:tcPr>
                <w:p w14:paraId="30392354">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sz w:val="21"/>
                      <w:szCs w:val="21"/>
                      <w:u w:val="none" w:color="auto"/>
                      <w:lang w:val="en-US" w:eastAsia="zh-CN"/>
                    </w:rPr>
                    <w:t>65047.575</w:t>
                  </w:r>
                </w:p>
              </w:tc>
            </w:tr>
            <w:tr w14:paraId="7CFA9A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385" w:type="pct"/>
                  <w:vMerge w:val="continue"/>
                  <w:tcBorders>
                    <w:tl2br w:val="nil"/>
                    <w:tr2bl w:val="nil"/>
                  </w:tcBorders>
                  <w:noWrap w:val="0"/>
                  <w:vAlign w:val="center"/>
                </w:tcPr>
                <w:p w14:paraId="0838B47C">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89" w:type="pct"/>
                  <w:vMerge w:val="continue"/>
                  <w:tcBorders>
                    <w:tl2br w:val="nil"/>
                    <w:tr2bl w:val="nil"/>
                  </w:tcBorders>
                  <w:noWrap w:val="0"/>
                  <w:vAlign w:val="center"/>
                </w:tcPr>
                <w:p w14:paraId="7F3552AA">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57" w:type="pct"/>
                  <w:tcBorders>
                    <w:tl2br w:val="nil"/>
                    <w:tr2bl w:val="nil"/>
                  </w:tcBorders>
                  <w:shd w:val="clear" w:color="auto" w:fill="auto"/>
                  <w:noWrap w:val="0"/>
                  <w:vAlign w:val="center"/>
                </w:tcPr>
                <w:p w14:paraId="6A80A961">
                  <w:pPr>
                    <w:autoSpaceDE w:val="0"/>
                    <w:ind w:firstLine="0" w:firstLineChars="0"/>
                    <w:jc w:val="center"/>
                    <w:rPr>
                      <w:rFonts w:hint="default" w:ascii="Times New Roman" w:hAnsi="Times New Roman" w:eastAsia="宋体" w:cstheme="minorBidi"/>
                      <w:color w:val="auto"/>
                      <w:sz w:val="21"/>
                      <w:szCs w:val="21"/>
                      <w:highlight w:val="none"/>
                      <w:u w:val="none" w:color="auto"/>
                      <w:lang w:eastAsia="zh-CN"/>
                    </w:rPr>
                  </w:pPr>
                  <w:r>
                    <w:rPr>
                      <w:color w:val="auto"/>
                      <w:sz w:val="21"/>
                      <w:szCs w:val="21"/>
                      <w:u w:val="none" w:color="auto"/>
                    </w:rPr>
                    <w:t>COD</w:t>
                  </w:r>
                  <w:r>
                    <w:rPr>
                      <w:color w:val="auto"/>
                      <w:sz w:val="21"/>
                      <w:szCs w:val="21"/>
                      <w:u w:val="none" w:color="auto"/>
                      <w:vertAlign w:val="subscript"/>
                    </w:rPr>
                    <w:t>Cr</w:t>
                  </w:r>
                </w:p>
              </w:tc>
              <w:tc>
                <w:tcPr>
                  <w:tcW w:w="644" w:type="pct"/>
                  <w:tcBorders>
                    <w:tl2br w:val="nil"/>
                    <w:tr2bl w:val="nil"/>
                  </w:tcBorders>
                  <w:shd w:val="clear" w:color="auto" w:fill="auto"/>
                  <w:noWrap w:val="0"/>
                  <w:vAlign w:val="center"/>
                </w:tcPr>
                <w:p w14:paraId="5D601F8D">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124.15 </w:t>
                  </w:r>
                </w:p>
              </w:tc>
              <w:tc>
                <w:tcPr>
                  <w:tcW w:w="820" w:type="pct"/>
                  <w:tcBorders>
                    <w:tl2br w:val="nil"/>
                    <w:tr2bl w:val="nil"/>
                  </w:tcBorders>
                  <w:shd w:val="clear" w:color="auto" w:fill="auto"/>
                  <w:noWrap w:val="0"/>
                  <w:vAlign w:val="center"/>
                </w:tcPr>
                <w:p w14:paraId="48DA0E56">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5</w:t>
                  </w:r>
                  <w:r>
                    <w:rPr>
                      <w:rFonts w:hint="default" w:ascii="Times New Roman" w:hAnsi="Times New Roman" w:cs="Times New Roman"/>
                      <w:color w:val="auto"/>
                      <w:sz w:val="21"/>
                      <w:szCs w:val="21"/>
                      <w:highlight w:val="none"/>
                      <w:u w:val="none" w:color="auto"/>
                      <w:lang w:val="en-US" w:eastAsia="zh-CN"/>
                    </w:rPr>
                    <w:t>0</w:t>
                  </w:r>
                </w:p>
              </w:tc>
              <w:tc>
                <w:tcPr>
                  <w:tcW w:w="1021" w:type="pct"/>
                  <w:tcBorders>
                    <w:tl2br w:val="nil"/>
                    <w:tr2bl w:val="nil"/>
                  </w:tcBorders>
                  <w:shd w:val="clear" w:color="auto" w:fill="auto"/>
                  <w:noWrap w:val="0"/>
                  <w:vAlign w:val="center"/>
                </w:tcPr>
                <w:p w14:paraId="2476ABC0">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8.0758</w:t>
                  </w:r>
                </w:p>
              </w:tc>
              <w:tc>
                <w:tcPr>
                  <w:tcW w:w="1520" w:type="dxa"/>
                  <w:tcBorders>
                    <w:tl2br w:val="nil"/>
                    <w:tr2bl w:val="nil"/>
                  </w:tcBorders>
                  <w:shd w:val="clear" w:color="auto" w:fill="auto"/>
                  <w:noWrap w:val="0"/>
                  <w:vAlign w:val="center"/>
                </w:tcPr>
                <w:p w14:paraId="619403A7">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3.2524 </w:t>
                  </w:r>
                </w:p>
              </w:tc>
            </w:tr>
            <w:tr w14:paraId="5F9510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385" w:type="pct"/>
                  <w:vMerge w:val="continue"/>
                  <w:tcBorders>
                    <w:tl2br w:val="nil"/>
                    <w:tr2bl w:val="nil"/>
                  </w:tcBorders>
                  <w:noWrap w:val="0"/>
                  <w:vAlign w:val="center"/>
                </w:tcPr>
                <w:p w14:paraId="69A3A42E">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89" w:type="pct"/>
                  <w:vMerge w:val="continue"/>
                  <w:tcBorders>
                    <w:tl2br w:val="nil"/>
                    <w:tr2bl w:val="nil"/>
                  </w:tcBorders>
                  <w:noWrap w:val="0"/>
                  <w:vAlign w:val="center"/>
                </w:tcPr>
                <w:p w14:paraId="6C318624">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57" w:type="pct"/>
                  <w:tcBorders>
                    <w:tl2br w:val="nil"/>
                    <w:tr2bl w:val="nil"/>
                  </w:tcBorders>
                  <w:shd w:val="clear" w:color="auto" w:fill="auto"/>
                  <w:noWrap w:val="0"/>
                  <w:vAlign w:val="center"/>
                </w:tcPr>
                <w:p w14:paraId="6B5199C5">
                  <w:pPr>
                    <w:autoSpaceDE w:val="0"/>
                    <w:ind w:firstLine="0" w:firstLineChars="0"/>
                    <w:jc w:val="center"/>
                    <w:rPr>
                      <w:rFonts w:hint="default" w:ascii="Times New Roman" w:hAnsi="Times New Roman" w:eastAsia="宋体" w:cstheme="minorBidi"/>
                      <w:color w:val="auto"/>
                      <w:sz w:val="21"/>
                      <w:szCs w:val="21"/>
                      <w:highlight w:val="none"/>
                      <w:u w:val="none" w:color="auto"/>
                      <w:lang w:val="en-US" w:eastAsia="zh-CN"/>
                    </w:rPr>
                  </w:pPr>
                  <w:r>
                    <w:rPr>
                      <w:color w:val="auto"/>
                      <w:sz w:val="21"/>
                      <w:szCs w:val="21"/>
                      <w:u w:val="none" w:color="auto"/>
                    </w:rPr>
                    <w:t>BOD</w:t>
                  </w:r>
                  <w:r>
                    <w:rPr>
                      <w:color w:val="auto"/>
                      <w:sz w:val="21"/>
                      <w:szCs w:val="21"/>
                      <w:u w:val="none" w:color="auto"/>
                      <w:vertAlign w:val="subscript"/>
                    </w:rPr>
                    <w:t>5</w:t>
                  </w:r>
                </w:p>
              </w:tc>
              <w:tc>
                <w:tcPr>
                  <w:tcW w:w="644" w:type="pct"/>
                  <w:tcBorders>
                    <w:tl2br w:val="nil"/>
                    <w:tr2bl w:val="nil"/>
                  </w:tcBorders>
                  <w:shd w:val="clear" w:color="auto" w:fill="auto"/>
                  <w:noWrap w:val="0"/>
                  <w:vAlign w:val="center"/>
                </w:tcPr>
                <w:p w14:paraId="6536AFAE">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73.48 </w:t>
                  </w:r>
                </w:p>
              </w:tc>
              <w:tc>
                <w:tcPr>
                  <w:tcW w:w="820" w:type="pct"/>
                  <w:tcBorders>
                    <w:tl2br w:val="nil"/>
                    <w:tr2bl w:val="nil"/>
                  </w:tcBorders>
                  <w:shd w:val="clear" w:color="auto" w:fill="auto"/>
                  <w:noWrap w:val="0"/>
                  <w:vAlign w:val="center"/>
                </w:tcPr>
                <w:p w14:paraId="6626A4C2">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10</w:t>
                  </w:r>
                </w:p>
              </w:tc>
              <w:tc>
                <w:tcPr>
                  <w:tcW w:w="1021" w:type="pct"/>
                  <w:tcBorders>
                    <w:tl2br w:val="nil"/>
                    <w:tr2bl w:val="nil"/>
                  </w:tcBorders>
                  <w:shd w:val="clear" w:color="auto" w:fill="auto"/>
                  <w:noWrap w:val="0"/>
                  <w:vAlign w:val="center"/>
                </w:tcPr>
                <w:p w14:paraId="4529AE54">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4.7798</w:t>
                  </w:r>
                </w:p>
              </w:tc>
              <w:tc>
                <w:tcPr>
                  <w:tcW w:w="1520" w:type="dxa"/>
                  <w:tcBorders>
                    <w:tl2br w:val="nil"/>
                    <w:tr2bl w:val="nil"/>
                  </w:tcBorders>
                  <w:shd w:val="clear" w:color="auto" w:fill="auto"/>
                  <w:noWrap w:val="0"/>
                  <w:vAlign w:val="center"/>
                </w:tcPr>
                <w:p w14:paraId="25DECEE5">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0.6505 </w:t>
                  </w:r>
                </w:p>
              </w:tc>
            </w:tr>
            <w:tr w14:paraId="08A755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385" w:type="pct"/>
                  <w:vMerge w:val="continue"/>
                  <w:tcBorders>
                    <w:tl2br w:val="nil"/>
                    <w:tr2bl w:val="nil"/>
                  </w:tcBorders>
                  <w:noWrap w:val="0"/>
                  <w:vAlign w:val="center"/>
                </w:tcPr>
                <w:p w14:paraId="1935D006">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89" w:type="pct"/>
                  <w:vMerge w:val="continue"/>
                  <w:tcBorders>
                    <w:tl2br w:val="nil"/>
                    <w:tr2bl w:val="nil"/>
                  </w:tcBorders>
                  <w:noWrap w:val="0"/>
                  <w:vAlign w:val="center"/>
                </w:tcPr>
                <w:p w14:paraId="09B8024B">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57" w:type="pct"/>
                  <w:tcBorders>
                    <w:tl2br w:val="nil"/>
                    <w:tr2bl w:val="nil"/>
                  </w:tcBorders>
                  <w:shd w:val="clear" w:color="auto" w:fill="auto"/>
                  <w:noWrap w:val="0"/>
                  <w:vAlign w:val="center"/>
                </w:tcPr>
                <w:p w14:paraId="6AE3AD64">
                  <w:pPr>
                    <w:autoSpaceDE w:val="0"/>
                    <w:ind w:firstLine="0" w:firstLineChars="0"/>
                    <w:jc w:val="center"/>
                    <w:rPr>
                      <w:rFonts w:hint="default" w:ascii="Times New Roman" w:hAnsi="Times New Roman" w:cstheme="minorBidi"/>
                      <w:color w:val="auto"/>
                      <w:sz w:val="21"/>
                      <w:szCs w:val="21"/>
                      <w:highlight w:val="none"/>
                      <w:u w:val="none" w:color="auto"/>
                    </w:rPr>
                  </w:pPr>
                  <w:r>
                    <w:rPr>
                      <w:color w:val="auto"/>
                      <w:sz w:val="21"/>
                      <w:szCs w:val="21"/>
                      <w:u w:val="none" w:color="auto"/>
                    </w:rPr>
                    <w:t>SS</w:t>
                  </w:r>
                </w:p>
              </w:tc>
              <w:tc>
                <w:tcPr>
                  <w:tcW w:w="644" w:type="pct"/>
                  <w:tcBorders>
                    <w:tl2br w:val="nil"/>
                    <w:tr2bl w:val="nil"/>
                  </w:tcBorders>
                  <w:shd w:val="clear" w:color="auto" w:fill="auto"/>
                  <w:noWrap w:val="0"/>
                  <w:vAlign w:val="center"/>
                </w:tcPr>
                <w:p w14:paraId="2A7FD7CF">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131.80 </w:t>
                  </w:r>
                </w:p>
              </w:tc>
              <w:tc>
                <w:tcPr>
                  <w:tcW w:w="820" w:type="pct"/>
                  <w:tcBorders>
                    <w:tl2br w:val="nil"/>
                    <w:tr2bl w:val="nil"/>
                  </w:tcBorders>
                  <w:shd w:val="clear" w:color="auto" w:fill="auto"/>
                  <w:noWrap w:val="0"/>
                  <w:vAlign w:val="center"/>
                </w:tcPr>
                <w:p w14:paraId="7F2E9E17">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10</w:t>
                  </w:r>
                </w:p>
              </w:tc>
              <w:tc>
                <w:tcPr>
                  <w:tcW w:w="1021" w:type="pct"/>
                  <w:tcBorders>
                    <w:tl2br w:val="nil"/>
                    <w:tr2bl w:val="nil"/>
                  </w:tcBorders>
                  <w:shd w:val="clear" w:color="auto" w:fill="auto"/>
                  <w:noWrap w:val="0"/>
                  <w:vAlign w:val="center"/>
                </w:tcPr>
                <w:p w14:paraId="7EF086E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8.5733</w:t>
                  </w:r>
                </w:p>
              </w:tc>
              <w:tc>
                <w:tcPr>
                  <w:tcW w:w="1520" w:type="dxa"/>
                  <w:tcBorders>
                    <w:tl2br w:val="nil"/>
                    <w:tr2bl w:val="nil"/>
                  </w:tcBorders>
                  <w:shd w:val="clear" w:color="auto" w:fill="auto"/>
                  <w:noWrap w:val="0"/>
                  <w:vAlign w:val="center"/>
                </w:tcPr>
                <w:p w14:paraId="2979A04F">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0.6505 </w:t>
                  </w:r>
                </w:p>
              </w:tc>
            </w:tr>
            <w:tr w14:paraId="485C94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385" w:type="pct"/>
                  <w:vMerge w:val="continue"/>
                  <w:tcBorders>
                    <w:tl2br w:val="nil"/>
                    <w:tr2bl w:val="nil"/>
                  </w:tcBorders>
                  <w:noWrap w:val="0"/>
                  <w:vAlign w:val="center"/>
                </w:tcPr>
                <w:p w14:paraId="0033A889">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89" w:type="pct"/>
                  <w:vMerge w:val="continue"/>
                  <w:tcBorders>
                    <w:tl2br w:val="nil"/>
                    <w:tr2bl w:val="nil"/>
                  </w:tcBorders>
                  <w:noWrap w:val="0"/>
                  <w:vAlign w:val="center"/>
                </w:tcPr>
                <w:p w14:paraId="6D35BD59">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57" w:type="pct"/>
                  <w:tcBorders>
                    <w:tl2br w:val="nil"/>
                    <w:tr2bl w:val="nil"/>
                  </w:tcBorders>
                  <w:shd w:val="clear" w:color="auto" w:fill="auto"/>
                  <w:noWrap w:val="0"/>
                  <w:vAlign w:val="center"/>
                </w:tcPr>
                <w:p w14:paraId="6BE55C78">
                  <w:pPr>
                    <w:autoSpaceDE w:val="0"/>
                    <w:ind w:firstLine="0" w:firstLineChars="0"/>
                    <w:jc w:val="center"/>
                    <w:rPr>
                      <w:rFonts w:hint="default" w:ascii="Times New Roman" w:hAnsi="Times New Roman" w:cstheme="minorBidi"/>
                      <w:color w:val="auto"/>
                      <w:sz w:val="21"/>
                      <w:szCs w:val="21"/>
                      <w:highlight w:val="none"/>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644" w:type="pct"/>
                  <w:tcBorders>
                    <w:tl2br w:val="nil"/>
                    <w:tr2bl w:val="nil"/>
                  </w:tcBorders>
                  <w:shd w:val="clear" w:color="auto" w:fill="auto"/>
                  <w:noWrap w:val="0"/>
                  <w:vAlign w:val="center"/>
                </w:tcPr>
                <w:p w14:paraId="259C0851">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16.69 </w:t>
                  </w:r>
                </w:p>
              </w:tc>
              <w:tc>
                <w:tcPr>
                  <w:tcW w:w="820" w:type="pct"/>
                  <w:tcBorders>
                    <w:tl2br w:val="nil"/>
                    <w:tr2bl w:val="nil"/>
                  </w:tcBorders>
                  <w:shd w:val="clear" w:color="auto" w:fill="auto"/>
                  <w:noWrap w:val="0"/>
                  <w:vAlign w:val="center"/>
                </w:tcPr>
                <w:p w14:paraId="5A8EBF59">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5</w:t>
                  </w:r>
                </w:p>
              </w:tc>
              <w:tc>
                <w:tcPr>
                  <w:tcW w:w="1021" w:type="pct"/>
                  <w:tcBorders>
                    <w:tl2br w:val="nil"/>
                    <w:tr2bl w:val="nil"/>
                  </w:tcBorders>
                  <w:shd w:val="clear" w:color="auto" w:fill="auto"/>
                  <w:noWrap w:val="0"/>
                  <w:vAlign w:val="center"/>
                </w:tcPr>
                <w:p w14:paraId="1147A28B">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1.0858</w:t>
                  </w:r>
                </w:p>
              </w:tc>
              <w:tc>
                <w:tcPr>
                  <w:tcW w:w="1520" w:type="dxa"/>
                  <w:tcBorders>
                    <w:tl2br w:val="nil"/>
                    <w:tr2bl w:val="nil"/>
                  </w:tcBorders>
                  <w:shd w:val="clear" w:color="auto" w:fill="auto"/>
                  <w:noWrap w:val="0"/>
                  <w:vAlign w:val="center"/>
                </w:tcPr>
                <w:p w14:paraId="2A86F11F">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0.3252 </w:t>
                  </w:r>
                </w:p>
              </w:tc>
            </w:tr>
            <w:tr w14:paraId="1F25DD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385" w:type="pct"/>
                  <w:vMerge w:val="continue"/>
                  <w:tcBorders>
                    <w:tl2br w:val="nil"/>
                    <w:tr2bl w:val="nil"/>
                  </w:tcBorders>
                  <w:noWrap w:val="0"/>
                  <w:vAlign w:val="center"/>
                </w:tcPr>
                <w:p w14:paraId="66BC7DAE">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89" w:type="pct"/>
                  <w:vMerge w:val="continue"/>
                  <w:tcBorders>
                    <w:tl2br w:val="nil"/>
                    <w:tr2bl w:val="nil"/>
                  </w:tcBorders>
                  <w:noWrap w:val="0"/>
                  <w:vAlign w:val="center"/>
                </w:tcPr>
                <w:p w14:paraId="59206B5B">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57" w:type="pct"/>
                  <w:tcBorders>
                    <w:tl2br w:val="nil"/>
                    <w:tr2bl w:val="nil"/>
                  </w:tcBorders>
                  <w:shd w:val="clear" w:color="auto" w:fill="auto"/>
                  <w:noWrap w:val="0"/>
                  <w:vAlign w:val="center"/>
                </w:tcPr>
                <w:p w14:paraId="469C326F">
                  <w:pPr>
                    <w:autoSpaceDE w:val="0"/>
                    <w:ind w:firstLine="0" w:firstLineChars="0"/>
                    <w:jc w:val="center"/>
                    <w:rPr>
                      <w:rFonts w:hint="default" w:ascii="Times New Roman" w:hAnsi="Times New Roman" w:eastAsia="宋体" w:cstheme="minorBidi"/>
                      <w:color w:val="auto"/>
                      <w:sz w:val="21"/>
                      <w:szCs w:val="21"/>
                      <w:highlight w:val="none"/>
                      <w:u w:val="none" w:color="auto"/>
                      <w:lang w:val="en-US" w:eastAsia="zh-CN"/>
                    </w:rPr>
                  </w:pPr>
                  <w:r>
                    <w:rPr>
                      <w:rFonts w:hint="eastAsia"/>
                      <w:color w:val="auto"/>
                      <w:sz w:val="21"/>
                      <w:szCs w:val="21"/>
                      <w:u w:val="none" w:color="auto"/>
                      <w:lang w:val="en-US" w:eastAsia="zh-CN"/>
                    </w:rPr>
                    <w:t>动植物油</w:t>
                  </w:r>
                </w:p>
              </w:tc>
              <w:tc>
                <w:tcPr>
                  <w:tcW w:w="644" w:type="pct"/>
                  <w:tcBorders>
                    <w:tl2br w:val="nil"/>
                    <w:tr2bl w:val="nil"/>
                  </w:tcBorders>
                  <w:shd w:val="clear" w:color="auto" w:fill="auto"/>
                  <w:noWrap w:val="0"/>
                  <w:vAlign w:val="center"/>
                </w:tcPr>
                <w:p w14:paraId="73274765">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1.95 </w:t>
                  </w:r>
                </w:p>
              </w:tc>
              <w:tc>
                <w:tcPr>
                  <w:tcW w:w="820" w:type="pct"/>
                  <w:tcBorders>
                    <w:tl2br w:val="nil"/>
                    <w:tr2bl w:val="nil"/>
                  </w:tcBorders>
                  <w:shd w:val="clear" w:color="auto" w:fill="auto"/>
                  <w:noWrap w:val="0"/>
                  <w:vAlign w:val="center"/>
                </w:tcPr>
                <w:p w14:paraId="1637282A">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1</w:t>
                  </w:r>
                </w:p>
              </w:tc>
              <w:tc>
                <w:tcPr>
                  <w:tcW w:w="1021" w:type="pct"/>
                  <w:tcBorders>
                    <w:tl2br w:val="nil"/>
                    <w:tr2bl w:val="nil"/>
                  </w:tcBorders>
                  <w:shd w:val="clear" w:color="auto" w:fill="auto"/>
                  <w:noWrap w:val="0"/>
                  <w:vAlign w:val="center"/>
                </w:tcPr>
                <w:p w14:paraId="3D167C9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0.1271</w:t>
                  </w:r>
                </w:p>
              </w:tc>
              <w:tc>
                <w:tcPr>
                  <w:tcW w:w="1520" w:type="dxa"/>
                  <w:tcBorders>
                    <w:tl2br w:val="nil"/>
                    <w:tr2bl w:val="nil"/>
                  </w:tcBorders>
                  <w:shd w:val="clear" w:color="auto" w:fill="auto"/>
                  <w:noWrap w:val="0"/>
                  <w:vAlign w:val="center"/>
                </w:tcPr>
                <w:p w14:paraId="199C080D">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0.0650 </w:t>
                  </w:r>
                </w:p>
              </w:tc>
            </w:tr>
            <w:tr w14:paraId="54B630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 w:hRule="atLeast"/>
              </w:trPr>
              <w:tc>
                <w:tcPr>
                  <w:tcW w:w="385" w:type="pct"/>
                  <w:vMerge w:val="continue"/>
                  <w:tcBorders>
                    <w:tl2br w:val="nil"/>
                    <w:tr2bl w:val="nil"/>
                  </w:tcBorders>
                  <w:noWrap w:val="0"/>
                  <w:vAlign w:val="center"/>
                </w:tcPr>
                <w:p w14:paraId="7D7BBD70">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89" w:type="pct"/>
                  <w:vMerge w:val="continue"/>
                  <w:tcBorders>
                    <w:tl2br w:val="nil"/>
                    <w:tr2bl w:val="nil"/>
                  </w:tcBorders>
                  <w:noWrap w:val="0"/>
                  <w:vAlign w:val="center"/>
                </w:tcPr>
                <w:p w14:paraId="53D3E658">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57" w:type="pct"/>
                  <w:tcBorders>
                    <w:tl2br w:val="nil"/>
                    <w:tr2bl w:val="nil"/>
                  </w:tcBorders>
                  <w:shd w:val="clear" w:color="auto" w:fill="auto"/>
                  <w:noWrap w:val="0"/>
                  <w:vAlign w:val="center"/>
                </w:tcPr>
                <w:p w14:paraId="1E5BFE87">
                  <w:pPr>
                    <w:autoSpaceDE w:val="0"/>
                    <w:ind w:firstLine="0" w:firstLineChars="0"/>
                    <w:jc w:val="center"/>
                    <w:rPr>
                      <w:rFonts w:hint="default" w:ascii="Times New Roman" w:hAnsi="Times New Roman" w:cstheme="minorBidi"/>
                      <w:color w:val="auto"/>
                      <w:sz w:val="21"/>
                      <w:szCs w:val="21"/>
                      <w:highlight w:val="none"/>
                      <w:u w:val="none" w:color="auto"/>
                      <w:lang w:val="en-US" w:eastAsia="zh-CN"/>
                    </w:rPr>
                  </w:pPr>
                  <w:r>
                    <w:rPr>
                      <w:rFonts w:hint="eastAsia"/>
                      <w:color w:val="auto"/>
                      <w:sz w:val="21"/>
                      <w:szCs w:val="21"/>
                      <w:u w:val="none" w:color="auto"/>
                      <w:lang w:val="en-US" w:eastAsia="zh-CN"/>
                    </w:rPr>
                    <w:t>TN</w:t>
                  </w:r>
                </w:p>
              </w:tc>
              <w:tc>
                <w:tcPr>
                  <w:tcW w:w="644" w:type="pct"/>
                  <w:tcBorders>
                    <w:tl2br w:val="nil"/>
                    <w:tr2bl w:val="nil"/>
                  </w:tcBorders>
                  <w:shd w:val="clear" w:color="auto" w:fill="auto"/>
                  <w:noWrap w:val="0"/>
                  <w:vAlign w:val="center"/>
                </w:tcPr>
                <w:p w14:paraId="7BBB7D48">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42.53 </w:t>
                  </w:r>
                </w:p>
              </w:tc>
              <w:tc>
                <w:tcPr>
                  <w:tcW w:w="820" w:type="pct"/>
                  <w:tcBorders>
                    <w:tl2br w:val="nil"/>
                    <w:tr2bl w:val="nil"/>
                  </w:tcBorders>
                  <w:shd w:val="clear" w:color="auto" w:fill="auto"/>
                  <w:noWrap w:val="0"/>
                  <w:vAlign w:val="center"/>
                </w:tcPr>
                <w:p w14:paraId="3F5233B6">
                  <w:pPr>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1</w:t>
                  </w:r>
                  <w:r>
                    <w:rPr>
                      <w:rFonts w:hint="eastAsia" w:cs="Times New Roman"/>
                      <w:color w:val="auto"/>
                      <w:sz w:val="21"/>
                      <w:szCs w:val="21"/>
                      <w:highlight w:val="none"/>
                      <w:u w:val="none" w:color="auto"/>
                      <w:lang w:val="en-US" w:eastAsia="zh-CN"/>
                    </w:rPr>
                    <w:t>5</w:t>
                  </w:r>
                </w:p>
              </w:tc>
              <w:tc>
                <w:tcPr>
                  <w:tcW w:w="1021" w:type="pct"/>
                  <w:tcBorders>
                    <w:tl2br w:val="nil"/>
                    <w:tr2bl w:val="nil"/>
                  </w:tcBorders>
                  <w:shd w:val="clear" w:color="auto" w:fill="auto"/>
                  <w:noWrap w:val="0"/>
                  <w:vAlign w:val="center"/>
                </w:tcPr>
                <w:p w14:paraId="263766B3">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2.7667</w:t>
                  </w:r>
                </w:p>
              </w:tc>
              <w:tc>
                <w:tcPr>
                  <w:tcW w:w="1520" w:type="dxa"/>
                  <w:tcBorders>
                    <w:tl2br w:val="nil"/>
                    <w:tr2bl w:val="nil"/>
                  </w:tcBorders>
                  <w:shd w:val="clear" w:color="auto" w:fill="auto"/>
                  <w:noWrap w:val="0"/>
                  <w:vAlign w:val="center"/>
                </w:tcPr>
                <w:p w14:paraId="0FF6DE2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0.9757 </w:t>
                  </w:r>
                </w:p>
              </w:tc>
            </w:tr>
            <w:tr w14:paraId="0CE98F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 w:hRule="atLeast"/>
              </w:trPr>
              <w:tc>
                <w:tcPr>
                  <w:tcW w:w="385" w:type="pct"/>
                  <w:vMerge w:val="continue"/>
                  <w:tcBorders>
                    <w:tl2br w:val="nil"/>
                    <w:tr2bl w:val="nil"/>
                  </w:tcBorders>
                  <w:noWrap w:val="0"/>
                  <w:vAlign w:val="center"/>
                </w:tcPr>
                <w:p w14:paraId="23CAE704">
                  <w:pPr>
                    <w:keepNext w:val="0"/>
                    <w:keepLines w:val="0"/>
                    <w:widowControl/>
                    <w:suppressLineNumbers w:val="0"/>
                    <w:spacing w:line="240" w:lineRule="auto"/>
                    <w:ind w:firstLine="0" w:firstLineChars="0"/>
                    <w:jc w:val="center"/>
                    <w:textAlignment w:val="auto"/>
                    <w:rPr>
                      <w:color w:val="auto"/>
                    </w:rPr>
                  </w:pPr>
                </w:p>
              </w:tc>
              <w:tc>
                <w:tcPr>
                  <w:tcW w:w="589" w:type="pct"/>
                  <w:vMerge w:val="continue"/>
                  <w:tcBorders>
                    <w:tl2br w:val="nil"/>
                    <w:tr2bl w:val="nil"/>
                  </w:tcBorders>
                  <w:noWrap w:val="0"/>
                  <w:vAlign w:val="center"/>
                </w:tcPr>
                <w:p w14:paraId="21916314">
                  <w:pPr>
                    <w:keepNext w:val="0"/>
                    <w:keepLines w:val="0"/>
                    <w:widowControl/>
                    <w:suppressLineNumbers w:val="0"/>
                    <w:spacing w:line="240" w:lineRule="auto"/>
                    <w:ind w:firstLine="0" w:firstLineChars="0"/>
                    <w:jc w:val="center"/>
                    <w:textAlignment w:val="auto"/>
                    <w:rPr>
                      <w:color w:val="auto"/>
                    </w:rPr>
                  </w:pPr>
                </w:p>
              </w:tc>
              <w:tc>
                <w:tcPr>
                  <w:tcW w:w="657" w:type="pct"/>
                  <w:tcBorders>
                    <w:tl2br w:val="nil"/>
                    <w:tr2bl w:val="nil"/>
                  </w:tcBorders>
                  <w:shd w:val="clear" w:color="auto" w:fill="auto"/>
                  <w:noWrap w:val="0"/>
                  <w:vAlign w:val="center"/>
                </w:tcPr>
                <w:p w14:paraId="339E6F6D">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TP</w:t>
                  </w:r>
                </w:p>
              </w:tc>
              <w:tc>
                <w:tcPr>
                  <w:tcW w:w="644" w:type="pct"/>
                  <w:tcBorders>
                    <w:tl2br w:val="nil"/>
                    <w:tr2bl w:val="nil"/>
                  </w:tcBorders>
                  <w:shd w:val="clear" w:color="auto" w:fill="auto"/>
                  <w:noWrap w:val="0"/>
                  <w:vAlign w:val="center"/>
                </w:tcPr>
                <w:p w14:paraId="11684C6D">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6.39 </w:t>
                  </w:r>
                </w:p>
              </w:tc>
              <w:tc>
                <w:tcPr>
                  <w:tcW w:w="820" w:type="pct"/>
                  <w:tcBorders>
                    <w:tl2br w:val="nil"/>
                    <w:tr2bl w:val="nil"/>
                  </w:tcBorders>
                  <w:shd w:val="clear" w:color="auto" w:fill="auto"/>
                  <w:noWrap w:val="0"/>
                  <w:vAlign w:val="center"/>
                </w:tcPr>
                <w:p w14:paraId="7A940A81">
                  <w:pPr>
                    <w:keepNext w:val="0"/>
                    <w:keepLines w:val="0"/>
                    <w:widowControl/>
                    <w:suppressLineNumbers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0.5</w:t>
                  </w:r>
                </w:p>
              </w:tc>
              <w:tc>
                <w:tcPr>
                  <w:tcW w:w="1021" w:type="pct"/>
                  <w:tcBorders>
                    <w:tl2br w:val="nil"/>
                    <w:tr2bl w:val="nil"/>
                  </w:tcBorders>
                  <w:shd w:val="clear" w:color="auto" w:fill="auto"/>
                  <w:noWrap w:val="0"/>
                  <w:vAlign w:val="center"/>
                </w:tcPr>
                <w:p w14:paraId="518DA60F">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0.4158</w:t>
                  </w:r>
                </w:p>
              </w:tc>
              <w:tc>
                <w:tcPr>
                  <w:tcW w:w="1520" w:type="dxa"/>
                  <w:tcBorders>
                    <w:tl2br w:val="nil"/>
                    <w:tr2bl w:val="nil"/>
                  </w:tcBorders>
                  <w:shd w:val="clear" w:color="auto" w:fill="auto"/>
                  <w:noWrap w:val="0"/>
                  <w:vAlign w:val="center"/>
                </w:tcPr>
                <w:p w14:paraId="3D139519">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0.0325 </w:t>
                  </w:r>
                </w:p>
              </w:tc>
            </w:tr>
            <w:tr w14:paraId="483D88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 w:hRule="atLeast"/>
              </w:trPr>
              <w:tc>
                <w:tcPr>
                  <w:tcW w:w="385" w:type="pct"/>
                  <w:vMerge w:val="continue"/>
                  <w:tcBorders>
                    <w:tl2br w:val="nil"/>
                    <w:tr2bl w:val="nil"/>
                  </w:tcBorders>
                  <w:noWrap w:val="0"/>
                  <w:vAlign w:val="center"/>
                </w:tcPr>
                <w:p w14:paraId="040DBBF4">
                  <w:pPr>
                    <w:keepNext w:val="0"/>
                    <w:keepLines w:val="0"/>
                    <w:widowControl/>
                    <w:suppressLineNumbers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p>
              </w:tc>
              <w:tc>
                <w:tcPr>
                  <w:tcW w:w="589" w:type="pct"/>
                  <w:vMerge w:val="continue"/>
                  <w:tcBorders>
                    <w:tl2br w:val="nil"/>
                    <w:tr2bl w:val="nil"/>
                  </w:tcBorders>
                  <w:noWrap w:val="0"/>
                  <w:vAlign w:val="center"/>
                </w:tcPr>
                <w:p w14:paraId="060628A8">
                  <w:pPr>
                    <w:keepNext w:val="0"/>
                    <w:keepLines w:val="0"/>
                    <w:widowControl/>
                    <w:suppressLineNumbers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p>
              </w:tc>
              <w:tc>
                <w:tcPr>
                  <w:tcW w:w="657" w:type="pct"/>
                  <w:tcBorders>
                    <w:tl2br w:val="nil"/>
                    <w:tr2bl w:val="nil"/>
                  </w:tcBorders>
                  <w:shd w:val="clear" w:color="auto" w:fill="auto"/>
                  <w:noWrap w:val="0"/>
                  <w:vAlign w:val="center"/>
                </w:tcPr>
                <w:p w14:paraId="7A96589A">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石油类</w:t>
                  </w:r>
                </w:p>
              </w:tc>
              <w:tc>
                <w:tcPr>
                  <w:tcW w:w="644" w:type="pct"/>
                  <w:tcBorders>
                    <w:tl2br w:val="nil"/>
                    <w:tr2bl w:val="nil"/>
                  </w:tcBorders>
                  <w:shd w:val="clear" w:color="auto" w:fill="auto"/>
                  <w:noWrap w:val="0"/>
                  <w:vAlign w:val="center"/>
                </w:tcPr>
                <w:p w14:paraId="78F6FB89">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0.11 </w:t>
                  </w:r>
                </w:p>
              </w:tc>
              <w:tc>
                <w:tcPr>
                  <w:tcW w:w="820" w:type="pct"/>
                  <w:tcBorders>
                    <w:tl2br w:val="nil"/>
                    <w:tr2bl w:val="nil"/>
                  </w:tcBorders>
                  <w:shd w:val="clear" w:color="auto" w:fill="auto"/>
                  <w:noWrap w:val="0"/>
                  <w:vAlign w:val="center"/>
                </w:tcPr>
                <w:p w14:paraId="29F93370">
                  <w:pPr>
                    <w:keepNext w:val="0"/>
                    <w:keepLines w:val="0"/>
                    <w:widowControl/>
                    <w:suppressLineNumbers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p>
              </w:tc>
              <w:tc>
                <w:tcPr>
                  <w:tcW w:w="1021" w:type="pct"/>
                  <w:tcBorders>
                    <w:tl2br w:val="nil"/>
                    <w:tr2bl w:val="nil"/>
                  </w:tcBorders>
                  <w:shd w:val="clear" w:color="auto" w:fill="auto"/>
                  <w:noWrap w:val="0"/>
                  <w:vAlign w:val="center"/>
                </w:tcPr>
                <w:p w14:paraId="2518A916">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0.0073</w:t>
                  </w:r>
                </w:p>
              </w:tc>
              <w:tc>
                <w:tcPr>
                  <w:tcW w:w="1520" w:type="dxa"/>
                  <w:tcBorders>
                    <w:tl2br w:val="nil"/>
                    <w:tr2bl w:val="nil"/>
                  </w:tcBorders>
                  <w:shd w:val="clear" w:color="auto" w:fill="auto"/>
                  <w:noWrap w:val="0"/>
                  <w:vAlign w:val="center"/>
                </w:tcPr>
                <w:p w14:paraId="5CF34E9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0.0650 </w:t>
                  </w:r>
                </w:p>
              </w:tc>
            </w:tr>
            <w:tr w14:paraId="6F7B3F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975" w:type="pct"/>
                  <w:gridSpan w:val="2"/>
                  <w:vMerge w:val="restart"/>
                  <w:tcBorders>
                    <w:tl2br w:val="nil"/>
                    <w:tr2bl w:val="nil"/>
                  </w:tcBorders>
                  <w:noWrap w:val="0"/>
                  <w:vAlign w:val="center"/>
                </w:tcPr>
                <w:p w14:paraId="49737BE8">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全厂排放口</w:t>
                  </w:r>
                </w:p>
                <w:p w14:paraId="61886085">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合计</w:t>
                  </w:r>
                </w:p>
              </w:tc>
              <w:tc>
                <w:tcPr>
                  <w:tcW w:w="2121" w:type="pct"/>
                  <w:gridSpan w:val="3"/>
                  <w:tcBorders>
                    <w:tl2br w:val="nil"/>
                    <w:tr2bl w:val="nil"/>
                  </w:tcBorders>
                  <w:noWrap w:val="0"/>
                  <w:vAlign w:val="center"/>
                </w:tcPr>
                <w:p w14:paraId="177C4AA1">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废水量</w:t>
                  </w:r>
                </w:p>
              </w:tc>
              <w:tc>
                <w:tcPr>
                  <w:tcW w:w="1763" w:type="dxa"/>
                  <w:tcBorders>
                    <w:tl2br w:val="nil"/>
                    <w:tr2bl w:val="nil"/>
                  </w:tcBorders>
                  <w:shd w:val="clear" w:color="auto" w:fill="auto"/>
                  <w:noWrap w:val="0"/>
                  <w:vAlign w:val="center"/>
                </w:tcPr>
                <w:p w14:paraId="5D195D91">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65047.575</w:t>
                  </w:r>
                </w:p>
              </w:tc>
              <w:tc>
                <w:tcPr>
                  <w:tcW w:w="1520" w:type="dxa"/>
                  <w:tcBorders>
                    <w:tl2br w:val="nil"/>
                    <w:tr2bl w:val="nil"/>
                  </w:tcBorders>
                  <w:shd w:val="clear" w:color="auto" w:fill="auto"/>
                  <w:noWrap w:val="0"/>
                  <w:vAlign w:val="center"/>
                </w:tcPr>
                <w:p w14:paraId="25AD7002">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u w:val="none" w:color="auto"/>
                      <w:lang w:val="en-US" w:eastAsia="zh-CN"/>
                    </w:rPr>
                    <w:t>65047.575</w:t>
                  </w:r>
                </w:p>
              </w:tc>
            </w:tr>
            <w:tr w14:paraId="41B11F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975" w:type="pct"/>
                  <w:gridSpan w:val="2"/>
                  <w:vMerge w:val="continue"/>
                  <w:tcBorders>
                    <w:tl2br w:val="nil"/>
                    <w:tr2bl w:val="nil"/>
                  </w:tcBorders>
                  <w:noWrap w:val="0"/>
                  <w:vAlign w:val="center"/>
                </w:tcPr>
                <w:p w14:paraId="458485FE">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2121" w:type="pct"/>
                  <w:gridSpan w:val="3"/>
                  <w:tcBorders>
                    <w:tl2br w:val="nil"/>
                    <w:tr2bl w:val="nil"/>
                  </w:tcBorders>
                  <w:noWrap w:val="0"/>
                  <w:vAlign w:val="center"/>
                </w:tcPr>
                <w:p w14:paraId="3A24E2E4">
                  <w:pPr>
                    <w:spacing w:line="240" w:lineRule="auto"/>
                    <w:ind w:firstLine="0" w:firstLineChars="0"/>
                    <w:jc w:val="center"/>
                    <w:rPr>
                      <w:rFonts w:hint="default" w:ascii="Times New Roman" w:hAnsi="Times New Roman"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CODcr</w:t>
                  </w:r>
                </w:p>
              </w:tc>
              <w:tc>
                <w:tcPr>
                  <w:tcW w:w="1763" w:type="dxa"/>
                  <w:tcBorders>
                    <w:tl2br w:val="nil"/>
                    <w:tr2bl w:val="nil"/>
                  </w:tcBorders>
                  <w:shd w:val="clear" w:color="auto" w:fill="auto"/>
                  <w:noWrap w:val="0"/>
                  <w:vAlign w:val="center"/>
                </w:tcPr>
                <w:p w14:paraId="789988D0">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8.0758</w:t>
                  </w:r>
                </w:p>
              </w:tc>
              <w:tc>
                <w:tcPr>
                  <w:tcW w:w="1520" w:type="dxa"/>
                  <w:tcBorders>
                    <w:tl2br w:val="nil"/>
                    <w:tr2bl w:val="nil"/>
                  </w:tcBorders>
                  <w:shd w:val="clear" w:color="auto" w:fill="auto"/>
                  <w:noWrap w:val="0"/>
                  <w:vAlign w:val="center"/>
                </w:tcPr>
                <w:p w14:paraId="52068D19">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3.2524 </w:t>
                  </w:r>
                </w:p>
              </w:tc>
            </w:tr>
            <w:tr w14:paraId="5C3E79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975" w:type="pct"/>
                  <w:gridSpan w:val="2"/>
                  <w:vMerge w:val="continue"/>
                  <w:tcBorders>
                    <w:tl2br w:val="nil"/>
                    <w:tr2bl w:val="nil"/>
                  </w:tcBorders>
                  <w:noWrap w:val="0"/>
                  <w:vAlign w:val="center"/>
                </w:tcPr>
                <w:p w14:paraId="68E3D908">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2121" w:type="pct"/>
                  <w:gridSpan w:val="3"/>
                  <w:tcBorders>
                    <w:tl2br w:val="nil"/>
                    <w:tr2bl w:val="nil"/>
                  </w:tcBorders>
                  <w:noWrap w:val="0"/>
                  <w:vAlign w:val="center"/>
                </w:tcPr>
                <w:p w14:paraId="58DECD6E">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BOD</w:t>
                  </w:r>
                  <w:r>
                    <w:rPr>
                      <w:rFonts w:hint="default" w:ascii="Times New Roman" w:hAnsi="Times New Roman" w:cs="Times New Roman"/>
                      <w:color w:val="auto"/>
                      <w:sz w:val="21"/>
                      <w:szCs w:val="21"/>
                      <w:highlight w:val="none"/>
                      <w:u w:val="none" w:color="auto"/>
                      <w:vertAlign w:val="subscript"/>
                      <w:lang w:val="en-US" w:eastAsia="zh-CN"/>
                    </w:rPr>
                    <w:t>5</w:t>
                  </w:r>
                </w:p>
              </w:tc>
              <w:tc>
                <w:tcPr>
                  <w:tcW w:w="1763" w:type="dxa"/>
                  <w:tcBorders>
                    <w:tl2br w:val="nil"/>
                    <w:tr2bl w:val="nil"/>
                  </w:tcBorders>
                  <w:shd w:val="clear" w:color="auto" w:fill="auto"/>
                  <w:noWrap w:val="0"/>
                  <w:vAlign w:val="center"/>
                </w:tcPr>
                <w:p w14:paraId="211658A2">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4.7798</w:t>
                  </w:r>
                </w:p>
              </w:tc>
              <w:tc>
                <w:tcPr>
                  <w:tcW w:w="1520" w:type="dxa"/>
                  <w:tcBorders>
                    <w:tl2br w:val="nil"/>
                    <w:tr2bl w:val="nil"/>
                  </w:tcBorders>
                  <w:shd w:val="clear" w:color="auto" w:fill="auto"/>
                  <w:noWrap w:val="0"/>
                  <w:vAlign w:val="center"/>
                </w:tcPr>
                <w:p w14:paraId="6A14FD16">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0.6505 </w:t>
                  </w:r>
                </w:p>
              </w:tc>
            </w:tr>
            <w:tr w14:paraId="011214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975" w:type="pct"/>
                  <w:gridSpan w:val="2"/>
                  <w:vMerge w:val="continue"/>
                  <w:tcBorders>
                    <w:tl2br w:val="nil"/>
                    <w:tr2bl w:val="nil"/>
                  </w:tcBorders>
                  <w:noWrap w:val="0"/>
                  <w:vAlign w:val="center"/>
                </w:tcPr>
                <w:p w14:paraId="2B32F342">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2121" w:type="pct"/>
                  <w:gridSpan w:val="3"/>
                  <w:tcBorders>
                    <w:tl2br w:val="nil"/>
                    <w:tr2bl w:val="nil"/>
                  </w:tcBorders>
                  <w:noWrap w:val="0"/>
                  <w:vAlign w:val="center"/>
                </w:tcPr>
                <w:p w14:paraId="24192129">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SS</w:t>
                  </w:r>
                </w:p>
              </w:tc>
              <w:tc>
                <w:tcPr>
                  <w:tcW w:w="1763" w:type="dxa"/>
                  <w:tcBorders>
                    <w:tl2br w:val="nil"/>
                    <w:tr2bl w:val="nil"/>
                  </w:tcBorders>
                  <w:shd w:val="clear" w:color="auto" w:fill="auto"/>
                  <w:noWrap w:val="0"/>
                  <w:vAlign w:val="center"/>
                </w:tcPr>
                <w:p w14:paraId="7D57EB21">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8.5733</w:t>
                  </w:r>
                </w:p>
              </w:tc>
              <w:tc>
                <w:tcPr>
                  <w:tcW w:w="1520" w:type="dxa"/>
                  <w:tcBorders>
                    <w:tl2br w:val="nil"/>
                    <w:tr2bl w:val="nil"/>
                  </w:tcBorders>
                  <w:shd w:val="clear" w:color="auto" w:fill="auto"/>
                  <w:noWrap w:val="0"/>
                  <w:vAlign w:val="center"/>
                </w:tcPr>
                <w:p w14:paraId="366882DC">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0.6505 </w:t>
                  </w:r>
                </w:p>
              </w:tc>
            </w:tr>
            <w:tr w14:paraId="0B24C2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975" w:type="pct"/>
                  <w:gridSpan w:val="2"/>
                  <w:vMerge w:val="continue"/>
                  <w:tcBorders>
                    <w:tl2br w:val="nil"/>
                    <w:tr2bl w:val="nil"/>
                  </w:tcBorders>
                  <w:noWrap w:val="0"/>
                  <w:vAlign w:val="center"/>
                </w:tcPr>
                <w:p w14:paraId="0C59EA90">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2121" w:type="pct"/>
                  <w:gridSpan w:val="3"/>
                  <w:tcBorders>
                    <w:tl2br w:val="nil"/>
                    <w:tr2bl w:val="nil"/>
                  </w:tcBorders>
                  <w:noWrap w:val="0"/>
                  <w:vAlign w:val="center"/>
                </w:tcPr>
                <w:p w14:paraId="71481693">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rPr>
                    <w:t>氨氮</w:t>
                  </w:r>
                </w:p>
              </w:tc>
              <w:tc>
                <w:tcPr>
                  <w:tcW w:w="1763" w:type="dxa"/>
                  <w:tcBorders>
                    <w:tl2br w:val="nil"/>
                    <w:tr2bl w:val="nil"/>
                  </w:tcBorders>
                  <w:shd w:val="clear" w:color="auto" w:fill="auto"/>
                  <w:noWrap w:val="0"/>
                  <w:vAlign w:val="center"/>
                </w:tcPr>
                <w:p w14:paraId="69ED5476">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1.0858</w:t>
                  </w:r>
                </w:p>
              </w:tc>
              <w:tc>
                <w:tcPr>
                  <w:tcW w:w="1520" w:type="dxa"/>
                  <w:tcBorders>
                    <w:tl2br w:val="nil"/>
                    <w:tr2bl w:val="nil"/>
                  </w:tcBorders>
                  <w:shd w:val="clear" w:color="auto" w:fill="auto"/>
                  <w:noWrap w:val="0"/>
                  <w:vAlign w:val="center"/>
                </w:tcPr>
                <w:p w14:paraId="30FE22CE">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0.3252 </w:t>
                  </w:r>
                </w:p>
              </w:tc>
            </w:tr>
            <w:tr w14:paraId="214260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975" w:type="pct"/>
                  <w:gridSpan w:val="2"/>
                  <w:vMerge w:val="continue"/>
                  <w:tcBorders>
                    <w:tl2br w:val="nil"/>
                    <w:tr2bl w:val="nil"/>
                  </w:tcBorders>
                  <w:noWrap w:val="0"/>
                  <w:vAlign w:val="center"/>
                </w:tcPr>
                <w:p w14:paraId="6153706E">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2121" w:type="pct"/>
                  <w:gridSpan w:val="3"/>
                  <w:tcBorders>
                    <w:tl2br w:val="nil"/>
                    <w:tr2bl w:val="nil"/>
                  </w:tcBorders>
                  <w:noWrap w:val="0"/>
                  <w:vAlign w:val="center"/>
                </w:tcPr>
                <w:p w14:paraId="6CE140A1">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动植物油</w:t>
                  </w:r>
                </w:p>
              </w:tc>
              <w:tc>
                <w:tcPr>
                  <w:tcW w:w="1763" w:type="dxa"/>
                  <w:tcBorders>
                    <w:tl2br w:val="nil"/>
                    <w:tr2bl w:val="nil"/>
                  </w:tcBorders>
                  <w:shd w:val="clear" w:color="auto" w:fill="auto"/>
                  <w:noWrap w:val="0"/>
                  <w:vAlign w:val="center"/>
                </w:tcPr>
                <w:p w14:paraId="49902C6F">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0.1271</w:t>
                  </w:r>
                </w:p>
              </w:tc>
              <w:tc>
                <w:tcPr>
                  <w:tcW w:w="1520" w:type="dxa"/>
                  <w:tcBorders>
                    <w:tl2br w:val="nil"/>
                    <w:tr2bl w:val="nil"/>
                  </w:tcBorders>
                  <w:shd w:val="clear" w:color="auto" w:fill="auto"/>
                  <w:noWrap w:val="0"/>
                  <w:vAlign w:val="center"/>
                </w:tcPr>
                <w:p w14:paraId="1B329083">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0.0650 </w:t>
                  </w:r>
                </w:p>
              </w:tc>
            </w:tr>
            <w:tr w14:paraId="427CDA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975" w:type="pct"/>
                  <w:gridSpan w:val="2"/>
                  <w:vMerge w:val="continue"/>
                  <w:tcBorders>
                    <w:tl2br w:val="nil"/>
                    <w:tr2bl w:val="nil"/>
                  </w:tcBorders>
                  <w:noWrap w:val="0"/>
                  <w:vAlign w:val="center"/>
                </w:tcPr>
                <w:p w14:paraId="29C5C172">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2121" w:type="pct"/>
                  <w:gridSpan w:val="3"/>
                  <w:tcBorders>
                    <w:tl2br w:val="nil"/>
                    <w:tr2bl w:val="nil"/>
                  </w:tcBorders>
                  <w:noWrap w:val="0"/>
                  <w:vAlign w:val="center"/>
                </w:tcPr>
                <w:p w14:paraId="7FD60FA2">
                  <w:pPr>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TP</w:t>
                  </w:r>
                </w:p>
              </w:tc>
              <w:tc>
                <w:tcPr>
                  <w:tcW w:w="1763" w:type="dxa"/>
                  <w:tcBorders>
                    <w:tl2br w:val="nil"/>
                    <w:tr2bl w:val="nil"/>
                  </w:tcBorders>
                  <w:shd w:val="clear" w:color="auto" w:fill="auto"/>
                  <w:noWrap w:val="0"/>
                  <w:vAlign w:val="center"/>
                </w:tcPr>
                <w:p w14:paraId="15CF7000">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2.7667</w:t>
                  </w:r>
                </w:p>
              </w:tc>
              <w:tc>
                <w:tcPr>
                  <w:tcW w:w="1520" w:type="dxa"/>
                  <w:tcBorders>
                    <w:tl2br w:val="nil"/>
                    <w:tr2bl w:val="nil"/>
                  </w:tcBorders>
                  <w:shd w:val="clear" w:color="auto" w:fill="auto"/>
                  <w:noWrap w:val="0"/>
                  <w:vAlign w:val="center"/>
                </w:tcPr>
                <w:p w14:paraId="493DC5D9">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0.9757 </w:t>
                  </w:r>
                </w:p>
              </w:tc>
            </w:tr>
            <w:tr w14:paraId="384531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975" w:type="pct"/>
                  <w:gridSpan w:val="2"/>
                  <w:vMerge w:val="continue"/>
                  <w:tcBorders>
                    <w:tl2br w:val="nil"/>
                    <w:tr2bl w:val="nil"/>
                  </w:tcBorders>
                  <w:noWrap w:val="0"/>
                  <w:vAlign w:val="center"/>
                </w:tcPr>
                <w:p w14:paraId="167FEAF5">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2121" w:type="pct"/>
                  <w:gridSpan w:val="3"/>
                  <w:tcBorders>
                    <w:tl2br w:val="nil"/>
                    <w:tr2bl w:val="nil"/>
                  </w:tcBorders>
                  <w:noWrap w:val="0"/>
                  <w:vAlign w:val="center"/>
                </w:tcPr>
                <w:p w14:paraId="79266ABC">
                  <w:pPr>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TN</w:t>
                  </w:r>
                </w:p>
              </w:tc>
              <w:tc>
                <w:tcPr>
                  <w:tcW w:w="1763" w:type="dxa"/>
                  <w:tcBorders>
                    <w:tl2br w:val="nil"/>
                    <w:tr2bl w:val="nil"/>
                  </w:tcBorders>
                  <w:shd w:val="clear" w:color="auto" w:fill="auto"/>
                  <w:noWrap w:val="0"/>
                  <w:vAlign w:val="center"/>
                </w:tcPr>
                <w:p w14:paraId="0E21D57E">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0.4158</w:t>
                  </w:r>
                </w:p>
              </w:tc>
              <w:tc>
                <w:tcPr>
                  <w:tcW w:w="1520" w:type="dxa"/>
                  <w:tcBorders>
                    <w:tl2br w:val="nil"/>
                    <w:tr2bl w:val="nil"/>
                  </w:tcBorders>
                  <w:shd w:val="clear" w:color="auto" w:fill="auto"/>
                  <w:noWrap w:val="0"/>
                  <w:vAlign w:val="center"/>
                </w:tcPr>
                <w:p w14:paraId="0E283A7D">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0.0325 </w:t>
                  </w:r>
                </w:p>
              </w:tc>
            </w:tr>
            <w:tr w14:paraId="4FF72F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 w:hRule="atLeast"/>
              </w:trPr>
              <w:tc>
                <w:tcPr>
                  <w:tcW w:w="975" w:type="pct"/>
                  <w:gridSpan w:val="2"/>
                  <w:vMerge w:val="continue"/>
                  <w:tcBorders>
                    <w:tl2br w:val="nil"/>
                    <w:tr2bl w:val="nil"/>
                  </w:tcBorders>
                  <w:noWrap w:val="0"/>
                  <w:vAlign w:val="center"/>
                </w:tcPr>
                <w:p w14:paraId="70C9BF1E">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cs="Times New Roman"/>
                      <w:color w:val="auto"/>
                      <w:sz w:val="21"/>
                      <w:szCs w:val="21"/>
                      <w:highlight w:val="none"/>
                      <w:u w:val="none" w:color="auto"/>
                      <w:lang w:eastAsia="zh-CN"/>
                    </w:rPr>
                    <w:t>.</w:t>
                  </w:r>
                </w:p>
              </w:tc>
              <w:tc>
                <w:tcPr>
                  <w:tcW w:w="2121" w:type="pct"/>
                  <w:gridSpan w:val="3"/>
                  <w:tcBorders>
                    <w:tl2br w:val="nil"/>
                    <w:tr2bl w:val="nil"/>
                  </w:tcBorders>
                  <w:noWrap w:val="0"/>
                  <w:vAlign w:val="center"/>
                </w:tcPr>
                <w:p w14:paraId="49429D10">
                  <w:pPr>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石油类</w:t>
                  </w:r>
                </w:p>
              </w:tc>
              <w:tc>
                <w:tcPr>
                  <w:tcW w:w="1763" w:type="dxa"/>
                  <w:tcBorders>
                    <w:tl2br w:val="nil"/>
                    <w:tr2bl w:val="nil"/>
                  </w:tcBorders>
                  <w:shd w:val="clear" w:color="auto" w:fill="auto"/>
                  <w:noWrap w:val="0"/>
                  <w:vAlign w:val="center"/>
                </w:tcPr>
                <w:p w14:paraId="24A5A64D">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0.0073</w:t>
                  </w:r>
                </w:p>
              </w:tc>
              <w:tc>
                <w:tcPr>
                  <w:tcW w:w="1520" w:type="dxa"/>
                  <w:tcBorders>
                    <w:tl2br w:val="nil"/>
                    <w:tr2bl w:val="nil"/>
                  </w:tcBorders>
                  <w:shd w:val="clear" w:color="auto" w:fill="auto"/>
                  <w:noWrap w:val="0"/>
                  <w:vAlign w:val="center"/>
                </w:tcPr>
                <w:p w14:paraId="73CD0A3C">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0.0650 </w:t>
                  </w:r>
                </w:p>
              </w:tc>
            </w:tr>
          </w:tbl>
          <w:p w14:paraId="558760EF">
            <w:pPr>
              <w:numPr>
                <w:ilvl w:val="-1"/>
                <w:numId w:val="0"/>
              </w:numPr>
              <w:spacing w:line="360" w:lineRule="auto"/>
              <w:ind w:firstLine="480" w:firstLineChars="200"/>
              <w:jc w:val="left"/>
              <w:rPr>
                <w:rFonts w:hint="eastAsia"/>
                <w:color w:val="000000" w:themeColor="text1"/>
                <w:u w:val="none" w:color="auto"/>
                <w:lang w:val="en-US" w:eastAsia="zh-CN"/>
                <w14:textFill>
                  <w14:solidFill>
                    <w14:schemeClr w14:val="tx1"/>
                  </w14:solidFill>
                </w14:textFill>
              </w:rPr>
            </w:pPr>
            <w:r>
              <w:rPr>
                <w:rFonts w:hint="eastAsia"/>
                <w:color w:val="000000" w:themeColor="text1"/>
                <w:u w:val="none" w:color="auto"/>
                <w:lang w:val="en-US" w:eastAsia="zh-CN"/>
                <w14:textFill>
                  <w14:solidFill>
                    <w14:schemeClr w14:val="tx1"/>
                  </w14:solidFill>
                </w14:textFill>
              </w:rPr>
              <w:t>3、初期雨水</w:t>
            </w:r>
          </w:p>
          <w:p w14:paraId="213BAC71">
            <w:pPr>
              <w:bidi w:val="0"/>
              <w:jc w:val="left"/>
              <w:rPr>
                <w:rFonts w:hint="eastAsia" w:ascii="宋体" w:hAnsi="宋体" w:eastAsia="宋体" w:cs="宋体"/>
                <w:color w:val="auto"/>
                <w:highlight w:val="none"/>
                <w:u w:val="single"/>
                <w:lang w:eastAsia="zh-CN"/>
              </w:rPr>
            </w:pPr>
            <w:r>
              <w:rPr>
                <w:rFonts w:hint="eastAsia" w:ascii="宋体" w:hAnsi="宋体" w:eastAsia="宋体" w:cs="宋体"/>
                <w:color w:val="auto"/>
                <w:u w:val="single"/>
                <w:lang w:val="en-US" w:eastAsia="zh-CN"/>
              </w:rPr>
              <w:t>本项</w:t>
            </w:r>
            <w:r>
              <w:rPr>
                <w:rFonts w:hint="eastAsia" w:cs="Times New Roman"/>
                <w:color w:val="auto"/>
                <w:highlight w:val="none"/>
                <w:u w:val="single"/>
                <w:lang w:val="en-US" w:eastAsia="zh-CN"/>
              </w:rPr>
              <w:t>目集水面积约</w:t>
            </w:r>
            <w:r>
              <w:rPr>
                <w:rFonts w:hint="default" w:ascii="Times New Roman" w:hAnsi="Times New Roman" w:eastAsia="宋体" w:cs="Times New Roman"/>
                <w:color w:val="auto"/>
                <w:highlight w:val="none"/>
                <w:u w:val="single"/>
              </w:rPr>
              <w:t>0.</w:t>
            </w:r>
            <w:r>
              <w:rPr>
                <w:rFonts w:hint="eastAsia" w:cs="Times New Roman"/>
                <w:color w:val="auto"/>
                <w:highlight w:val="none"/>
                <w:u w:val="single"/>
                <w:lang w:val="en-US" w:eastAsia="zh-CN"/>
              </w:rPr>
              <w:t xml:space="preserve">4 </w:t>
            </w:r>
            <w:r>
              <w:rPr>
                <w:rFonts w:hint="default" w:ascii="Times New Roman" w:hAnsi="Times New Roman" w:eastAsia="宋体" w:cs="Times New Roman"/>
                <w:color w:val="auto"/>
                <w:highlight w:val="none"/>
                <w:u w:val="single"/>
              </w:rPr>
              <w:t>hm</w:t>
            </w:r>
            <w:r>
              <w:rPr>
                <w:rFonts w:hint="default" w:ascii="Times New Roman" w:hAnsi="Times New Roman" w:eastAsia="宋体" w:cs="Times New Roman"/>
                <w:color w:val="auto"/>
                <w:highlight w:val="none"/>
                <w:u w:val="single"/>
                <w:vertAlign w:val="superscript"/>
              </w:rPr>
              <w:t>2</w:t>
            </w:r>
            <w:r>
              <w:rPr>
                <w:rFonts w:hint="eastAsia" w:ascii="宋体" w:hAnsi="宋体" w:eastAsia="宋体" w:cs="宋体"/>
                <w:color w:val="auto"/>
                <w:highlight w:val="none"/>
                <w:u w:val="single"/>
              </w:rPr>
              <w:t>。根据《室外排水设计规范》，雨水流量公式为</w:t>
            </w:r>
            <w:r>
              <w:rPr>
                <w:rFonts w:hint="eastAsia" w:ascii="宋体" w:hAnsi="宋体" w:cs="宋体"/>
                <w:color w:val="auto"/>
                <w:highlight w:val="none"/>
                <w:u w:val="single"/>
                <w:lang w:eastAsia="zh-CN"/>
              </w:rPr>
              <w:t>：</w:t>
            </w:r>
          </w:p>
          <w:p w14:paraId="3F0D9A62">
            <w:pPr>
              <w:bidi w:val="0"/>
              <w:jc w:val="center"/>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Q=q*α*F*T1</w:t>
            </w:r>
          </w:p>
          <w:p w14:paraId="07BE39FD">
            <w:pPr>
              <w:bidi w:val="0"/>
              <w:jc w:val="center"/>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式中：Q-雨水设计流量（L/S）；</w:t>
            </w:r>
          </w:p>
          <w:p w14:paraId="6CB786E6">
            <w:pPr>
              <w:jc w:val="center"/>
              <w:rPr>
                <w:rFonts w:hint="eastAsia" w:ascii="Times New Roman" w:hAnsi="Times New Roman" w:eastAsia="宋体" w:cs="Times New Roman"/>
                <w:color w:val="auto"/>
                <w:highlight w:val="none"/>
                <w:u w:val="single"/>
                <w:lang w:eastAsia="zh-CN"/>
              </w:rPr>
            </w:pPr>
            <w:r>
              <w:rPr>
                <w:rFonts w:hint="default" w:ascii="Times New Roman" w:hAnsi="Times New Roman" w:eastAsia="宋体" w:cs="Times New Roman"/>
                <w:color w:val="auto"/>
                <w:highlight w:val="none"/>
                <w:u w:val="single"/>
              </w:rPr>
              <w:t>q—设计暴雨强度（L/S.hm</w:t>
            </w:r>
            <w:r>
              <w:rPr>
                <w:rFonts w:hint="default" w:ascii="Times New Roman" w:hAnsi="Times New Roman" w:eastAsia="宋体" w:cs="Times New Roman"/>
                <w:color w:val="auto"/>
                <w:highlight w:val="none"/>
                <w:u w:val="single"/>
                <w:vertAlign w:val="superscript"/>
              </w:rPr>
              <w:t>2</w:t>
            </w:r>
            <w:r>
              <w:rPr>
                <w:rFonts w:hint="default" w:ascii="Times New Roman" w:hAnsi="Times New Roman" w:eastAsia="宋体" w:cs="Times New Roman"/>
                <w:color w:val="auto"/>
                <w:highlight w:val="none"/>
                <w:u w:val="single"/>
              </w:rPr>
              <w:t>），</w:t>
            </w:r>
            <w:r>
              <w:rPr>
                <w:rFonts w:hint="eastAsia" w:eastAsia="宋体" w:cs="Times New Roman"/>
                <w:color w:val="auto"/>
                <w:highlight w:val="none"/>
                <w:u w:val="single"/>
                <w:lang w:val="en-US" w:eastAsia="zh-CN"/>
              </w:rPr>
              <w:t>本项目参考</w:t>
            </w:r>
            <w:r>
              <w:rPr>
                <w:rFonts w:hint="eastAsia" w:ascii="Times New Roman" w:hAnsi="Times New Roman" w:eastAsia="宋体" w:cs="Times New Roman"/>
                <w:color w:val="auto"/>
                <w:highlight w:val="none"/>
                <w:u w:val="single"/>
                <w:lang w:val="en-US" w:eastAsia="zh-CN"/>
              </w:rPr>
              <w:t>怀化</w:t>
            </w:r>
            <w:r>
              <w:rPr>
                <w:rFonts w:hint="default" w:ascii="Times New Roman" w:hAnsi="Times New Roman" w:eastAsia="宋体" w:cs="Times New Roman"/>
                <w:color w:val="auto"/>
                <w:highlight w:val="none"/>
                <w:u w:val="single"/>
              </w:rPr>
              <w:t>市暴雨强度公式</w:t>
            </w:r>
            <w:r>
              <w:rPr>
                <w:rFonts w:hint="eastAsia" w:ascii="Times New Roman" w:hAnsi="Times New Roman" w:eastAsia="宋体" w:cs="Times New Roman"/>
                <w:color w:val="auto"/>
                <w:highlight w:val="none"/>
                <w:u w:val="single"/>
                <w:lang w:eastAsia="zh-CN"/>
              </w:rPr>
              <w:t>：</w:t>
            </w:r>
          </w:p>
          <w:p w14:paraId="08116449">
            <w:pPr>
              <w:jc w:val="center"/>
              <w:rPr>
                <w:rFonts w:hint="default"/>
                <w:lang w:val="en-US" w:eastAsia="zh-CN"/>
              </w:rPr>
            </w:pPr>
            <w:r>
              <w:rPr>
                <w:rFonts w:hint="eastAsia" w:ascii="Times New Roman" w:hAnsi="Times New Roman" w:eastAsia="宋体" w:cs="Times New Roman"/>
                <w:color w:val="auto"/>
                <w:highlight w:val="none"/>
                <w:u w:val="single"/>
                <w:lang w:val="en-US" w:eastAsia="zh-CN"/>
              </w:rPr>
              <w:t>Q=3118*（1+0.8*lgT）/（t+12）</w:t>
            </w:r>
            <w:r>
              <w:rPr>
                <w:rFonts w:hint="eastAsia" w:ascii="Times New Roman" w:hAnsi="Times New Roman" w:eastAsia="宋体" w:cs="Times New Roman"/>
                <w:color w:val="auto"/>
                <w:highlight w:val="none"/>
                <w:u w:val="single"/>
                <w:vertAlign w:val="superscript"/>
                <w:lang w:val="en-US" w:eastAsia="zh-CN"/>
              </w:rPr>
              <w:t>0.73</w:t>
            </w:r>
          </w:p>
          <w:p w14:paraId="10AC8865">
            <w:pPr>
              <w:bidi w:val="0"/>
              <w:jc w:val="left"/>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式中T为设计重现期（年），取1；t为降雨历时，取20分钟；（取</w:t>
            </w:r>
            <w:r>
              <w:rPr>
                <w:rFonts w:hint="eastAsia" w:ascii="Times New Roman" w:hAnsi="Times New Roman" w:eastAsia="宋体" w:cs="Times New Roman"/>
                <w:color w:val="auto"/>
                <w:highlight w:val="none"/>
                <w:u w:val="single"/>
                <w:lang w:val="en-US" w:eastAsia="zh-CN"/>
              </w:rPr>
              <w:t>1996</w:t>
            </w:r>
            <w:r>
              <w:rPr>
                <w:rFonts w:hint="default" w:ascii="Times New Roman" w:hAnsi="Times New Roman" w:eastAsia="宋体" w:cs="Times New Roman"/>
                <w:color w:val="auto"/>
                <w:highlight w:val="none"/>
                <w:u w:val="single"/>
              </w:rPr>
              <w:t>年最大日降雨量</w:t>
            </w:r>
            <w:r>
              <w:rPr>
                <w:rFonts w:hint="eastAsia" w:ascii="Times New Roman" w:hAnsi="Times New Roman" w:eastAsia="宋体" w:cs="Times New Roman"/>
                <w:color w:val="auto"/>
                <w:highlight w:val="none"/>
                <w:u w:val="single"/>
                <w:lang w:val="en-US" w:eastAsia="zh-CN"/>
              </w:rPr>
              <w:t>324</w:t>
            </w:r>
            <w:r>
              <w:rPr>
                <w:rFonts w:hint="eastAsia" w:cs="Times New Roman"/>
                <w:color w:val="auto"/>
                <w:highlight w:val="none"/>
                <w:u w:val="single"/>
                <w:lang w:val="en-US" w:eastAsia="zh-CN"/>
              </w:rPr>
              <w:t xml:space="preserve"> </w:t>
            </w:r>
            <w:r>
              <w:rPr>
                <w:rFonts w:hint="default" w:ascii="Times New Roman" w:hAnsi="Times New Roman" w:eastAsia="宋体" w:cs="Times New Roman"/>
                <w:color w:val="auto"/>
                <w:highlight w:val="none"/>
                <w:u w:val="single"/>
              </w:rPr>
              <w:t>mm）计算得：在重现期1年、降雨历时20分钟情况下的暴雨强度</w:t>
            </w:r>
          </w:p>
          <w:p w14:paraId="69977D3E">
            <w:pPr>
              <w:bidi w:val="0"/>
              <w:jc w:val="left"/>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q</w:t>
            </w:r>
            <w:r>
              <w:rPr>
                <w:rFonts w:hint="eastAsia" w:cs="Times New Roman"/>
                <w:color w:val="auto"/>
                <w:highlight w:val="none"/>
                <w:u w:val="single"/>
                <w:lang w:eastAsia="zh-CN"/>
              </w:rPr>
              <w:t>（</w:t>
            </w:r>
            <w:r>
              <w:rPr>
                <w:rFonts w:hint="default" w:ascii="Times New Roman" w:hAnsi="Times New Roman" w:eastAsia="宋体" w:cs="Times New Roman"/>
                <w:color w:val="auto"/>
                <w:highlight w:val="none"/>
                <w:u w:val="single"/>
              </w:rPr>
              <w:t>1,20</w:t>
            </w:r>
            <w:r>
              <w:rPr>
                <w:rFonts w:hint="eastAsia" w:cs="Times New Roman"/>
                <w:color w:val="auto"/>
                <w:highlight w:val="none"/>
                <w:u w:val="single"/>
                <w:lang w:eastAsia="zh-CN"/>
              </w:rPr>
              <w:t>）</w:t>
            </w:r>
            <w:r>
              <w:rPr>
                <w:rFonts w:hint="default" w:ascii="Times New Roman" w:hAnsi="Times New Roman" w:eastAsia="宋体" w:cs="Times New Roman"/>
                <w:color w:val="auto"/>
                <w:highlight w:val="none"/>
                <w:u w:val="single"/>
              </w:rPr>
              <w:t>=</w:t>
            </w:r>
            <w:r>
              <w:rPr>
                <w:rFonts w:hint="eastAsia" w:ascii="Times New Roman" w:hAnsi="Times New Roman" w:eastAsia="宋体" w:cs="Times New Roman"/>
                <w:color w:val="auto"/>
                <w:highlight w:val="none"/>
                <w:u w:val="single"/>
                <w:lang w:val="en-US" w:eastAsia="zh-CN"/>
              </w:rPr>
              <w:t>46</w:t>
            </w:r>
            <w:r>
              <w:rPr>
                <w:rFonts w:hint="eastAsia" w:cs="Times New Roman"/>
                <w:color w:val="auto"/>
                <w:highlight w:val="none"/>
                <w:u w:val="single"/>
                <w:lang w:val="en-US" w:eastAsia="zh-CN"/>
              </w:rPr>
              <w:t xml:space="preserve"> </w:t>
            </w:r>
            <w:r>
              <w:rPr>
                <w:rFonts w:hint="default" w:ascii="Times New Roman" w:hAnsi="Times New Roman" w:eastAsia="宋体" w:cs="Times New Roman"/>
                <w:color w:val="auto"/>
                <w:highlight w:val="none"/>
                <w:u w:val="single"/>
              </w:rPr>
              <w:t>L/S.hm</w:t>
            </w:r>
            <w:r>
              <w:rPr>
                <w:rFonts w:hint="default" w:ascii="Times New Roman" w:hAnsi="Times New Roman" w:eastAsia="宋体" w:cs="Times New Roman"/>
                <w:color w:val="auto"/>
                <w:highlight w:val="none"/>
                <w:u w:val="single"/>
                <w:vertAlign w:val="superscript"/>
              </w:rPr>
              <w:t>2</w:t>
            </w:r>
          </w:p>
          <w:p w14:paraId="0804DFB4">
            <w:pPr>
              <w:bidi w:val="0"/>
              <w:jc w:val="both"/>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α–径流系数（0.4-0.9，取0.9）；</w:t>
            </w:r>
          </w:p>
          <w:p w14:paraId="28AF3AF5">
            <w:pPr>
              <w:bidi w:val="0"/>
              <w:jc w:val="both"/>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T1–集水时间，取15分钟；</w:t>
            </w:r>
          </w:p>
          <w:p w14:paraId="45126E24">
            <w:pPr>
              <w:bidi w:val="0"/>
              <w:jc w:val="left"/>
              <w:rPr>
                <w:rFonts w:hint="default" w:ascii="Times New Roman" w:hAnsi="Times New Roman" w:eastAsia="宋体" w:cs="Times New Roman"/>
                <w:color w:val="auto"/>
                <w:highlight w:val="yellow"/>
                <w:u w:val="single"/>
              </w:rPr>
            </w:pPr>
            <w:r>
              <w:rPr>
                <w:rFonts w:hint="default" w:ascii="Times New Roman" w:hAnsi="Times New Roman" w:eastAsia="宋体" w:cs="Times New Roman"/>
                <w:color w:val="auto"/>
                <w:highlight w:val="none"/>
                <w:u w:val="single"/>
              </w:rPr>
              <w:t>F—汇水面积</w:t>
            </w:r>
            <w:r>
              <w:rPr>
                <w:rFonts w:hint="eastAsia" w:cs="Times New Roman"/>
                <w:color w:val="auto"/>
                <w:highlight w:val="none"/>
                <w:u w:val="single"/>
                <w:lang w:eastAsia="zh-CN"/>
              </w:rPr>
              <w:t>（</w:t>
            </w:r>
            <w:r>
              <w:rPr>
                <w:rFonts w:hint="default" w:ascii="Times New Roman" w:hAnsi="Times New Roman" w:eastAsia="宋体" w:cs="Times New Roman"/>
                <w:color w:val="auto"/>
                <w:highlight w:val="none"/>
                <w:u w:val="single"/>
              </w:rPr>
              <w:t>hm</w:t>
            </w:r>
            <w:r>
              <w:rPr>
                <w:rFonts w:hint="default" w:ascii="Times New Roman" w:hAnsi="Times New Roman" w:eastAsia="宋体" w:cs="Times New Roman"/>
                <w:color w:val="auto"/>
                <w:highlight w:val="none"/>
                <w:u w:val="single"/>
                <w:vertAlign w:val="superscript"/>
              </w:rPr>
              <w:t>2</w:t>
            </w:r>
            <w:r>
              <w:rPr>
                <w:rFonts w:hint="eastAsia" w:cs="Times New Roman"/>
                <w:color w:val="auto"/>
                <w:highlight w:val="none"/>
                <w:u w:val="single"/>
                <w:lang w:eastAsia="zh-CN"/>
              </w:rPr>
              <w:t>）</w:t>
            </w:r>
            <w:r>
              <w:rPr>
                <w:rFonts w:hint="default" w:ascii="Times New Roman" w:hAnsi="Times New Roman" w:eastAsia="宋体" w:cs="Times New Roman"/>
                <w:color w:val="auto"/>
                <w:highlight w:val="none"/>
                <w:u w:val="single"/>
              </w:rPr>
              <w:t>，本项目集水面积约为0.</w:t>
            </w:r>
            <w:r>
              <w:rPr>
                <w:rFonts w:hint="eastAsia" w:cs="Times New Roman"/>
                <w:color w:val="auto"/>
                <w:highlight w:val="none"/>
                <w:u w:val="single"/>
                <w:lang w:val="en-US" w:eastAsia="zh-CN"/>
              </w:rPr>
              <w:t>4</w:t>
            </w:r>
            <w:r>
              <w:rPr>
                <w:rFonts w:hint="default" w:ascii="Times New Roman" w:hAnsi="Times New Roman" w:eastAsia="宋体" w:cs="Times New Roman"/>
                <w:color w:val="auto"/>
                <w:highlight w:val="none"/>
                <w:u w:val="single"/>
              </w:rPr>
              <w:t xml:space="preserve"> hm</w:t>
            </w:r>
            <w:r>
              <w:rPr>
                <w:rFonts w:hint="default" w:ascii="Times New Roman" w:hAnsi="Times New Roman" w:eastAsia="宋体" w:cs="Times New Roman"/>
                <w:color w:val="auto"/>
                <w:highlight w:val="none"/>
                <w:u w:val="single"/>
                <w:vertAlign w:val="superscript"/>
              </w:rPr>
              <w:t>2</w:t>
            </w:r>
            <w:r>
              <w:rPr>
                <w:rFonts w:hint="default" w:ascii="Times New Roman" w:hAnsi="Times New Roman" w:eastAsia="宋体" w:cs="Times New Roman"/>
                <w:color w:val="auto"/>
                <w:highlight w:val="none"/>
                <w:u w:val="single"/>
              </w:rPr>
              <w:t>。</w:t>
            </w:r>
          </w:p>
          <w:p w14:paraId="1C1360BC">
            <w:pPr>
              <w:bidi w:val="0"/>
              <w:ind w:left="0" w:leftChars="0" w:firstLine="480" w:firstLineChars="200"/>
              <w:rPr>
                <w:rFonts w:hint="eastAsia"/>
                <w:color w:val="auto"/>
                <w:u w:val="none" w:color="auto"/>
              </w:rPr>
            </w:pPr>
            <w:r>
              <w:rPr>
                <w:rFonts w:hint="default" w:ascii="Times New Roman" w:hAnsi="Times New Roman" w:eastAsia="宋体" w:cs="Times New Roman"/>
                <w:color w:val="auto"/>
                <w:highlight w:val="none"/>
                <w:u w:val="single"/>
              </w:rPr>
              <w:t>因此，初期雨水排放量约为</w:t>
            </w:r>
            <w:r>
              <w:rPr>
                <w:rFonts w:hint="eastAsia" w:cs="Times New Roman"/>
                <w:color w:val="auto"/>
                <w:highlight w:val="none"/>
                <w:u w:val="single"/>
                <w:lang w:val="en-US" w:eastAsia="zh-CN"/>
              </w:rPr>
              <w:t xml:space="preserve">16.56 </w:t>
            </w:r>
            <w:r>
              <w:rPr>
                <w:rFonts w:hint="default" w:ascii="Times New Roman" w:hAnsi="Times New Roman" w:eastAsia="宋体" w:cs="Times New Roman"/>
                <w:color w:val="auto"/>
                <w:highlight w:val="none"/>
                <w:u w:val="single"/>
              </w:rPr>
              <w:t>m</w:t>
            </w:r>
            <w:r>
              <w:rPr>
                <w:rFonts w:hint="default" w:ascii="Times New Roman" w:hAnsi="Times New Roman" w:eastAsia="宋体" w:cs="Times New Roman"/>
                <w:color w:val="auto"/>
                <w:highlight w:val="none"/>
                <w:u w:val="single"/>
                <w:vertAlign w:val="superscript"/>
              </w:rPr>
              <w:t>3</w:t>
            </w:r>
            <w:r>
              <w:rPr>
                <w:rFonts w:hint="default" w:ascii="Times New Roman" w:hAnsi="Times New Roman" w:eastAsia="宋体" w:cs="Times New Roman"/>
                <w:color w:val="auto"/>
                <w:highlight w:val="none"/>
                <w:u w:val="single"/>
              </w:rPr>
              <w:t>。本项目</w:t>
            </w:r>
            <w:r>
              <w:rPr>
                <w:rFonts w:hint="eastAsia" w:ascii="Times New Roman" w:hAnsi="Times New Roman" w:eastAsia="宋体" w:cs="Times New Roman"/>
                <w:color w:val="auto"/>
                <w:highlight w:val="none"/>
                <w:u w:val="single"/>
                <w:lang w:val="en-US" w:eastAsia="zh-CN"/>
              </w:rPr>
              <w:t>雨水管网与污水管网设置三通阀，将初期雨水引入厂区污水处理站处理后通过市政污水管网排入卢峰镇污水处理厂</w:t>
            </w:r>
            <w:r>
              <w:rPr>
                <w:rFonts w:hint="default" w:ascii="Times New Roman" w:hAnsi="Times New Roman" w:eastAsia="宋体" w:cs="Times New Roman"/>
                <w:color w:val="auto"/>
                <w:u w:val="single"/>
              </w:rPr>
              <w:t>。</w:t>
            </w:r>
          </w:p>
          <w:p w14:paraId="307CA2F5">
            <w:pPr>
              <w:bidi w:val="0"/>
              <w:ind w:left="0" w:leftChars="0" w:firstLine="0" w:firstLineChars="0"/>
              <w:rPr>
                <w:rFonts w:hint="eastAsia"/>
                <w:b/>
                <w:bCs/>
                <w:color w:val="auto"/>
                <w:u w:val="none" w:color="auto"/>
                <w:lang w:val="en-US" w:eastAsia="zh-CN"/>
              </w:rPr>
            </w:pPr>
            <w:r>
              <w:rPr>
                <w:rFonts w:hint="eastAsia"/>
                <w:b/>
                <w:bCs/>
                <w:color w:val="auto"/>
                <w:u w:val="none" w:color="auto"/>
              </w:rPr>
              <w:t>4.</w:t>
            </w:r>
            <w:r>
              <w:rPr>
                <w:rFonts w:hint="eastAsia"/>
                <w:b/>
                <w:bCs/>
                <w:color w:val="auto"/>
                <w:u w:val="none" w:color="auto"/>
                <w:lang w:val="en-US" w:eastAsia="zh-CN"/>
              </w:rPr>
              <w:t>7</w:t>
            </w:r>
            <w:r>
              <w:rPr>
                <w:rFonts w:hint="eastAsia"/>
                <w:b/>
                <w:bCs/>
                <w:color w:val="auto"/>
                <w:u w:val="none" w:color="auto"/>
              </w:rPr>
              <w:t>.</w:t>
            </w:r>
            <w:r>
              <w:rPr>
                <w:rFonts w:hint="eastAsia"/>
                <w:b/>
                <w:bCs/>
                <w:color w:val="auto"/>
                <w:u w:val="none" w:color="auto"/>
                <w:lang w:val="en-US" w:eastAsia="zh-CN"/>
              </w:rPr>
              <w:t>2</w:t>
            </w:r>
            <w:r>
              <w:rPr>
                <w:rFonts w:hint="eastAsia"/>
                <w:b/>
                <w:bCs/>
                <w:color w:val="auto"/>
                <w:u w:val="none" w:color="auto"/>
              </w:rPr>
              <w:t xml:space="preserve"> </w:t>
            </w:r>
            <w:r>
              <w:rPr>
                <w:rFonts w:hint="eastAsia" w:ascii="黑体" w:hAnsi="黑体" w:eastAsia="黑体" w:cs="黑体"/>
                <w:b/>
                <w:bCs/>
                <w:color w:val="auto"/>
                <w:u w:val="none" w:color="auto"/>
                <w:lang w:val="en-US" w:eastAsia="zh-CN"/>
              </w:rPr>
              <w:t>废水治理设施及可行性分析</w:t>
            </w:r>
          </w:p>
          <w:p w14:paraId="71172C74">
            <w:pPr>
              <w:spacing w:line="360" w:lineRule="auto"/>
              <w:ind w:firstLine="480" w:firstLineChars="200"/>
              <w:jc w:val="left"/>
              <w:rPr>
                <w:color w:val="auto"/>
                <w:sz w:val="24"/>
                <w:u w:val="none" w:color="auto"/>
              </w:rPr>
            </w:pPr>
            <w:r>
              <w:rPr>
                <w:rFonts w:hint="eastAsia" w:cs="Times New Roman"/>
                <w:color w:val="auto"/>
                <w:kern w:val="2"/>
                <w:sz w:val="24"/>
                <w:szCs w:val="24"/>
                <w:u w:val="none" w:color="auto"/>
                <w:lang w:val="en-US" w:eastAsia="zh-CN"/>
              </w:rPr>
              <w:t>1</w:t>
            </w:r>
            <w:r>
              <w:rPr>
                <w:rFonts w:hint="eastAsia" w:cs="Times New Roman"/>
                <w:color w:val="auto"/>
                <w:u w:val="none" w:color="auto"/>
                <w:lang w:val="en-US" w:eastAsia="zh-CN"/>
              </w:rPr>
              <w:t>、废水处理工艺可行性分析</w:t>
            </w:r>
          </w:p>
          <w:p w14:paraId="0DF1231A">
            <w:pPr>
              <w:kinsoku w:val="0"/>
              <w:overflowPunct w:val="0"/>
              <w:autoSpaceDE w:val="0"/>
              <w:autoSpaceDN w:val="0"/>
              <w:ind w:firstLine="480"/>
              <w:rPr>
                <w:rFonts w:ascii="Times New Roman" w:hAnsi="Times New Roman" w:eastAsia="宋体" w:cs="Times New Roman"/>
                <w:color w:val="auto"/>
                <w:u w:val="single" w:color="auto"/>
              </w:rPr>
            </w:pPr>
            <w:r>
              <w:rPr>
                <w:rFonts w:ascii="Times New Roman" w:hAnsi="Times New Roman" w:eastAsia="宋体" w:cs="Times New Roman"/>
                <w:color w:val="auto"/>
                <w:u w:val="single" w:color="auto"/>
              </w:rPr>
              <w:t>项目</w:t>
            </w:r>
            <w:r>
              <w:rPr>
                <w:rFonts w:hint="eastAsia" w:cs="Times New Roman"/>
                <w:color w:val="auto"/>
                <w:u w:val="single" w:color="auto"/>
                <w:lang w:val="en-US" w:eastAsia="zh-CN"/>
              </w:rPr>
              <w:t>污水处理站工艺</w:t>
            </w:r>
            <w:r>
              <w:rPr>
                <w:rFonts w:hint="eastAsia" w:ascii="Times New Roman" w:hAnsi="Times New Roman" w:eastAsia="宋体" w:cs="Times New Roman"/>
                <w:color w:val="auto"/>
                <w:u w:val="single" w:color="auto"/>
              </w:rPr>
              <w:t>为</w:t>
            </w:r>
            <w:r>
              <w:rPr>
                <w:rFonts w:hint="eastAsia" w:cs="Times New Roman"/>
                <w:color w:val="auto"/>
                <w:sz w:val="24"/>
                <w:szCs w:val="24"/>
                <w:u w:val="single" w:color="auto"/>
                <w:lang w:val="en-US" w:eastAsia="zh-CN"/>
              </w:rPr>
              <w:t>格栅+隔油+曝气+气浮+厌氧+好氧+沉淀+消毒池</w:t>
            </w:r>
            <w:r>
              <w:rPr>
                <w:rFonts w:hint="eastAsia" w:ascii="Times New Roman" w:hAnsi="Times New Roman" w:eastAsia="宋体" w:cs="Times New Roman"/>
                <w:color w:val="auto"/>
                <w:u w:val="single" w:color="auto"/>
              </w:rPr>
              <w:t>。</w:t>
            </w:r>
          </w:p>
          <w:p w14:paraId="6FDE06CA">
            <w:pPr>
              <w:kinsoku w:val="0"/>
              <w:overflowPunct w:val="0"/>
              <w:autoSpaceDE w:val="0"/>
              <w:autoSpaceDN w:val="0"/>
              <w:ind w:firstLine="480"/>
              <w:rPr>
                <w:rFonts w:hint="default" w:eastAsia="宋体" w:cs="Times New Roman"/>
                <w:color w:val="auto"/>
                <w:u w:val="single" w:color="auto"/>
                <w:lang w:val="en-US" w:eastAsia="zh-CN"/>
              </w:rPr>
            </w:pPr>
            <w:r>
              <w:rPr>
                <w:rFonts w:hint="eastAsia" w:cs="Times New Roman"/>
                <w:color w:val="auto"/>
                <w:u w:val="single" w:color="auto"/>
                <w:lang w:val="en-US" w:eastAsia="zh-CN"/>
              </w:rPr>
              <w:t>废水处理设施所使用的工艺可以有效去除水质TP、TN、SS、氨氮、、动植物油、石油类、COD及BOD</w:t>
            </w:r>
            <w:r>
              <w:rPr>
                <w:rFonts w:hint="eastAsia" w:cs="Times New Roman"/>
                <w:color w:val="auto"/>
                <w:u w:val="single" w:color="auto"/>
                <w:vertAlign w:val="subscript"/>
                <w:lang w:val="en-US" w:eastAsia="zh-CN"/>
              </w:rPr>
              <w:t>5</w:t>
            </w:r>
            <w:r>
              <w:rPr>
                <w:rFonts w:hint="eastAsia" w:cs="Times New Roman"/>
                <w:color w:val="auto"/>
                <w:u w:val="single" w:color="auto"/>
                <w:lang w:val="en-US" w:eastAsia="zh-CN"/>
              </w:rPr>
              <w:t>等污染物，污水处理工艺流程详见下图：</w:t>
            </w:r>
          </w:p>
          <w:p w14:paraId="42D30072">
            <w:pPr>
              <w:kinsoku w:val="0"/>
              <w:overflowPunct w:val="0"/>
              <w:autoSpaceDE w:val="0"/>
              <w:autoSpaceDN w:val="0"/>
              <w:ind w:left="0" w:leftChars="0" w:firstLine="0" w:firstLineChars="0"/>
              <w:jc w:val="center"/>
              <w:rPr>
                <w:rFonts w:cs="Times New Roman"/>
                <w:color w:val="auto"/>
                <w:u w:val="single" w:color="auto"/>
              </w:rPr>
            </w:pPr>
            <w:r>
              <w:rPr>
                <w:rFonts w:cs="Times New Roman"/>
                <w:color w:val="auto"/>
                <w:u w:val="single" w:color="auto"/>
              </w:rPr>
              <w:drawing>
                <wp:inline distT="0" distB="0" distL="114300" distR="114300">
                  <wp:extent cx="2749550" cy="3378200"/>
                  <wp:effectExtent l="0" t="0" r="6350" b="0"/>
                  <wp:docPr id="15" name="图片 15" descr="bdde8735cd15c1192269b24f711d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de8735cd15c1192269b24f711d9c7"/>
                          <pic:cNvPicPr>
                            <a:picLocks noChangeAspect="1"/>
                          </pic:cNvPicPr>
                        </pic:nvPicPr>
                        <pic:blipFill>
                          <a:blip r:embed="rId27"/>
                          <a:stretch>
                            <a:fillRect/>
                          </a:stretch>
                        </pic:blipFill>
                        <pic:spPr>
                          <a:xfrm>
                            <a:off x="0" y="0"/>
                            <a:ext cx="2749550" cy="3378200"/>
                          </a:xfrm>
                          <a:prstGeom prst="rect">
                            <a:avLst/>
                          </a:prstGeom>
                        </pic:spPr>
                      </pic:pic>
                    </a:graphicData>
                  </a:graphic>
                </wp:inline>
              </w:drawing>
            </w:r>
          </w:p>
          <w:p w14:paraId="3FC7B0BD">
            <w:pPr>
              <w:kinsoku w:val="0"/>
              <w:overflowPunct w:val="0"/>
              <w:autoSpaceDE w:val="0"/>
              <w:autoSpaceDN w:val="0"/>
              <w:ind w:left="0" w:leftChars="0" w:firstLine="0" w:firstLineChars="0"/>
              <w:jc w:val="center"/>
              <w:rPr>
                <w:rFonts w:hint="default" w:eastAsia="宋体" w:cs="Times New Roman"/>
                <w:color w:val="auto"/>
                <w:u w:val="single" w:color="auto"/>
                <w:lang w:val="en-US" w:eastAsia="zh-CN"/>
              </w:rPr>
            </w:pPr>
            <w:r>
              <w:rPr>
                <w:rFonts w:hint="eastAsia" w:cs="Times New Roman"/>
                <w:color w:val="auto"/>
                <w:u w:val="single" w:color="auto"/>
                <w:lang w:val="en-US" w:eastAsia="zh-CN"/>
              </w:rPr>
              <w:t>图4.7-1 废水处理设施工艺流程</w:t>
            </w:r>
          </w:p>
          <w:p w14:paraId="147B4023">
            <w:pPr>
              <w:kinsoku w:val="0"/>
              <w:overflowPunct w:val="0"/>
              <w:autoSpaceDE w:val="0"/>
              <w:autoSpaceDN w:val="0"/>
              <w:ind w:firstLine="480"/>
              <w:rPr>
                <w:rFonts w:hint="default" w:ascii="Times New Roman" w:hAnsi="Times New Roman" w:eastAsia="宋体" w:cs="Times New Roman"/>
                <w:color w:val="auto"/>
                <w:u w:val="single" w:color="auto"/>
                <w:lang w:val="en-US" w:eastAsia="zh-CN"/>
              </w:rPr>
            </w:pPr>
            <w:r>
              <w:rPr>
                <w:rFonts w:hint="default" w:ascii="Times New Roman" w:hAnsi="Times New Roman" w:cs="Times New Roman"/>
                <w:color w:val="auto"/>
                <w:u w:val="single" w:color="auto"/>
                <w:lang w:val="en-US" w:eastAsia="zh-CN"/>
              </w:rPr>
              <w:t>工艺流程说明：</w:t>
            </w:r>
          </w:p>
          <w:p w14:paraId="07690297">
            <w:pPr>
              <w:spacing w:line="360" w:lineRule="auto"/>
              <w:ind w:firstLine="480"/>
              <w:rPr>
                <w:rFonts w:hint="eastAsia" w:ascii="黑体" w:hAnsi="宋体" w:eastAsia="黑体"/>
                <w:color w:val="auto"/>
                <w:sz w:val="24"/>
                <w:u w:val="single" w:color="auto"/>
              </w:rPr>
            </w:pPr>
            <w:r>
              <w:rPr>
                <w:rFonts w:hint="default" w:ascii="Times New Roman" w:hAnsi="Times New Roman" w:eastAsia="黑体" w:cs="Times New Roman"/>
                <w:color w:val="auto"/>
                <w:sz w:val="24"/>
                <w:u w:val="single" w:color="auto"/>
                <w:lang w:eastAsia="zh-CN"/>
              </w:rPr>
              <w:t>（</w:t>
            </w:r>
            <w:r>
              <w:rPr>
                <w:rFonts w:hint="default" w:ascii="Times New Roman" w:hAnsi="Times New Roman" w:eastAsia="黑体" w:cs="Times New Roman"/>
                <w:color w:val="auto"/>
                <w:sz w:val="24"/>
                <w:u w:val="single" w:color="auto"/>
                <w:lang w:val="en-US" w:eastAsia="zh-CN"/>
              </w:rPr>
              <w:t>1</w:t>
            </w:r>
            <w:r>
              <w:rPr>
                <w:rFonts w:hint="default" w:ascii="Times New Roman" w:hAnsi="Times New Roman" w:eastAsia="黑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格</w:t>
            </w:r>
            <w:r>
              <w:rPr>
                <w:rFonts w:hint="eastAsia" w:ascii="宋体" w:hAnsi="宋体" w:eastAsia="宋体" w:cs="宋体"/>
                <w:color w:val="auto"/>
                <w:sz w:val="24"/>
                <w:u w:val="single" w:color="auto"/>
                <w:lang w:val="en-US" w:eastAsia="zh-CN"/>
              </w:rPr>
              <w:t>栅：</w:t>
            </w:r>
            <w:r>
              <w:rPr>
                <w:rFonts w:hint="eastAsia" w:ascii="宋体" w:hAnsi="宋体" w:eastAsia="宋体" w:cs="宋体"/>
                <w:color w:val="auto"/>
                <w:sz w:val="24"/>
                <w:u w:val="single" w:color="auto"/>
              </w:rPr>
              <w:t>废</w:t>
            </w:r>
            <w:r>
              <w:rPr>
                <w:rFonts w:hint="eastAsia" w:ascii="宋体" w:hAnsi="宋体" w:cs="宋体"/>
                <w:color w:val="auto"/>
                <w:sz w:val="24"/>
                <w:u w:val="single" w:color="auto"/>
              </w:rPr>
              <w:t>水首先自流经机械格栅，拦截大型固体废物，然后进入曝气调节池。</w:t>
            </w:r>
          </w:p>
          <w:p w14:paraId="4AE181C6">
            <w:pPr>
              <w:spacing w:line="360" w:lineRule="auto"/>
              <w:ind w:firstLine="480"/>
              <w:rPr>
                <w:rFonts w:hint="eastAsia" w:ascii="宋体" w:hAnsi="宋体" w:cs="宋体"/>
                <w:color w:val="auto"/>
                <w:sz w:val="24"/>
                <w:u w:val="single" w:color="auto"/>
              </w:rPr>
            </w:pP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2</w:t>
            </w:r>
            <w:r>
              <w:rPr>
                <w:rFonts w:hint="default" w:ascii="Times New Roman" w:hAnsi="Times New Roman" w:eastAsia="宋体" w:cs="Times New Roman"/>
                <w:color w:val="auto"/>
                <w:sz w:val="24"/>
                <w:u w:val="single" w:color="auto"/>
                <w:lang w:eastAsia="zh-CN"/>
              </w:rPr>
              <w:t>）</w:t>
            </w:r>
            <w:r>
              <w:rPr>
                <w:rFonts w:hint="eastAsia" w:cs="Times New Roman"/>
                <w:color w:val="auto"/>
                <w:sz w:val="24"/>
                <w:u w:val="single" w:color="auto"/>
                <w:lang w:val="en-US" w:eastAsia="zh-CN"/>
              </w:rPr>
              <w:t>隔油</w:t>
            </w:r>
            <w:r>
              <w:rPr>
                <w:rFonts w:hint="default" w:ascii="Times New Roman" w:hAnsi="Times New Roman" w:eastAsia="宋体" w:cs="Times New Roman"/>
                <w:color w:val="auto"/>
                <w:sz w:val="24"/>
                <w:u w:val="single" w:color="auto"/>
                <w:lang w:val="en-US" w:eastAsia="zh-CN"/>
              </w:rPr>
              <w:t>曝气：</w:t>
            </w:r>
            <w:r>
              <w:rPr>
                <w:rFonts w:hint="default" w:ascii="Times New Roman" w:hAnsi="Times New Roman" w:eastAsia="宋体" w:cs="Times New Roman"/>
                <w:color w:val="auto"/>
                <w:sz w:val="24"/>
                <w:u w:val="single" w:color="auto"/>
              </w:rPr>
              <w:t>污水</w:t>
            </w:r>
            <w:r>
              <w:rPr>
                <w:rFonts w:hint="eastAsia" w:ascii="宋体" w:hAnsi="宋体"/>
                <w:color w:val="auto"/>
                <w:sz w:val="24"/>
                <w:u w:val="single" w:color="auto"/>
              </w:rPr>
              <w:t>在调节池内通过</w:t>
            </w:r>
            <w:r>
              <w:rPr>
                <w:rFonts w:hint="eastAsia" w:ascii="宋体" w:hAnsi="宋体"/>
                <w:color w:val="auto"/>
                <w:sz w:val="24"/>
                <w:u w:val="single" w:color="auto"/>
                <w:lang w:val="en-US" w:eastAsia="zh-CN"/>
              </w:rPr>
              <w:t>隔油</w:t>
            </w:r>
            <w:r>
              <w:rPr>
                <w:rFonts w:hint="eastAsia" w:ascii="宋体" w:hAnsi="宋体"/>
                <w:color w:val="auto"/>
                <w:sz w:val="24"/>
                <w:u w:val="single" w:color="auto"/>
              </w:rPr>
              <w:t>曝气搅拌泥砂与其它附着物分离沉于底部，其它悬浮物与油脂浮于上面，并进行定期清理。</w:t>
            </w:r>
            <w:r>
              <w:rPr>
                <w:rFonts w:hint="eastAsia" w:ascii="宋体" w:hAnsi="宋体" w:cs="宋体"/>
                <w:color w:val="auto"/>
                <w:sz w:val="24"/>
                <w:u w:val="single" w:color="auto"/>
              </w:rPr>
              <w:t>调节池在均衡水质水量的同时，调节池有足够大的空间，可兼当事故池，为后期设备维修留出时间。</w:t>
            </w:r>
          </w:p>
          <w:p w14:paraId="667F4912">
            <w:pPr>
              <w:spacing w:line="360" w:lineRule="auto"/>
              <w:ind w:firstLine="480"/>
              <w:rPr>
                <w:rFonts w:hint="eastAsia" w:ascii="宋体" w:hAnsi="宋体" w:cs="宋体"/>
                <w:color w:val="auto"/>
                <w:sz w:val="24"/>
                <w:u w:val="single" w:color="auto"/>
              </w:rPr>
            </w:pP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3</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气浮：</w:t>
            </w:r>
            <w:r>
              <w:rPr>
                <w:rFonts w:hint="default" w:ascii="Times New Roman" w:hAnsi="Times New Roman" w:eastAsia="宋体" w:cs="Times New Roman"/>
                <w:color w:val="auto"/>
                <w:sz w:val="24"/>
                <w:u w:val="single" w:color="auto"/>
              </w:rPr>
              <w:t>污水</w:t>
            </w:r>
            <w:r>
              <w:rPr>
                <w:rFonts w:hint="eastAsia" w:ascii="宋体" w:hAnsi="宋体" w:cs="宋体"/>
                <w:color w:val="auto"/>
                <w:sz w:val="24"/>
                <w:u w:val="single" w:color="auto"/>
              </w:rPr>
              <w:t>经调节池内污水提升泵进入气浮机，气浮机去除绝大部分细小悬浮物，减轻后续生化系统负担。</w:t>
            </w:r>
          </w:p>
          <w:p w14:paraId="1D386DA9">
            <w:pPr>
              <w:spacing w:line="360" w:lineRule="auto"/>
              <w:ind w:firstLine="480"/>
              <w:rPr>
                <w:rFonts w:hint="eastAsia" w:ascii="宋体" w:hAnsi="宋体" w:cs="宋体"/>
                <w:color w:val="auto"/>
                <w:sz w:val="24"/>
                <w:u w:val="single" w:color="auto"/>
              </w:rPr>
            </w:pP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4</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厌氧：</w:t>
            </w:r>
            <w:r>
              <w:rPr>
                <w:rFonts w:hint="default" w:ascii="Times New Roman" w:hAnsi="Times New Roman" w:eastAsia="宋体" w:cs="Times New Roman"/>
                <w:color w:val="auto"/>
                <w:sz w:val="24"/>
                <w:u w:val="single" w:color="auto"/>
              </w:rPr>
              <w:t>污</w:t>
            </w:r>
            <w:r>
              <w:rPr>
                <w:rFonts w:hint="eastAsia" w:ascii="宋体" w:hAnsi="宋体" w:cs="宋体"/>
                <w:color w:val="auto"/>
                <w:sz w:val="24"/>
                <w:u w:val="single" w:color="auto"/>
              </w:rPr>
              <w:t>水进入厌氧池，通过厌氧微生物分解大分子有机物，降低</w:t>
            </w:r>
            <w:r>
              <w:rPr>
                <w:rFonts w:hint="eastAsia" w:ascii="宋体" w:hAnsi="宋体" w:cs="宋体"/>
                <w:color w:val="auto"/>
                <w:sz w:val="24"/>
                <w:u w:val="single" w:color="auto"/>
                <w:lang w:val="en-US" w:eastAsia="zh-CN"/>
              </w:rPr>
              <w:t>COD</w:t>
            </w:r>
            <w:r>
              <w:rPr>
                <w:rFonts w:hint="eastAsia" w:ascii="宋体" w:hAnsi="宋体" w:cs="宋体"/>
                <w:color w:val="auto"/>
                <w:sz w:val="24"/>
                <w:u w:val="single" w:color="auto"/>
              </w:rPr>
              <w:t>和生物负荷，提高生化性。厌氧池内装置四台潜水搅拌机，保障池内污水的充分流动性，使污水中的有机物与混合液充分混合和不使生物污泥沉底。</w:t>
            </w:r>
          </w:p>
          <w:p w14:paraId="7F98C5BE">
            <w:pPr>
              <w:spacing w:line="360" w:lineRule="auto"/>
              <w:ind w:firstLine="480"/>
              <w:rPr>
                <w:rFonts w:hint="eastAsia" w:ascii="宋体" w:hAnsi="宋体" w:cs="宋体"/>
                <w:color w:val="auto"/>
                <w:sz w:val="24"/>
                <w:u w:val="single" w:color="auto"/>
              </w:rPr>
            </w:pPr>
            <w:r>
              <w:rPr>
                <w:rFonts w:hint="eastAsia" w:ascii="宋体" w:hAnsi="宋体" w:cs="宋体"/>
                <w:color w:val="auto"/>
                <w:sz w:val="24"/>
                <w:u w:val="single" w:color="auto"/>
                <w:lang w:eastAsia="zh-CN"/>
              </w:rPr>
              <w:t>（</w:t>
            </w:r>
            <w:r>
              <w:rPr>
                <w:rFonts w:hint="eastAsia" w:ascii="宋体" w:hAnsi="宋体" w:cs="宋体"/>
                <w:color w:val="auto"/>
                <w:sz w:val="24"/>
                <w:u w:val="single" w:color="auto"/>
                <w:lang w:val="en-US" w:eastAsia="zh-CN"/>
              </w:rPr>
              <w:t>5</w:t>
            </w:r>
            <w:r>
              <w:rPr>
                <w:rFonts w:hint="eastAsia" w:ascii="宋体" w:hAnsi="宋体" w:cs="宋体"/>
                <w:color w:val="auto"/>
                <w:sz w:val="24"/>
                <w:u w:val="single" w:color="auto"/>
                <w:lang w:eastAsia="zh-CN"/>
              </w:rPr>
              <w:t>）</w:t>
            </w:r>
            <w:r>
              <w:rPr>
                <w:rFonts w:hint="eastAsia" w:ascii="宋体" w:hAnsi="宋体" w:cs="宋体"/>
                <w:color w:val="auto"/>
                <w:sz w:val="24"/>
                <w:u w:val="single" w:color="auto"/>
                <w:lang w:val="en-US" w:eastAsia="zh-CN"/>
              </w:rPr>
              <w:t>好氧：</w:t>
            </w:r>
            <w:r>
              <w:rPr>
                <w:rFonts w:hint="eastAsia" w:ascii="宋体" w:hAnsi="宋体" w:cs="宋体"/>
                <w:color w:val="auto"/>
                <w:sz w:val="24"/>
                <w:u w:val="single" w:color="auto"/>
              </w:rPr>
              <w:t>厌氧池出水进入缺氧池，微生物降解有机物，首要功能是脱氮，硝态氮通过硝化液回流（内循环）由好氧池而来，在缺氧池内经反硝化菌作用分解为氮气逸出水体，实现总氮去除。缺氧池出水进入接触氧化池，污水经硝化菌硝化反应将氨氮分解为硝态氮回流，同时大部分有机污染物质在此被去除。</w:t>
            </w:r>
          </w:p>
          <w:p w14:paraId="65DFBB6E">
            <w:pPr>
              <w:spacing w:line="360" w:lineRule="auto"/>
              <w:ind w:firstLine="480"/>
              <w:rPr>
                <w:rFonts w:hint="eastAsia" w:ascii="宋体" w:hAnsi="宋体" w:cs="宋体"/>
                <w:color w:val="auto"/>
                <w:sz w:val="24"/>
                <w:u w:val="single" w:color="auto"/>
              </w:rPr>
            </w:pP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6</w:t>
            </w:r>
            <w:r>
              <w:rPr>
                <w:rFonts w:hint="default" w:ascii="Times New Roman" w:hAnsi="Times New Roman" w:eastAsia="宋体" w:cs="Times New Roman"/>
                <w:color w:val="auto"/>
                <w:sz w:val="24"/>
                <w:u w:val="single" w:color="auto"/>
                <w:lang w:eastAsia="zh-CN"/>
              </w:rPr>
              <w:t>）</w:t>
            </w:r>
            <w:r>
              <w:rPr>
                <w:rFonts w:hint="default" w:ascii="Times New Roman" w:hAnsi="Times New Roman" w:eastAsia="宋体" w:cs="Times New Roman"/>
                <w:color w:val="auto"/>
                <w:sz w:val="24"/>
                <w:u w:val="single" w:color="auto"/>
                <w:lang w:val="en-US" w:eastAsia="zh-CN"/>
              </w:rPr>
              <w:t>沉淀：</w:t>
            </w:r>
            <w:r>
              <w:rPr>
                <w:rFonts w:hint="default" w:ascii="Times New Roman" w:hAnsi="Times New Roman" w:eastAsia="宋体" w:cs="Times New Roman"/>
                <w:color w:val="auto"/>
                <w:sz w:val="24"/>
                <w:u w:val="single" w:color="auto"/>
              </w:rPr>
              <w:t>经生化处</w:t>
            </w:r>
            <w:r>
              <w:rPr>
                <w:rFonts w:hint="eastAsia" w:ascii="宋体" w:hAnsi="宋体" w:cs="宋体"/>
                <w:color w:val="auto"/>
                <w:sz w:val="24"/>
                <w:u w:val="single" w:color="auto"/>
              </w:rPr>
              <w:t>理后的污水进入二沉池，进行泥水分离沉淀，上清液流入出水消毒池，沉淀的活性污泥通过污泥回流泵回流到前端的生化池，避免污泥流失，保证生化系统的污泥浓度；生化系统中的剩余污泥与气浮机排出的浮渣一起排入污泥暂存池。</w:t>
            </w:r>
          </w:p>
          <w:p w14:paraId="18204D59">
            <w:pPr>
              <w:kinsoku w:val="0"/>
              <w:overflowPunct w:val="0"/>
              <w:autoSpaceDE w:val="0"/>
              <w:autoSpaceDN w:val="0"/>
              <w:bidi w:val="0"/>
              <w:ind w:firstLine="480"/>
              <w:jc w:val="left"/>
              <w:rPr>
                <w:rFonts w:hint="default" w:ascii="Times New Roman" w:hAnsi="Times New Roman" w:eastAsia="宋体" w:cs="Times New Roman"/>
                <w:color w:val="auto"/>
                <w:u w:val="single" w:color="auto"/>
              </w:rPr>
            </w:pPr>
            <w:r>
              <w:rPr>
                <w:rFonts w:hint="eastAsia" w:ascii="宋体" w:hAnsi="宋体" w:eastAsia="宋体" w:cs="宋体"/>
                <w:color w:val="auto"/>
                <w:sz w:val="24"/>
                <w:u w:val="single" w:color="auto"/>
                <w:lang w:eastAsia="zh-CN"/>
              </w:rPr>
              <w:t>（</w:t>
            </w:r>
            <w:r>
              <w:rPr>
                <w:rFonts w:hint="eastAsia" w:ascii="宋体" w:hAnsi="宋体" w:eastAsia="宋体" w:cs="宋体"/>
                <w:color w:val="auto"/>
                <w:sz w:val="24"/>
                <w:u w:val="single" w:color="auto"/>
                <w:lang w:val="en-US" w:eastAsia="zh-CN"/>
              </w:rPr>
              <w:t>7</w:t>
            </w:r>
            <w:r>
              <w:rPr>
                <w:rFonts w:hint="eastAsia" w:ascii="宋体" w:hAnsi="宋体" w:eastAsia="宋体" w:cs="宋体"/>
                <w:color w:val="auto"/>
                <w:sz w:val="24"/>
                <w:u w:val="single" w:color="auto"/>
                <w:lang w:eastAsia="zh-CN"/>
              </w:rPr>
              <w:t>）</w:t>
            </w:r>
            <w:r>
              <w:rPr>
                <w:rFonts w:hint="eastAsia" w:ascii="宋体" w:hAnsi="宋体" w:eastAsia="宋体" w:cs="宋体"/>
                <w:color w:val="auto"/>
                <w:sz w:val="24"/>
                <w:u w:val="single" w:color="auto"/>
                <w:lang w:val="en-US" w:eastAsia="zh-CN"/>
              </w:rPr>
              <w:t>消毒池：</w:t>
            </w:r>
            <w:r>
              <w:rPr>
                <w:rFonts w:hint="eastAsia" w:ascii="宋体" w:hAnsi="宋体" w:eastAsia="宋体" w:cs="宋体"/>
                <w:color w:val="auto"/>
                <w:sz w:val="24"/>
                <w:u w:val="single" w:color="auto"/>
              </w:rPr>
              <w:t>向消</w:t>
            </w:r>
            <w:r>
              <w:rPr>
                <w:rFonts w:hint="eastAsia" w:ascii="宋体" w:hAnsi="宋体" w:cs="宋体"/>
                <w:color w:val="auto"/>
                <w:sz w:val="24"/>
                <w:u w:val="single" w:color="auto"/>
              </w:rPr>
              <w:t>毒池内加入消毒剂消毒后，出水达标排放。</w:t>
            </w:r>
          </w:p>
          <w:p w14:paraId="0CFC2C4E">
            <w:pPr>
              <w:bidi w:val="0"/>
              <w:ind w:left="0" w:leftChars="0" w:firstLine="480" w:firstLineChars="200"/>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根据建设单位提供的资料，废水处理设施日处理能力为</w:t>
            </w:r>
            <w:r>
              <w:rPr>
                <w:rFonts w:hint="eastAsia" w:cs="Times New Roman"/>
                <w:color w:val="auto"/>
                <w:u w:val="single" w:color="auto"/>
                <w:lang w:val="en-US" w:eastAsia="zh-CN"/>
              </w:rPr>
              <w:t>500</w:t>
            </w:r>
            <w:r>
              <w:rPr>
                <w:rFonts w:hint="default" w:ascii="Times New Roman" w:hAnsi="Times New Roman" w:cs="Times New Roman"/>
                <w:color w:val="auto"/>
                <w:u w:val="single" w:color="auto"/>
                <w:lang w:val="en-US" w:eastAsia="zh-CN"/>
              </w:rPr>
              <w:t xml:space="preserve"> t/d</w:t>
            </w:r>
            <w:r>
              <w:rPr>
                <w:rFonts w:hint="eastAsia" w:cs="Times New Roman"/>
                <w:color w:val="auto"/>
                <w:u w:val="single" w:color="auto"/>
                <w:lang w:val="en-US" w:eastAsia="zh-CN"/>
              </w:rPr>
              <w:t>，</w:t>
            </w:r>
            <w:r>
              <w:rPr>
                <w:rFonts w:hint="default" w:ascii="Times New Roman" w:hAnsi="Times New Roman" w:cs="Times New Roman"/>
                <w:color w:val="auto"/>
                <w:u w:val="single" w:color="auto"/>
                <w:lang w:val="en-US" w:eastAsia="zh-CN"/>
              </w:rPr>
              <w:t>本项目</w:t>
            </w:r>
            <w:r>
              <w:rPr>
                <w:rFonts w:hint="eastAsia" w:cs="Times New Roman"/>
                <w:color w:val="auto"/>
                <w:u w:val="single" w:color="auto"/>
                <w:lang w:val="en-US" w:eastAsia="zh-CN"/>
              </w:rPr>
              <w:t>技改完成后，屠宰生产废水及车辆清洗废水合计约</w:t>
            </w:r>
            <w:r>
              <w:rPr>
                <w:rFonts w:hint="default" w:ascii="Times New Roman" w:hAnsi="Times New Roman" w:cs="Times New Roman"/>
                <w:color w:val="auto"/>
                <w:u w:val="single" w:color="auto"/>
                <w:lang w:val="en-US" w:eastAsia="zh-CN"/>
              </w:rPr>
              <w:t>为</w:t>
            </w:r>
            <w:r>
              <w:rPr>
                <w:rFonts w:hint="eastAsia" w:cs="Times New Roman"/>
                <w:color w:val="auto"/>
                <w:sz w:val="24"/>
                <w:szCs w:val="24"/>
                <w:u w:val="single" w:color="auto"/>
                <w:lang w:val="en-US" w:eastAsia="zh-CN"/>
              </w:rPr>
              <w:t>65047.575</w:t>
            </w:r>
            <w:r>
              <w:rPr>
                <w:rFonts w:hint="default" w:ascii="Times New Roman" w:hAnsi="Times New Roman" w:cs="Times New Roman"/>
                <w:color w:val="auto"/>
                <w:u w:val="single" w:color="auto"/>
                <w:lang w:val="en-US" w:eastAsia="zh-CN"/>
              </w:rPr>
              <w:t xml:space="preserve"> t/a，约</w:t>
            </w:r>
            <w:r>
              <w:rPr>
                <w:rFonts w:hint="eastAsia" w:cs="Times New Roman"/>
                <w:color w:val="auto"/>
                <w:u w:val="single" w:color="auto"/>
                <w:lang w:val="en-US" w:eastAsia="zh-CN"/>
              </w:rPr>
              <w:t>178.213</w:t>
            </w:r>
            <w:r>
              <w:rPr>
                <w:rFonts w:hint="default" w:ascii="Times New Roman" w:hAnsi="Times New Roman" w:cs="Times New Roman"/>
                <w:color w:val="auto"/>
                <w:u w:val="single" w:color="auto"/>
                <w:lang w:val="en-US" w:eastAsia="zh-CN"/>
              </w:rPr>
              <w:t xml:space="preserve"> t/</w:t>
            </w:r>
            <w:r>
              <w:rPr>
                <w:rFonts w:hint="eastAsia" w:ascii="Times New Roman" w:hAnsi="Times New Roman" w:cs="Times New Roman"/>
                <w:color w:val="auto"/>
                <w:u w:val="single" w:color="auto"/>
                <w:lang w:val="en-US" w:eastAsia="zh-CN"/>
              </w:rPr>
              <w:t>d</w:t>
            </w:r>
            <w:r>
              <w:rPr>
                <w:rFonts w:hint="eastAsia" w:cs="Times New Roman"/>
                <w:color w:val="auto"/>
                <w:u w:val="single" w:color="auto"/>
                <w:lang w:val="en-US" w:eastAsia="zh-CN"/>
              </w:rPr>
              <w:t>＜500 t/d</w:t>
            </w:r>
            <w:r>
              <w:rPr>
                <w:rFonts w:hint="default" w:ascii="Times New Roman" w:hAnsi="Times New Roman" w:cs="Times New Roman"/>
                <w:color w:val="auto"/>
                <w:u w:val="single" w:color="auto"/>
                <w:lang w:val="en-US" w:eastAsia="zh-CN"/>
              </w:rPr>
              <w:t>，故</w:t>
            </w:r>
            <w:r>
              <w:rPr>
                <w:rFonts w:hint="eastAsia" w:cs="Times New Roman"/>
                <w:color w:val="auto"/>
                <w:u w:val="single" w:color="auto"/>
                <w:lang w:val="en-US" w:eastAsia="zh-CN"/>
              </w:rPr>
              <w:t>污水处理站</w:t>
            </w:r>
            <w:r>
              <w:rPr>
                <w:rFonts w:hint="default" w:ascii="Times New Roman" w:hAnsi="Times New Roman" w:cs="Times New Roman"/>
                <w:color w:val="auto"/>
                <w:u w:val="single" w:color="auto"/>
                <w:lang w:val="en-US" w:eastAsia="zh-CN"/>
              </w:rPr>
              <w:t>能力能满足本项目的污水处理。</w:t>
            </w:r>
          </w:p>
          <w:p w14:paraId="195F7D56">
            <w:pPr>
              <w:bidi w:val="0"/>
              <w:ind w:left="0" w:leftChars="0" w:firstLine="480" w:firstLineChars="200"/>
              <w:rPr>
                <w:rFonts w:hint="default"/>
                <w:color w:val="auto"/>
                <w:u w:val="none" w:color="auto"/>
                <w:lang w:val="en-US" w:eastAsia="zh-CN"/>
              </w:rPr>
            </w:pPr>
            <w:r>
              <w:rPr>
                <w:rFonts w:hint="eastAsia"/>
                <w:color w:val="auto"/>
                <w:u w:val="none" w:color="auto"/>
                <w:lang w:val="en-US" w:eastAsia="zh-CN"/>
              </w:rPr>
              <w:t>3、</w:t>
            </w:r>
            <w:r>
              <w:rPr>
                <w:rFonts w:hint="default" w:ascii="Times New Roman" w:hAnsi="Times New Roman" w:cs="Times New Roman"/>
                <w:color w:val="auto"/>
                <w:sz w:val="24"/>
                <w:u w:val="none" w:color="auto"/>
              </w:rPr>
              <w:t>项目废水纳入</w:t>
            </w:r>
            <w:r>
              <w:rPr>
                <w:rFonts w:hint="eastAsia" w:cs="Times New Roman"/>
                <w:color w:val="auto"/>
                <w:sz w:val="24"/>
                <w:u w:val="none" w:color="auto"/>
                <w:lang w:val="en-US" w:eastAsia="zh-CN"/>
              </w:rPr>
              <w:t>卢峰镇污水处理厂</w:t>
            </w:r>
            <w:r>
              <w:rPr>
                <w:rFonts w:hint="default" w:ascii="Times New Roman" w:hAnsi="Times New Roman" w:cs="Times New Roman"/>
                <w:color w:val="auto"/>
                <w:sz w:val="24"/>
                <w:u w:val="none" w:color="auto"/>
              </w:rPr>
              <w:t>的可行性分析</w:t>
            </w:r>
          </w:p>
          <w:p w14:paraId="306DA6E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u w:val="none" w:color="auto"/>
                <w:lang w:val="en-US" w:eastAsia="zh-CN"/>
              </w:rPr>
            </w:pPr>
            <w:r>
              <w:rPr>
                <w:rFonts w:hint="eastAsia"/>
                <w:color w:val="auto"/>
                <w:u w:val="none" w:color="auto"/>
                <w:lang w:val="en-US" w:eastAsia="zh-CN"/>
              </w:rPr>
              <w:t>卢峰镇污水处理厂位于湖南省溆浦县卢峰镇高田村，纳污范围主要为溆浦县县城城区范围，污水管网长度26.72 km。卢峰镇污水处理厂污水处理处理能力为3.0万m</w:t>
            </w:r>
            <w:r>
              <w:rPr>
                <w:rFonts w:hint="eastAsia"/>
                <w:color w:val="auto"/>
                <w:u w:val="none" w:color="auto"/>
                <w:vertAlign w:val="superscript"/>
                <w:lang w:val="en-US" w:eastAsia="zh-CN"/>
              </w:rPr>
              <w:t>3</w:t>
            </w:r>
            <w:r>
              <w:rPr>
                <w:rFonts w:hint="eastAsia"/>
                <w:color w:val="auto"/>
                <w:u w:val="none" w:color="auto"/>
                <w:lang w:val="en-US" w:eastAsia="zh-CN"/>
              </w:rPr>
              <w:t>/d，采用A</w:t>
            </w:r>
            <w:r>
              <w:rPr>
                <w:rFonts w:hint="eastAsia"/>
                <w:color w:val="auto"/>
                <w:u w:val="none" w:color="auto"/>
                <w:vertAlign w:val="superscript"/>
                <w:lang w:val="en-US" w:eastAsia="zh-CN"/>
              </w:rPr>
              <w:t>2</w:t>
            </w:r>
            <w:r>
              <w:rPr>
                <w:rFonts w:hint="eastAsia"/>
                <w:color w:val="auto"/>
                <w:u w:val="none" w:color="auto"/>
                <w:lang w:val="en-US" w:eastAsia="zh-CN"/>
              </w:rPr>
              <w:t>/O工艺，工艺流程为：预处理+水解+A</w:t>
            </w:r>
            <w:r>
              <w:rPr>
                <w:rFonts w:hint="eastAsia"/>
                <w:color w:val="auto"/>
                <w:u w:val="none" w:color="auto"/>
                <w:vertAlign w:val="superscript"/>
                <w:lang w:val="en-US" w:eastAsia="zh-CN"/>
              </w:rPr>
              <w:t>2</w:t>
            </w:r>
            <w:r>
              <w:rPr>
                <w:rFonts w:hint="eastAsia"/>
                <w:color w:val="auto"/>
                <w:u w:val="none" w:color="auto"/>
                <w:lang w:val="en-US" w:eastAsia="zh-CN"/>
              </w:rPr>
              <w:t>/O池+高效沉淀池+纤维转盘滤池+次氯酸钠消毒处理，出水水质达到《城镇污水处理厂污染物排放标准》（GB 18918-2002）中一级A标准排放口后就近排入溆水。</w:t>
            </w:r>
          </w:p>
          <w:p w14:paraId="54832B7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u w:val="none" w:color="auto"/>
                <w:lang w:val="en-US" w:eastAsia="zh-CN"/>
              </w:rPr>
            </w:pPr>
            <w:r>
              <w:rPr>
                <w:rFonts w:hint="eastAsia"/>
                <w:color w:val="auto"/>
                <w:u w:val="none" w:color="auto"/>
                <w:lang w:val="en-US" w:eastAsia="zh-CN"/>
              </w:rPr>
              <w:t>项目区域已形成较为完善的污水收集系统，本项目废水可纳入卢峰镇污水处理厂处理，本项目外排废水经处理达到</w:t>
            </w:r>
            <w:r>
              <w:rPr>
                <w:rFonts w:hint="eastAsia"/>
                <w:color w:val="auto"/>
                <w:sz w:val="24"/>
                <w:szCs w:val="24"/>
                <w:u w:val="none"/>
              </w:rPr>
              <w:t>《肉类加工工业水污染物排放标准》</w:t>
            </w:r>
            <w:r>
              <w:rPr>
                <w:rFonts w:hint="eastAsia"/>
                <w:color w:val="auto"/>
                <w:sz w:val="24"/>
                <w:szCs w:val="24"/>
                <w:u w:val="none"/>
                <w:lang w:eastAsia="zh-CN"/>
              </w:rPr>
              <w:t>（GB</w:t>
            </w:r>
            <w:r>
              <w:rPr>
                <w:rFonts w:hint="eastAsia"/>
                <w:color w:val="auto"/>
                <w:sz w:val="24"/>
                <w:szCs w:val="24"/>
                <w:u w:val="none"/>
                <w:lang w:val="en-US" w:eastAsia="zh-CN"/>
              </w:rPr>
              <w:t xml:space="preserve"> </w:t>
            </w:r>
            <w:r>
              <w:rPr>
                <w:rFonts w:hint="eastAsia"/>
                <w:color w:val="auto"/>
                <w:sz w:val="24"/>
                <w:szCs w:val="24"/>
                <w:u w:val="none"/>
                <w:lang w:eastAsia="zh-CN"/>
              </w:rPr>
              <w:t>13457-92）</w:t>
            </w:r>
            <w:r>
              <w:rPr>
                <w:rFonts w:hint="eastAsia"/>
                <w:color w:val="auto"/>
                <w:sz w:val="24"/>
                <w:szCs w:val="24"/>
                <w:u w:val="none"/>
              </w:rPr>
              <w:t>表3</w:t>
            </w:r>
            <w:r>
              <w:rPr>
                <w:rFonts w:hint="eastAsia"/>
                <w:color w:val="auto"/>
                <w:sz w:val="24"/>
                <w:szCs w:val="24"/>
                <w:u w:val="none"/>
                <w:lang w:val="en-US" w:eastAsia="zh-CN"/>
              </w:rPr>
              <w:t>禽</w:t>
            </w:r>
            <w:r>
              <w:rPr>
                <w:rFonts w:hint="eastAsia"/>
                <w:color w:val="auto"/>
                <w:sz w:val="24"/>
                <w:szCs w:val="24"/>
                <w:u w:val="none"/>
              </w:rPr>
              <w:t>类屠宰加工的三级标准</w:t>
            </w:r>
            <w:r>
              <w:rPr>
                <w:rFonts w:hint="eastAsia" w:ascii="Times New Roman" w:hAnsi="Times New Roman" w:cs="Times New Roman"/>
                <w:color w:val="auto"/>
                <w:u w:val="none" w:color="auto"/>
                <w:vertAlign w:val="baseline"/>
                <w:lang w:val="en-US" w:eastAsia="zh-CN"/>
              </w:rPr>
              <w:t>（氨氮</w:t>
            </w:r>
            <w:r>
              <w:rPr>
                <w:rFonts w:hint="eastAsia" w:cs="Times New Roman"/>
                <w:color w:val="auto"/>
                <w:u w:val="none" w:color="auto"/>
                <w:vertAlign w:val="baseline"/>
                <w:lang w:val="en-US" w:eastAsia="zh-CN"/>
              </w:rPr>
              <w:t>、总氮、总磷</w:t>
            </w:r>
            <w:r>
              <w:rPr>
                <w:rFonts w:hint="eastAsia" w:ascii="Times New Roman" w:hAnsi="Times New Roman" w:cs="Times New Roman"/>
                <w:color w:val="auto"/>
                <w:u w:val="none" w:color="auto"/>
                <w:vertAlign w:val="baseline"/>
                <w:lang w:val="en-US" w:eastAsia="zh-CN"/>
              </w:rPr>
              <w:t>执行</w:t>
            </w:r>
            <w:r>
              <w:rPr>
                <w:rFonts w:hint="default" w:ascii="Times New Roman" w:hAnsi="Times New Roman" w:cs="Times New Roman"/>
                <w:color w:val="auto"/>
                <w:u w:val="none" w:color="auto"/>
                <w:vertAlign w:val="baseline"/>
                <w:lang w:val="en-US" w:eastAsia="zh-CN"/>
              </w:rPr>
              <w:t>《污水排入城镇下水道水质标准》（GB/T 31962-2015）</w:t>
            </w:r>
            <w:r>
              <w:rPr>
                <w:rFonts w:hint="eastAsia" w:cs="Times New Roman"/>
                <w:color w:val="auto"/>
                <w:u w:val="none" w:color="auto"/>
                <w:vertAlign w:val="baseline"/>
                <w:lang w:val="en-US" w:eastAsia="zh-CN"/>
              </w:rPr>
              <w:t>B级</w:t>
            </w:r>
            <w:r>
              <w:rPr>
                <w:rFonts w:hint="default" w:ascii="Times New Roman" w:hAnsi="Times New Roman" w:eastAsia="宋体" w:cs="Times New Roman"/>
                <w:color w:val="auto"/>
                <w:u w:val="none" w:color="auto"/>
                <w:vertAlign w:val="baseline"/>
                <w:lang w:val="en-US" w:eastAsia="zh-CN"/>
              </w:rPr>
              <w:t>排放标准</w:t>
            </w:r>
            <w:r>
              <w:rPr>
                <w:rFonts w:hint="eastAsia" w:cs="Times New Roman"/>
                <w:color w:val="auto"/>
                <w:u w:val="none" w:color="auto"/>
                <w:vertAlign w:val="baseline"/>
                <w:lang w:val="en-US" w:eastAsia="zh-CN"/>
              </w:rPr>
              <w:t>、石油类执行</w:t>
            </w:r>
            <w:r>
              <w:rPr>
                <w:rFonts w:hint="eastAsia"/>
                <w:color w:val="auto"/>
                <w:u w:val="none" w:color="auto"/>
                <w:lang w:val="en-US" w:eastAsia="zh-CN"/>
              </w:rPr>
              <w:t>《污水综合排放标准》（GB 8978-1996）表4中三级标准</w:t>
            </w:r>
            <w:r>
              <w:rPr>
                <w:rFonts w:hint="eastAsia" w:ascii="Times New Roman" w:hAnsi="Times New Roman" w:cs="Times New Roman"/>
                <w:color w:val="auto"/>
                <w:u w:val="none" w:color="auto"/>
                <w:vertAlign w:val="baseline"/>
                <w:lang w:val="en-US" w:eastAsia="zh-CN"/>
              </w:rPr>
              <w:t>）</w:t>
            </w:r>
            <w:r>
              <w:rPr>
                <w:rFonts w:hint="eastAsia"/>
                <w:color w:val="auto"/>
                <w:u w:val="none" w:color="auto"/>
                <w:lang w:val="en-US" w:eastAsia="zh-CN"/>
              </w:rPr>
              <w:t>，满足卢峰镇污水处理厂的进水水质要求，项目废水总排放量约为178.213 m</w:t>
            </w:r>
            <w:r>
              <w:rPr>
                <w:rFonts w:hint="eastAsia"/>
                <w:color w:val="auto"/>
                <w:u w:val="none" w:color="auto"/>
                <w:vertAlign w:val="superscript"/>
                <w:lang w:val="en-US" w:eastAsia="zh-CN"/>
              </w:rPr>
              <w:t>3</w:t>
            </w:r>
            <w:r>
              <w:rPr>
                <w:rFonts w:hint="eastAsia"/>
                <w:color w:val="auto"/>
                <w:u w:val="none" w:color="auto"/>
                <w:lang w:val="en-US" w:eastAsia="zh-CN"/>
              </w:rPr>
              <w:t>/d，日前污水处理厂剩余处理能力为1.5万m</w:t>
            </w:r>
            <w:r>
              <w:rPr>
                <w:rFonts w:hint="eastAsia"/>
                <w:color w:val="auto"/>
                <w:u w:val="none" w:color="auto"/>
                <w:vertAlign w:val="superscript"/>
                <w:lang w:val="en-US" w:eastAsia="zh-CN"/>
              </w:rPr>
              <w:t>3</w:t>
            </w:r>
            <w:r>
              <w:rPr>
                <w:rFonts w:hint="eastAsia"/>
                <w:color w:val="auto"/>
                <w:u w:val="none" w:color="auto"/>
                <w:lang w:val="en-US" w:eastAsia="zh-CN"/>
              </w:rPr>
              <w:t>/d，水量方面不会对污水处理厂造成冲击负荷。</w:t>
            </w:r>
          </w:p>
          <w:p w14:paraId="58B996B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u w:val="none" w:color="auto"/>
                <w:lang w:val="en-US" w:eastAsia="zh-CN"/>
              </w:rPr>
            </w:pPr>
            <w:r>
              <w:rPr>
                <w:rFonts w:hint="eastAsia"/>
                <w:color w:val="auto"/>
                <w:u w:val="none" w:color="auto"/>
                <w:lang w:val="en-US" w:eastAsia="zh-CN"/>
              </w:rPr>
              <w:t>综上所述，本项目废水预处理后排入卢峰镇污水处理厂集中处理是可行的。</w:t>
            </w:r>
          </w:p>
          <w:p w14:paraId="43FFFE7F">
            <w:pPr>
              <w:bidi w:val="0"/>
              <w:rPr>
                <w:rFonts w:hint="eastAsia"/>
                <w:color w:val="auto"/>
                <w:u w:val="none" w:color="auto"/>
                <w:lang w:val="en-US" w:eastAsia="zh-CN"/>
              </w:rPr>
            </w:pPr>
            <w:r>
              <w:rPr>
                <w:rFonts w:hint="eastAsia"/>
                <w:color w:val="auto"/>
                <w:u w:val="none" w:color="auto"/>
                <w:lang w:val="en-US" w:eastAsia="zh-CN"/>
              </w:rPr>
              <w:t>废水类别、污染物及污染治理设施详见下表。</w:t>
            </w:r>
          </w:p>
          <w:p w14:paraId="240D213B">
            <w:pPr>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.7-12</w:t>
            </w:r>
            <w:r>
              <w:rPr>
                <w:rFonts w:hint="default" w:ascii="Times New Roman" w:hAnsi="Times New Roman" w:cs="Times New Roman"/>
                <w:color w:val="auto"/>
                <w:u w:val="none" w:color="auto"/>
                <w:lang w:val="en-US" w:eastAsia="zh-CN"/>
              </w:rPr>
              <w:t xml:space="preserve"> 废水类别、污染物及污染治理措施一览表</w:t>
            </w:r>
          </w:p>
          <w:tbl>
            <w:tblPr>
              <w:tblStyle w:val="23"/>
              <w:tblW w:w="865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17"/>
              <w:gridCol w:w="1838"/>
              <w:gridCol w:w="1083"/>
              <w:gridCol w:w="2024"/>
              <w:gridCol w:w="945"/>
              <w:gridCol w:w="1020"/>
            </w:tblGrid>
            <w:tr w14:paraId="7920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14:paraId="7E36BC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序号</w:t>
                  </w:r>
                </w:p>
              </w:tc>
              <w:tc>
                <w:tcPr>
                  <w:tcW w:w="1317" w:type="dxa"/>
                  <w:vAlign w:val="center"/>
                </w:tcPr>
                <w:p w14:paraId="7B7E98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废水类别</w:t>
                  </w:r>
                </w:p>
              </w:tc>
              <w:tc>
                <w:tcPr>
                  <w:tcW w:w="1838" w:type="dxa"/>
                  <w:vAlign w:val="center"/>
                </w:tcPr>
                <w:p w14:paraId="4C7C7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污染物种类</w:t>
                  </w:r>
                </w:p>
              </w:tc>
              <w:tc>
                <w:tcPr>
                  <w:tcW w:w="1083" w:type="dxa"/>
                  <w:vAlign w:val="center"/>
                </w:tcPr>
                <w:p w14:paraId="215B0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污染治理设施名称</w:t>
                  </w:r>
                </w:p>
              </w:tc>
              <w:tc>
                <w:tcPr>
                  <w:tcW w:w="2024" w:type="dxa"/>
                  <w:vAlign w:val="center"/>
                </w:tcPr>
                <w:p w14:paraId="52393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污染治理设施工艺</w:t>
                  </w:r>
                </w:p>
              </w:tc>
              <w:tc>
                <w:tcPr>
                  <w:tcW w:w="945" w:type="dxa"/>
                  <w:vAlign w:val="center"/>
                </w:tcPr>
                <w:p w14:paraId="5F0BEC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排放口</w:t>
                  </w:r>
                </w:p>
                <w:p w14:paraId="67A6A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编号</w:t>
                  </w:r>
                </w:p>
              </w:tc>
              <w:tc>
                <w:tcPr>
                  <w:tcW w:w="1020" w:type="dxa"/>
                  <w:vAlign w:val="center"/>
                </w:tcPr>
                <w:p w14:paraId="17AB4B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排放口类型</w:t>
                  </w:r>
                </w:p>
              </w:tc>
            </w:tr>
            <w:tr w14:paraId="5AA2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3791B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w:t>
                  </w:r>
                </w:p>
              </w:tc>
              <w:tc>
                <w:tcPr>
                  <w:tcW w:w="1317" w:type="dxa"/>
                  <w:vAlign w:val="center"/>
                </w:tcPr>
                <w:p w14:paraId="0A27E4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屠宰生产废水</w:t>
                  </w:r>
                </w:p>
              </w:tc>
              <w:tc>
                <w:tcPr>
                  <w:tcW w:w="1838" w:type="dxa"/>
                  <w:vAlign w:val="center"/>
                </w:tcPr>
                <w:p w14:paraId="6B9120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highlight w:val="none"/>
                      <w:u w:val="none" w:color="auto"/>
                      <w:vertAlign w:val="baseline"/>
                      <w:lang w:val="en-US" w:eastAsia="zh-CN"/>
                    </w:rPr>
                    <w:t>pH、COD、BOD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vertAlign w:val="baseline"/>
                      <w:lang w:val="en-US" w:eastAsia="zh-CN"/>
                    </w:rPr>
                    <w:t>、NH</w:t>
                  </w:r>
                  <w:r>
                    <w:rPr>
                      <w:rFonts w:hint="eastAsia" w:cs="Times New Roman"/>
                      <w:color w:val="auto"/>
                      <w:sz w:val="21"/>
                      <w:szCs w:val="21"/>
                      <w:highlight w:val="none"/>
                      <w:u w:val="none" w:color="auto"/>
                      <w:vertAlign w:val="subscript"/>
                      <w:lang w:val="en-US" w:eastAsia="zh-CN"/>
                    </w:rPr>
                    <w:t>3</w:t>
                  </w:r>
                  <w:r>
                    <w:rPr>
                      <w:rFonts w:hint="eastAsia" w:cs="Times New Roman"/>
                      <w:color w:val="auto"/>
                      <w:sz w:val="21"/>
                      <w:szCs w:val="21"/>
                      <w:highlight w:val="none"/>
                      <w:u w:val="none" w:color="auto"/>
                      <w:vertAlign w:val="baseline"/>
                      <w:lang w:val="en-US" w:eastAsia="zh-CN"/>
                    </w:rPr>
                    <w:t>-N、TP、TN、SS、动植物油</w:t>
                  </w:r>
                </w:p>
              </w:tc>
              <w:tc>
                <w:tcPr>
                  <w:tcW w:w="1083" w:type="dxa"/>
                  <w:vMerge w:val="restart"/>
                  <w:vAlign w:val="center"/>
                </w:tcPr>
                <w:p w14:paraId="5F6FEB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污水处理站</w:t>
                  </w:r>
                </w:p>
              </w:tc>
              <w:tc>
                <w:tcPr>
                  <w:tcW w:w="2024" w:type="dxa"/>
                  <w:vMerge w:val="restart"/>
                  <w:vAlign w:val="center"/>
                </w:tcPr>
                <w:p w14:paraId="67CB0D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格栅+隔油+曝气+气浮+厌氧+好氧+沉淀+消毒池</w:t>
                  </w:r>
                </w:p>
              </w:tc>
              <w:tc>
                <w:tcPr>
                  <w:tcW w:w="945" w:type="dxa"/>
                  <w:vMerge w:val="restart"/>
                  <w:vAlign w:val="center"/>
                </w:tcPr>
                <w:p w14:paraId="511F6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DW001</w:t>
                  </w:r>
                </w:p>
              </w:tc>
              <w:tc>
                <w:tcPr>
                  <w:tcW w:w="1020" w:type="dxa"/>
                  <w:vMerge w:val="restart"/>
                  <w:vAlign w:val="center"/>
                </w:tcPr>
                <w:p w14:paraId="39A74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一般排放口</w:t>
                  </w:r>
                </w:p>
              </w:tc>
            </w:tr>
            <w:tr w14:paraId="0FDD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38EC6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w:t>
                  </w:r>
                </w:p>
              </w:tc>
              <w:tc>
                <w:tcPr>
                  <w:tcW w:w="1317" w:type="dxa"/>
                  <w:vAlign w:val="center"/>
                </w:tcPr>
                <w:p w14:paraId="70D44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车辆清洗废水</w:t>
                  </w:r>
                </w:p>
              </w:tc>
              <w:tc>
                <w:tcPr>
                  <w:tcW w:w="1838" w:type="dxa"/>
                  <w:vAlign w:val="center"/>
                </w:tcPr>
                <w:p w14:paraId="2AE73F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highlight w:val="none"/>
                      <w:u w:val="none" w:color="auto"/>
                      <w:vertAlign w:val="baseline"/>
                      <w:lang w:val="en-US" w:eastAsia="zh-CN"/>
                    </w:rPr>
                    <w:t>pH、COD、BOD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vertAlign w:val="baseline"/>
                      <w:lang w:val="en-US" w:eastAsia="zh-CN"/>
                    </w:rPr>
                    <w:t>、NH</w:t>
                  </w:r>
                  <w:r>
                    <w:rPr>
                      <w:rFonts w:hint="eastAsia" w:cs="Times New Roman"/>
                      <w:color w:val="auto"/>
                      <w:sz w:val="21"/>
                      <w:szCs w:val="21"/>
                      <w:highlight w:val="none"/>
                      <w:u w:val="none" w:color="auto"/>
                      <w:vertAlign w:val="subscript"/>
                      <w:lang w:val="en-US" w:eastAsia="zh-CN"/>
                    </w:rPr>
                    <w:t>3</w:t>
                  </w:r>
                  <w:r>
                    <w:rPr>
                      <w:rFonts w:hint="eastAsia" w:cs="Times New Roman"/>
                      <w:color w:val="auto"/>
                      <w:sz w:val="21"/>
                      <w:szCs w:val="21"/>
                      <w:highlight w:val="none"/>
                      <w:u w:val="none" w:color="auto"/>
                      <w:vertAlign w:val="baseline"/>
                      <w:lang w:val="en-US" w:eastAsia="zh-CN"/>
                    </w:rPr>
                    <w:t>-N、SS、石油类</w:t>
                  </w:r>
                </w:p>
              </w:tc>
              <w:tc>
                <w:tcPr>
                  <w:tcW w:w="1083" w:type="dxa"/>
                  <w:vMerge w:val="continue"/>
                  <w:vAlign w:val="center"/>
                </w:tcPr>
                <w:p w14:paraId="113505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024" w:type="dxa"/>
                  <w:vMerge w:val="continue"/>
                  <w:vAlign w:val="center"/>
                </w:tcPr>
                <w:p w14:paraId="63223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945" w:type="dxa"/>
                  <w:vMerge w:val="continue"/>
                  <w:vAlign w:val="center"/>
                </w:tcPr>
                <w:p w14:paraId="2769F1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020" w:type="dxa"/>
                  <w:vMerge w:val="continue"/>
                  <w:vAlign w:val="center"/>
                </w:tcPr>
                <w:p w14:paraId="2BE88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r>
          </w:tbl>
          <w:p w14:paraId="163A2E68">
            <w:pPr>
              <w:bidi w:val="0"/>
              <w:rPr>
                <w:rFonts w:hint="default"/>
                <w:color w:val="auto"/>
                <w:u w:val="none" w:color="auto"/>
                <w:lang w:val="en-US" w:eastAsia="zh-CN"/>
              </w:rPr>
            </w:pPr>
            <w:r>
              <w:rPr>
                <w:rFonts w:hint="eastAsia"/>
                <w:color w:val="auto"/>
                <w:u w:val="none" w:color="auto"/>
                <w:lang w:val="en-US" w:eastAsia="zh-CN"/>
              </w:rPr>
              <w:t>废水间接排放口基本情况详见下表。</w:t>
            </w:r>
          </w:p>
          <w:p w14:paraId="2CA28D31">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.7-13</w:t>
            </w:r>
            <w:r>
              <w:rPr>
                <w:rFonts w:hint="default" w:ascii="Times New Roman" w:hAnsi="Times New Roman" w:cs="Times New Roman"/>
                <w:color w:val="auto"/>
                <w:u w:val="none" w:color="auto"/>
                <w:lang w:val="en-US" w:eastAsia="zh-CN"/>
              </w:rPr>
              <w:t xml:space="preserve"> 废水间接排放口基本情况</w:t>
            </w:r>
          </w:p>
          <w:tbl>
            <w:tblPr>
              <w:tblStyle w:val="22"/>
              <w:tblW w:w="8613"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5"/>
              <w:gridCol w:w="882"/>
              <w:gridCol w:w="842"/>
              <w:gridCol w:w="775"/>
              <w:gridCol w:w="913"/>
              <w:gridCol w:w="737"/>
              <w:gridCol w:w="663"/>
              <w:gridCol w:w="662"/>
              <w:gridCol w:w="688"/>
              <w:gridCol w:w="925"/>
              <w:gridCol w:w="1101"/>
            </w:tblGrid>
            <w:tr w14:paraId="3CCD99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425" w:type="dxa"/>
                  <w:vMerge w:val="restart"/>
                  <w:tcBorders>
                    <w:tl2br w:val="nil"/>
                    <w:tr2bl w:val="nil"/>
                  </w:tcBorders>
                  <w:noWrap w:val="0"/>
                  <w:vAlign w:val="center"/>
                </w:tcPr>
                <w:p w14:paraId="52BC5F0F">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序</w:t>
                  </w:r>
                </w:p>
                <w:p w14:paraId="2479B607">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号</w:t>
                  </w:r>
                </w:p>
              </w:tc>
              <w:tc>
                <w:tcPr>
                  <w:tcW w:w="882" w:type="dxa"/>
                  <w:vMerge w:val="restart"/>
                  <w:tcBorders>
                    <w:tl2br w:val="nil"/>
                    <w:tr2bl w:val="nil"/>
                  </w:tcBorders>
                  <w:noWrap w:val="0"/>
                  <w:vAlign w:val="center"/>
                </w:tcPr>
                <w:p w14:paraId="12125531">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排放口编号</w:t>
                  </w:r>
                </w:p>
              </w:tc>
              <w:tc>
                <w:tcPr>
                  <w:tcW w:w="1617" w:type="dxa"/>
                  <w:gridSpan w:val="2"/>
                  <w:tcBorders>
                    <w:tl2br w:val="nil"/>
                    <w:tr2bl w:val="nil"/>
                  </w:tcBorders>
                  <w:noWrap w:val="0"/>
                  <w:vAlign w:val="center"/>
                </w:tcPr>
                <w:p w14:paraId="60E04744">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排放口地理坐标</w:t>
                  </w:r>
                </w:p>
              </w:tc>
              <w:tc>
                <w:tcPr>
                  <w:tcW w:w="913" w:type="dxa"/>
                  <w:vMerge w:val="restart"/>
                  <w:tcBorders>
                    <w:tl2br w:val="nil"/>
                    <w:tr2bl w:val="nil"/>
                  </w:tcBorders>
                  <w:noWrap w:val="0"/>
                  <w:vAlign w:val="center"/>
                </w:tcPr>
                <w:p w14:paraId="1CE2467D">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废水排放量</w:t>
                  </w:r>
                </w:p>
                <w:p w14:paraId="030644BC">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（t/a）</w:t>
                  </w:r>
                </w:p>
              </w:tc>
              <w:tc>
                <w:tcPr>
                  <w:tcW w:w="737" w:type="dxa"/>
                  <w:vMerge w:val="restart"/>
                  <w:tcBorders>
                    <w:tl2br w:val="nil"/>
                    <w:tr2bl w:val="nil"/>
                  </w:tcBorders>
                  <w:noWrap w:val="0"/>
                  <w:vAlign w:val="center"/>
                </w:tcPr>
                <w:p w14:paraId="4B3A3467">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排放去向</w:t>
                  </w:r>
                </w:p>
              </w:tc>
              <w:tc>
                <w:tcPr>
                  <w:tcW w:w="663" w:type="dxa"/>
                  <w:vMerge w:val="restart"/>
                  <w:tcBorders>
                    <w:tl2br w:val="nil"/>
                    <w:tr2bl w:val="nil"/>
                  </w:tcBorders>
                  <w:noWrap w:val="0"/>
                  <w:vAlign w:val="center"/>
                </w:tcPr>
                <w:p w14:paraId="5190E7DE">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排放</w:t>
                  </w:r>
                </w:p>
                <w:p w14:paraId="6F487576">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规律</w:t>
                  </w:r>
                </w:p>
              </w:tc>
              <w:tc>
                <w:tcPr>
                  <w:tcW w:w="662" w:type="dxa"/>
                  <w:vMerge w:val="restart"/>
                  <w:tcBorders>
                    <w:tl2br w:val="nil"/>
                    <w:tr2bl w:val="nil"/>
                  </w:tcBorders>
                  <w:noWrap w:val="0"/>
                  <w:vAlign w:val="center"/>
                </w:tcPr>
                <w:p w14:paraId="6753788E">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间歇排放时段</w:t>
                  </w:r>
                </w:p>
              </w:tc>
              <w:tc>
                <w:tcPr>
                  <w:tcW w:w="2714" w:type="dxa"/>
                  <w:gridSpan w:val="3"/>
                  <w:tcBorders>
                    <w:tl2br w:val="nil"/>
                    <w:tr2bl w:val="nil"/>
                  </w:tcBorders>
                  <w:noWrap w:val="0"/>
                  <w:vAlign w:val="center"/>
                </w:tcPr>
                <w:p w14:paraId="5D8EF266">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受纳污水处理厂信息</w:t>
                  </w:r>
                </w:p>
              </w:tc>
            </w:tr>
            <w:tr w14:paraId="593C6C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425" w:type="dxa"/>
                  <w:vMerge w:val="continue"/>
                  <w:tcBorders>
                    <w:tl2br w:val="nil"/>
                    <w:tr2bl w:val="nil"/>
                  </w:tcBorders>
                  <w:noWrap w:val="0"/>
                  <w:vAlign w:val="center"/>
                </w:tcPr>
                <w:p w14:paraId="26489DA2">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p>
              </w:tc>
              <w:tc>
                <w:tcPr>
                  <w:tcW w:w="882" w:type="dxa"/>
                  <w:vMerge w:val="continue"/>
                  <w:tcBorders>
                    <w:tl2br w:val="nil"/>
                    <w:tr2bl w:val="nil"/>
                  </w:tcBorders>
                  <w:noWrap w:val="0"/>
                  <w:vAlign w:val="center"/>
                </w:tcPr>
                <w:p w14:paraId="43E2002D">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p>
              </w:tc>
              <w:tc>
                <w:tcPr>
                  <w:tcW w:w="842" w:type="dxa"/>
                  <w:tcBorders>
                    <w:tl2br w:val="nil"/>
                    <w:tr2bl w:val="nil"/>
                  </w:tcBorders>
                  <w:noWrap w:val="0"/>
                  <w:vAlign w:val="center"/>
                </w:tcPr>
                <w:p w14:paraId="06C4A324">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经度°</w:t>
                  </w:r>
                </w:p>
              </w:tc>
              <w:tc>
                <w:tcPr>
                  <w:tcW w:w="775" w:type="dxa"/>
                  <w:tcBorders>
                    <w:tl2br w:val="nil"/>
                    <w:tr2bl w:val="nil"/>
                  </w:tcBorders>
                  <w:noWrap w:val="0"/>
                  <w:vAlign w:val="center"/>
                </w:tcPr>
                <w:p w14:paraId="060A91DB">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纬度°</w:t>
                  </w:r>
                </w:p>
              </w:tc>
              <w:tc>
                <w:tcPr>
                  <w:tcW w:w="913" w:type="dxa"/>
                  <w:vMerge w:val="continue"/>
                  <w:tcBorders>
                    <w:tl2br w:val="nil"/>
                    <w:tr2bl w:val="nil"/>
                  </w:tcBorders>
                  <w:noWrap w:val="0"/>
                  <w:vAlign w:val="center"/>
                </w:tcPr>
                <w:p w14:paraId="1FF221D6">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p>
              </w:tc>
              <w:tc>
                <w:tcPr>
                  <w:tcW w:w="737" w:type="dxa"/>
                  <w:vMerge w:val="continue"/>
                  <w:tcBorders>
                    <w:tl2br w:val="nil"/>
                    <w:tr2bl w:val="nil"/>
                  </w:tcBorders>
                  <w:noWrap w:val="0"/>
                  <w:vAlign w:val="center"/>
                </w:tcPr>
                <w:p w14:paraId="1B216A24">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p>
              </w:tc>
              <w:tc>
                <w:tcPr>
                  <w:tcW w:w="663" w:type="dxa"/>
                  <w:vMerge w:val="continue"/>
                  <w:tcBorders>
                    <w:tl2br w:val="nil"/>
                    <w:tr2bl w:val="nil"/>
                  </w:tcBorders>
                  <w:noWrap w:val="0"/>
                  <w:vAlign w:val="center"/>
                </w:tcPr>
                <w:p w14:paraId="139175DF">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p>
              </w:tc>
              <w:tc>
                <w:tcPr>
                  <w:tcW w:w="662" w:type="dxa"/>
                  <w:vMerge w:val="continue"/>
                  <w:tcBorders>
                    <w:tl2br w:val="nil"/>
                    <w:tr2bl w:val="nil"/>
                  </w:tcBorders>
                  <w:noWrap w:val="0"/>
                  <w:vAlign w:val="center"/>
                </w:tcPr>
                <w:p w14:paraId="05A95780">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p>
              </w:tc>
              <w:tc>
                <w:tcPr>
                  <w:tcW w:w="688" w:type="dxa"/>
                  <w:tcBorders>
                    <w:tl2br w:val="nil"/>
                    <w:tr2bl w:val="nil"/>
                  </w:tcBorders>
                  <w:noWrap w:val="0"/>
                  <w:vAlign w:val="center"/>
                </w:tcPr>
                <w:p w14:paraId="76B16361">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名称</w:t>
                  </w:r>
                </w:p>
              </w:tc>
              <w:tc>
                <w:tcPr>
                  <w:tcW w:w="925" w:type="dxa"/>
                  <w:tcBorders>
                    <w:tl2br w:val="nil"/>
                    <w:tr2bl w:val="nil"/>
                  </w:tcBorders>
                  <w:noWrap w:val="0"/>
                  <w:vAlign w:val="center"/>
                </w:tcPr>
                <w:p w14:paraId="4AFA3F8B">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污染物种类</w:t>
                  </w:r>
                </w:p>
              </w:tc>
              <w:tc>
                <w:tcPr>
                  <w:tcW w:w="1101" w:type="dxa"/>
                  <w:tcBorders>
                    <w:tl2br w:val="nil"/>
                    <w:tr2bl w:val="nil"/>
                  </w:tcBorders>
                  <w:noWrap w:val="0"/>
                  <w:vAlign w:val="center"/>
                </w:tcPr>
                <w:p w14:paraId="6C565D1E">
                  <w:pPr>
                    <w:spacing w:line="240" w:lineRule="auto"/>
                    <w:ind w:firstLine="0" w:firstLineChars="0"/>
                    <w:jc w:val="center"/>
                    <w:rPr>
                      <w:rFonts w:hint="default" w:ascii="Times New Roman" w:hAnsi="Times New Roman" w:cs="Times New Roman"/>
                      <w:b w:val="0"/>
                      <w:bCs/>
                      <w:color w:val="auto"/>
                      <w:sz w:val="21"/>
                      <w:szCs w:val="21"/>
                      <w:highlight w:val="none"/>
                      <w:u w:val="none" w:color="auto"/>
                    </w:rPr>
                  </w:pPr>
                  <w:r>
                    <w:rPr>
                      <w:rFonts w:hint="default" w:ascii="Times New Roman" w:hAnsi="Times New Roman" w:cs="Times New Roman"/>
                      <w:b w:val="0"/>
                      <w:bCs/>
                      <w:color w:val="auto"/>
                      <w:sz w:val="21"/>
                      <w:szCs w:val="21"/>
                      <w:highlight w:val="none"/>
                      <w:u w:val="none" w:color="auto"/>
                    </w:rPr>
                    <w:t>国家或地方污染物排放标准浓度限值</w:t>
                  </w:r>
                </w:p>
              </w:tc>
            </w:tr>
            <w:tr w14:paraId="0BAEEB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425" w:type="dxa"/>
                  <w:vMerge w:val="restart"/>
                  <w:tcBorders>
                    <w:tl2br w:val="nil"/>
                    <w:tr2bl w:val="nil"/>
                  </w:tcBorders>
                  <w:noWrap w:val="0"/>
                  <w:vAlign w:val="center"/>
                </w:tcPr>
                <w:p w14:paraId="761B32E6">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w:t>
                  </w:r>
                </w:p>
              </w:tc>
              <w:tc>
                <w:tcPr>
                  <w:tcW w:w="882" w:type="dxa"/>
                  <w:vMerge w:val="restart"/>
                  <w:tcBorders>
                    <w:tl2br w:val="nil"/>
                    <w:tr2bl w:val="nil"/>
                  </w:tcBorders>
                  <w:noWrap w:val="0"/>
                  <w:vAlign w:val="center"/>
                </w:tcPr>
                <w:p w14:paraId="1F24C9B8">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DW001</w:t>
                  </w:r>
                </w:p>
              </w:tc>
              <w:tc>
                <w:tcPr>
                  <w:tcW w:w="842" w:type="dxa"/>
                  <w:vMerge w:val="restart"/>
                  <w:tcBorders>
                    <w:tl2br w:val="nil"/>
                    <w:tr2bl w:val="nil"/>
                  </w:tcBorders>
                  <w:noWrap w:val="0"/>
                  <w:vAlign w:val="center"/>
                </w:tcPr>
                <w:p w14:paraId="5DC3E63E">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cs="Times New Roman"/>
                      <w:color w:val="auto"/>
                      <w:sz w:val="21"/>
                      <w:szCs w:val="21"/>
                      <w:highlight w:val="none"/>
                      <w:u w:val="none" w:color="auto"/>
                    </w:rPr>
                    <w:t>110.571735339</w:t>
                  </w:r>
                </w:p>
              </w:tc>
              <w:tc>
                <w:tcPr>
                  <w:tcW w:w="775" w:type="dxa"/>
                  <w:vMerge w:val="restart"/>
                  <w:tcBorders>
                    <w:tl2br w:val="nil"/>
                    <w:tr2bl w:val="nil"/>
                  </w:tcBorders>
                  <w:noWrap w:val="0"/>
                  <w:vAlign w:val="center"/>
                </w:tcPr>
                <w:p w14:paraId="363A03E0">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cs="Times New Roman"/>
                      <w:color w:val="auto"/>
                      <w:sz w:val="21"/>
                      <w:szCs w:val="21"/>
                      <w:highlight w:val="none"/>
                      <w:u w:val="none" w:color="auto"/>
                    </w:rPr>
                    <w:t>27.902595312</w:t>
                  </w:r>
                </w:p>
              </w:tc>
              <w:tc>
                <w:tcPr>
                  <w:tcW w:w="913" w:type="dxa"/>
                  <w:vMerge w:val="restart"/>
                  <w:tcBorders>
                    <w:tl2br w:val="nil"/>
                    <w:tr2bl w:val="nil"/>
                  </w:tcBorders>
                  <w:noWrap w:val="0"/>
                  <w:vAlign w:val="center"/>
                </w:tcPr>
                <w:p w14:paraId="339BA58A">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u w:val="none" w:color="auto"/>
                      <w:lang w:val="en-US" w:eastAsia="zh-CN"/>
                    </w:rPr>
                    <w:t>96870.75</w:t>
                  </w:r>
                </w:p>
              </w:tc>
              <w:tc>
                <w:tcPr>
                  <w:tcW w:w="737" w:type="dxa"/>
                  <w:vMerge w:val="restart"/>
                  <w:tcBorders>
                    <w:tl2br w:val="nil"/>
                    <w:tr2bl w:val="nil"/>
                  </w:tcBorders>
                  <w:noWrap w:val="0"/>
                  <w:vAlign w:val="center"/>
                </w:tcPr>
                <w:p w14:paraId="7BC24599">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市政污水管网</w:t>
                  </w:r>
                </w:p>
              </w:tc>
              <w:tc>
                <w:tcPr>
                  <w:tcW w:w="663" w:type="dxa"/>
                  <w:vMerge w:val="restart"/>
                  <w:tcBorders>
                    <w:tl2br w:val="nil"/>
                    <w:tr2bl w:val="nil"/>
                  </w:tcBorders>
                  <w:noWrap w:val="0"/>
                  <w:vAlign w:val="center"/>
                </w:tcPr>
                <w:p w14:paraId="7049814E">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间断无规律</w:t>
                  </w:r>
                </w:p>
              </w:tc>
              <w:tc>
                <w:tcPr>
                  <w:tcW w:w="662" w:type="dxa"/>
                  <w:vMerge w:val="restart"/>
                  <w:tcBorders>
                    <w:tl2br w:val="nil"/>
                    <w:tr2bl w:val="nil"/>
                  </w:tcBorders>
                  <w:noWrap w:val="0"/>
                  <w:vAlign w:val="center"/>
                </w:tcPr>
                <w:p w14:paraId="32026088">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w:t>
                  </w:r>
                </w:p>
              </w:tc>
              <w:tc>
                <w:tcPr>
                  <w:tcW w:w="688" w:type="dxa"/>
                  <w:vMerge w:val="restart"/>
                  <w:tcBorders>
                    <w:tl2br w:val="nil"/>
                    <w:tr2bl w:val="nil"/>
                  </w:tcBorders>
                  <w:noWrap w:val="0"/>
                  <w:vAlign w:val="center"/>
                </w:tcPr>
                <w:p w14:paraId="6142835F">
                  <w:pPr>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eastAsia" w:cs="Times New Roman"/>
                      <w:bCs/>
                      <w:color w:val="auto"/>
                      <w:sz w:val="21"/>
                      <w:szCs w:val="21"/>
                      <w:highlight w:val="none"/>
                      <w:u w:val="none" w:color="auto"/>
                      <w:lang w:val="en-US" w:eastAsia="zh-CN"/>
                    </w:rPr>
                    <w:t>卢峰镇污水处理厂</w:t>
                  </w:r>
                </w:p>
              </w:tc>
              <w:tc>
                <w:tcPr>
                  <w:tcW w:w="925" w:type="dxa"/>
                  <w:tcBorders>
                    <w:tl2br w:val="nil"/>
                    <w:tr2bl w:val="nil"/>
                  </w:tcBorders>
                  <w:noWrap w:val="0"/>
                  <w:vAlign w:val="center"/>
                </w:tcPr>
                <w:p w14:paraId="0002A4AE">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pH</w:t>
                  </w:r>
                </w:p>
              </w:tc>
              <w:tc>
                <w:tcPr>
                  <w:tcW w:w="1101" w:type="dxa"/>
                  <w:tcBorders>
                    <w:tl2br w:val="nil"/>
                    <w:tr2bl w:val="nil"/>
                  </w:tcBorders>
                  <w:noWrap w:val="0"/>
                  <w:vAlign w:val="center"/>
                </w:tcPr>
                <w:p w14:paraId="1E15D272">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6~9（无量纲）</w:t>
                  </w:r>
                </w:p>
              </w:tc>
            </w:tr>
            <w:tr w14:paraId="5B2AAC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1" w:hRule="atLeast"/>
              </w:trPr>
              <w:tc>
                <w:tcPr>
                  <w:tcW w:w="425" w:type="dxa"/>
                  <w:vMerge w:val="continue"/>
                  <w:tcBorders>
                    <w:tl2br w:val="nil"/>
                    <w:tr2bl w:val="nil"/>
                  </w:tcBorders>
                  <w:noWrap w:val="0"/>
                  <w:vAlign w:val="center"/>
                </w:tcPr>
                <w:p w14:paraId="4472F004">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82" w:type="dxa"/>
                  <w:vMerge w:val="continue"/>
                  <w:tcBorders>
                    <w:tl2br w:val="nil"/>
                    <w:tr2bl w:val="nil"/>
                  </w:tcBorders>
                  <w:noWrap w:val="0"/>
                  <w:vAlign w:val="center"/>
                </w:tcPr>
                <w:p w14:paraId="132CF950">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42" w:type="dxa"/>
                  <w:vMerge w:val="continue"/>
                  <w:tcBorders>
                    <w:tl2br w:val="nil"/>
                    <w:tr2bl w:val="nil"/>
                  </w:tcBorders>
                  <w:noWrap w:val="0"/>
                  <w:vAlign w:val="center"/>
                </w:tcPr>
                <w:p w14:paraId="704F7CE3">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75" w:type="dxa"/>
                  <w:vMerge w:val="continue"/>
                  <w:tcBorders>
                    <w:tl2br w:val="nil"/>
                    <w:tr2bl w:val="nil"/>
                  </w:tcBorders>
                  <w:noWrap w:val="0"/>
                  <w:vAlign w:val="center"/>
                </w:tcPr>
                <w:p w14:paraId="18B2A7BB">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13" w:type="dxa"/>
                  <w:vMerge w:val="continue"/>
                  <w:tcBorders>
                    <w:tl2br w:val="nil"/>
                    <w:tr2bl w:val="nil"/>
                  </w:tcBorders>
                  <w:noWrap w:val="0"/>
                  <w:vAlign w:val="center"/>
                </w:tcPr>
                <w:p w14:paraId="49AB894F">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37" w:type="dxa"/>
                  <w:vMerge w:val="continue"/>
                  <w:tcBorders>
                    <w:tl2br w:val="nil"/>
                    <w:tr2bl w:val="nil"/>
                  </w:tcBorders>
                  <w:noWrap w:val="0"/>
                  <w:vAlign w:val="center"/>
                </w:tcPr>
                <w:p w14:paraId="0CDE049F">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3" w:type="dxa"/>
                  <w:vMerge w:val="continue"/>
                  <w:tcBorders>
                    <w:tl2br w:val="nil"/>
                    <w:tr2bl w:val="nil"/>
                  </w:tcBorders>
                  <w:noWrap w:val="0"/>
                  <w:vAlign w:val="center"/>
                </w:tcPr>
                <w:p w14:paraId="40915343">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2" w:type="dxa"/>
                  <w:vMerge w:val="continue"/>
                  <w:tcBorders>
                    <w:tl2br w:val="nil"/>
                    <w:tr2bl w:val="nil"/>
                  </w:tcBorders>
                  <w:noWrap w:val="0"/>
                  <w:vAlign w:val="center"/>
                </w:tcPr>
                <w:p w14:paraId="012F6D90">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88" w:type="dxa"/>
                  <w:vMerge w:val="continue"/>
                  <w:tcBorders>
                    <w:tl2br w:val="nil"/>
                    <w:tr2bl w:val="nil"/>
                  </w:tcBorders>
                  <w:noWrap w:val="0"/>
                  <w:vAlign w:val="center"/>
                </w:tcPr>
                <w:p w14:paraId="51F694AC">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25" w:type="dxa"/>
                  <w:tcBorders>
                    <w:tl2br w:val="nil"/>
                    <w:tr2bl w:val="nil"/>
                  </w:tcBorders>
                  <w:noWrap w:val="0"/>
                  <w:vAlign w:val="center"/>
                </w:tcPr>
                <w:p w14:paraId="79E84D45">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CODcr</w:t>
                  </w:r>
                </w:p>
              </w:tc>
              <w:tc>
                <w:tcPr>
                  <w:tcW w:w="1101" w:type="dxa"/>
                  <w:tcBorders>
                    <w:tl2br w:val="nil"/>
                    <w:tr2bl w:val="nil"/>
                  </w:tcBorders>
                  <w:noWrap w:val="0"/>
                  <w:vAlign w:val="center"/>
                </w:tcPr>
                <w:p w14:paraId="30F0CA0C">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5</w:t>
                  </w:r>
                  <w:r>
                    <w:rPr>
                      <w:rFonts w:hint="default" w:ascii="Times New Roman" w:hAnsi="Times New Roman" w:cs="Times New Roman"/>
                      <w:color w:val="auto"/>
                      <w:sz w:val="21"/>
                      <w:szCs w:val="21"/>
                      <w:highlight w:val="none"/>
                      <w:u w:val="none" w:color="auto"/>
                      <w:lang w:val="en-US" w:eastAsia="zh-CN"/>
                    </w:rPr>
                    <w:t>0</w:t>
                  </w:r>
                  <w:r>
                    <w:rPr>
                      <w:rFonts w:hint="eastAsia"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cs="Times New Roman"/>
                      <w:color w:val="auto"/>
                      <w:sz w:val="21"/>
                      <w:szCs w:val="21"/>
                      <w:highlight w:val="none"/>
                      <w:u w:val="none" w:color="auto"/>
                    </w:rPr>
                    <w:t>mg/L</w:t>
                  </w:r>
                </w:p>
              </w:tc>
            </w:tr>
            <w:tr w14:paraId="10A066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425" w:type="dxa"/>
                  <w:vMerge w:val="continue"/>
                  <w:tcBorders>
                    <w:tl2br w:val="nil"/>
                    <w:tr2bl w:val="nil"/>
                  </w:tcBorders>
                  <w:noWrap w:val="0"/>
                  <w:vAlign w:val="center"/>
                </w:tcPr>
                <w:p w14:paraId="334B7678">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82" w:type="dxa"/>
                  <w:vMerge w:val="continue"/>
                  <w:tcBorders>
                    <w:tl2br w:val="nil"/>
                    <w:tr2bl w:val="nil"/>
                  </w:tcBorders>
                  <w:noWrap w:val="0"/>
                  <w:vAlign w:val="center"/>
                </w:tcPr>
                <w:p w14:paraId="6923546E">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42" w:type="dxa"/>
                  <w:vMerge w:val="continue"/>
                  <w:tcBorders>
                    <w:tl2br w:val="nil"/>
                    <w:tr2bl w:val="nil"/>
                  </w:tcBorders>
                  <w:noWrap w:val="0"/>
                  <w:vAlign w:val="center"/>
                </w:tcPr>
                <w:p w14:paraId="40855C65">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75" w:type="dxa"/>
                  <w:vMerge w:val="continue"/>
                  <w:tcBorders>
                    <w:tl2br w:val="nil"/>
                    <w:tr2bl w:val="nil"/>
                  </w:tcBorders>
                  <w:noWrap w:val="0"/>
                  <w:vAlign w:val="center"/>
                </w:tcPr>
                <w:p w14:paraId="3753F2ED">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13" w:type="dxa"/>
                  <w:vMerge w:val="continue"/>
                  <w:tcBorders>
                    <w:tl2br w:val="nil"/>
                    <w:tr2bl w:val="nil"/>
                  </w:tcBorders>
                  <w:noWrap w:val="0"/>
                  <w:vAlign w:val="center"/>
                </w:tcPr>
                <w:p w14:paraId="6CCF574A">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37" w:type="dxa"/>
                  <w:vMerge w:val="continue"/>
                  <w:tcBorders>
                    <w:tl2br w:val="nil"/>
                    <w:tr2bl w:val="nil"/>
                  </w:tcBorders>
                  <w:noWrap w:val="0"/>
                  <w:vAlign w:val="center"/>
                </w:tcPr>
                <w:p w14:paraId="38CE7040">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3" w:type="dxa"/>
                  <w:vMerge w:val="continue"/>
                  <w:tcBorders>
                    <w:tl2br w:val="nil"/>
                    <w:tr2bl w:val="nil"/>
                  </w:tcBorders>
                  <w:noWrap w:val="0"/>
                  <w:vAlign w:val="center"/>
                </w:tcPr>
                <w:p w14:paraId="0C9804DD">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2" w:type="dxa"/>
                  <w:vMerge w:val="continue"/>
                  <w:tcBorders>
                    <w:tl2br w:val="nil"/>
                    <w:tr2bl w:val="nil"/>
                  </w:tcBorders>
                  <w:noWrap w:val="0"/>
                  <w:vAlign w:val="center"/>
                </w:tcPr>
                <w:p w14:paraId="74B46130">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88" w:type="dxa"/>
                  <w:vMerge w:val="continue"/>
                  <w:tcBorders>
                    <w:tl2br w:val="nil"/>
                    <w:tr2bl w:val="nil"/>
                  </w:tcBorders>
                  <w:noWrap w:val="0"/>
                  <w:vAlign w:val="center"/>
                </w:tcPr>
                <w:p w14:paraId="0EEA04CB">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25" w:type="dxa"/>
                  <w:tcBorders>
                    <w:tl2br w:val="nil"/>
                    <w:tr2bl w:val="nil"/>
                  </w:tcBorders>
                  <w:noWrap w:val="0"/>
                  <w:vAlign w:val="center"/>
                </w:tcPr>
                <w:p w14:paraId="7B27667B">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rPr>
                    <w:t>BOD</w:t>
                  </w:r>
                  <w:r>
                    <w:rPr>
                      <w:rFonts w:hint="default" w:ascii="Times New Roman" w:hAnsi="Times New Roman" w:cs="Times New Roman"/>
                      <w:color w:val="auto"/>
                      <w:sz w:val="21"/>
                      <w:szCs w:val="21"/>
                      <w:highlight w:val="none"/>
                      <w:u w:val="none" w:color="auto"/>
                      <w:vertAlign w:val="subscript"/>
                      <w:lang w:val="en-US" w:eastAsia="zh-CN"/>
                    </w:rPr>
                    <w:t>5</w:t>
                  </w:r>
                </w:p>
              </w:tc>
              <w:tc>
                <w:tcPr>
                  <w:tcW w:w="1101" w:type="dxa"/>
                  <w:tcBorders>
                    <w:tl2br w:val="nil"/>
                    <w:tr2bl w:val="nil"/>
                  </w:tcBorders>
                  <w:noWrap w:val="0"/>
                  <w:vAlign w:val="center"/>
                </w:tcPr>
                <w:p w14:paraId="408AEA04">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10</w:t>
                  </w:r>
                  <w:r>
                    <w:rPr>
                      <w:rFonts w:hint="eastAsia"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cs="Times New Roman"/>
                      <w:color w:val="auto"/>
                      <w:sz w:val="21"/>
                      <w:szCs w:val="21"/>
                      <w:highlight w:val="none"/>
                      <w:u w:val="none" w:color="auto"/>
                    </w:rPr>
                    <w:t>mg/L</w:t>
                  </w:r>
                </w:p>
              </w:tc>
            </w:tr>
            <w:tr w14:paraId="4040F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425" w:type="dxa"/>
                  <w:vMerge w:val="continue"/>
                  <w:tcBorders>
                    <w:tl2br w:val="nil"/>
                    <w:tr2bl w:val="nil"/>
                  </w:tcBorders>
                  <w:noWrap w:val="0"/>
                  <w:vAlign w:val="center"/>
                </w:tcPr>
                <w:p w14:paraId="5D42AE77">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82" w:type="dxa"/>
                  <w:vMerge w:val="continue"/>
                  <w:tcBorders>
                    <w:tl2br w:val="nil"/>
                    <w:tr2bl w:val="nil"/>
                  </w:tcBorders>
                  <w:noWrap w:val="0"/>
                  <w:vAlign w:val="center"/>
                </w:tcPr>
                <w:p w14:paraId="37C21550">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42" w:type="dxa"/>
                  <w:vMerge w:val="continue"/>
                  <w:tcBorders>
                    <w:tl2br w:val="nil"/>
                    <w:tr2bl w:val="nil"/>
                  </w:tcBorders>
                  <w:noWrap w:val="0"/>
                  <w:vAlign w:val="center"/>
                </w:tcPr>
                <w:p w14:paraId="6C195592">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75" w:type="dxa"/>
                  <w:vMerge w:val="continue"/>
                  <w:tcBorders>
                    <w:tl2br w:val="nil"/>
                    <w:tr2bl w:val="nil"/>
                  </w:tcBorders>
                  <w:noWrap w:val="0"/>
                  <w:vAlign w:val="center"/>
                </w:tcPr>
                <w:p w14:paraId="3906DFB1">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13" w:type="dxa"/>
                  <w:vMerge w:val="continue"/>
                  <w:tcBorders>
                    <w:tl2br w:val="nil"/>
                    <w:tr2bl w:val="nil"/>
                  </w:tcBorders>
                  <w:noWrap w:val="0"/>
                  <w:vAlign w:val="center"/>
                </w:tcPr>
                <w:p w14:paraId="4F3586DE">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37" w:type="dxa"/>
                  <w:vMerge w:val="continue"/>
                  <w:tcBorders>
                    <w:tl2br w:val="nil"/>
                    <w:tr2bl w:val="nil"/>
                  </w:tcBorders>
                  <w:noWrap w:val="0"/>
                  <w:vAlign w:val="center"/>
                </w:tcPr>
                <w:p w14:paraId="5EC35068">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3" w:type="dxa"/>
                  <w:vMerge w:val="continue"/>
                  <w:tcBorders>
                    <w:tl2br w:val="nil"/>
                    <w:tr2bl w:val="nil"/>
                  </w:tcBorders>
                  <w:noWrap w:val="0"/>
                  <w:vAlign w:val="center"/>
                </w:tcPr>
                <w:p w14:paraId="687CF4B9">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2" w:type="dxa"/>
                  <w:vMerge w:val="continue"/>
                  <w:tcBorders>
                    <w:tl2br w:val="nil"/>
                    <w:tr2bl w:val="nil"/>
                  </w:tcBorders>
                  <w:noWrap w:val="0"/>
                  <w:vAlign w:val="center"/>
                </w:tcPr>
                <w:p w14:paraId="06EA2AEE">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88" w:type="dxa"/>
                  <w:vMerge w:val="continue"/>
                  <w:tcBorders>
                    <w:tl2br w:val="nil"/>
                    <w:tr2bl w:val="nil"/>
                  </w:tcBorders>
                  <w:noWrap w:val="0"/>
                  <w:vAlign w:val="center"/>
                </w:tcPr>
                <w:p w14:paraId="51E491DA">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25" w:type="dxa"/>
                  <w:tcBorders>
                    <w:tl2br w:val="nil"/>
                    <w:tr2bl w:val="nil"/>
                  </w:tcBorders>
                  <w:noWrap w:val="0"/>
                  <w:vAlign w:val="center"/>
                </w:tcPr>
                <w:p w14:paraId="23215E36">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氨氮</w:t>
                  </w:r>
                </w:p>
              </w:tc>
              <w:tc>
                <w:tcPr>
                  <w:tcW w:w="1101" w:type="dxa"/>
                  <w:tcBorders>
                    <w:tl2br w:val="nil"/>
                    <w:tr2bl w:val="nil"/>
                  </w:tcBorders>
                  <w:noWrap w:val="0"/>
                  <w:vAlign w:val="center"/>
                </w:tcPr>
                <w:p w14:paraId="760C5B7E">
                  <w:pPr>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 xml:space="preserve">5 </w:t>
                  </w:r>
                  <w:r>
                    <w:rPr>
                      <w:rFonts w:hint="default" w:ascii="Times New Roman" w:hAnsi="Times New Roman" w:cs="Times New Roman"/>
                      <w:color w:val="auto"/>
                      <w:sz w:val="21"/>
                      <w:szCs w:val="21"/>
                      <w:highlight w:val="none"/>
                      <w:u w:val="none" w:color="auto"/>
                    </w:rPr>
                    <w:t>mg/L</w:t>
                  </w:r>
                </w:p>
              </w:tc>
            </w:tr>
            <w:tr w14:paraId="60C18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425" w:type="dxa"/>
                  <w:vMerge w:val="continue"/>
                  <w:tcBorders>
                    <w:tl2br w:val="nil"/>
                    <w:tr2bl w:val="nil"/>
                  </w:tcBorders>
                  <w:noWrap w:val="0"/>
                  <w:vAlign w:val="center"/>
                </w:tcPr>
                <w:p w14:paraId="1CDD0E29">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82" w:type="dxa"/>
                  <w:vMerge w:val="continue"/>
                  <w:tcBorders>
                    <w:tl2br w:val="nil"/>
                    <w:tr2bl w:val="nil"/>
                  </w:tcBorders>
                  <w:noWrap w:val="0"/>
                  <w:vAlign w:val="center"/>
                </w:tcPr>
                <w:p w14:paraId="4C18504B">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42" w:type="dxa"/>
                  <w:vMerge w:val="continue"/>
                  <w:tcBorders>
                    <w:tl2br w:val="nil"/>
                    <w:tr2bl w:val="nil"/>
                  </w:tcBorders>
                  <w:noWrap w:val="0"/>
                  <w:vAlign w:val="center"/>
                </w:tcPr>
                <w:p w14:paraId="32AC1AE9">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75" w:type="dxa"/>
                  <w:vMerge w:val="continue"/>
                  <w:tcBorders>
                    <w:tl2br w:val="nil"/>
                    <w:tr2bl w:val="nil"/>
                  </w:tcBorders>
                  <w:noWrap w:val="0"/>
                  <w:vAlign w:val="center"/>
                </w:tcPr>
                <w:p w14:paraId="68AA80B9">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13" w:type="dxa"/>
                  <w:vMerge w:val="continue"/>
                  <w:tcBorders>
                    <w:tl2br w:val="nil"/>
                    <w:tr2bl w:val="nil"/>
                  </w:tcBorders>
                  <w:noWrap w:val="0"/>
                  <w:vAlign w:val="center"/>
                </w:tcPr>
                <w:p w14:paraId="5519153A">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37" w:type="dxa"/>
                  <w:vMerge w:val="continue"/>
                  <w:tcBorders>
                    <w:tl2br w:val="nil"/>
                    <w:tr2bl w:val="nil"/>
                  </w:tcBorders>
                  <w:noWrap w:val="0"/>
                  <w:vAlign w:val="center"/>
                </w:tcPr>
                <w:p w14:paraId="187B2DE8">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3" w:type="dxa"/>
                  <w:vMerge w:val="continue"/>
                  <w:tcBorders>
                    <w:tl2br w:val="nil"/>
                    <w:tr2bl w:val="nil"/>
                  </w:tcBorders>
                  <w:noWrap w:val="0"/>
                  <w:vAlign w:val="center"/>
                </w:tcPr>
                <w:p w14:paraId="507FB58D">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2" w:type="dxa"/>
                  <w:vMerge w:val="continue"/>
                  <w:tcBorders>
                    <w:tl2br w:val="nil"/>
                    <w:tr2bl w:val="nil"/>
                  </w:tcBorders>
                  <w:noWrap w:val="0"/>
                  <w:vAlign w:val="center"/>
                </w:tcPr>
                <w:p w14:paraId="4F02D97B">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88" w:type="dxa"/>
                  <w:vMerge w:val="continue"/>
                  <w:tcBorders>
                    <w:tl2br w:val="nil"/>
                    <w:tr2bl w:val="nil"/>
                  </w:tcBorders>
                  <w:noWrap w:val="0"/>
                  <w:vAlign w:val="center"/>
                </w:tcPr>
                <w:p w14:paraId="16EC9A12">
                  <w:pPr>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925" w:type="dxa"/>
                  <w:tcBorders>
                    <w:tl2br w:val="nil"/>
                    <w:tr2bl w:val="nil"/>
                  </w:tcBorders>
                  <w:noWrap w:val="0"/>
                  <w:vAlign w:val="center"/>
                </w:tcPr>
                <w:p w14:paraId="218C8FF7">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SS</w:t>
                  </w:r>
                </w:p>
              </w:tc>
              <w:tc>
                <w:tcPr>
                  <w:tcW w:w="1101" w:type="dxa"/>
                  <w:tcBorders>
                    <w:tl2br w:val="nil"/>
                    <w:tr2bl w:val="nil"/>
                  </w:tcBorders>
                  <w:noWrap w:val="0"/>
                  <w:vAlign w:val="center"/>
                </w:tcPr>
                <w:p w14:paraId="10C4FE69">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10</w:t>
                  </w:r>
                  <w:r>
                    <w:rPr>
                      <w:rFonts w:hint="eastAsia"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cs="Times New Roman"/>
                      <w:color w:val="auto"/>
                      <w:sz w:val="21"/>
                      <w:szCs w:val="21"/>
                      <w:highlight w:val="none"/>
                      <w:u w:val="none" w:color="auto"/>
                    </w:rPr>
                    <w:t>mg/L</w:t>
                  </w:r>
                </w:p>
              </w:tc>
            </w:tr>
            <w:tr w14:paraId="0AA278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425" w:type="dxa"/>
                  <w:vMerge w:val="continue"/>
                  <w:tcBorders>
                    <w:tl2br w:val="nil"/>
                    <w:tr2bl w:val="nil"/>
                  </w:tcBorders>
                  <w:noWrap w:val="0"/>
                  <w:vAlign w:val="center"/>
                </w:tcPr>
                <w:p w14:paraId="451B64B1">
                  <w:pPr>
                    <w:spacing w:line="240" w:lineRule="auto"/>
                    <w:ind w:firstLine="0" w:firstLineChars="0"/>
                    <w:jc w:val="center"/>
                    <w:rPr>
                      <w:color w:val="auto"/>
                    </w:rPr>
                  </w:pPr>
                </w:p>
              </w:tc>
              <w:tc>
                <w:tcPr>
                  <w:tcW w:w="882" w:type="dxa"/>
                  <w:vMerge w:val="continue"/>
                  <w:tcBorders>
                    <w:tl2br w:val="nil"/>
                    <w:tr2bl w:val="nil"/>
                  </w:tcBorders>
                  <w:noWrap w:val="0"/>
                  <w:vAlign w:val="center"/>
                </w:tcPr>
                <w:p w14:paraId="3294EAD6">
                  <w:pPr>
                    <w:spacing w:line="240" w:lineRule="auto"/>
                    <w:ind w:firstLine="0" w:firstLineChars="0"/>
                    <w:jc w:val="center"/>
                    <w:rPr>
                      <w:color w:val="auto"/>
                    </w:rPr>
                  </w:pPr>
                </w:p>
              </w:tc>
              <w:tc>
                <w:tcPr>
                  <w:tcW w:w="842" w:type="dxa"/>
                  <w:vMerge w:val="continue"/>
                  <w:tcBorders>
                    <w:tl2br w:val="nil"/>
                    <w:tr2bl w:val="nil"/>
                  </w:tcBorders>
                  <w:noWrap w:val="0"/>
                  <w:vAlign w:val="center"/>
                </w:tcPr>
                <w:p w14:paraId="097B7083">
                  <w:pPr>
                    <w:spacing w:line="240" w:lineRule="auto"/>
                    <w:ind w:firstLine="0" w:firstLineChars="0"/>
                    <w:jc w:val="center"/>
                    <w:rPr>
                      <w:color w:val="auto"/>
                    </w:rPr>
                  </w:pPr>
                </w:p>
              </w:tc>
              <w:tc>
                <w:tcPr>
                  <w:tcW w:w="775" w:type="dxa"/>
                  <w:vMerge w:val="continue"/>
                  <w:tcBorders>
                    <w:tl2br w:val="nil"/>
                    <w:tr2bl w:val="nil"/>
                  </w:tcBorders>
                  <w:noWrap w:val="0"/>
                  <w:vAlign w:val="center"/>
                </w:tcPr>
                <w:p w14:paraId="52F1DC42">
                  <w:pPr>
                    <w:spacing w:line="240" w:lineRule="auto"/>
                    <w:ind w:firstLine="0" w:firstLineChars="0"/>
                    <w:jc w:val="center"/>
                    <w:rPr>
                      <w:color w:val="auto"/>
                    </w:rPr>
                  </w:pPr>
                </w:p>
              </w:tc>
              <w:tc>
                <w:tcPr>
                  <w:tcW w:w="913" w:type="dxa"/>
                  <w:vMerge w:val="continue"/>
                  <w:tcBorders>
                    <w:tl2br w:val="nil"/>
                    <w:tr2bl w:val="nil"/>
                  </w:tcBorders>
                  <w:noWrap w:val="0"/>
                  <w:vAlign w:val="center"/>
                </w:tcPr>
                <w:p w14:paraId="165B873B">
                  <w:pPr>
                    <w:spacing w:line="240" w:lineRule="auto"/>
                    <w:ind w:firstLine="0" w:firstLineChars="0"/>
                    <w:jc w:val="center"/>
                    <w:rPr>
                      <w:color w:val="auto"/>
                    </w:rPr>
                  </w:pPr>
                </w:p>
              </w:tc>
              <w:tc>
                <w:tcPr>
                  <w:tcW w:w="737" w:type="dxa"/>
                  <w:vMerge w:val="continue"/>
                  <w:tcBorders>
                    <w:tl2br w:val="nil"/>
                    <w:tr2bl w:val="nil"/>
                  </w:tcBorders>
                  <w:noWrap w:val="0"/>
                  <w:vAlign w:val="center"/>
                </w:tcPr>
                <w:p w14:paraId="04C9E8CB">
                  <w:pPr>
                    <w:spacing w:line="240" w:lineRule="auto"/>
                    <w:ind w:firstLine="0" w:firstLineChars="0"/>
                    <w:jc w:val="center"/>
                    <w:rPr>
                      <w:color w:val="auto"/>
                    </w:rPr>
                  </w:pPr>
                </w:p>
              </w:tc>
              <w:tc>
                <w:tcPr>
                  <w:tcW w:w="663" w:type="dxa"/>
                  <w:vMerge w:val="continue"/>
                  <w:tcBorders>
                    <w:tl2br w:val="nil"/>
                    <w:tr2bl w:val="nil"/>
                  </w:tcBorders>
                  <w:noWrap w:val="0"/>
                  <w:vAlign w:val="center"/>
                </w:tcPr>
                <w:p w14:paraId="1F01AE72">
                  <w:pPr>
                    <w:spacing w:line="240" w:lineRule="auto"/>
                    <w:ind w:firstLine="0" w:firstLineChars="0"/>
                    <w:jc w:val="center"/>
                    <w:rPr>
                      <w:color w:val="auto"/>
                    </w:rPr>
                  </w:pPr>
                </w:p>
              </w:tc>
              <w:tc>
                <w:tcPr>
                  <w:tcW w:w="662" w:type="dxa"/>
                  <w:vMerge w:val="continue"/>
                  <w:tcBorders>
                    <w:tl2br w:val="nil"/>
                    <w:tr2bl w:val="nil"/>
                  </w:tcBorders>
                  <w:noWrap w:val="0"/>
                  <w:vAlign w:val="center"/>
                </w:tcPr>
                <w:p w14:paraId="31D7D8D1">
                  <w:pPr>
                    <w:spacing w:line="240" w:lineRule="auto"/>
                    <w:ind w:firstLine="0" w:firstLineChars="0"/>
                    <w:jc w:val="center"/>
                    <w:rPr>
                      <w:color w:val="auto"/>
                    </w:rPr>
                  </w:pPr>
                </w:p>
              </w:tc>
              <w:tc>
                <w:tcPr>
                  <w:tcW w:w="688" w:type="dxa"/>
                  <w:vMerge w:val="continue"/>
                  <w:tcBorders>
                    <w:tl2br w:val="nil"/>
                    <w:tr2bl w:val="nil"/>
                  </w:tcBorders>
                  <w:noWrap w:val="0"/>
                  <w:vAlign w:val="center"/>
                </w:tcPr>
                <w:p w14:paraId="761BDE06">
                  <w:pPr>
                    <w:spacing w:line="240" w:lineRule="auto"/>
                    <w:ind w:firstLine="0" w:firstLineChars="0"/>
                    <w:jc w:val="center"/>
                    <w:rPr>
                      <w:color w:val="auto"/>
                    </w:rPr>
                  </w:pPr>
                </w:p>
              </w:tc>
              <w:tc>
                <w:tcPr>
                  <w:tcW w:w="925" w:type="dxa"/>
                  <w:tcBorders>
                    <w:tl2br w:val="nil"/>
                    <w:tr2bl w:val="nil"/>
                  </w:tcBorders>
                  <w:noWrap w:val="0"/>
                  <w:vAlign w:val="center"/>
                </w:tcPr>
                <w:p w14:paraId="161F6F8E">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动植物油</w:t>
                  </w:r>
                </w:p>
              </w:tc>
              <w:tc>
                <w:tcPr>
                  <w:tcW w:w="1101" w:type="dxa"/>
                  <w:tcBorders>
                    <w:tl2br w:val="nil"/>
                    <w:tr2bl w:val="nil"/>
                  </w:tcBorders>
                  <w:noWrap w:val="0"/>
                  <w:vAlign w:val="center"/>
                </w:tcPr>
                <w:p w14:paraId="5DEA8EB5">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r>
                    <w:rPr>
                      <w:rFonts w:hint="eastAsia"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cs="Times New Roman"/>
                      <w:color w:val="auto"/>
                      <w:sz w:val="21"/>
                      <w:szCs w:val="21"/>
                      <w:highlight w:val="none"/>
                      <w:u w:val="none" w:color="auto"/>
                    </w:rPr>
                    <w:t>mg/L</w:t>
                  </w:r>
                </w:p>
              </w:tc>
            </w:tr>
            <w:tr w14:paraId="126E86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425" w:type="dxa"/>
                  <w:vMerge w:val="continue"/>
                  <w:tcBorders>
                    <w:tl2br w:val="nil"/>
                    <w:tr2bl w:val="nil"/>
                  </w:tcBorders>
                  <w:noWrap w:val="0"/>
                  <w:vAlign w:val="center"/>
                </w:tcPr>
                <w:p w14:paraId="280122D6">
                  <w:pPr>
                    <w:spacing w:line="240" w:lineRule="auto"/>
                    <w:ind w:firstLine="0" w:firstLineChars="0"/>
                    <w:jc w:val="center"/>
                    <w:rPr>
                      <w:color w:val="auto"/>
                    </w:rPr>
                  </w:pPr>
                </w:p>
              </w:tc>
              <w:tc>
                <w:tcPr>
                  <w:tcW w:w="882" w:type="dxa"/>
                  <w:vMerge w:val="continue"/>
                  <w:tcBorders>
                    <w:tl2br w:val="nil"/>
                    <w:tr2bl w:val="nil"/>
                  </w:tcBorders>
                  <w:noWrap w:val="0"/>
                  <w:vAlign w:val="center"/>
                </w:tcPr>
                <w:p w14:paraId="145BBCC8">
                  <w:pPr>
                    <w:spacing w:line="240" w:lineRule="auto"/>
                    <w:ind w:firstLine="0" w:firstLineChars="0"/>
                    <w:jc w:val="center"/>
                    <w:rPr>
                      <w:color w:val="auto"/>
                    </w:rPr>
                  </w:pPr>
                </w:p>
              </w:tc>
              <w:tc>
                <w:tcPr>
                  <w:tcW w:w="842" w:type="dxa"/>
                  <w:vMerge w:val="continue"/>
                  <w:tcBorders>
                    <w:tl2br w:val="nil"/>
                    <w:tr2bl w:val="nil"/>
                  </w:tcBorders>
                  <w:noWrap w:val="0"/>
                  <w:vAlign w:val="center"/>
                </w:tcPr>
                <w:p w14:paraId="32AD4DAF">
                  <w:pPr>
                    <w:spacing w:line="240" w:lineRule="auto"/>
                    <w:ind w:firstLine="0" w:firstLineChars="0"/>
                    <w:jc w:val="center"/>
                    <w:rPr>
                      <w:color w:val="auto"/>
                    </w:rPr>
                  </w:pPr>
                </w:p>
              </w:tc>
              <w:tc>
                <w:tcPr>
                  <w:tcW w:w="775" w:type="dxa"/>
                  <w:vMerge w:val="continue"/>
                  <w:tcBorders>
                    <w:tl2br w:val="nil"/>
                    <w:tr2bl w:val="nil"/>
                  </w:tcBorders>
                  <w:noWrap w:val="0"/>
                  <w:vAlign w:val="center"/>
                </w:tcPr>
                <w:p w14:paraId="6435873C">
                  <w:pPr>
                    <w:spacing w:line="240" w:lineRule="auto"/>
                    <w:ind w:firstLine="0" w:firstLineChars="0"/>
                    <w:jc w:val="center"/>
                    <w:rPr>
                      <w:color w:val="auto"/>
                    </w:rPr>
                  </w:pPr>
                </w:p>
              </w:tc>
              <w:tc>
                <w:tcPr>
                  <w:tcW w:w="913" w:type="dxa"/>
                  <w:vMerge w:val="continue"/>
                  <w:tcBorders>
                    <w:tl2br w:val="nil"/>
                    <w:tr2bl w:val="nil"/>
                  </w:tcBorders>
                  <w:noWrap w:val="0"/>
                  <w:vAlign w:val="center"/>
                </w:tcPr>
                <w:p w14:paraId="69DC53B2">
                  <w:pPr>
                    <w:spacing w:line="240" w:lineRule="auto"/>
                    <w:ind w:firstLine="0" w:firstLineChars="0"/>
                    <w:jc w:val="center"/>
                    <w:rPr>
                      <w:color w:val="auto"/>
                    </w:rPr>
                  </w:pPr>
                </w:p>
              </w:tc>
              <w:tc>
                <w:tcPr>
                  <w:tcW w:w="737" w:type="dxa"/>
                  <w:vMerge w:val="continue"/>
                  <w:tcBorders>
                    <w:tl2br w:val="nil"/>
                    <w:tr2bl w:val="nil"/>
                  </w:tcBorders>
                  <w:noWrap w:val="0"/>
                  <w:vAlign w:val="center"/>
                </w:tcPr>
                <w:p w14:paraId="5BC8758B">
                  <w:pPr>
                    <w:spacing w:line="240" w:lineRule="auto"/>
                    <w:ind w:firstLine="0" w:firstLineChars="0"/>
                    <w:jc w:val="center"/>
                    <w:rPr>
                      <w:color w:val="auto"/>
                    </w:rPr>
                  </w:pPr>
                </w:p>
              </w:tc>
              <w:tc>
                <w:tcPr>
                  <w:tcW w:w="663" w:type="dxa"/>
                  <w:vMerge w:val="continue"/>
                  <w:tcBorders>
                    <w:tl2br w:val="nil"/>
                    <w:tr2bl w:val="nil"/>
                  </w:tcBorders>
                  <w:noWrap w:val="0"/>
                  <w:vAlign w:val="center"/>
                </w:tcPr>
                <w:p w14:paraId="7CDB0E7C">
                  <w:pPr>
                    <w:spacing w:line="240" w:lineRule="auto"/>
                    <w:ind w:firstLine="0" w:firstLineChars="0"/>
                    <w:jc w:val="center"/>
                    <w:rPr>
                      <w:color w:val="auto"/>
                    </w:rPr>
                  </w:pPr>
                </w:p>
              </w:tc>
              <w:tc>
                <w:tcPr>
                  <w:tcW w:w="662" w:type="dxa"/>
                  <w:vMerge w:val="continue"/>
                  <w:tcBorders>
                    <w:tl2br w:val="nil"/>
                    <w:tr2bl w:val="nil"/>
                  </w:tcBorders>
                  <w:noWrap w:val="0"/>
                  <w:vAlign w:val="center"/>
                </w:tcPr>
                <w:p w14:paraId="3BE958D0">
                  <w:pPr>
                    <w:spacing w:line="240" w:lineRule="auto"/>
                    <w:ind w:firstLine="0" w:firstLineChars="0"/>
                    <w:jc w:val="center"/>
                    <w:rPr>
                      <w:color w:val="auto"/>
                    </w:rPr>
                  </w:pPr>
                </w:p>
              </w:tc>
              <w:tc>
                <w:tcPr>
                  <w:tcW w:w="688" w:type="dxa"/>
                  <w:vMerge w:val="continue"/>
                  <w:tcBorders>
                    <w:tl2br w:val="nil"/>
                    <w:tr2bl w:val="nil"/>
                  </w:tcBorders>
                  <w:noWrap w:val="0"/>
                  <w:vAlign w:val="center"/>
                </w:tcPr>
                <w:p w14:paraId="5C5696B5">
                  <w:pPr>
                    <w:spacing w:line="240" w:lineRule="auto"/>
                    <w:ind w:firstLine="0" w:firstLineChars="0"/>
                    <w:jc w:val="center"/>
                    <w:rPr>
                      <w:color w:val="auto"/>
                    </w:rPr>
                  </w:pPr>
                </w:p>
              </w:tc>
              <w:tc>
                <w:tcPr>
                  <w:tcW w:w="925" w:type="dxa"/>
                  <w:tcBorders>
                    <w:tl2br w:val="nil"/>
                    <w:tr2bl w:val="nil"/>
                  </w:tcBorders>
                  <w:noWrap w:val="0"/>
                  <w:vAlign w:val="center"/>
                </w:tcPr>
                <w:p w14:paraId="645A1A8E">
                  <w:pPr>
                    <w:spacing w:line="240" w:lineRule="auto"/>
                    <w:ind w:firstLine="0" w:firstLineChars="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石油类</w:t>
                  </w:r>
                </w:p>
              </w:tc>
              <w:tc>
                <w:tcPr>
                  <w:tcW w:w="1101" w:type="dxa"/>
                  <w:tcBorders>
                    <w:tl2br w:val="nil"/>
                    <w:tr2bl w:val="nil"/>
                  </w:tcBorders>
                  <w:noWrap w:val="0"/>
                  <w:vAlign w:val="center"/>
                </w:tcPr>
                <w:p w14:paraId="02563417">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r>
                    <w:rPr>
                      <w:rFonts w:hint="eastAsia"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cs="Times New Roman"/>
                      <w:color w:val="auto"/>
                      <w:sz w:val="21"/>
                      <w:szCs w:val="21"/>
                      <w:highlight w:val="none"/>
                      <w:u w:val="none" w:color="auto"/>
                    </w:rPr>
                    <w:t>mg/L</w:t>
                  </w:r>
                </w:p>
              </w:tc>
            </w:tr>
            <w:tr w14:paraId="16FC78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425" w:type="dxa"/>
                  <w:vMerge w:val="continue"/>
                  <w:tcBorders>
                    <w:tl2br w:val="nil"/>
                    <w:tr2bl w:val="nil"/>
                  </w:tcBorders>
                  <w:noWrap w:val="0"/>
                  <w:vAlign w:val="center"/>
                </w:tcPr>
                <w:p w14:paraId="2D4349BA">
                  <w:pPr>
                    <w:spacing w:line="240" w:lineRule="auto"/>
                    <w:ind w:firstLine="0" w:firstLineChars="0"/>
                    <w:jc w:val="center"/>
                    <w:rPr>
                      <w:color w:val="auto"/>
                    </w:rPr>
                  </w:pPr>
                </w:p>
              </w:tc>
              <w:tc>
                <w:tcPr>
                  <w:tcW w:w="882" w:type="dxa"/>
                  <w:vMerge w:val="continue"/>
                  <w:tcBorders>
                    <w:tl2br w:val="nil"/>
                    <w:tr2bl w:val="nil"/>
                  </w:tcBorders>
                  <w:noWrap w:val="0"/>
                  <w:vAlign w:val="center"/>
                </w:tcPr>
                <w:p w14:paraId="3DAC8ABC">
                  <w:pPr>
                    <w:spacing w:line="240" w:lineRule="auto"/>
                    <w:ind w:firstLine="0" w:firstLineChars="0"/>
                    <w:jc w:val="center"/>
                    <w:rPr>
                      <w:color w:val="auto"/>
                    </w:rPr>
                  </w:pPr>
                </w:p>
              </w:tc>
              <w:tc>
                <w:tcPr>
                  <w:tcW w:w="842" w:type="dxa"/>
                  <w:vMerge w:val="continue"/>
                  <w:tcBorders>
                    <w:tl2br w:val="nil"/>
                    <w:tr2bl w:val="nil"/>
                  </w:tcBorders>
                  <w:noWrap w:val="0"/>
                  <w:vAlign w:val="center"/>
                </w:tcPr>
                <w:p w14:paraId="0BFF3524">
                  <w:pPr>
                    <w:spacing w:line="240" w:lineRule="auto"/>
                    <w:ind w:firstLine="0" w:firstLineChars="0"/>
                    <w:jc w:val="center"/>
                    <w:rPr>
                      <w:color w:val="auto"/>
                    </w:rPr>
                  </w:pPr>
                </w:p>
              </w:tc>
              <w:tc>
                <w:tcPr>
                  <w:tcW w:w="775" w:type="dxa"/>
                  <w:vMerge w:val="continue"/>
                  <w:tcBorders>
                    <w:tl2br w:val="nil"/>
                    <w:tr2bl w:val="nil"/>
                  </w:tcBorders>
                  <w:noWrap w:val="0"/>
                  <w:vAlign w:val="center"/>
                </w:tcPr>
                <w:p w14:paraId="3386D712">
                  <w:pPr>
                    <w:spacing w:line="240" w:lineRule="auto"/>
                    <w:ind w:firstLine="0" w:firstLineChars="0"/>
                    <w:jc w:val="center"/>
                    <w:rPr>
                      <w:color w:val="auto"/>
                    </w:rPr>
                  </w:pPr>
                </w:p>
              </w:tc>
              <w:tc>
                <w:tcPr>
                  <w:tcW w:w="913" w:type="dxa"/>
                  <w:vMerge w:val="continue"/>
                  <w:tcBorders>
                    <w:tl2br w:val="nil"/>
                    <w:tr2bl w:val="nil"/>
                  </w:tcBorders>
                  <w:noWrap w:val="0"/>
                  <w:vAlign w:val="center"/>
                </w:tcPr>
                <w:p w14:paraId="0709074E">
                  <w:pPr>
                    <w:spacing w:line="240" w:lineRule="auto"/>
                    <w:ind w:firstLine="0" w:firstLineChars="0"/>
                    <w:jc w:val="center"/>
                    <w:rPr>
                      <w:color w:val="auto"/>
                    </w:rPr>
                  </w:pPr>
                </w:p>
              </w:tc>
              <w:tc>
                <w:tcPr>
                  <w:tcW w:w="737" w:type="dxa"/>
                  <w:vMerge w:val="continue"/>
                  <w:tcBorders>
                    <w:tl2br w:val="nil"/>
                    <w:tr2bl w:val="nil"/>
                  </w:tcBorders>
                  <w:noWrap w:val="0"/>
                  <w:vAlign w:val="center"/>
                </w:tcPr>
                <w:p w14:paraId="446DAF85">
                  <w:pPr>
                    <w:spacing w:line="240" w:lineRule="auto"/>
                    <w:ind w:firstLine="0" w:firstLineChars="0"/>
                    <w:jc w:val="center"/>
                    <w:rPr>
                      <w:color w:val="auto"/>
                    </w:rPr>
                  </w:pPr>
                </w:p>
              </w:tc>
              <w:tc>
                <w:tcPr>
                  <w:tcW w:w="663" w:type="dxa"/>
                  <w:vMerge w:val="continue"/>
                  <w:tcBorders>
                    <w:tl2br w:val="nil"/>
                    <w:tr2bl w:val="nil"/>
                  </w:tcBorders>
                  <w:noWrap w:val="0"/>
                  <w:vAlign w:val="center"/>
                </w:tcPr>
                <w:p w14:paraId="16A6ECA2">
                  <w:pPr>
                    <w:spacing w:line="240" w:lineRule="auto"/>
                    <w:ind w:firstLine="0" w:firstLineChars="0"/>
                    <w:jc w:val="center"/>
                    <w:rPr>
                      <w:color w:val="auto"/>
                    </w:rPr>
                  </w:pPr>
                </w:p>
              </w:tc>
              <w:tc>
                <w:tcPr>
                  <w:tcW w:w="662" w:type="dxa"/>
                  <w:vMerge w:val="continue"/>
                  <w:tcBorders>
                    <w:tl2br w:val="nil"/>
                    <w:tr2bl w:val="nil"/>
                  </w:tcBorders>
                  <w:noWrap w:val="0"/>
                  <w:vAlign w:val="center"/>
                </w:tcPr>
                <w:p w14:paraId="2138CE97">
                  <w:pPr>
                    <w:spacing w:line="240" w:lineRule="auto"/>
                    <w:ind w:firstLine="0" w:firstLineChars="0"/>
                    <w:jc w:val="center"/>
                    <w:rPr>
                      <w:color w:val="auto"/>
                    </w:rPr>
                  </w:pPr>
                </w:p>
              </w:tc>
              <w:tc>
                <w:tcPr>
                  <w:tcW w:w="688" w:type="dxa"/>
                  <w:vMerge w:val="continue"/>
                  <w:tcBorders>
                    <w:tl2br w:val="nil"/>
                    <w:tr2bl w:val="nil"/>
                  </w:tcBorders>
                  <w:noWrap w:val="0"/>
                  <w:vAlign w:val="center"/>
                </w:tcPr>
                <w:p w14:paraId="17570FB3">
                  <w:pPr>
                    <w:spacing w:line="240" w:lineRule="auto"/>
                    <w:ind w:firstLine="0" w:firstLineChars="0"/>
                    <w:jc w:val="center"/>
                    <w:rPr>
                      <w:color w:val="auto"/>
                    </w:rPr>
                  </w:pPr>
                </w:p>
              </w:tc>
              <w:tc>
                <w:tcPr>
                  <w:tcW w:w="925" w:type="dxa"/>
                  <w:tcBorders>
                    <w:tl2br w:val="nil"/>
                    <w:tr2bl w:val="nil"/>
                  </w:tcBorders>
                  <w:noWrap w:val="0"/>
                  <w:vAlign w:val="center"/>
                </w:tcPr>
                <w:p w14:paraId="73504CD9">
                  <w:pPr>
                    <w:spacing w:line="240" w:lineRule="auto"/>
                    <w:ind w:firstLine="0" w:firstLineChars="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TP</w:t>
                  </w:r>
                </w:p>
              </w:tc>
              <w:tc>
                <w:tcPr>
                  <w:tcW w:w="1101" w:type="dxa"/>
                  <w:tcBorders>
                    <w:tl2br w:val="nil"/>
                    <w:tr2bl w:val="nil"/>
                  </w:tcBorders>
                  <w:noWrap w:val="0"/>
                  <w:vAlign w:val="center"/>
                </w:tcPr>
                <w:p w14:paraId="7AB992A8">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0.5</w:t>
                  </w:r>
                  <w:r>
                    <w:rPr>
                      <w:rFonts w:hint="eastAsia"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cs="Times New Roman"/>
                      <w:color w:val="auto"/>
                      <w:sz w:val="21"/>
                      <w:szCs w:val="21"/>
                      <w:highlight w:val="none"/>
                      <w:u w:val="none" w:color="auto"/>
                    </w:rPr>
                    <w:t>mg/L</w:t>
                  </w:r>
                </w:p>
              </w:tc>
            </w:tr>
            <w:tr w14:paraId="2EA524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425" w:type="dxa"/>
                  <w:vMerge w:val="continue"/>
                  <w:tcBorders>
                    <w:tl2br w:val="nil"/>
                    <w:tr2bl w:val="nil"/>
                  </w:tcBorders>
                  <w:noWrap w:val="0"/>
                  <w:vAlign w:val="center"/>
                </w:tcPr>
                <w:p w14:paraId="33FFAC5B">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882" w:type="dxa"/>
                  <w:vMerge w:val="continue"/>
                  <w:tcBorders>
                    <w:tl2br w:val="nil"/>
                    <w:tr2bl w:val="nil"/>
                  </w:tcBorders>
                  <w:noWrap w:val="0"/>
                  <w:vAlign w:val="center"/>
                </w:tcPr>
                <w:p w14:paraId="4E2CA815">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842" w:type="dxa"/>
                  <w:vMerge w:val="continue"/>
                  <w:tcBorders>
                    <w:tl2br w:val="nil"/>
                    <w:tr2bl w:val="nil"/>
                  </w:tcBorders>
                  <w:noWrap w:val="0"/>
                  <w:vAlign w:val="center"/>
                </w:tcPr>
                <w:p w14:paraId="3356218C">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775" w:type="dxa"/>
                  <w:vMerge w:val="continue"/>
                  <w:tcBorders>
                    <w:tl2br w:val="nil"/>
                    <w:tr2bl w:val="nil"/>
                  </w:tcBorders>
                  <w:noWrap w:val="0"/>
                  <w:vAlign w:val="center"/>
                </w:tcPr>
                <w:p w14:paraId="1047B028">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913" w:type="dxa"/>
                  <w:vMerge w:val="continue"/>
                  <w:tcBorders>
                    <w:tl2br w:val="nil"/>
                    <w:tr2bl w:val="nil"/>
                  </w:tcBorders>
                  <w:noWrap w:val="0"/>
                  <w:vAlign w:val="center"/>
                </w:tcPr>
                <w:p w14:paraId="25C7BFE8">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737" w:type="dxa"/>
                  <w:vMerge w:val="continue"/>
                  <w:tcBorders>
                    <w:tl2br w:val="nil"/>
                    <w:tr2bl w:val="nil"/>
                  </w:tcBorders>
                  <w:noWrap w:val="0"/>
                  <w:vAlign w:val="center"/>
                </w:tcPr>
                <w:p w14:paraId="793C45B3">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663" w:type="dxa"/>
                  <w:vMerge w:val="continue"/>
                  <w:tcBorders>
                    <w:tl2br w:val="nil"/>
                    <w:tr2bl w:val="nil"/>
                  </w:tcBorders>
                  <w:noWrap w:val="0"/>
                  <w:vAlign w:val="center"/>
                </w:tcPr>
                <w:p w14:paraId="63E3CCFD">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662" w:type="dxa"/>
                  <w:vMerge w:val="continue"/>
                  <w:tcBorders>
                    <w:tl2br w:val="nil"/>
                    <w:tr2bl w:val="nil"/>
                  </w:tcBorders>
                  <w:noWrap w:val="0"/>
                  <w:vAlign w:val="center"/>
                </w:tcPr>
                <w:p w14:paraId="6661D767">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688" w:type="dxa"/>
                  <w:vMerge w:val="continue"/>
                  <w:tcBorders>
                    <w:tl2br w:val="nil"/>
                    <w:tr2bl w:val="nil"/>
                  </w:tcBorders>
                  <w:noWrap w:val="0"/>
                  <w:vAlign w:val="center"/>
                </w:tcPr>
                <w:p w14:paraId="7265BA46">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925" w:type="dxa"/>
                  <w:tcBorders>
                    <w:tl2br w:val="nil"/>
                    <w:tr2bl w:val="nil"/>
                  </w:tcBorders>
                  <w:noWrap w:val="0"/>
                  <w:vAlign w:val="center"/>
                </w:tcPr>
                <w:p w14:paraId="168BB0EF">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TN</w:t>
                  </w:r>
                </w:p>
              </w:tc>
              <w:tc>
                <w:tcPr>
                  <w:tcW w:w="1101" w:type="dxa"/>
                  <w:tcBorders>
                    <w:tl2br w:val="nil"/>
                    <w:tr2bl w:val="nil"/>
                  </w:tcBorders>
                  <w:noWrap w:val="0"/>
                  <w:vAlign w:val="center"/>
                </w:tcPr>
                <w:p w14:paraId="55D2E9AA">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15</w:t>
                  </w:r>
                  <w:r>
                    <w:rPr>
                      <w:rFonts w:hint="eastAsia"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cs="Times New Roman"/>
                      <w:color w:val="auto"/>
                      <w:sz w:val="21"/>
                      <w:szCs w:val="21"/>
                      <w:highlight w:val="none"/>
                      <w:u w:val="none" w:color="auto"/>
                    </w:rPr>
                    <w:t>mg/L</w:t>
                  </w:r>
                </w:p>
              </w:tc>
            </w:tr>
            <w:tr w14:paraId="01D4D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trPr>
              <w:tc>
                <w:tcPr>
                  <w:tcW w:w="8613" w:type="dxa"/>
                  <w:gridSpan w:val="11"/>
                  <w:tcBorders>
                    <w:tl2br w:val="nil"/>
                    <w:tr2bl w:val="nil"/>
                  </w:tcBorders>
                  <w:noWrap w:val="0"/>
                  <w:vAlign w:val="center"/>
                </w:tcPr>
                <w:p w14:paraId="00BC86B5">
                  <w:pPr>
                    <w:spacing w:line="240" w:lineRule="auto"/>
                    <w:ind w:firstLine="0" w:firstLineChars="0"/>
                    <w:jc w:val="left"/>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注：</w:t>
                  </w:r>
                  <w:r>
                    <w:rPr>
                      <w:rFonts w:hint="eastAsia" w:cs="Times New Roman"/>
                      <w:bCs/>
                      <w:color w:val="auto"/>
                      <w:sz w:val="21"/>
                      <w:szCs w:val="21"/>
                      <w:highlight w:val="none"/>
                      <w:u w:val="none" w:color="auto"/>
                      <w:lang w:val="en-US" w:eastAsia="zh-CN"/>
                    </w:rPr>
                    <w:t>卢峰镇污水处理厂</w:t>
                  </w:r>
                  <w:r>
                    <w:rPr>
                      <w:rFonts w:hint="eastAsia" w:ascii="Times New Roman" w:hAnsi="Times New Roman" w:eastAsia="宋体" w:cs="Times New Roman"/>
                      <w:color w:val="auto"/>
                      <w:sz w:val="21"/>
                      <w:szCs w:val="21"/>
                      <w:highlight w:val="none"/>
                      <w:u w:val="none" w:color="auto"/>
                      <w:lang w:val="en-US" w:eastAsia="zh-CN"/>
                    </w:rPr>
                    <w:t>排放浓度</w:t>
                  </w:r>
                  <w:r>
                    <w:rPr>
                      <w:rFonts w:hint="default" w:ascii="Times New Roman" w:hAnsi="Times New Roman" w:eastAsia="宋体" w:cs="Times New Roman"/>
                      <w:color w:val="auto"/>
                      <w:sz w:val="21"/>
                      <w:szCs w:val="21"/>
                      <w:highlight w:val="none"/>
                      <w:u w:val="none" w:color="auto"/>
                      <w:lang w:val="en-US" w:eastAsia="zh-CN"/>
                    </w:rPr>
                    <w:t>执行</w:t>
                  </w:r>
                  <w:r>
                    <w:rPr>
                      <w:rFonts w:hint="eastAsia" w:ascii="Times New Roman" w:hAnsi="Times New Roman" w:eastAsia="宋体" w:cs="Times New Roman"/>
                      <w:snapToGrid/>
                      <w:color w:val="auto"/>
                      <w:sz w:val="21"/>
                      <w:szCs w:val="21"/>
                      <w:highlight w:val="none"/>
                      <w:u w:val="none" w:color="auto"/>
                    </w:rPr>
                    <w:t>《城镇污水处理厂污染物排放标准》（GB</w:t>
                  </w:r>
                  <w:r>
                    <w:rPr>
                      <w:rFonts w:hint="eastAsia" w:ascii="Times New Roman" w:hAnsi="Times New Roman" w:eastAsia="宋体" w:cs="Times New Roman"/>
                      <w:snapToGrid/>
                      <w:color w:val="auto"/>
                      <w:sz w:val="21"/>
                      <w:szCs w:val="21"/>
                      <w:highlight w:val="none"/>
                      <w:u w:val="none" w:color="auto"/>
                      <w:lang w:val="en-US" w:eastAsia="zh-CN"/>
                    </w:rPr>
                    <w:t xml:space="preserve"> </w:t>
                  </w:r>
                  <w:r>
                    <w:rPr>
                      <w:rFonts w:hint="eastAsia" w:ascii="Times New Roman" w:hAnsi="Times New Roman" w:eastAsia="宋体" w:cs="Times New Roman"/>
                      <w:snapToGrid/>
                      <w:color w:val="auto"/>
                      <w:sz w:val="21"/>
                      <w:szCs w:val="21"/>
                      <w:highlight w:val="none"/>
                      <w:u w:val="none" w:color="auto"/>
                    </w:rPr>
                    <w:t>18918-2002）表1中的一级A标准</w:t>
                  </w:r>
                  <w:r>
                    <w:rPr>
                      <w:rFonts w:hint="eastAsia" w:ascii="Times New Roman" w:hAnsi="Times New Roman" w:eastAsia="宋体" w:cs="Times New Roman"/>
                      <w:color w:val="auto"/>
                      <w:sz w:val="21"/>
                      <w:szCs w:val="21"/>
                      <w:highlight w:val="none"/>
                      <w:u w:val="none" w:color="auto"/>
                      <w:lang w:val="en-US" w:eastAsia="zh-CN"/>
                    </w:rPr>
                    <w:t>。</w:t>
                  </w:r>
                </w:p>
              </w:tc>
            </w:tr>
          </w:tbl>
          <w:p w14:paraId="0EB75298">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eastAsia="黑体" w:cs="Times New Roman"/>
                <w:b/>
                <w:bCs/>
                <w:color w:val="auto"/>
                <w:u w:val="none" w:color="auto"/>
                <w:lang w:val="en-US" w:eastAsia="zh-CN"/>
              </w:rPr>
              <w:t>4.</w:t>
            </w:r>
            <w:r>
              <w:rPr>
                <w:rFonts w:hint="eastAsia" w:eastAsia="黑体" w:cs="Times New Roman"/>
                <w:b/>
                <w:bCs/>
                <w:color w:val="auto"/>
                <w:u w:val="none" w:color="auto"/>
                <w:lang w:val="en-US" w:eastAsia="zh-CN"/>
              </w:rPr>
              <w:t>7</w:t>
            </w:r>
            <w:r>
              <w:rPr>
                <w:rFonts w:hint="default" w:ascii="Times New Roman" w:hAnsi="Times New Roman" w:eastAsia="黑体" w:cs="Times New Roman"/>
                <w:b/>
                <w:bCs/>
                <w:color w:val="auto"/>
                <w:u w:val="none" w:color="auto"/>
                <w:lang w:val="en-US" w:eastAsia="zh-CN"/>
              </w:rPr>
              <w:t>.3 监测计划</w:t>
            </w:r>
          </w:p>
          <w:p w14:paraId="4880CD34">
            <w:pPr>
              <w:widowControl/>
              <w:bidi w:val="0"/>
              <w:jc w:val="left"/>
              <w:rPr>
                <w:rFonts w:hint="default" w:ascii="Times New Roman" w:hAnsi="Times New Roman" w:cs="Times New Roman"/>
                <w:color w:val="auto"/>
                <w:u w:val="none" w:color="auto"/>
                <w:lang w:val="en-US" w:eastAsia="zh-CN"/>
              </w:rPr>
            </w:pPr>
            <w:r>
              <w:rPr>
                <w:rFonts w:hint="default" w:ascii="Times New Roman" w:hAnsi="Times New Roman" w:cs="Times New Roman"/>
                <w:color w:val="auto"/>
                <w:sz w:val="24"/>
                <w:szCs w:val="24"/>
                <w:u w:val="none" w:color="auto"/>
                <w:lang w:val="en-US" w:eastAsia="zh-CN"/>
              </w:rPr>
              <w:t>根</w:t>
            </w:r>
            <w:r>
              <w:rPr>
                <w:rFonts w:hint="default" w:ascii="Times New Roman" w:hAnsi="Times New Roman" w:eastAsia="宋体" w:cs="Times New Roman"/>
                <w:color w:val="auto"/>
                <w:u w:val="none" w:color="auto"/>
                <w:lang w:val="en-US" w:eastAsia="zh-CN"/>
              </w:rPr>
              <w:t>据</w:t>
            </w:r>
            <w:r>
              <w:rPr>
                <w:rFonts w:hint="eastAsia" w:ascii="Times New Roman" w:hAnsi="Times New Roman" w:eastAsia="宋体" w:cs="Times New Roman"/>
                <w:color w:val="auto"/>
                <w:u w:val="none" w:color="auto"/>
                <w:lang w:val="en-US" w:eastAsia="zh-CN"/>
              </w:rPr>
              <w:t>《排污单位自行监测技术指南</w:t>
            </w:r>
            <w:r>
              <w:rPr>
                <w:rFonts w:hint="eastAsia" w:cs="Times New Roman"/>
                <w:color w:val="auto"/>
                <w:u w:val="none" w:color="auto"/>
                <w:lang w:val="en-US" w:eastAsia="zh-CN"/>
              </w:rPr>
              <w:t xml:space="preserve"> </w:t>
            </w:r>
            <w:r>
              <w:rPr>
                <w:rFonts w:hint="eastAsia" w:ascii="Times New Roman" w:hAnsi="Times New Roman" w:eastAsia="宋体" w:cs="Times New Roman"/>
                <w:color w:val="auto"/>
                <w:u w:val="none" w:color="auto"/>
                <w:lang w:val="en-US" w:eastAsia="zh-CN"/>
              </w:rPr>
              <w:t>总则》（HJ 819-2017）、《排污许可证申请与核发技术规范</w:t>
            </w:r>
            <w:r>
              <w:rPr>
                <w:rFonts w:hint="eastAsia" w:cs="Times New Roman"/>
                <w:color w:val="auto"/>
                <w:u w:val="none" w:color="auto"/>
                <w:lang w:val="en-US" w:eastAsia="zh-CN"/>
              </w:rPr>
              <w:t xml:space="preserve"> </w:t>
            </w:r>
            <w:r>
              <w:rPr>
                <w:rFonts w:hint="eastAsia" w:ascii="Times New Roman" w:hAnsi="Times New Roman" w:eastAsia="宋体" w:cs="Times New Roman"/>
                <w:color w:val="auto"/>
                <w:u w:val="none" w:color="auto"/>
                <w:lang w:val="en-US" w:eastAsia="zh-CN"/>
              </w:rPr>
              <w:t>总则》（HJ</w:t>
            </w:r>
            <w:r>
              <w:rPr>
                <w:rFonts w:hint="eastAsia" w:cs="Times New Roman"/>
                <w:color w:val="auto"/>
                <w:u w:val="none" w:color="auto"/>
                <w:lang w:val="en-US" w:eastAsia="zh-CN"/>
              </w:rPr>
              <w:t xml:space="preserve"> </w:t>
            </w:r>
            <w:r>
              <w:rPr>
                <w:rFonts w:hint="eastAsia" w:ascii="Times New Roman" w:hAnsi="Times New Roman" w:eastAsia="宋体" w:cs="Times New Roman"/>
                <w:color w:val="auto"/>
                <w:u w:val="none" w:color="auto"/>
                <w:lang w:val="en-US" w:eastAsia="zh-CN"/>
              </w:rPr>
              <w:t>942-2018）</w:t>
            </w:r>
            <w:r>
              <w:rPr>
                <w:rFonts w:hint="eastAsia" w:cs="Times New Roman"/>
                <w:color w:val="auto"/>
                <w:u w:val="none" w:color="auto"/>
                <w:lang w:val="en-US" w:eastAsia="zh-CN"/>
              </w:rPr>
              <w:t>、</w:t>
            </w:r>
            <w:r>
              <w:rPr>
                <w:rFonts w:hint="eastAsia"/>
                <w:color w:val="auto"/>
                <w:sz w:val="24"/>
                <w:szCs w:val="24"/>
              </w:rPr>
              <w:t>《排污许可证申请与核发技术规范 农副食品加工工业—屠宰及肉类加工工业》</w:t>
            </w:r>
            <w:r>
              <w:rPr>
                <w:rFonts w:hint="eastAsia"/>
                <w:color w:val="auto"/>
                <w:sz w:val="24"/>
                <w:szCs w:val="24"/>
                <w:lang w:eastAsia="zh-CN"/>
              </w:rPr>
              <w:t>（</w:t>
            </w:r>
            <w:r>
              <w:rPr>
                <w:rFonts w:hint="eastAsia"/>
                <w:color w:val="auto"/>
                <w:sz w:val="24"/>
                <w:szCs w:val="24"/>
              </w:rPr>
              <w:t>HJ</w:t>
            </w:r>
            <w:r>
              <w:rPr>
                <w:rFonts w:hint="eastAsia"/>
                <w:color w:val="auto"/>
                <w:sz w:val="24"/>
                <w:szCs w:val="24"/>
                <w:lang w:val="en-US" w:eastAsia="zh-CN"/>
              </w:rPr>
              <w:t xml:space="preserve"> </w:t>
            </w:r>
            <w:r>
              <w:rPr>
                <w:rFonts w:hint="eastAsia"/>
                <w:color w:val="auto"/>
                <w:sz w:val="24"/>
                <w:szCs w:val="24"/>
              </w:rPr>
              <w:t>860.3-2018</w:t>
            </w:r>
            <w:r>
              <w:rPr>
                <w:rFonts w:hint="eastAsia"/>
                <w:color w:val="auto"/>
                <w:sz w:val="24"/>
                <w:szCs w:val="24"/>
                <w:lang w:eastAsia="zh-CN"/>
              </w:rPr>
              <w:t>）、</w:t>
            </w:r>
            <w:r>
              <w:rPr>
                <w:rFonts w:hint="eastAsia" w:ascii="Times New Roman" w:hAnsi="Times New Roman" w:eastAsia="宋体" w:cstheme="minorBidi"/>
                <w:color w:val="auto"/>
                <w:kern w:val="2"/>
                <w:sz w:val="24"/>
                <w:szCs w:val="24"/>
                <w:lang w:val="en-US" w:eastAsia="zh-CN" w:bidi="ar"/>
              </w:rPr>
              <w:t>《排污单位自行监测技术指南</w:t>
            </w:r>
            <w:r>
              <w:rPr>
                <w:rFonts w:hint="eastAsia" w:cstheme="minorBidi"/>
                <w:color w:val="auto"/>
                <w:kern w:val="2"/>
                <w:sz w:val="24"/>
                <w:szCs w:val="24"/>
                <w:lang w:val="en-US" w:eastAsia="zh-CN" w:bidi="ar"/>
              </w:rPr>
              <w:t xml:space="preserve"> </w:t>
            </w:r>
            <w:r>
              <w:rPr>
                <w:rFonts w:hint="eastAsia" w:ascii="Times New Roman" w:hAnsi="Times New Roman" w:eastAsia="宋体" w:cstheme="minorBidi"/>
                <w:color w:val="auto"/>
                <w:kern w:val="2"/>
                <w:sz w:val="24"/>
                <w:szCs w:val="24"/>
                <w:lang w:val="en-US" w:eastAsia="zh-CN" w:bidi="ar"/>
              </w:rPr>
              <w:t>农副食品加工业》</w:t>
            </w:r>
            <w:r>
              <w:rPr>
                <w:rFonts w:hint="eastAsia" w:cstheme="minorBidi"/>
                <w:color w:val="auto"/>
                <w:kern w:val="2"/>
                <w:sz w:val="24"/>
                <w:szCs w:val="24"/>
                <w:lang w:val="en-US" w:eastAsia="zh-CN" w:bidi="ar"/>
              </w:rPr>
              <w:t>（</w:t>
            </w:r>
            <w:r>
              <w:rPr>
                <w:rFonts w:hint="eastAsia" w:ascii="Times New Roman" w:hAnsi="Times New Roman" w:eastAsia="宋体" w:cstheme="minorBidi"/>
                <w:color w:val="auto"/>
                <w:kern w:val="2"/>
                <w:sz w:val="24"/>
                <w:szCs w:val="24"/>
                <w:lang w:val="en-US" w:eastAsia="zh-CN" w:bidi="ar"/>
              </w:rPr>
              <w:t>HJ 986-2018</w:t>
            </w:r>
            <w:r>
              <w:rPr>
                <w:rFonts w:hint="eastAsia" w:cstheme="minorBidi"/>
                <w:color w:val="auto"/>
                <w:kern w:val="2"/>
                <w:sz w:val="24"/>
                <w:szCs w:val="24"/>
                <w:lang w:val="en-US" w:eastAsia="zh-CN" w:bidi="ar"/>
              </w:rPr>
              <w:t>）</w:t>
            </w:r>
            <w:r>
              <w:rPr>
                <w:rFonts w:hint="default" w:ascii="Times New Roman" w:hAnsi="Times New Roman" w:eastAsia="宋体" w:cs="Times New Roman"/>
                <w:color w:val="auto"/>
                <w:u w:val="none" w:color="auto"/>
                <w:lang w:val="en-US" w:eastAsia="zh-CN"/>
              </w:rPr>
              <w:t>，</w:t>
            </w:r>
            <w:r>
              <w:rPr>
                <w:rFonts w:hint="default" w:ascii="Times New Roman" w:hAnsi="Times New Roman" w:cs="Times New Roman"/>
                <w:color w:val="auto"/>
                <w:u w:val="none" w:color="auto"/>
                <w:lang w:val="en-US" w:eastAsia="zh-CN"/>
              </w:rPr>
              <w:t>结合项目所在地环境特征，本项目运营期废水监测计划见下表。</w:t>
            </w:r>
          </w:p>
          <w:p w14:paraId="590C3FA7">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7-14</w:t>
            </w:r>
            <w:r>
              <w:rPr>
                <w:rFonts w:hint="default" w:ascii="Times New Roman" w:hAnsi="Times New Roman" w:cs="Times New Roman"/>
                <w:color w:val="auto"/>
                <w:u w:val="none" w:color="auto"/>
                <w:lang w:val="en-US" w:eastAsia="zh-CN"/>
              </w:rPr>
              <w:t xml:space="preserve"> 自行监测计划一览表</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88"/>
              <w:gridCol w:w="2239"/>
              <w:gridCol w:w="3502"/>
              <w:gridCol w:w="1108"/>
            </w:tblGrid>
            <w:tr w14:paraId="2ABB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03" w:type="pct"/>
                  <w:noWrap w:val="0"/>
                  <w:vAlign w:val="center"/>
                </w:tcPr>
                <w:p w14:paraId="73C0E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类别</w:t>
                  </w:r>
                </w:p>
              </w:tc>
              <w:tc>
                <w:tcPr>
                  <w:tcW w:w="630" w:type="pct"/>
                  <w:noWrap w:val="0"/>
                  <w:vAlign w:val="center"/>
                </w:tcPr>
                <w:p w14:paraId="367AE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监测点位</w:t>
                  </w:r>
                </w:p>
              </w:tc>
              <w:tc>
                <w:tcPr>
                  <w:tcW w:w="1297" w:type="pct"/>
                  <w:noWrap w:val="0"/>
                  <w:vAlign w:val="center"/>
                </w:tcPr>
                <w:p w14:paraId="4E52D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监测因子</w:t>
                  </w:r>
                </w:p>
              </w:tc>
              <w:tc>
                <w:tcPr>
                  <w:tcW w:w="2028" w:type="pct"/>
                  <w:noWrap w:val="0"/>
                  <w:vAlign w:val="center"/>
                </w:tcPr>
                <w:p w14:paraId="567956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执行标准</w:t>
                  </w:r>
                </w:p>
              </w:tc>
              <w:tc>
                <w:tcPr>
                  <w:tcW w:w="639" w:type="pct"/>
                  <w:noWrap w:val="0"/>
                  <w:vAlign w:val="center"/>
                </w:tcPr>
                <w:p w14:paraId="3C532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监测频次</w:t>
                  </w:r>
                </w:p>
              </w:tc>
            </w:tr>
            <w:tr w14:paraId="4F04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03" w:type="pct"/>
                  <w:noWrap w:val="0"/>
                  <w:vAlign w:val="center"/>
                </w:tcPr>
                <w:p w14:paraId="1744E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废水</w:t>
                  </w:r>
                </w:p>
              </w:tc>
              <w:tc>
                <w:tcPr>
                  <w:tcW w:w="630" w:type="pct"/>
                  <w:noWrap w:val="0"/>
                  <w:vAlign w:val="center"/>
                </w:tcPr>
                <w:p w14:paraId="3DD7A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废水排放口</w:t>
                  </w:r>
                </w:p>
              </w:tc>
              <w:tc>
                <w:tcPr>
                  <w:tcW w:w="1297" w:type="pct"/>
                  <w:noWrap w:val="0"/>
                  <w:vAlign w:val="center"/>
                </w:tcPr>
                <w:p w14:paraId="695BD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cs="Times New Roman"/>
                      <w:color w:val="auto"/>
                      <w:sz w:val="21"/>
                      <w:szCs w:val="21"/>
                      <w:u w:val="none" w:color="auto"/>
                    </w:rPr>
                    <w:t>流量、pH值、化学需氧量、氨氮、总氮、总磷、悬浮物、五日生化需氧量、动植物油、大肠菌群数、阴离子表面活性剂</w:t>
                  </w:r>
                  <w:r>
                    <w:rPr>
                      <w:rFonts w:hint="eastAsia" w:cs="Times New Roman"/>
                      <w:color w:val="auto"/>
                      <w:sz w:val="21"/>
                      <w:szCs w:val="21"/>
                      <w:u w:val="none" w:color="auto"/>
                      <w:lang w:eastAsia="zh-CN"/>
                    </w:rPr>
                    <w:t>、</w:t>
                  </w:r>
                  <w:r>
                    <w:rPr>
                      <w:rFonts w:hint="eastAsia" w:cs="Times New Roman"/>
                      <w:color w:val="auto"/>
                      <w:sz w:val="21"/>
                      <w:szCs w:val="21"/>
                      <w:u w:val="none" w:color="auto"/>
                      <w:lang w:val="en-US" w:eastAsia="zh-CN"/>
                    </w:rPr>
                    <w:t>石油类</w:t>
                  </w:r>
                </w:p>
              </w:tc>
              <w:tc>
                <w:tcPr>
                  <w:tcW w:w="2028" w:type="pct"/>
                  <w:noWrap w:val="0"/>
                  <w:vAlign w:val="center"/>
                </w:tcPr>
                <w:p w14:paraId="159EB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《肉类加工工业水污染物排放标准》</w:t>
                  </w:r>
                  <w:r>
                    <w:rPr>
                      <w:rFonts w:hint="default" w:ascii="Times New Roman" w:hAnsi="Times New Roman" w:cs="Times New Roman"/>
                      <w:color w:val="auto"/>
                      <w:sz w:val="21"/>
                      <w:szCs w:val="21"/>
                      <w:u w:val="none" w:color="auto"/>
                      <w:lang w:eastAsia="zh-CN"/>
                    </w:rPr>
                    <w:t>（GB</w:t>
                  </w:r>
                  <w:r>
                    <w:rPr>
                      <w:rFonts w:hint="default" w:ascii="Times New Roman" w:hAnsi="Times New Roman" w:cs="Times New Roman"/>
                      <w:color w:val="auto"/>
                      <w:sz w:val="21"/>
                      <w:szCs w:val="21"/>
                      <w:u w:val="none" w:color="auto"/>
                      <w:lang w:val="en-US" w:eastAsia="zh-CN"/>
                    </w:rPr>
                    <w:t xml:space="preserve"> </w:t>
                  </w:r>
                  <w:r>
                    <w:rPr>
                      <w:rFonts w:hint="default" w:ascii="Times New Roman" w:hAnsi="Times New Roman" w:cs="Times New Roman"/>
                      <w:color w:val="auto"/>
                      <w:sz w:val="21"/>
                      <w:szCs w:val="21"/>
                      <w:u w:val="none" w:color="auto"/>
                      <w:lang w:eastAsia="zh-CN"/>
                    </w:rPr>
                    <w:t>13457-92）</w:t>
                  </w:r>
                  <w:r>
                    <w:rPr>
                      <w:rFonts w:hint="default" w:ascii="Times New Roman" w:hAnsi="Times New Roman" w:cs="Times New Roman"/>
                      <w:color w:val="auto"/>
                      <w:sz w:val="21"/>
                      <w:szCs w:val="21"/>
                      <w:u w:val="none" w:color="auto"/>
                    </w:rPr>
                    <w:t>表3</w:t>
                  </w:r>
                  <w:r>
                    <w:rPr>
                      <w:rFonts w:hint="default" w:ascii="Times New Roman" w:hAnsi="Times New Roman" w:cs="Times New Roman"/>
                      <w:color w:val="auto"/>
                      <w:sz w:val="21"/>
                      <w:szCs w:val="21"/>
                      <w:u w:val="none" w:color="auto"/>
                      <w:lang w:val="en-US" w:eastAsia="zh-CN"/>
                    </w:rPr>
                    <w:t>禽</w:t>
                  </w:r>
                  <w:r>
                    <w:rPr>
                      <w:rFonts w:hint="default" w:ascii="Times New Roman" w:hAnsi="Times New Roman" w:cs="Times New Roman"/>
                      <w:color w:val="auto"/>
                      <w:sz w:val="21"/>
                      <w:szCs w:val="21"/>
                      <w:u w:val="none" w:color="auto"/>
                    </w:rPr>
                    <w:t>类屠宰加工的三级标准</w:t>
                  </w:r>
                  <w:r>
                    <w:rPr>
                      <w:rFonts w:hint="default" w:ascii="Times New Roman" w:hAnsi="Times New Roman" w:cs="Times New Roman"/>
                      <w:color w:val="auto"/>
                      <w:sz w:val="21"/>
                      <w:szCs w:val="21"/>
                      <w:u w:val="none" w:color="auto"/>
                      <w:vertAlign w:val="baseline"/>
                      <w:lang w:val="en-US" w:eastAsia="zh-CN"/>
                    </w:rPr>
                    <w:t>（氨氮、总氮、总磷执行《污水排入城镇下水道水质标准》（GB/T 31962-2015）B级</w:t>
                  </w:r>
                  <w:r>
                    <w:rPr>
                      <w:rFonts w:hint="default" w:ascii="Times New Roman" w:hAnsi="Times New Roman" w:eastAsia="宋体" w:cs="Times New Roman"/>
                      <w:color w:val="auto"/>
                      <w:sz w:val="21"/>
                      <w:szCs w:val="21"/>
                      <w:u w:val="none" w:color="auto"/>
                      <w:vertAlign w:val="baseline"/>
                      <w:lang w:val="en-US" w:eastAsia="zh-CN"/>
                    </w:rPr>
                    <w:t>排放标准</w:t>
                  </w:r>
                  <w:r>
                    <w:rPr>
                      <w:rFonts w:hint="default" w:ascii="Times New Roman" w:hAnsi="Times New Roman" w:cs="Times New Roman"/>
                      <w:color w:val="auto"/>
                      <w:sz w:val="21"/>
                      <w:szCs w:val="21"/>
                      <w:u w:val="none" w:color="auto"/>
                      <w:vertAlign w:val="baseline"/>
                      <w:lang w:val="en-US" w:eastAsia="zh-CN"/>
                    </w:rPr>
                    <w:t>、石油类执行</w:t>
                  </w:r>
                  <w:r>
                    <w:rPr>
                      <w:rFonts w:hint="default" w:ascii="Times New Roman" w:hAnsi="Times New Roman" w:cs="Times New Roman"/>
                      <w:color w:val="auto"/>
                      <w:sz w:val="21"/>
                      <w:szCs w:val="21"/>
                      <w:u w:val="none" w:color="auto"/>
                      <w:lang w:val="en-US" w:eastAsia="zh-CN"/>
                    </w:rPr>
                    <w:t>《污水综合排放标准》（GB 8978-1996）表4中三级标准</w:t>
                  </w:r>
                  <w:r>
                    <w:rPr>
                      <w:rFonts w:hint="default" w:ascii="Times New Roman" w:hAnsi="Times New Roman" w:cs="Times New Roman"/>
                      <w:color w:val="auto"/>
                      <w:sz w:val="21"/>
                      <w:szCs w:val="21"/>
                      <w:u w:val="none" w:color="auto"/>
                      <w:vertAlign w:val="baseline"/>
                      <w:lang w:val="en-US" w:eastAsia="zh-CN"/>
                    </w:rPr>
                    <w:t>）</w:t>
                  </w:r>
                </w:p>
              </w:tc>
              <w:tc>
                <w:tcPr>
                  <w:tcW w:w="639" w:type="pct"/>
                  <w:noWrap w:val="0"/>
                  <w:vAlign w:val="center"/>
                </w:tcPr>
                <w:p w14:paraId="4FA1F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半年</w:t>
                  </w:r>
                  <w:r>
                    <w:rPr>
                      <w:rFonts w:hint="default" w:ascii="Times New Roman" w:hAnsi="Times New Roman" w:cs="Times New Roman"/>
                      <w:color w:val="auto"/>
                      <w:sz w:val="21"/>
                      <w:szCs w:val="21"/>
                      <w:u w:val="none" w:color="auto"/>
                      <w:lang w:val="en-US" w:eastAsia="zh-CN"/>
                    </w:rPr>
                    <w:t>/次</w:t>
                  </w:r>
                </w:p>
              </w:tc>
            </w:tr>
            <w:tr w14:paraId="1623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000" w:type="pct"/>
                  <w:gridSpan w:val="5"/>
                  <w:noWrap w:val="0"/>
                  <w:vAlign w:val="center"/>
                </w:tcPr>
                <w:p w14:paraId="3A796DC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注：根据《屠宰及肉类加工工业水污染物排放标准》（GB 13457-2025）中4.1的要求，企业自2028年1月1日后的例行监测，其污染物排放标准应执行《屠宰及肉类加工工业水污染物排放标准》（GB 13457-2025）中表1的相关限值。</w:t>
                  </w:r>
                </w:p>
              </w:tc>
            </w:tr>
          </w:tbl>
          <w:p w14:paraId="6B991629">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8</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运营期噪声</w:t>
            </w:r>
          </w:p>
          <w:p w14:paraId="03167200">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8</w:t>
            </w:r>
            <w:r>
              <w:rPr>
                <w:rFonts w:hint="default" w:ascii="Times New Roman" w:hAnsi="Times New Roman" w:cs="Times New Roman"/>
                <w:b/>
                <w:bCs/>
                <w:color w:val="auto"/>
                <w:u w:val="none" w:color="auto"/>
                <w:lang w:val="en-US" w:eastAsia="zh-CN"/>
              </w:rPr>
              <w:t xml:space="preserve">.1 </w:t>
            </w:r>
            <w:r>
              <w:rPr>
                <w:rFonts w:hint="default" w:ascii="Times New Roman" w:hAnsi="Times New Roman" w:eastAsia="黑体" w:cs="Times New Roman"/>
                <w:b/>
                <w:bCs/>
                <w:color w:val="auto"/>
                <w:u w:val="none" w:color="auto"/>
                <w:lang w:val="en-US" w:eastAsia="zh-CN"/>
              </w:rPr>
              <w:t>噪声源强</w:t>
            </w:r>
          </w:p>
          <w:p w14:paraId="3C9A671A">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w:t>
            </w:r>
            <w:r>
              <w:rPr>
                <w:rFonts w:hint="eastAsia" w:cs="Times New Roman"/>
                <w:color w:val="auto"/>
                <w:u w:val="none" w:color="auto"/>
                <w:lang w:val="en-US" w:eastAsia="zh-CN"/>
              </w:rPr>
              <w:t>新增</w:t>
            </w:r>
            <w:r>
              <w:rPr>
                <w:rFonts w:hint="default" w:ascii="Times New Roman" w:hAnsi="Times New Roman" w:cs="Times New Roman"/>
                <w:color w:val="auto"/>
                <w:u w:val="none" w:color="auto"/>
                <w:lang w:val="en-US" w:eastAsia="zh-CN"/>
              </w:rPr>
              <w:t>噪声污染源主要为</w:t>
            </w:r>
            <w:r>
              <w:rPr>
                <w:rFonts w:hint="eastAsia" w:cs="Times New Roman"/>
                <w:color w:val="auto"/>
                <w:u w:val="none" w:color="auto"/>
                <w:lang w:val="en-US" w:eastAsia="zh-CN"/>
              </w:rPr>
              <w:t>畜类脱毛机、禽类脱毛机、高压清洗器、切割机以及污水处理站压滤机、水泵等设备</w:t>
            </w:r>
            <w:r>
              <w:rPr>
                <w:rFonts w:hint="default" w:ascii="Times New Roman" w:hAnsi="Times New Roman" w:cs="Times New Roman"/>
                <w:color w:val="auto"/>
                <w:u w:val="none" w:color="auto"/>
                <w:lang w:val="en-US" w:eastAsia="zh-CN"/>
              </w:rPr>
              <w:t>噪声</w:t>
            </w:r>
            <w:r>
              <w:rPr>
                <w:rFonts w:hint="eastAsia" w:cs="Times New Roman"/>
                <w:color w:val="auto"/>
                <w:u w:val="none" w:color="auto"/>
                <w:lang w:val="en-US" w:eastAsia="zh-CN"/>
              </w:rPr>
              <w:t>以及肉牛、生猪、肉鸡、肉鸭、肉鹅的偶发叫声，</w:t>
            </w:r>
            <w:r>
              <w:rPr>
                <w:rFonts w:hint="default" w:ascii="Times New Roman" w:hAnsi="Times New Roman" w:cs="Times New Roman"/>
                <w:color w:val="auto"/>
                <w:u w:val="none" w:color="auto"/>
                <w:lang w:val="en-US" w:eastAsia="zh-CN"/>
              </w:rPr>
              <w:t>本项目噪声源强详见下表。</w:t>
            </w:r>
          </w:p>
          <w:p w14:paraId="584187B5">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8</w:t>
            </w:r>
            <w:r>
              <w:rPr>
                <w:rFonts w:hint="default" w:ascii="Times New Roman" w:hAnsi="Times New Roman" w:cs="Times New Roman"/>
                <w:color w:val="auto"/>
                <w:u w:val="none" w:color="auto"/>
                <w:lang w:val="en-US" w:eastAsia="zh-CN"/>
              </w:rPr>
              <w:t>-1 项目设备噪声一览表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983"/>
              <w:gridCol w:w="930"/>
              <w:gridCol w:w="854"/>
              <w:gridCol w:w="1445"/>
              <w:gridCol w:w="733"/>
              <w:gridCol w:w="772"/>
              <w:gridCol w:w="821"/>
              <w:gridCol w:w="638"/>
            </w:tblGrid>
            <w:tr w14:paraId="6312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69" w:type="pct"/>
                  <w:vMerge w:val="restart"/>
                  <w:vAlign w:val="center"/>
                </w:tcPr>
                <w:p w14:paraId="030E4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序号</w:t>
                  </w:r>
                </w:p>
              </w:tc>
              <w:tc>
                <w:tcPr>
                  <w:tcW w:w="1148" w:type="pct"/>
                  <w:vMerge w:val="restart"/>
                  <w:vAlign w:val="center"/>
                </w:tcPr>
                <w:p w14:paraId="1362C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噪声源名称</w:t>
                  </w:r>
                </w:p>
              </w:tc>
              <w:tc>
                <w:tcPr>
                  <w:tcW w:w="538" w:type="pct"/>
                  <w:vMerge w:val="restart"/>
                  <w:vAlign w:val="center"/>
                </w:tcPr>
                <w:p w14:paraId="048BA3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数量</w:t>
                  </w:r>
                </w:p>
              </w:tc>
              <w:tc>
                <w:tcPr>
                  <w:tcW w:w="494" w:type="pct"/>
                  <w:vMerge w:val="restart"/>
                  <w:vAlign w:val="center"/>
                </w:tcPr>
                <w:p w14:paraId="413760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噪声源强</w:t>
                  </w:r>
                </w:p>
              </w:tc>
              <w:tc>
                <w:tcPr>
                  <w:tcW w:w="836" w:type="pct"/>
                  <w:vMerge w:val="restart"/>
                  <w:vAlign w:val="center"/>
                </w:tcPr>
                <w:p w14:paraId="39230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位置</w:t>
                  </w:r>
                </w:p>
              </w:tc>
              <w:tc>
                <w:tcPr>
                  <w:tcW w:w="424" w:type="pct"/>
                  <w:vMerge w:val="restart"/>
                  <w:vAlign w:val="center"/>
                </w:tcPr>
                <w:p w14:paraId="65C73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声源</w:t>
                  </w:r>
                </w:p>
                <w:p w14:paraId="77BA47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类型</w:t>
                  </w:r>
                </w:p>
              </w:tc>
              <w:tc>
                <w:tcPr>
                  <w:tcW w:w="1288" w:type="pct"/>
                  <w:gridSpan w:val="3"/>
                  <w:vAlign w:val="center"/>
                </w:tcPr>
                <w:p w14:paraId="447964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空间相对位置/m*</w:t>
                  </w:r>
                </w:p>
              </w:tc>
            </w:tr>
            <w:tr w14:paraId="7ACF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69" w:type="pct"/>
                  <w:vMerge w:val="continue"/>
                  <w:vAlign w:val="center"/>
                </w:tcPr>
                <w:p w14:paraId="7E38F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1148" w:type="pct"/>
                  <w:vMerge w:val="continue"/>
                  <w:vAlign w:val="center"/>
                </w:tcPr>
                <w:p w14:paraId="66FAA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538" w:type="pct"/>
                  <w:vMerge w:val="continue"/>
                  <w:vAlign w:val="center"/>
                </w:tcPr>
                <w:p w14:paraId="3B105B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494" w:type="pct"/>
                  <w:vMerge w:val="continue"/>
                  <w:vAlign w:val="center"/>
                </w:tcPr>
                <w:p w14:paraId="668632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836" w:type="pct"/>
                  <w:vMerge w:val="continue"/>
                  <w:vAlign w:val="center"/>
                </w:tcPr>
                <w:p w14:paraId="240F3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424" w:type="pct"/>
                  <w:vMerge w:val="continue"/>
                  <w:vAlign w:val="center"/>
                </w:tcPr>
                <w:p w14:paraId="757F2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p>
              </w:tc>
              <w:tc>
                <w:tcPr>
                  <w:tcW w:w="447" w:type="pct"/>
                  <w:vAlign w:val="center"/>
                </w:tcPr>
                <w:p w14:paraId="61573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X</w:t>
                  </w:r>
                </w:p>
              </w:tc>
              <w:tc>
                <w:tcPr>
                  <w:tcW w:w="475" w:type="pct"/>
                  <w:vAlign w:val="center"/>
                </w:tcPr>
                <w:p w14:paraId="4A8655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Y</w:t>
                  </w:r>
                </w:p>
              </w:tc>
              <w:tc>
                <w:tcPr>
                  <w:tcW w:w="365" w:type="pct"/>
                  <w:vAlign w:val="center"/>
                </w:tcPr>
                <w:p w14:paraId="53EC9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Z</w:t>
                  </w:r>
                </w:p>
              </w:tc>
            </w:tr>
            <w:tr w14:paraId="268D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7BD3C4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bookmarkStart w:id="181" w:name="OLE_LINK123" w:colFirst="1" w:colLast="1"/>
                  <w:bookmarkStart w:id="182" w:name="OLE_LINK124" w:colFirst="6" w:colLast="8"/>
                  <w:r>
                    <w:rPr>
                      <w:rFonts w:hint="eastAsia" w:cs="Times New Roman"/>
                      <w:color w:val="auto"/>
                      <w:sz w:val="21"/>
                      <w:szCs w:val="21"/>
                      <w:u w:val="single" w:color="auto"/>
                      <w:lang w:val="en-US" w:eastAsia="zh-CN"/>
                    </w:rPr>
                    <w:t>1</w:t>
                  </w:r>
                </w:p>
              </w:tc>
              <w:tc>
                <w:tcPr>
                  <w:tcW w:w="1148" w:type="pct"/>
                  <w:vAlign w:val="center"/>
                </w:tcPr>
                <w:p w14:paraId="0637C28B">
                  <w:pPr>
                    <w:pStyle w:val="11"/>
                    <w:adjustRightInd/>
                    <w:snapToGrid/>
                    <w:spacing w:line="240" w:lineRule="auto"/>
                    <w:ind w:left="0" w:leftChars="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olor w:val="auto"/>
                      <w:szCs w:val="24"/>
                      <w:u w:val="single" w:color="auto"/>
                    </w:rPr>
                    <w:t>畜类</w:t>
                  </w:r>
                  <w:r>
                    <w:rPr>
                      <w:rFonts w:hint="default" w:ascii="Times New Roman" w:hAnsi="Times New Roman" w:eastAsia="宋体" w:cs="Times New Roman"/>
                      <w:bCs w:val="0"/>
                      <w:color w:val="auto"/>
                      <w:spacing w:val="0"/>
                      <w:kern w:val="0"/>
                      <w:sz w:val="21"/>
                      <w:szCs w:val="21"/>
                      <w:u w:val="single" w:color="auto"/>
                      <w:lang w:val="en-US" w:eastAsia="zh-CN" w:bidi="ar-SA"/>
                    </w:rPr>
                    <w:t>脱毛机</w:t>
                  </w:r>
                  <w:r>
                    <w:rPr>
                      <w:rFonts w:hint="eastAsia" w:cs="Times New Roman"/>
                      <w:bCs w:val="0"/>
                      <w:color w:val="auto"/>
                      <w:spacing w:val="0"/>
                      <w:kern w:val="0"/>
                      <w:sz w:val="21"/>
                      <w:szCs w:val="21"/>
                      <w:u w:val="single" w:color="auto"/>
                      <w:lang w:val="en-US" w:eastAsia="zh-CN" w:bidi="ar-SA"/>
                    </w:rPr>
                    <w:t>1</w:t>
                  </w:r>
                </w:p>
              </w:tc>
              <w:tc>
                <w:tcPr>
                  <w:tcW w:w="538" w:type="pct"/>
                  <w:vAlign w:val="center"/>
                </w:tcPr>
                <w:p w14:paraId="4A278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475969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restart"/>
                  <w:vAlign w:val="center"/>
                </w:tcPr>
                <w:p w14:paraId="79D1F0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生产车间</w:t>
                  </w:r>
                </w:p>
              </w:tc>
              <w:tc>
                <w:tcPr>
                  <w:tcW w:w="424" w:type="pct"/>
                  <w:vAlign w:val="center"/>
                </w:tcPr>
                <w:p w14:paraId="77F3B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1DC56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20</w:t>
                  </w:r>
                </w:p>
              </w:tc>
              <w:tc>
                <w:tcPr>
                  <w:tcW w:w="475" w:type="pct"/>
                  <w:vAlign w:val="center"/>
                </w:tcPr>
                <w:p w14:paraId="54C5DA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p>
              </w:tc>
              <w:tc>
                <w:tcPr>
                  <w:tcW w:w="365" w:type="pct"/>
                  <w:vAlign w:val="center"/>
                </w:tcPr>
                <w:p w14:paraId="679853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tr w14:paraId="204F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3C334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p>
              </w:tc>
              <w:tc>
                <w:tcPr>
                  <w:tcW w:w="1148" w:type="pct"/>
                  <w:vAlign w:val="center"/>
                </w:tcPr>
                <w:p w14:paraId="5FC267F3">
                  <w:pPr>
                    <w:pStyle w:val="11"/>
                    <w:adjustRightInd/>
                    <w:snapToGrid/>
                    <w:spacing w:line="240" w:lineRule="auto"/>
                    <w:ind w:left="0" w:leftChars="0" w:firstLine="0" w:firstLineChars="0"/>
                    <w:jc w:val="center"/>
                    <w:rPr>
                      <w:rFonts w:hint="default" w:cs="Times New Roman"/>
                      <w:color w:val="auto"/>
                      <w:sz w:val="21"/>
                      <w:szCs w:val="21"/>
                      <w:u w:val="single" w:color="auto"/>
                      <w:lang w:val="en-US" w:eastAsia="zh-CN"/>
                    </w:rPr>
                  </w:pPr>
                  <w:r>
                    <w:rPr>
                      <w:rFonts w:hint="eastAsia"/>
                      <w:color w:val="auto"/>
                      <w:szCs w:val="24"/>
                      <w:u w:val="single" w:color="auto"/>
                    </w:rPr>
                    <w:t>畜类</w:t>
                  </w:r>
                  <w:r>
                    <w:rPr>
                      <w:rFonts w:hint="default" w:ascii="Times New Roman" w:hAnsi="Times New Roman" w:eastAsia="宋体" w:cs="Times New Roman"/>
                      <w:bCs w:val="0"/>
                      <w:color w:val="auto"/>
                      <w:spacing w:val="0"/>
                      <w:kern w:val="0"/>
                      <w:sz w:val="21"/>
                      <w:szCs w:val="21"/>
                      <w:u w:val="single" w:color="auto"/>
                      <w:lang w:val="en-US" w:eastAsia="zh-CN" w:bidi="ar-SA"/>
                    </w:rPr>
                    <w:t>脱毛机</w:t>
                  </w:r>
                  <w:r>
                    <w:rPr>
                      <w:rFonts w:hint="eastAsia" w:cs="Times New Roman"/>
                      <w:bCs w:val="0"/>
                      <w:color w:val="auto"/>
                      <w:spacing w:val="0"/>
                      <w:kern w:val="0"/>
                      <w:sz w:val="21"/>
                      <w:szCs w:val="21"/>
                      <w:u w:val="single" w:color="auto"/>
                      <w:lang w:val="en-US" w:eastAsia="zh-CN" w:bidi="ar-SA"/>
                    </w:rPr>
                    <w:t>2</w:t>
                  </w:r>
                </w:p>
              </w:tc>
              <w:tc>
                <w:tcPr>
                  <w:tcW w:w="538" w:type="pct"/>
                  <w:vAlign w:val="center"/>
                </w:tcPr>
                <w:p w14:paraId="0A5DA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2EB25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continue"/>
                  <w:vAlign w:val="center"/>
                </w:tcPr>
                <w:p w14:paraId="72A5E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546975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4F6709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20</w:t>
                  </w:r>
                </w:p>
              </w:tc>
              <w:tc>
                <w:tcPr>
                  <w:tcW w:w="475" w:type="pct"/>
                  <w:vAlign w:val="center"/>
                </w:tcPr>
                <w:p w14:paraId="3EDCE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4</w:t>
                  </w:r>
                </w:p>
              </w:tc>
              <w:tc>
                <w:tcPr>
                  <w:tcW w:w="365" w:type="pct"/>
                  <w:shd w:val="clear" w:color="auto" w:fill="auto"/>
                  <w:vAlign w:val="center"/>
                </w:tcPr>
                <w:p w14:paraId="2D1279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2A62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37F07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3</w:t>
                  </w:r>
                </w:p>
              </w:tc>
              <w:tc>
                <w:tcPr>
                  <w:tcW w:w="1148" w:type="pct"/>
                  <w:vAlign w:val="center"/>
                </w:tcPr>
                <w:p w14:paraId="728820DC">
                  <w:pPr>
                    <w:pStyle w:val="11"/>
                    <w:adjustRightInd/>
                    <w:snapToGrid/>
                    <w:spacing w:line="240" w:lineRule="auto"/>
                    <w:ind w:left="0" w:leftChars="0" w:firstLine="0" w:firstLineChars="0"/>
                    <w:jc w:val="center"/>
                    <w:rPr>
                      <w:rFonts w:hint="default" w:cs="Times New Roman"/>
                      <w:color w:val="auto"/>
                      <w:sz w:val="21"/>
                      <w:szCs w:val="21"/>
                      <w:u w:val="single" w:color="auto"/>
                      <w:lang w:val="en-US" w:eastAsia="zh-CN"/>
                    </w:rPr>
                  </w:pPr>
                  <w:r>
                    <w:rPr>
                      <w:rFonts w:hint="default" w:ascii="Times New Roman" w:hAnsi="Times New Roman" w:eastAsia="宋体" w:cs="Times New Roman"/>
                      <w:bCs w:val="0"/>
                      <w:color w:val="auto"/>
                      <w:spacing w:val="0"/>
                      <w:kern w:val="0"/>
                      <w:sz w:val="21"/>
                      <w:szCs w:val="21"/>
                      <w:u w:val="single" w:color="auto"/>
                      <w:lang w:val="en-US" w:eastAsia="zh-CN" w:bidi="ar-SA"/>
                    </w:rPr>
                    <w:t>高压清洗器</w:t>
                  </w:r>
                  <w:r>
                    <w:rPr>
                      <w:rFonts w:hint="eastAsia" w:cs="Times New Roman"/>
                      <w:bCs w:val="0"/>
                      <w:color w:val="auto"/>
                      <w:spacing w:val="0"/>
                      <w:kern w:val="0"/>
                      <w:sz w:val="21"/>
                      <w:szCs w:val="21"/>
                      <w:u w:val="single" w:color="auto"/>
                      <w:lang w:val="en-US" w:eastAsia="zh-CN" w:bidi="ar-SA"/>
                    </w:rPr>
                    <w:t>1</w:t>
                  </w:r>
                </w:p>
              </w:tc>
              <w:tc>
                <w:tcPr>
                  <w:tcW w:w="538" w:type="pct"/>
                  <w:vAlign w:val="center"/>
                </w:tcPr>
                <w:p w14:paraId="37B472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7A311D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75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85</w:t>
                  </w:r>
                </w:p>
              </w:tc>
              <w:tc>
                <w:tcPr>
                  <w:tcW w:w="836" w:type="pct"/>
                  <w:vMerge w:val="continue"/>
                  <w:vAlign w:val="center"/>
                </w:tcPr>
                <w:p w14:paraId="2CDE6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5A1B08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shd w:val="clear" w:color="auto" w:fill="auto"/>
                  <w:vAlign w:val="center"/>
                </w:tcPr>
                <w:p w14:paraId="2281CC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25</w:t>
                  </w:r>
                </w:p>
              </w:tc>
              <w:tc>
                <w:tcPr>
                  <w:tcW w:w="475" w:type="pct"/>
                  <w:shd w:val="clear" w:color="auto" w:fill="auto"/>
                  <w:vAlign w:val="center"/>
                </w:tcPr>
                <w:p w14:paraId="71341C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8</w:t>
                  </w:r>
                </w:p>
              </w:tc>
              <w:tc>
                <w:tcPr>
                  <w:tcW w:w="365" w:type="pct"/>
                  <w:shd w:val="clear" w:color="auto" w:fill="auto"/>
                  <w:vAlign w:val="center"/>
                </w:tcPr>
                <w:p w14:paraId="530CB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5870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0D1C2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4</w:t>
                  </w:r>
                </w:p>
              </w:tc>
              <w:tc>
                <w:tcPr>
                  <w:tcW w:w="1148" w:type="pct"/>
                  <w:vAlign w:val="center"/>
                </w:tcPr>
                <w:p w14:paraId="0BA30BE6">
                  <w:pPr>
                    <w:pStyle w:val="11"/>
                    <w:adjustRightInd/>
                    <w:snapToGrid/>
                    <w:spacing w:line="240" w:lineRule="auto"/>
                    <w:ind w:left="0" w:leftChars="0" w:firstLine="0" w:firstLineChars="0"/>
                    <w:jc w:val="center"/>
                    <w:rPr>
                      <w:rFonts w:hint="default" w:cs="Times New Roman"/>
                      <w:color w:val="auto"/>
                      <w:sz w:val="21"/>
                      <w:szCs w:val="21"/>
                      <w:u w:val="single" w:color="auto"/>
                      <w:lang w:val="en-US" w:eastAsia="zh-CN"/>
                    </w:rPr>
                  </w:pPr>
                  <w:r>
                    <w:rPr>
                      <w:rFonts w:hint="default" w:ascii="Times New Roman" w:hAnsi="Times New Roman" w:eastAsia="宋体" w:cs="Times New Roman"/>
                      <w:bCs w:val="0"/>
                      <w:color w:val="auto"/>
                      <w:spacing w:val="0"/>
                      <w:kern w:val="0"/>
                      <w:sz w:val="21"/>
                      <w:szCs w:val="21"/>
                      <w:u w:val="single" w:color="auto"/>
                      <w:lang w:val="en-US" w:eastAsia="zh-CN" w:bidi="ar-SA"/>
                    </w:rPr>
                    <w:t>高压清洗器</w:t>
                  </w:r>
                  <w:r>
                    <w:rPr>
                      <w:rFonts w:hint="eastAsia" w:cs="Times New Roman"/>
                      <w:bCs w:val="0"/>
                      <w:color w:val="auto"/>
                      <w:spacing w:val="0"/>
                      <w:kern w:val="0"/>
                      <w:sz w:val="21"/>
                      <w:szCs w:val="21"/>
                      <w:u w:val="single" w:color="auto"/>
                      <w:lang w:val="en-US" w:eastAsia="zh-CN" w:bidi="ar-SA"/>
                    </w:rPr>
                    <w:t>2</w:t>
                  </w:r>
                </w:p>
              </w:tc>
              <w:tc>
                <w:tcPr>
                  <w:tcW w:w="538" w:type="pct"/>
                  <w:vAlign w:val="center"/>
                </w:tcPr>
                <w:p w14:paraId="1E20A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61C26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75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85</w:t>
                  </w:r>
                </w:p>
              </w:tc>
              <w:tc>
                <w:tcPr>
                  <w:tcW w:w="836" w:type="pct"/>
                  <w:vMerge w:val="continue"/>
                  <w:vAlign w:val="center"/>
                </w:tcPr>
                <w:p w14:paraId="54498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40E1E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shd w:val="clear" w:color="auto" w:fill="auto"/>
                  <w:vAlign w:val="center"/>
                </w:tcPr>
                <w:p w14:paraId="1D62B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25</w:t>
                  </w:r>
                </w:p>
              </w:tc>
              <w:tc>
                <w:tcPr>
                  <w:tcW w:w="475" w:type="pct"/>
                  <w:shd w:val="clear" w:color="auto" w:fill="auto"/>
                  <w:vAlign w:val="center"/>
                </w:tcPr>
                <w:p w14:paraId="09904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4</w:t>
                  </w:r>
                </w:p>
              </w:tc>
              <w:tc>
                <w:tcPr>
                  <w:tcW w:w="365" w:type="pct"/>
                  <w:shd w:val="clear" w:color="auto" w:fill="auto"/>
                  <w:vAlign w:val="center"/>
                </w:tcPr>
                <w:p w14:paraId="74D718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7F75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2DD95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5</w:t>
                  </w:r>
                </w:p>
              </w:tc>
              <w:tc>
                <w:tcPr>
                  <w:tcW w:w="1148" w:type="pct"/>
                  <w:shd w:val="clear" w:color="auto" w:fill="auto"/>
                  <w:vAlign w:val="center"/>
                </w:tcPr>
                <w:p w14:paraId="0D37F8F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kern w:val="0"/>
                      <w:sz w:val="21"/>
                      <w:szCs w:val="24"/>
                      <w:u w:val="single" w:color="auto"/>
                      <w:lang w:val="en-US" w:eastAsia="zh-CN" w:bidi="ar-SA"/>
                    </w:rPr>
                  </w:pPr>
                  <w:r>
                    <w:rPr>
                      <w:rFonts w:hint="eastAsia"/>
                      <w:color w:val="auto"/>
                      <w:szCs w:val="24"/>
                      <w:u w:val="single" w:color="auto"/>
                      <w:lang w:val="en-US" w:eastAsia="zh-CN"/>
                    </w:rPr>
                    <w:t>切割机1</w:t>
                  </w:r>
                </w:p>
              </w:tc>
              <w:tc>
                <w:tcPr>
                  <w:tcW w:w="538" w:type="pct"/>
                  <w:vAlign w:val="center"/>
                </w:tcPr>
                <w:p w14:paraId="1CD126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70478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continue"/>
                  <w:vAlign w:val="center"/>
                </w:tcPr>
                <w:p w14:paraId="2120C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11D9E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1AF78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35</w:t>
                  </w:r>
                </w:p>
              </w:tc>
              <w:tc>
                <w:tcPr>
                  <w:tcW w:w="475" w:type="pct"/>
                  <w:shd w:val="clear" w:color="auto" w:fill="auto"/>
                  <w:vAlign w:val="center"/>
                </w:tcPr>
                <w:p w14:paraId="75334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8</w:t>
                  </w:r>
                </w:p>
              </w:tc>
              <w:tc>
                <w:tcPr>
                  <w:tcW w:w="365" w:type="pct"/>
                  <w:shd w:val="clear" w:color="auto" w:fill="auto"/>
                  <w:vAlign w:val="center"/>
                </w:tcPr>
                <w:p w14:paraId="3B0AA5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27D2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313C1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6</w:t>
                  </w:r>
                </w:p>
              </w:tc>
              <w:tc>
                <w:tcPr>
                  <w:tcW w:w="1148" w:type="pct"/>
                  <w:shd w:val="clear" w:color="auto" w:fill="auto"/>
                  <w:vAlign w:val="center"/>
                </w:tcPr>
                <w:p w14:paraId="2B5A7D61">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color w:val="auto"/>
                      <w:kern w:val="0"/>
                      <w:sz w:val="21"/>
                      <w:szCs w:val="24"/>
                      <w:u w:val="single" w:color="auto"/>
                      <w:lang w:val="en-US" w:eastAsia="zh-CN" w:bidi="ar-SA"/>
                    </w:rPr>
                  </w:pPr>
                  <w:r>
                    <w:rPr>
                      <w:rFonts w:hint="eastAsia"/>
                      <w:color w:val="auto"/>
                      <w:szCs w:val="24"/>
                      <w:u w:val="single" w:color="auto"/>
                      <w:lang w:val="en-US" w:eastAsia="zh-CN"/>
                    </w:rPr>
                    <w:t>切割机2</w:t>
                  </w:r>
                </w:p>
              </w:tc>
              <w:tc>
                <w:tcPr>
                  <w:tcW w:w="538" w:type="pct"/>
                  <w:vAlign w:val="center"/>
                </w:tcPr>
                <w:p w14:paraId="1336D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60EB6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continue"/>
                  <w:vAlign w:val="center"/>
                </w:tcPr>
                <w:p w14:paraId="16F796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0CAD8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5123B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35</w:t>
                  </w:r>
                </w:p>
              </w:tc>
              <w:tc>
                <w:tcPr>
                  <w:tcW w:w="475" w:type="pct"/>
                  <w:shd w:val="clear" w:color="auto" w:fill="auto"/>
                  <w:vAlign w:val="center"/>
                </w:tcPr>
                <w:p w14:paraId="2293E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4</w:t>
                  </w:r>
                </w:p>
              </w:tc>
              <w:tc>
                <w:tcPr>
                  <w:tcW w:w="365" w:type="pct"/>
                  <w:shd w:val="clear" w:color="auto" w:fill="auto"/>
                  <w:vAlign w:val="center"/>
                </w:tcPr>
                <w:p w14:paraId="69F1B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5D54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7BF73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7</w:t>
                  </w:r>
                </w:p>
              </w:tc>
              <w:tc>
                <w:tcPr>
                  <w:tcW w:w="1148" w:type="pct"/>
                  <w:shd w:val="clear" w:color="auto" w:fill="auto"/>
                  <w:vAlign w:val="center"/>
                </w:tcPr>
                <w:p w14:paraId="5F25BE8C">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color w:val="auto"/>
                      <w:kern w:val="0"/>
                      <w:sz w:val="21"/>
                      <w:szCs w:val="24"/>
                      <w:u w:val="single" w:color="auto"/>
                      <w:lang w:val="en-US" w:eastAsia="zh-CN" w:bidi="ar-SA"/>
                    </w:rPr>
                  </w:pPr>
                  <w:r>
                    <w:rPr>
                      <w:rFonts w:hint="eastAsia"/>
                      <w:color w:val="auto"/>
                      <w:szCs w:val="24"/>
                      <w:u w:val="single" w:color="auto"/>
                      <w:lang w:val="en-US" w:eastAsia="zh-CN"/>
                    </w:rPr>
                    <w:t>输送机1</w:t>
                  </w:r>
                </w:p>
              </w:tc>
              <w:tc>
                <w:tcPr>
                  <w:tcW w:w="538" w:type="pct"/>
                  <w:vAlign w:val="center"/>
                </w:tcPr>
                <w:p w14:paraId="78823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214C13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continue"/>
                  <w:vAlign w:val="center"/>
                </w:tcPr>
                <w:p w14:paraId="240D0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7BBFF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75DCA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18</w:t>
                  </w:r>
                </w:p>
              </w:tc>
              <w:tc>
                <w:tcPr>
                  <w:tcW w:w="475" w:type="pct"/>
                  <w:shd w:val="clear" w:color="auto" w:fill="auto"/>
                  <w:vAlign w:val="center"/>
                </w:tcPr>
                <w:p w14:paraId="398A8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8</w:t>
                  </w:r>
                </w:p>
              </w:tc>
              <w:tc>
                <w:tcPr>
                  <w:tcW w:w="365" w:type="pct"/>
                  <w:shd w:val="clear" w:color="auto" w:fill="auto"/>
                  <w:vAlign w:val="center"/>
                </w:tcPr>
                <w:p w14:paraId="5F43D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3FEC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62350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p>
              </w:tc>
              <w:tc>
                <w:tcPr>
                  <w:tcW w:w="1148" w:type="pct"/>
                  <w:shd w:val="clear" w:color="auto" w:fill="auto"/>
                  <w:vAlign w:val="center"/>
                </w:tcPr>
                <w:p w14:paraId="23A6E7D5">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color w:val="auto"/>
                      <w:kern w:val="0"/>
                      <w:sz w:val="21"/>
                      <w:szCs w:val="24"/>
                      <w:u w:val="single" w:color="auto"/>
                      <w:lang w:val="en-US" w:eastAsia="zh-CN" w:bidi="ar-SA"/>
                    </w:rPr>
                  </w:pPr>
                  <w:r>
                    <w:rPr>
                      <w:rFonts w:hint="eastAsia"/>
                      <w:color w:val="auto"/>
                      <w:szCs w:val="24"/>
                      <w:u w:val="single" w:color="auto"/>
                      <w:lang w:val="en-US" w:eastAsia="zh-CN"/>
                    </w:rPr>
                    <w:t>输送机2</w:t>
                  </w:r>
                </w:p>
              </w:tc>
              <w:tc>
                <w:tcPr>
                  <w:tcW w:w="538" w:type="pct"/>
                  <w:vAlign w:val="center"/>
                </w:tcPr>
                <w:p w14:paraId="1321E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4DB381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continue"/>
                  <w:vAlign w:val="center"/>
                </w:tcPr>
                <w:p w14:paraId="2A861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51A34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2E7B9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18</w:t>
                  </w:r>
                </w:p>
              </w:tc>
              <w:tc>
                <w:tcPr>
                  <w:tcW w:w="475" w:type="pct"/>
                  <w:shd w:val="clear" w:color="auto" w:fill="auto"/>
                  <w:vAlign w:val="center"/>
                </w:tcPr>
                <w:p w14:paraId="3690F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4</w:t>
                  </w:r>
                </w:p>
              </w:tc>
              <w:tc>
                <w:tcPr>
                  <w:tcW w:w="365" w:type="pct"/>
                  <w:shd w:val="clear" w:color="auto" w:fill="auto"/>
                  <w:vAlign w:val="center"/>
                </w:tcPr>
                <w:p w14:paraId="5350F6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2E09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69" w:type="pct"/>
                  <w:vAlign w:val="center"/>
                </w:tcPr>
                <w:p w14:paraId="7DE695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9</w:t>
                  </w:r>
                </w:p>
              </w:tc>
              <w:tc>
                <w:tcPr>
                  <w:tcW w:w="1148" w:type="pct"/>
                  <w:vAlign w:val="center"/>
                </w:tcPr>
                <w:p w14:paraId="37321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color w:val="auto"/>
                      <w:kern w:val="0"/>
                      <w:sz w:val="21"/>
                      <w:szCs w:val="24"/>
                      <w:u w:val="single" w:color="auto"/>
                      <w:lang w:val="en-US" w:eastAsia="zh-CN"/>
                    </w:rPr>
                  </w:pPr>
                  <w:r>
                    <w:rPr>
                      <w:rFonts w:hint="eastAsia"/>
                      <w:color w:val="auto"/>
                      <w:kern w:val="0"/>
                      <w:sz w:val="21"/>
                      <w:szCs w:val="24"/>
                      <w:u w:val="single" w:color="auto"/>
                      <w:lang w:val="en-US" w:eastAsia="zh-CN"/>
                    </w:rPr>
                    <w:t>提升机1</w:t>
                  </w:r>
                </w:p>
              </w:tc>
              <w:tc>
                <w:tcPr>
                  <w:tcW w:w="538" w:type="pct"/>
                  <w:vAlign w:val="center"/>
                </w:tcPr>
                <w:p w14:paraId="1E109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337E7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continue"/>
                  <w:vAlign w:val="center"/>
                </w:tcPr>
                <w:p w14:paraId="6B203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68B71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687B5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17</w:t>
                  </w:r>
                </w:p>
              </w:tc>
              <w:tc>
                <w:tcPr>
                  <w:tcW w:w="475" w:type="pct"/>
                  <w:shd w:val="clear" w:color="auto" w:fill="auto"/>
                  <w:vAlign w:val="center"/>
                </w:tcPr>
                <w:p w14:paraId="6C4E9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8</w:t>
                  </w:r>
                </w:p>
              </w:tc>
              <w:tc>
                <w:tcPr>
                  <w:tcW w:w="365" w:type="pct"/>
                  <w:shd w:val="clear" w:color="auto" w:fill="auto"/>
                  <w:vAlign w:val="center"/>
                </w:tcPr>
                <w:p w14:paraId="39DDF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38B2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1E6DE4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10</w:t>
                  </w:r>
                </w:p>
              </w:tc>
              <w:tc>
                <w:tcPr>
                  <w:tcW w:w="1148" w:type="pct"/>
                  <w:vAlign w:val="center"/>
                </w:tcPr>
                <w:p w14:paraId="25462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color w:val="auto"/>
                      <w:kern w:val="0"/>
                      <w:sz w:val="21"/>
                      <w:szCs w:val="24"/>
                      <w:u w:val="single" w:color="auto"/>
                      <w:lang w:val="en-US" w:eastAsia="zh-CN"/>
                    </w:rPr>
                  </w:pPr>
                  <w:r>
                    <w:rPr>
                      <w:rFonts w:hint="eastAsia"/>
                      <w:color w:val="auto"/>
                      <w:kern w:val="0"/>
                      <w:sz w:val="21"/>
                      <w:szCs w:val="24"/>
                      <w:u w:val="single" w:color="auto"/>
                      <w:lang w:val="en-US" w:eastAsia="zh-CN"/>
                    </w:rPr>
                    <w:t>提升机2</w:t>
                  </w:r>
                </w:p>
              </w:tc>
              <w:tc>
                <w:tcPr>
                  <w:tcW w:w="538" w:type="pct"/>
                  <w:vAlign w:val="center"/>
                </w:tcPr>
                <w:p w14:paraId="427FD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494" w:type="pct"/>
                  <w:vAlign w:val="center"/>
                </w:tcPr>
                <w:p w14:paraId="6A6B8E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9</w:t>
                  </w:r>
                  <w:r>
                    <w:rPr>
                      <w:rFonts w:hint="default" w:ascii="Times New Roman" w:hAnsi="Times New Roman" w:eastAsia="宋体" w:cs="Times New Roman"/>
                      <w:color w:val="auto"/>
                      <w:sz w:val="21"/>
                      <w:szCs w:val="21"/>
                      <w:u w:val="single" w:color="auto"/>
                      <w:lang w:val="en-US" w:eastAsia="zh-CN"/>
                    </w:rPr>
                    <w:t>0</w:t>
                  </w:r>
                </w:p>
              </w:tc>
              <w:tc>
                <w:tcPr>
                  <w:tcW w:w="836" w:type="pct"/>
                  <w:vMerge w:val="continue"/>
                  <w:vAlign w:val="center"/>
                </w:tcPr>
                <w:p w14:paraId="05DD07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4555C3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0A84C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17</w:t>
                  </w:r>
                </w:p>
              </w:tc>
              <w:tc>
                <w:tcPr>
                  <w:tcW w:w="475" w:type="pct"/>
                  <w:shd w:val="clear" w:color="auto" w:fill="auto"/>
                  <w:vAlign w:val="center"/>
                </w:tcPr>
                <w:p w14:paraId="6B83E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4</w:t>
                  </w:r>
                </w:p>
              </w:tc>
              <w:tc>
                <w:tcPr>
                  <w:tcW w:w="365" w:type="pct"/>
                  <w:shd w:val="clear" w:color="auto" w:fill="auto"/>
                  <w:vAlign w:val="center"/>
                </w:tcPr>
                <w:p w14:paraId="69A7B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r>
            <w:tr w14:paraId="2080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08B4E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11</w:t>
                  </w:r>
                </w:p>
              </w:tc>
              <w:tc>
                <w:tcPr>
                  <w:tcW w:w="1148" w:type="pct"/>
                  <w:vAlign w:val="center"/>
                </w:tcPr>
                <w:p w14:paraId="588957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color w:val="auto"/>
                      <w:kern w:val="0"/>
                      <w:sz w:val="21"/>
                      <w:szCs w:val="24"/>
                      <w:u w:val="single" w:color="auto"/>
                      <w:lang w:val="en-US" w:eastAsia="zh-CN"/>
                    </w:rPr>
                  </w:pPr>
                  <w:r>
                    <w:rPr>
                      <w:rFonts w:hint="eastAsia"/>
                      <w:color w:val="auto"/>
                      <w:kern w:val="0"/>
                      <w:sz w:val="21"/>
                      <w:szCs w:val="24"/>
                      <w:u w:val="single" w:color="auto"/>
                      <w:lang w:val="en-US" w:eastAsia="zh-CN"/>
                    </w:rPr>
                    <w:t>压滤机</w:t>
                  </w:r>
                </w:p>
              </w:tc>
              <w:tc>
                <w:tcPr>
                  <w:tcW w:w="538" w:type="pct"/>
                  <w:vAlign w:val="center"/>
                </w:tcPr>
                <w:p w14:paraId="4B7A9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1台</w:t>
                  </w:r>
                </w:p>
              </w:tc>
              <w:tc>
                <w:tcPr>
                  <w:tcW w:w="854" w:type="dxa"/>
                  <w:vAlign w:val="center"/>
                </w:tcPr>
                <w:p w14:paraId="384E98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75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85</w:t>
                  </w:r>
                </w:p>
              </w:tc>
              <w:tc>
                <w:tcPr>
                  <w:tcW w:w="836" w:type="pct"/>
                  <w:vMerge w:val="restart"/>
                  <w:vAlign w:val="center"/>
                </w:tcPr>
                <w:p w14:paraId="76F741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污水处理站</w:t>
                  </w:r>
                </w:p>
              </w:tc>
              <w:tc>
                <w:tcPr>
                  <w:tcW w:w="424" w:type="pct"/>
                  <w:vAlign w:val="center"/>
                </w:tcPr>
                <w:p w14:paraId="7C7AD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6A3389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25</w:t>
                  </w:r>
                </w:p>
              </w:tc>
              <w:tc>
                <w:tcPr>
                  <w:tcW w:w="475" w:type="pct"/>
                  <w:vAlign w:val="center"/>
                </w:tcPr>
                <w:p w14:paraId="27025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10</w:t>
                  </w:r>
                </w:p>
              </w:tc>
              <w:tc>
                <w:tcPr>
                  <w:tcW w:w="365" w:type="pct"/>
                  <w:vAlign w:val="center"/>
                </w:tcPr>
                <w:p w14:paraId="49763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tr w14:paraId="321E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shd w:val="clear" w:color="auto" w:fill="auto"/>
                  <w:vAlign w:val="center"/>
                </w:tcPr>
                <w:p w14:paraId="189B2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12</w:t>
                  </w:r>
                </w:p>
              </w:tc>
              <w:tc>
                <w:tcPr>
                  <w:tcW w:w="1148" w:type="pct"/>
                  <w:vAlign w:val="center"/>
                </w:tcPr>
                <w:p w14:paraId="36316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4"/>
                      <w:u w:val="single" w:color="auto"/>
                      <w:lang w:val="en-US" w:eastAsia="zh-CN"/>
                    </w:rPr>
                  </w:pPr>
                  <w:r>
                    <w:rPr>
                      <w:rFonts w:hint="eastAsia"/>
                      <w:color w:val="auto"/>
                      <w:kern w:val="0"/>
                      <w:sz w:val="21"/>
                      <w:szCs w:val="24"/>
                      <w:u w:val="single" w:color="auto"/>
                      <w:lang w:val="en-US" w:eastAsia="zh-CN"/>
                    </w:rPr>
                    <w:t>水泵</w:t>
                  </w:r>
                </w:p>
              </w:tc>
              <w:tc>
                <w:tcPr>
                  <w:tcW w:w="538" w:type="pct"/>
                  <w:shd w:val="clear" w:color="auto" w:fill="auto"/>
                  <w:vAlign w:val="center"/>
                </w:tcPr>
                <w:p w14:paraId="1AA61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1台</w:t>
                  </w:r>
                </w:p>
              </w:tc>
              <w:tc>
                <w:tcPr>
                  <w:tcW w:w="854" w:type="dxa"/>
                  <w:vAlign w:val="center"/>
                </w:tcPr>
                <w:p w14:paraId="57E38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75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85</w:t>
                  </w:r>
                </w:p>
              </w:tc>
              <w:tc>
                <w:tcPr>
                  <w:tcW w:w="836" w:type="pct"/>
                  <w:vMerge w:val="continue"/>
                  <w:vAlign w:val="center"/>
                </w:tcPr>
                <w:p w14:paraId="4D919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shd w:val="clear" w:color="auto" w:fill="auto"/>
                  <w:vAlign w:val="center"/>
                </w:tcPr>
                <w:p w14:paraId="3DBBA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5FF40B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25</w:t>
                  </w:r>
                </w:p>
              </w:tc>
              <w:tc>
                <w:tcPr>
                  <w:tcW w:w="475" w:type="pct"/>
                  <w:vAlign w:val="center"/>
                </w:tcPr>
                <w:p w14:paraId="50471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c>
                <w:tcPr>
                  <w:tcW w:w="365" w:type="pct"/>
                  <w:vAlign w:val="center"/>
                </w:tcPr>
                <w:p w14:paraId="2B42F6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tr w14:paraId="3B97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shd w:val="clear" w:color="auto" w:fill="auto"/>
                  <w:vAlign w:val="center"/>
                </w:tcPr>
                <w:p w14:paraId="3547F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13</w:t>
                  </w:r>
                </w:p>
              </w:tc>
              <w:tc>
                <w:tcPr>
                  <w:tcW w:w="1148" w:type="pct"/>
                  <w:vAlign w:val="center"/>
                </w:tcPr>
                <w:p w14:paraId="776A9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猪叫</w:t>
                  </w:r>
                </w:p>
              </w:tc>
              <w:tc>
                <w:tcPr>
                  <w:tcW w:w="538" w:type="pct"/>
                  <w:vAlign w:val="center"/>
                </w:tcPr>
                <w:p w14:paraId="13B95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494" w:type="pct"/>
                  <w:vAlign w:val="center"/>
                </w:tcPr>
                <w:p w14:paraId="317025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75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85</w:t>
                  </w:r>
                </w:p>
              </w:tc>
              <w:tc>
                <w:tcPr>
                  <w:tcW w:w="836" w:type="pct"/>
                  <w:vMerge w:val="restart"/>
                  <w:vAlign w:val="center"/>
                </w:tcPr>
                <w:p w14:paraId="198DD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待宰间、屠宰线</w:t>
                  </w:r>
                </w:p>
              </w:tc>
              <w:tc>
                <w:tcPr>
                  <w:tcW w:w="424" w:type="pct"/>
                  <w:vAlign w:val="center"/>
                </w:tcPr>
                <w:p w14:paraId="1EE5F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7A7BB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5</w:t>
                  </w:r>
                </w:p>
              </w:tc>
              <w:tc>
                <w:tcPr>
                  <w:tcW w:w="475" w:type="pct"/>
                  <w:vAlign w:val="center"/>
                </w:tcPr>
                <w:p w14:paraId="68645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6</w:t>
                  </w:r>
                </w:p>
              </w:tc>
              <w:tc>
                <w:tcPr>
                  <w:tcW w:w="365" w:type="pct"/>
                  <w:vAlign w:val="center"/>
                </w:tcPr>
                <w:p w14:paraId="66B5C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tr w14:paraId="2F20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shd w:val="clear" w:color="auto" w:fill="auto"/>
                  <w:vAlign w:val="center"/>
                </w:tcPr>
                <w:p w14:paraId="475A6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14</w:t>
                  </w:r>
                </w:p>
              </w:tc>
              <w:tc>
                <w:tcPr>
                  <w:tcW w:w="1148" w:type="pct"/>
                  <w:vAlign w:val="center"/>
                </w:tcPr>
                <w:p w14:paraId="643C2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牛叫</w:t>
                  </w:r>
                </w:p>
              </w:tc>
              <w:tc>
                <w:tcPr>
                  <w:tcW w:w="538" w:type="pct"/>
                  <w:vAlign w:val="center"/>
                </w:tcPr>
                <w:p w14:paraId="0608D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494" w:type="pct"/>
                  <w:vAlign w:val="center"/>
                </w:tcPr>
                <w:p w14:paraId="68030E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75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85</w:t>
                  </w:r>
                </w:p>
              </w:tc>
              <w:tc>
                <w:tcPr>
                  <w:tcW w:w="836" w:type="pct"/>
                  <w:vMerge w:val="continue"/>
                  <w:vAlign w:val="center"/>
                </w:tcPr>
                <w:p w14:paraId="4DAD7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2D01B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35039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5</w:t>
                  </w:r>
                </w:p>
              </w:tc>
              <w:tc>
                <w:tcPr>
                  <w:tcW w:w="475" w:type="pct"/>
                  <w:vAlign w:val="center"/>
                </w:tcPr>
                <w:p w14:paraId="6D216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8</w:t>
                  </w:r>
                </w:p>
              </w:tc>
              <w:tc>
                <w:tcPr>
                  <w:tcW w:w="365" w:type="pct"/>
                  <w:vAlign w:val="center"/>
                </w:tcPr>
                <w:p w14:paraId="6EF374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tr w14:paraId="11D0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shd w:val="clear" w:color="auto" w:fill="auto"/>
                  <w:vAlign w:val="center"/>
                </w:tcPr>
                <w:p w14:paraId="3FDA08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15</w:t>
                  </w:r>
                </w:p>
              </w:tc>
              <w:tc>
                <w:tcPr>
                  <w:tcW w:w="1148" w:type="pct"/>
                  <w:vAlign w:val="center"/>
                </w:tcPr>
                <w:p w14:paraId="083481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鸡叫</w:t>
                  </w:r>
                </w:p>
              </w:tc>
              <w:tc>
                <w:tcPr>
                  <w:tcW w:w="538" w:type="pct"/>
                  <w:vAlign w:val="center"/>
                </w:tcPr>
                <w:p w14:paraId="21EDA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494" w:type="pct"/>
                  <w:vAlign w:val="center"/>
                </w:tcPr>
                <w:p w14:paraId="5525C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60</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70</w:t>
                  </w:r>
                </w:p>
              </w:tc>
              <w:tc>
                <w:tcPr>
                  <w:tcW w:w="836" w:type="pct"/>
                  <w:vMerge w:val="continue"/>
                  <w:vAlign w:val="center"/>
                </w:tcPr>
                <w:p w14:paraId="32825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2A1F6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020FB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5</w:t>
                  </w:r>
                </w:p>
              </w:tc>
              <w:tc>
                <w:tcPr>
                  <w:tcW w:w="475" w:type="pct"/>
                  <w:vAlign w:val="center"/>
                </w:tcPr>
                <w:p w14:paraId="73C1F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10</w:t>
                  </w:r>
                </w:p>
              </w:tc>
              <w:tc>
                <w:tcPr>
                  <w:tcW w:w="365" w:type="pct"/>
                  <w:vAlign w:val="center"/>
                </w:tcPr>
                <w:p w14:paraId="42D48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tr w14:paraId="4015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shd w:val="clear" w:color="auto" w:fill="auto"/>
                  <w:vAlign w:val="center"/>
                </w:tcPr>
                <w:p w14:paraId="2F8F1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16</w:t>
                  </w:r>
                </w:p>
              </w:tc>
              <w:tc>
                <w:tcPr>
                  <w:tcW w:w="1148" w:type="pct"/>
                  <w:vAlign w:val="center"/>
                </w:tcPr>
                <w:p w14:paraId="1C1638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鸭叫</w:t>
                  </w:r>
                </w:p>
              </w:tc>
              <w:tc>
                <w:tcPr>
                  <w:tcW w:w="538" w:type="pct"/>
                  <w:vAlign w:val="center"/>
                </w:tcPr>
                <w:p w14:paraId="6E4E11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494" w:type="pct"/>
                  <w:vAlign w:val="center"/>
                </w:tcPr>
                <w:p w14:paraId="012C0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60</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70</w:t>
                  </w:r>
                </w:p>
              </w:tc>
              <w:tc>
                <w:tcPr>
                  <w:tcW w:w="836" w:type="pct"/>
                  <w:vMerge w:val="continue"/>
                  <w:vAlign w:val="center"/>
                </w:tcPr>
                <w:p w14:paraId="04369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77881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72AF1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5</w:t>
                  </w:r>
                </w:p>
              </w:tc>
              <w:tc>
                <w:tcPr>
                  <w:tcW w:w="475" w:type="pct"/>
                  <w:vAlign w:val="center"/>
                </w:tcPr>
                <w:p w14:paraId="2F5838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12</w:t>
                  </w:r>
                </w:p>
              </w:tc>
              <w:tc>
                <w:tcPr>
                  <w:tcW w:w="365" w:type="pct"/>
                  <w:vAlign w:val="center"/>
                </w:tcPr>
                <w:p w14:paraId="3DDC2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tr w14:paraId="71B1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269" w:type="pct"/>
                  <w:vAlign w:val="center"/>
                </w:tcPr>
                <w:p w14:paraId="0EAFC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17</w:t>
                  </w:r>
                </w:p>
              </w:tc>
              <w:tc>
                <w:tcPr>
                  <w:tcW w:w="1148" w:type="pct"/>
                  <w:vAlign w:val="center"/>
                </w:tcPr>
                <w:p w14:paraId="6E654F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鹅叫</w:t>
                  </w:r>
                </w:p>
              </w:tc>
              <w:tc>
                <w:tcPr>
                  <w:tcW w:w="538" w:type="pct"/>
                  <w:vAlign w:val="center"/>
                </w:tcPr>
                <w:p w14:paraId="44F17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494" w:type="pct"/>
                  <w:vAlign w:val="center"/>
                </w:tcPr>
                <w:p w14:paraId="18CF0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60</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70</w:t>
                  </w:r>
                </w:p>
              </w:tc>
              <w:tc>
                <w:tcPr>
                  <w:tcW w:w="836" w:type="pct"/>
                  <w:vMerge w:val="continue"/>
                  <w:vAlign w:val="center"/>
                </w:tcPr>
                <w:p w14:paraId="3FC77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p>
              </w:tc>
              <w:tc>
                <w:tcPr>
                  <w:tcW w:w="424" w:type="pct"/>
                  <w:vAlign w:val="center"/>
                </w:tcPr>
                <w:p w14:paraId="0F34A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频发</w:t>
                  </w:r>
                </w:p>
              </w:tc>
              <w:tc>
                <w:tcPr>
                  <w:tcW w:w="447" w:type="pct"/>
                  <w:vAlign w:val="center"/>
                </w:tcPr>
                <w:p w14:paraId="19132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5</w:t>
                  </w:r>
                </w:p>
              </w:tc>
              <w:tc>
                <w:tcPr>
                  <w:tcW w:w="475" w:type="pct"/>
                  <w:vAlign w:val="center"/>
                </w:tcPr>
                <w:p w14:paraId="5994B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14</w:t>
                  </w:r>
                </w:p>
              </w:tc>
              <w:tc>
                <w:tcPr>
                  <w:tcW w:w="365" w:type="pct"/>
                  <w:vAlign w:val="center"/>
                </w:tcPr>
                <w:p w14:paraId="402FE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1.5</w:t>
                  </w:r>
                </w:p>
              </w:tc>
            </w:tr>
            <w:bookmarkEnd w:id="181"/>
            <w:bookmarkEnd w:id="182"/>
            <w:tr w14:paraId="6FF6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vAlign w:val="center"/>
                </w:tcPr>
                <w:p w14:paraId="7D1A7B7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注：</w:t>
                  </w:r>
                </w:p>
                <w:p w14:paraId="4C59DF7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以项目主要生产厂房室内南边界为X轴，室内西边界为Y轴，车间西南地面夹角为原点，建立空间直角坐标系</w:t>
                  </w:r>
                  <w:r>
                    <w:rPr>
                      <w:rFonts w:hint="eastAsia" w:cs="Times New Roman"/>
                      <w:color w:val="auto"/>
                      <w:sz w:val="21"/>
                      <w:szCs w:val="21"/>
                      <w:u w:val="single" w:color="auto"/>
                      <w:lang w:val="en-US" w:eastAsia="zh-CN"/>
                    </w:rPr>
                    <w:t>；</w:t>
                  </w:r>
                </w:p>
                <w:p w14:paraId="12C3737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2.本项目猪、牛、鸡、鸭、鹅待宰量较多，且较为分散，故其噪声源本项目视为点源进行分析</w:t>
                  </w:r>
                </w:p>
              </w:tc>
            </w:tr>
          </w:tbl>
          <w:p w14:paraId="1E7EE1E8">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根据《环境影响评价技术导则 声环境》（HJ 2.4-2021）将工业企业噪声源强调查清单列表如下表。</w:t>
            </w:r>
          </w:p>
          <w:p w14:paraId="15713E0F">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-2 工业企业噪声源强调查清单（室内声源）</w:t>
            </w:r>
          </w:p>
          <w:tbl>
            <w:tblPr>
              <w:tblStyle w:val="22"/>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559"/>
              <w:gridCol w:w="920"/>
              <w:gridCol w:w="688"/>
              <w:gridCol w:w="709"/>
              <w:gridCol w:w="490"/>
              <w:gridCol w:w="719"/>
              <w:gridCol w:w="910"/>
              <w:gridCol w:w="499"/>
              <w:gridCol w:w="860"/>
              <w:gridCol w:w="901"/>
              <w:gridCol w:w="864"/>
            </w:tblGrid>
            <w:tr w14:paraId="4D1B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trPr>
              <w:tc>
                <w:tcPr>
                  <w:tcW w:w="277" w:type="pct"/>
                  <w:vMerge w:val="restart"/>
                  <w:noWrap w:val="0"/>
                  <w:vAlign w:val="center"/>
                </w:tcPr>
                <w:p w14:paraId="413466E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序号</w:t>
                  </w:r>
                </w:p>
              </w:tc>
              <w:tc>
                <w:tcPr>
                  <w:tcW w:w="325" w:type="pct"/>
                  <w:vMerge w:val="restart"/>
                  <w:noWrap w:val="0"/>
                  <w:vAlign w:val="center"/>
                </w:tcPr>
                <w:p w14:paraId="2047C1D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建筑物名称</w:t>
                  </w:r>
                </w:p>
              </w:tc>
              <w:tc>
                <w:tcPr>
                  <w:tcW w:w="535" w:type="pct"/>
                  <w:vMerge w:val="restart"/>
                  <w:noWrap w:val="0"/>
                  <w:vAlign w:val="center"/>
                </w:tcPr>
                <w:p w14:paraId="43A5B0E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声源名称</w:t>
                  </w:r>
                </w:p>
              </w:tc>
              <w:tc>
                <w:tcPr>
                  <w:tcW w:w="400" w:type="pct"/>
                  <w:vMerge w:val="restart"/>
                  <w:noWrap w:val="0"/>
                  <w:vAlign w:val="center"/>
                </w:tcPr>
                <w:p w14:paraId="3366BB5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声功率级</w:t>
                  </w:r>
                  <w:r>
                    <w:rPr>
                      <w:rFonts w:hint="default" w:ascii="Times New Roman" w:hAnsi="Times New Roman" w:cs="Times New Roman"/>
                      <w:color w:val="auto"/>
                      <w:sz w:val="21"/>
                      <w:szCs w:val="21"/>
                      <w:u w:val="none" w:color="auto"/>
                      <w:lang w:val="en-US" w:eastAsia="zh-CN"/>
                    </w:rPr>
                    <w:t>/</w:t>
                  </w:r>
                  <w:r>
                    <w:rPr>
                      <w:rFonts w:ascii="Times New Roman" w:hAnsi="Times New Roman" w:cs="Times New Roman"/>
                      <w:color w:val="auto"/>
                      <w:sz w:val="21"/>
                      <w:szCs w:val="21"/>
                      <w:u w:val="none" w:color="auto"/>
                    </w:rPr>
                    <w:t>dB</w:t>
                  </w:r>
                  <w:r>
                    <w:rPr>
                      <w:rFonts w:hint="default" w:ascii="Times New Roman" w:hAnsi="Times New Roman" w:cs="Times New Roman"/>
                      <w:color w:val="auto"/>
                      <w:sz w:val="21"/>
                      <w:szCs w:val="21"/>
                      <w:u w:val="none" w:color="auto"/>
                    </w:rPr>
                    <w:t>（</w:t>
                  </w:r>
                  <w:r>
                    <w:rPr>
                      <w:rFonts w:ascii="Times New Roman" w:hAnsi="Times New Roman" w:cs="Times New Roman"/>
                      <w:color w:val="auto"/>
                      <w:sz w:val="21"/>
                      <w:szCs w:val="21"/>
                      <w:u w:val="none" w:color="auto"/>
                    </w:rPr>
                    <w:t>A</w:t>
                  </w:r>
                  <w:r>
                    <w:rPr>
                      <w:rFonts w:hint="default" w:ascii="Times New Roman" w:hAnsi="Times New Roman" w:cs="Times New Roman"/>
                      <w:color w:val="auto"/>
                      <w:sz w:val="21"/>
                      <w:szCs w:val="21"/>
                      <w:u w:val="none" w:color="auto"/>
                    </w:rPr>
                    <w:t>）</w:t>
                  </w:r>
                </w:p>
              </w:tc>
              <w:tc>
                <w:tcPr>
                  <w:tcW w:w="412" w:type="pct"/>
                  <w:vMerge w:val="restart"/>
                  <w:noWrap w:val="0"/>
                  <w:vAlign w:val="center"/>
                </w:tcPr>
                <w:p w14:paraId="2B62237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声源控制措施</w:t>
                  </w:r>
                </w:p>
              </w:tc>
              <w:tc>
                <w:tcPr>
                  <w:tcW w:w="703" w:type="pct"/>
                  <w:gridSpan w:val="2"/>
                  <w:vMerge w:val="restart"/>
                  <w:noWrap w:val="0"/>
                  <w:vAlign w:val="center"/>
                </w:tcPr>
                <w:p w14:paraId="2E8D1B2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eastAsia="zh-CN"/>
                    </w:rPr>
                  </w:pPr>
                  <w:r>
                    <w:rPr>
                      <w:rFonts w:ascii="Times New Roman" w:hAnsi="Times New Roman" w:cs="Times New Roman"/>
                      <w:color w:val="auto"/>
                      <w:sz w:val="21"/>
                      <w:szCs w:val="21"/>
                      <w:u w:val="none" w:color="auto"/>
                    </w:rPr>
                    <w:t>距室内边界距离</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lang w:val="en-US" w:eastAsia="zh-CN"/>
                    </w:rPr>
                    <w:t>m</w:t>
                  </w:r>
                  <w:r>
                    <w:rPr>
                      <w:rFonts w:hint="default" w:ascii="Times New Roman" w:hAnsi="Times New Roman" w:cs="Times New Roman"/>
                      <w:color w:val="auto"/>
                      <w:sz w:val="21"/>
                      <w:szCs w:val="21"/>
                      <w:u w:val="none" w:color="auto"/>
                      <w:lang w:eastAsia="zh-CN"/>
                    </w:rPr>
                    <w:t>）</w:t>
                  </w:r>
                </w:p>
              </w:tc>
              <w:tc>
                <w:tcPr>
                  <w:tcW w:w="529" w:type="pct"/>
                  <w:vMerge w:val="restart"/>
                  <w:noWrap w:val="0"/>
                  <w:vAlign w:val="center"/>
                </w:tcPr>
                <w:p w14:paraId="311FA91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室内边界声级</w:t>
                  </w:r>
                  <w:r>
                    <w:rPr>
                      <w:rFonts w:hint="default" w:ascii="Times New Roman" w:hAnsi="Times New Roman" w:cs="Times New Roman"/>
                      <w:color w:val="auto"/>
                      <w:sz w:val="21"/>
                      <w:szCs w:val="21"/>
                      <w:u w:val="none" w:color="auto"/>
                      <w:lang w:val="en-US" w:eastAsia="zh-CN"/>
                    </w:rPr>
                    <w:t>/</w:t>
                  </w:r>
                  <w:r>
                    <w:rPr>
                      <w:rFonts w:ascii="Times New Roman" w:hAnsi="Times New Roman" w:cs="Times New Roman"/>
                      <w:color w:val="auto"/>
                      <w:sz w:val="21"/>
                      <w:szCs w:val="21"/>
                      <w:u w:val="none" w:color="auto"/>
                    </w:rPr>
                    <w:t>dB</w:t>
                  </w:r>
                  <w:r>
                    <w:rPr>
                      <w:rFonts w:hint="default" w:ascii="Times New Roman" w:hAnsi="Times New Roman" w:cs="Times New Roman"/>
                      <w:color w:val="auto"/>
                      <w:sz w:val="21"/>
                      <w:szCs w:val="21"/>
                      <w:u w:val="none" w:color="auto"/>
                    </w:rPr>
                    <w:t>（</w:t>
                  </w:r>
                  <w:r>
                    <w:rPr>
                      <w:rFonts w:ascii="Times New Roman" w:hAnsi="Times New Roman" w:cs="Times New Roman"/>
                      <w:color w:val="auto"/>
                      <w:sz w:val="21"/>
                      <w:szCs w:val="21"/>
                      <w:u w:val="none" w:color="auto"/>
                    </w:rPr>
                    <w:t>A</w:t>
                  </w:r>
                  <w:r>
                    <w:rPr>
                      <w:rFonts w:hint="default" w:ascii="Times New Roman" w:hAnsi="Times New Roman" w:cs="Times New Roman"/>
                      <w:color w:val="auto"/>
                      <w:sz w:val="21"/>
                      <w:szCs w:val="21"/>
                      <w:u w:val="none" w:color="auto"/>
                    </w:rPr>
                    <w:t>）</w:t>
                  </w:r>
                </w:p>
              </w:tc>
              <w:tc>
                <w:tcPr>
                  <w:tcW w:w="290" w:type="pct"/>
                  <w:vMerge w:val="restart"/>
                  <w:noWrap w:val="0"/>
                  <w:vAlign w:val="center"/>
                </w:tcPr>
                <w:p w14:paraId="5EA4FCF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运行时段</w:t>
                  </w:r>
                </w:p>
              </w:tc>
              <w:tc>
                <w:tcPr>
                  <w:tcW w:w="500" w:type="pct"/>
                  <w:vMerge w:val="restart"/>
                  <w:noWrap w:val="0"/>
                  <w:vAlign w:val="center"/>
                </w:tcPr>
                <w:p w14:paraId="4AE2919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建筑物插入损失/dB（A）</w:t>
                  </w:r>
                </w:p>
              </w:tc>
              <w:tc>
                <w:tcPr>
                  <w:tcW w:w="1026" w:type="pct"/>
                  <w:gridSpan w:val="2"/>
                  <w:noWrap w:val="0"/>
                  <w:vAlign w:val="center"/>
                </w:tcPr>
                <w:p w14:paraId="72ADB28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建筑物外声压级</w:t>
                  </w:r>
                </w:p>
              </w:tc>
            </w:tr>
            <w:tr w14:paraId="7D21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continue"/>
                  <w:noWrap w:val="0"/>
                  <w:vAlign w:val="center"/>
                </w:tcPr>
                <w:p w14:paraId="1C2870F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409C0D2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0C47A94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1104F8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EBC328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703" w:type="pct"/>
                  <w:gridSpan w:val="2"/>
                  <w:vMerge w:val="continue"/>
                  <w:noWrap w:val="0"/>
                  <w:vAlign w:val="center"/>
                </w:tcPr>
                <w:p w14:paraId="1B4178F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29" w:type="pct"/>
                  <w:vMerge w:val="continue"/>
                  <w:noWrap w:val="0"/>
                  <w:vAlign w:val="center"/>
                </w:tcPr>
                <w:p w14:paraId="06FB0B7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90" w:type="pct"/>
                  <w:vMerge w:val="continue"/>
                  <w:noWrap w:val="0"/>
                  <w:vAlign w:val="center"/>
                </w:tcPr>
                <w:p w14:paraId="1F9C900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00" w:type="pct"/>
                  <w:vMerge w:val="continue"/>
                  <w:noWrap w:val="0"/>
                  <w:vAlign w:val="center"/>
                </w:tcPr>
                <w:p w14:paraId="12AE9A7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24" w:type="pct"/>
                  <w:noWrap w:val="0"/>
                  <w:vAlign w:val="center"/>
                </w:tcPr>
                <w:p w14:paraId="442A923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声压级/dB（A）</w:t>
                  </w:r>
                </w:p>
              </w:tc>
              <w:tc>
                <w:tcPr>
                  <w:tcW w:w="502" w:type="pct"/>
                  <w:noWrap w:val="0"/>
                  <w:vAlign w:val="center"/>
                </w:tcPr>
                <w:p w14:paraId="2AC188E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建筑物外距离</w:t>
                  </w:r>
                </w:p>
              </w:tc>
            </w:tr>
            <w:tr w14:paraId="1823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5200319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w:t>
                  </w:r>
                </w:p>
              </w:tc>
              <w:tc>
                <w:tcPr>
                  <w:tcW w:w="325" w:type="pct"/>
                  <w:vMerge w:val="restart"/>
                  <w:noWrap w:val="0"/>
                  <w:vAlign w:val="center"/>
                </w:tcPr>
                <w:p w14:paraId="7554A8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生产车间</w:t>
                  </w:r>
                </w:p>
              </w:tc>
              <w:tc>
                <w:tcPr>
                  <w:tcW w:w="535" w:type="pct"/>
                  <w:vMerge w:val="restart"/>
                  <w:noWrap w:val="0"/>
                  <w:vAlign w:val="center"/>
                </w:tcPr>
                <w:p w14:paraId="7CECEB82">
                  <w:pPr>
                    <w:pStyle w:val="11"/>
                    <w:adjustRightInd/>
                    <w:snapToGrid/>
                    <w:spacing w:line="240" w:lineRule="auto"/>
                    <w:ind w:left="0" w:leftChars="0" w:firstLine="0" w:firstLineChars="0"/>
                    <w:jc w:val="center"/>
                    <w:rPr>
                      <w:rFonts w:ascii="Times New Roman" w:hAnsi="Times New Roman" w:cs="Times New Roman"/>
                      <w:color w:val="auto"/>
                      <w:sz w:val="21"/>
                      <w:szCs w:val="21"/>
                      <w:u w:val="none" w:color="auto"/>
                    </w:rPr>
                  </w:pPr>
                  <w:r>
                    <w:rPr>
                      <w:rFonts w:hint="eastAsia"/>
                      <w:color w:val="auto"/>
                      <w:szCs w:val="24"/>
                      <w:u w:val="none"/>
                    </w:rPr>
                    <w:t>畜类</w:t>
                  </w:r>
                  <w:r>
                    <w:rPr>
                      <w:rFonts w:hint="default" w:ascii="Times New Roman" w:hAnsi="Times New Roman" w:eastAsia="宋体" w:cs="Times New Roman"/>
                      <w:bCs w:val="0"/>
                      <w:color w:val="auto"/>
                      <w:spacing w:val="0"/>
                      <w:kern w:val="0"/>
                      <w:sz w:val="21"/>
                      <w:szCs w:val="21"/>
                      <w:u w:val="none" w:color="auto"/>
                      <w:lang w:val="en-US" w:eastAsia="zh-CN" w:bidi="ar-SA"/>
                    </w:rPr>
                    <w:t>脱毛机</w:t>
                  </w:r>
                  <w:r>
                    <w:rPr>
                      <w:rFonts w:hint="eastAsia" w:cs="Times New Roman"/>
                      <w:bCs w:val="0"/>
                      <w:color w:val="auto"/>
                      <w:spacing w:val="0"/>
                      <w:kern w:val="0"/>
                      <w:sz w:val="21"/>
                      <w:szCs w:val="21"/>
                      <w:u w:val="none" w:color="auto"/>
                      <w:lang w:val="en-US" w:eastAsia="zh-CN" w:bidi="ar-SA"/>
                    </w:rPr>
                    <w:t>1</w:t>
                  </w:r>
                </w:p>
              </w:tc>
              <w:tc>
                <w:tcPr>
                  <w:tcW w:w="400" w:type="pct"/>
                  <w:vMerge w:val="restart"/>
                  <w:noWrap w:val="0"/>
                  <w:vAlign w:val="center"/>
                </w:tcPr>
                <w:p w14:paraId="448ED20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779DB24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13D012B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036882B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w:t>
                  </w:r>
                </w:p>
              </w:tc>
              <w:tc>
                <w:tcPr>
                  <w:tcW w:w="910" w:type="dxa"/>
                  <w:noWrap w:val="0"/>
                  <w:vAlign w:val="center"/>
                </w:tcPr>
                <w:p w14:paraId="78FC5E9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58.98 </w:t>
                  </w:r>
                </w:p>
              </w:tc>
              <w:tc>
                <w:tcPr>
                  <w:tcW w:w="290" w:type="pct"/>
                  <w:vMerge w:val="restart"/>
                  <w:noWrap w:val="0"/>
                  <w:vAlign w:val="center"/>
                </w:tcPr>
                <w:p w14:paraId="6677515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02905B9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E26DDC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38.98 </w:t>
                  </w:r>
                </w:p>
              </w:tc>
              <w:tc>
                <w:tcPr>
                  <w:tcW w:w="502" w:type="pct"/>
                  <w:noWrap w:val="0"/>
                  <w:vAlign w:val="center"/>
                </w:tcPr>
                <w:p w14:paraId="5836FB8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110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77" w:type="pct"/>
                  <w:vMerge w:val="continue"/>
                  <w:noWrap w:val="0"/>
                  <w:vAlign w:val="center"/>
                </w:tcPr>
                <w:p w14:paraId="6479243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B1752A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2E457C6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3BD93B6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91F4CE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C5912A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07C7208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w:t>
                  </w:r>
                </w:p>
              </w:tc>
              <w:tc>
                <w:tcPr>
                  <w:tcW w:w="910" w:type="dxa"/>
                  <w:noWrap w:val="0"/>
                  <w:vAlign w:val="center"/>
                </w:tcPr>
                <w:p w14:paraId="15DA4B8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66.94 </w:t>
                  </w:r>
                </w:p>
              </w:tc>
              <w:tc>
                <w:tcPr>
                  <w:tcW w:w="290" w:type="pct"/>
                  <w:vMerge w:val="continue"/>
                  <w:noWrap w:val="0"/>
                  <w:vAlign w:val="center"/>
                </w:tcPr>
                <w:p w14:paraId="56D0218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00" w:type="pct"/>
                  <w:noWrap w:val="0"/>
                  <w:vAlign w:val="center"/>
                </w:tcPr>
                <w:p w14:paraId="31F1DC0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1720FD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46.94 </w:t>
                  </w:r>
                </w:p>
              </w:tc>
              <w:tc>
                <w:tcPr>
                  <w:tcW w:w="502" w:type="pct"/>
                  <w:noWrap w:val="0"/>
                  <w:vAlign w:val="center"/>
                </w:tcPr>
                <w:p w14:paraId="594FC74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14:paraId="1337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 w:type="pct"/>
                  <w:vMerge w:val="continue"/>
                  <w:noWrap w:val="0"/>
                  <w:vAlign w:val="center"/>
                </w:tcPr>
                <w:p w14:paraId="4D5B08A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C48B45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1194ABD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2CDF87C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675C151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7E0DCC6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409D3BD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w:t>
                  </w:r>
                </w:p>
              </w:tc>
              <w:tc>
                <w:tcPr>
                  <w:tcW w:w="910" w:type="dxa"/>
                  <w:noWrap w:val="0"/>
                  <w:vAlign w:val="center"/>
                </w:tcPr>
                <w:p w14:paraId="44551E6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58.98 </w:t>
                  </w:r>
                </w:p>
              </w:tc>
              <w:tc>
                <w:tcPr>
                  <w:tcW w:w="290" w:type="pct"/>
                  <w:vMerge w:val="continue"/>
                  <w:noWrap w:val="0"/>
                  <w:vAlign w:val="center"/>
                </w:tcPr>
                <w:p w14:paraId="0B81B4D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00" w:type="pct"/>
                  <w:noWrap w:val="0"/>
                  <w:vAlign w:val="center"/>
                </w:tcPr>
                <w:p w14:paraId="7B8B932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14CF102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38.98 </w:t>
                  </w:r>
                </w:p>
              </w:tc>
              <w:tc>
                <w:tcPr>
                  <w:tcW w:w="502" w:type="pct"/>
                  <w:noWrap w:val="0"/>
                  <w:vAlign w:val="center"/>
                </w:tcPr>
                <w:p w14:paraId="711D637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14:paraId="7FF5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continue"/>
                  <w:noWrap w:val="0"/>
                  <w:vAlign w:val="center"/>
                </w:tcPr>
                <w:p w14:paraId="5AAEBE2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6B09C88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0CD5B11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EE8ADA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B30930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0EEFC4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7929C9E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12</w:t>
                  </w:r>
                </w:p>
              </w:tc>
              <w:tc>
                <w:tcPr>
                  <w:tcW w:w="910" w:type="dxa"/>
                  <w:noWrap w:val="0"/>
                  <w:vAlign w:val="center"/>
                </w:tcPr>
                <w:p w14:paraId="1C1E640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63.42 </w:t>
                  </w:r>
                </w:p>
              </w:tc>
              <w:tc>
                <w:tcPr>
                  <w:tcW w:w="290" w:type="pct"/>
                  <w:vMerge w:val="continue"/>
                  <w:noWrap w:val="0"/>
                  <w:vAlign w:val="center"/>
                </w:tcPr>
                <w:p w14:paraId="18787DD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00" w:type="pct"/>
                  <w:noWrap w:val="0"/>
                  <w:vAlign w:val="center"/>
                </w:tcPr>
                <w:p w14:paraId="4B74DE2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23B26D6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43.42 </w:t>
                  </w:r>
                </w:p>
              </w:tc>
              <w:tc>
                <w:tcPr>
                  <w:tcW w:w="502" w:type="pct"/>
                  <w:noWrap w:val="0"/>
                  <w:vAlign w:val="center"/>
                </w:tcPr>
                <w:p w14:paraId="635ED00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14:paraId="19B8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4BB1404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w:t>
                  </w:r>
                </w:p>
              </w:tc>
              <w:tc>
                <w:tcPr>
                  <w:tcW w:w="325" w:type="pct"/>
                  <w:vMerge w:val="continue"/>
                  <w:noWrap w:val="0"/>
                  <w:vAlign w:val="center"/>
                </w:tcPr>
                <w:p w14:paraId="7DC2AD0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1EE0DFA6">
                  <w:pPr>
                    <w:pStyle w:val="11"/>
                    <w:adjustRightInd/>
                    <w:snapToGrid/>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olor w:val="auto"/>
                      <w:szCs w:val="24"/>
                      <w:u w:val="none"/>
                    </w:rPr>
                    <w:t>畜类</w:t>
                  </w:r>
                  <w:r>
                    <w:rPr>
                      <w:rFonts w:hint="default" w:ascii="Times New Roman" w:hAnsi="Times New Roman" w:eastAsia="宋体" w:cs="Times New Roman"/>
                      <w:bCs w:val="0"/>
                      <w:color w:val="auto"/>
                      <w:spacing w:val="0"/>
                      <w:kern w:val="0"/>
                      <w:sz w:val="21"/>
                      <w:szCs w:val="21"/>
                      <w:u w:val="none" w:color="auto"/>
                      <w:lang w:val="en-US" w:eastAsia="zh-CN" w:bidi="ar-SA"/>
                    </w:rPr>
                    <w:t>脱毛机</w:t>
                  </w:r>
                  <w:r>
                    <w:rPr>
                      <w:rFonts w:hint="eastAsia" w:cs="Times New Roman"/>
                      <w:bCs w:val="0"/>
                      <w:color w:val="auto"/>
                      <w:spacing w:val="0"/>
                      <w:kern w:val="0"/>
                      <w:sz w:val="21"/>
                      <w:szCs w:val="21"/>
                      <w:u w:val="none" w:color="auto"/>
                      <w:lang w:val="en-US" w:eastAsia="zh-CN" w:bidi="ar-SA"/>
                    </w:rPr>
                    <w:t>2</w:t>
                  </w:r>
                </w:p>
              </w:tc>
              <w:tc>
                <w:tcPr>
                  <w:tcW w:w="400" w:type="pct"/>
                  <w:vMerge w:val="restart"/>
                  <w:noWrap w:val="0"/>
                  <w:vAlign w:val="center"/>
                </w:tcPr>
                <w:p w14:paraId="5169957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794DB09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6F8606E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0E1DC6B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20</w:t>
                  </w:r>
                </w:p>
              </w:tc>
              <w:tc>
                <w:tcPr>
                  <w:tcW w:w="910" w:type="dxa"/>
                  <w:noWrap w:val="0"/>
                  <w:vAlign w:val="center"/>
                </w:tcPr>
                <w:p w14:paraId="10FB730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58.98 </w:t>
                  </w:r>
                </w:p>
              </w:tc>
              <w:tc>
                <w:tcPr>
                  <w:tcW w:w="290" w:type="pct"/>
                  <w:vMerge w:val="restart"/>
                  <w:noWrap w:val="0"/>
                  <w:vAlign w:val="center"/>
                </w:tcPr>
                <w:p w14:paraId="4171DB6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6A83EFF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6F72B1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38.98 </w:t>
                  </w:r>
                </w:p>
              </w:tc>
              <w:tc>
                <w:tcPr>
                  <w:tcW w:w="502" w:type="pct"/>
                  <w:noWrap w:val="0"/>
                  <w:vAlign w:val="center"/>
                </w:tcPr>
                <w:p w14:paraId="62856D8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14:paraId="4176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continue"/>
                  <w:noWrap w:val="0"/>
                  <w:vAlign w:val="center"/>
                </w:tcPr>
                <w:p w14:paraId="4C2BF4A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60401F7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30B2940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AB8B4A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45DCB8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85CF9C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2B25FDA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w:t>
                  </w:r>
                </w:p>
              </w:tc>
              <w:tc>
                <w:tcPr>
                  <w:tcW w:w="910" w:type="dxa"/>
                  <w:noWrap w:val="0"/>
                  <w:vAlign w:val="center"/>
                </w:tcPr>
                <w:p w14:paraId="592F02E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72.96 </w:t>
                  </w:r>
                </w:p>
              </w:tc>
              <w:tc>
                <w:tcPr>
                  <w:tcW w:w="290" w:type="pct"/>
                  <w:vMerge w:val="continue"/>
                  <w:noWrap w:val="0"/>
                  <w:vAlign w:val="center"/>
                </w:tcPr>
                <w:p w14:paraId="1D37F00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27D8ECF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3CAD0B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52.96 </w:t>
                  </w:r>
                </w:p>
              </w:tc>
              <w:tc>
                <w:tcPr>
                  <w:tcW w:w="502" w:type="pct"/>
                  <w:noWrap w:val="0"/>
                  <w:vAlign w:val="center"/>
                </w:tcPr>
                <w:p w14:paraId="39671AA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14:paraId="5B79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CABDF3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E1C495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0A27C97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2610E4E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B0BEFC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4E32343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45A76AF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20</w:t>
                  </w:r>
                </w:p>
              </w:tc>
              <w:tc>
                <w:tcPr>
                  <w:tcW w:w="910" w:type="dxa"/>
                  <w:noWrap w:val="0"/>
                  <w:vAlign w:val="center"/>
                </w:tcPr>
                <w:p w14:paraId="2A0A96E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58.98 </w:t>
                  </w:r>
                </w:p>
              </w:tc>
              <w:tc>
                <w:tcPr>
                  <w:tcW w:w="290" w:type="pct"/>
                  <w:vMerge w:val="continue"/>
                  <w:noWrap w:val="0"/>
                  <w:vAlign w:val="center"/>
                </w:tcPr>
                <w:p w14:paraId="22674B3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3A330C8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23869EA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38.98 </w:t>
                  </w:r>
                </w:p>
              </w:tc>
              <w:tc>
                <w:tcPr>
                  <w:tcW w:w="502" w:type="pct"/>
                  <w:noWrap w:val="0"/>
                  <w:vAlign w:val="center"/>
                </w:tcPr>
                <w:p w14:paraId="5D957D6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14:paraId="544B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68ECA9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1C89B95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5BF4C20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6BDC9F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E037C7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B18BDA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0D104DB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16</w:t>
                  </w:r>
                </w:p>
              </w:tc>
              <w:tc>
                <w:tcPr>
                  <w:tcW w:w="910" w:type="dxa"/>
                  <w:noWrap w:val="0"/>
                  <w:vAlign w:val="center"/>
                </w:tcPr>
                <w:p w14:paraId="3FB50ED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60.92 </w:t>
                  </w:r>
                </w:p>
              </w:tc>
              <w:tc>
                <w:tcPr>
                  <w:tcW w:w="290" w:type="pct"/>
                  <w:vMerge w:val="continue"/>
                  <w:noWrap w:val="0"/>
                  <w:vAlign w:val="center"/>
                </w:tcPr>
                <w:p w14:paraId="319E0FB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6EAB8C7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C182FA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40.92 </w:t>
                  </w:r>
                </w:p>
              </w:tc>
              <w:tc>
                <w:tcPr>
                  <w:tcW w:w="502" w:type="pct"/>
                  <w:noWrap w:val="0"/>
                  <w:vAlign w:val="center"/>
                </w:tcPr>
                <w:p w14:paraId="0E7D5FF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14:paraId="6DC0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0E32BFD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3</w:t>
                  </w:r>
                </w:p>
              </w:tc>
              <w:tc>
                <w:tcPr>
                  <w:tcW w:w="325" w:type="pct"/>
                  <w:vMerge w:val="continue"/>
                  <w:noWrap w:val="0"/>
                  <w:vAlign w:val="center"/>
                </w:tcPr>
                <w:p w14:paraId="63B1D01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5364FBC5">
                  <w:pPr>
                    <w:pStyle w:val="11"/>
                    <w:adjustRightInd/>
                    <w:snapToGrid/>
                    <w:spacing w:line="240" w:lineRule="auto"/>
                    <w:ind w:left="0" w:leftChars="0" w:firstLine="0" w:firstLineChars="0"/>
                    <w:jc w:val="center"/>
                    <w:rPr>
                      <w:rFonts w:ascii="Times New Roman" w:hAnsi="Times New Roman" w:cs="Times New Roman"/>
                      <w:color w:val="auto"/>
                      <w:sz w:val="21"/>
                      <w:szCs w:val="21"/>
                      <w:u w:val="none" w:color="auto"/>
                    </w:rPr>
                  </w:pPr>
                  <w:r>
                    <w:rPr>
                      <w:rFonts w:hint="default" w:ascii="Times New Roman" w:hAnsi="Times New Roman" w:eastAsia="宋体" w:cs="Times New Roman"/>
                      <w:bCs w:val="0"/>
                      <w:color w:val="auto"/>
                      <w:spacing w:val="0"/>
                      <w:kern w:val="0"/>
                      <w:sz w:val="21"/>
                      <w:szCs w:val="21"/>
                      <w:u w:val="none" w:color="auto"/>
                      <w:lang w:val="en-US" w:eastAsia="zh-CN" w:bidi="ar-SA"/>
                    </w:rPr>
                    <w:t>高压清洗器</w:t>
                  </w:r>
                  <w:r>
                    <w:rPr>
                      <w:rFonts w:hint="eastAsia" w:cs="Times New Roman"/>
                      <w:bCs w:val="0"/>
                      <w:color w:val="auto"/>
                      <w:spacing w:val="0"/>
                      <w:kern w:val="0"/>
                      <w:sz w:val="21"/>
                      <w:szCs w:val="21"/>
                      <w:u w:val="none" w:color="auto"/>
                      <w:lang w:val="en-US" w:eastAsia="zh-CN" w:bidi="ar-SA"/>
                    </w:rPr>
                    <w:t>1</w:t>
                  </w:r>
                </w:p>
              </w:tc>
              <w:tc>
                <w:tcPr>
                  <w:tcW w:w="400" w:type="pct"/>
                  <w:vMerge w:val="restart"/>
                  <w:noWrap w:val="0"/>
                  <w:vAlign w:val="center"/>
                </w:tcPr>
                <w:p w14:paraId="32EFA40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rPr>
                  </w:pPr>
                  <w:r>
                    <w:rPr>
                      <w:rFonts w:hint="eastAsia" w:ascii="Times New Roman" w:hAnsi="Times New Roman" w:cs="Times New Roman"/>
                      <w:color w:val="auto"/>
                      <w:sz w:val="21"/>
                      <w:szCs w:val="21"/>
                      <w:u w:val="none" w:color="auto"/>
                      <w:lang w:val="en-US" w:eastAsia="zh-CN"/>
                    </w:rPr>
                    <w:t>80</w:t>
                  </w:r>
                </w:p>
              </w:tc>
              <w:tc>
                <w:tcPr>
                  <w:tcW w:w="412" w:type="pct"/>
                  <w:vMerge w:val="restart"/>
                  <w:noWrap w:val="0"/>
                  <w:vAlign w:val="center"/>
                </w:tcPr>
                <w:p w14:paraId="6877944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4E8E405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2D29B10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910" w:type="dxa"/>
                  <w:noWrap w:val="0"/>
                  <w:vAlign w:val="center"/>
                </w:tcPr>
                <w:p w14:paraId="010976D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56.48 </w:t>
                  </w:r>
                </w:p>
              </w:tc>
              <w:tc>
                <w:tcPr>
                  <w:tcW w:w="290" w:type="pct"/>
                  <w:vMerge w:val="restart"/>
                  <w:noWrap w:val="0"/>
                  <w:vAlign w:val="center"/>
                </w:tcPr>
                <w:p w14:paraId="01AEB7E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3BCBFAF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AB2921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36.48 </w:t>
                  </w:r>
                </w:p>
              </w:tc>
              <w:tc>
                <w:tcPr>
                  <w:tcW w:w="502" w:type="pct"/>
                  <w:noWrap w:val="0"/>
                  <w:vAlign w:val="center"/>
                </w:tcPr>
                <w:p w14:paraId="55830E0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57A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12113B0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1E3B84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B88DC0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4F4567C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D604C7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33BC50A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3ED768E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w:t>
                  </w:r>
                </w:p>
              </w:tc>
              <w:tc>
                <w:tcPr>
                  <w:tcW w:w="910" w:type="dxa"/>
                  <w:noWrap w:val="0"/>
                  <w:vAlign w:val="center"/>
                </w:tcPr>
                <w:p w14:paraId="6853874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61.94 </w:t>
                  </w:r>
                </w:p>
              </w:tc>
              <w:tc>
                <w:tcPr>
                  <w:tcW w:w="290" w:type="pct"/>
                  <w:vMerge w:val="continue"/>
                  <w:noWrap w:val="0"/>
                  <w:vAlign w:val="center"/>
                </w:tcPr>
                <w:p w14:paraId="7F6CDEF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0B216BC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2DD8839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41.94 </w:t>
                  </w:r>
                </w:p>
              </w:tc>
              <w:tc>
                <w:tcPr>
                  <w:tcW w:w="502" w:type="pct"/>
                  <w:noWrap w:val="0"/>
                  <w:vAlign w:val="center"/>
                </w:tcPr>
                <w:p w14:paraId="226739E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5CE9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EEF450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18CB66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0B3F20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233F68A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89E951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3CFC90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24B2B30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910" w:type="dxa"/>
                  <w:noWrap w:val="0"/>
                  <w:vAlign w:val="center"/>
                </w:tcPr>
                <w:p w14:paraId="260CD96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52.04 </w:t>
                  </w:r>
                </w:p>
              </w:tc>
              <w:tc>
                <w:tcPr>
                  <w:tcW w:w="290" w:type="pct"/>
                  <w:vMerge w:val="continue"/>
                  <w:noWrap w:val="0"/>
                  <w:vAlign w:val="center"/>
                </w:tcPr>
                <w:p w14:paraId="4867655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0744158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E74B81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32.04 </w:t>
                  </w:r>
                </w:p>
              </w:tc>
              <w:tc>
                <w:tcPr>
                  <w:tcW w:w="502" w:type="pct"/>
                  <w:noWrap w:val="0"/>
                  <w:vAlign w:val="center"/>
                </w:tcPr>
                <w:p w14:paraId="2A755B8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5BDF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67FAA96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1D81D2F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0DDB063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2DC61CB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3B7C30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65BAA7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7EA4C4A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w:t>
                  </w:r>
                </w:p>
              </w:tc>
              <w:tc>
                <w:tcPr>
                  <w:tcW w:w="910" w:type="dxa"/>
                  <w:noWrap w:val="0"/>
                  <w:vAlign w:val="center"/>
                </w:tcPr>
                <w:p w14:paraId="651C60E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58.42 </w:t>
                  </w:r>
                </w:p>
              </w:tc>
              <w:tc>
                <w:tcPr>
                  <w:tcW w:w="290" w:type="pct"/>
                  <w:vMerge w:val="continue"/>
                  <w:noWrap w:val="0"/>
                  <w:vAlign w:val="center"/>
                </w:tcPr>
                <w:p w14:paraId="18B90D5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4165965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0FF172B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38.42 </w:t>
                  </w:r>
                </w:p>
              </w:tc>
              <w:tc>
                <w:tcPr>
                  <w:tcW w:w="502" w:type="pct"/>
                  <w:noWrap w:val="0"/>
                  <w:vAlign w:val="center"/>
                </w:tcPr>
                <w:p w14:paraId="1147FB0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F8B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135EF4D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w:t>
                  </w:r>
                </w:p>
              </w:tc>
              <w:tc>
                <w:tcPr>
                  <w:tcW w:w="325" w:type="pct"/>
                  <w:vMerge w:val="continue"/>
                  <w:noWrap w:val="0"/>
                  <w:vAlign w:val="center"/>
                </w:tcPr>
                <w:p w14:paraId="40F1A1D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27CD0947">
                  <w:pPr>
                    <w:pStyle w:val="11"/>
                    <w:adjustRightInd/>
                    <w:snapToGrid/>
                    <w:spacing w:line="240" w:lineRule="auto"/>
                    <w:ind w:left="0" w:leftChars="0" w:firstLine="0" w:firstLineChars="0"/>
                    <w:jc w:val="center"/>
                    <w:rPr>
                      <w:rFonts w:ascii="Times New Roman" w:hAnsi="Times New Roman" w:cs="Times New Roman"/>
                      <w:color w:val="auto"/>
                      <w:sz w:val="21"/>
                      <w:szCs w:val="21"/>
                      <w:u w:val="none" w:color="auto"/>
                    </w:rPr>
                  </w:pPr>
                  <w:r>
                    <w:rPr>
                      <w:rFonts w:hint="default" w:ascii="Times New Roman" w:hAnsi="Times New Roman" w:eastAsia="宋体" w:cs="Times New Roman"/>
                      <w:bCs w:val="0"/>
                      <w:color w:val="auto"/>
                      <w:spacing w:val="0"/>
                      <w:kern w:val="0"/>
                      <w:sz w:val="21"/>
                      <w:szCs w:val="21"/>
                      <w:u w:val="none" w:color="auto"/>
                      <w:lang w:val="en-US" w:eastAsia="zh-CN" w:bidi="ar-SA"/>
                    </w:rPr>
                    <w:t>高压清洗器</w:t>
                  </w:r>
                  <w:r>
                    <w:rPr>
                      <w:rFonts w:hint="eastAsia" w:cs="Times New Roman"/>
                      <w:bCs w:val="0"/>
                      <w:color w:val="auto"/>
                      <w:spacing w:val="0"/>
                      <w:kern w:val="0"/>
                      <w:sz w:val="21"/>
                      <w:szCs w:val="21"/>
                      <w:u w:val="none" w:color="auto"/>
                      <w:lang w:val="en-US" w:eastAsia="zh-CN" w:bidi="ar-SA"/>
                    </w:rPr>
                    <w:t>2</w:t>
                  </w:r>
                </w:p>
              </w:tc>
              <w:tc>
                <w:tcPr>
                  <w:tcW w:w="400" w:type="pct"/>
                  <w:vMerge w:val="restart"/>
                  <w:noWrap w:val="0"/>
                  <w:vAlign w:val="center"/>
                </w:tcPr>
                <w:p w14:paraId="45B72BB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rPr>
                  </w:pPr>
                  <w:r>
                    <w:rPr>
                      <w:rFonts w:hint="eastAsia" w:ascii="Times New Roman" w:hAnsi="Times New Roman" w:cs="Times New Roman"/>
                      <w:color w:val="auto"/>
                      <w:sz w:val="21"/>
                      <w:szCs w:val="21"/>
                      <w:u w:val="none" w:color="auto"/>
                      <w:lang w:val="en-US" w:eastAsia="zh-CN"/>
                    </w:rPr>
                    <w:t>80</w:t>
                  </w:r>
                </w:p>
              </w:tc>
              <w:tc>
                <w:tcPr>
                  <w:tcW w:w="412" w:type="pct"/>
                  <w:vMerge w:val="restart"/>
                  <w:noWrap w:val="0"/>
                  <w:vAlign w:val="center"/>
                </w:tcPr>
                <w:p w14:paraId="2DF9D78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5EA63DF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shd w:val="clear" w:color="auto" w:fill="auto"/>
                  <w:noWrap w:val="0"/>
                  <w:vAlign w:val="center"/>
                </w:tcPr>
                <w:p w14:paraId="219CF9A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910" w:type="dxa"/>
                  <w:noWrap w:val="0"/>
                  <w:vAlign w:val="center"/>
                </w:tcPr>
                <w:p w14:paraId="05085AB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56.48 </w:t>
                  </w:r>
                </w:p>
              </w:tc>
              <w:tc>
                <w:tcPr>
                  <w:tcW w:w="290" w:type="pct"/>
                  <w:vMerge w:val="restart"/>
                  <w:noWrap w:val="0"/>
                  <w:vAlign w:val="center"/>
                </w:tcPr>
                <w:p w14:paraId="2A4D1CF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58555EF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BF4BD1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36.48 </w:t>
                  </w:r>
                </w:p>
              </w:tc>
              <w:tc>
                <w:tcPr>
                  <w:tcW w:w="502" w:type="pct"/>
                  <w:noWrap w:val="0"/>
                  <w:vAlign w:val="center"/>
                </w:tcPr>
                <w:p w14:paraId="5DA9087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4301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A50135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B38E7B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38B38C7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69576DA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17056C7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84C137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shd w:val="clear" w:color="auto" w:fill="auto"/>
                  <w:noWrap w:val="0"/>
                  <w:vAlign w:val="center"/>
                </w:tcPr>
                <w:p w14:paraId="51109AE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w:t>
                  </w:r>
                </w:p>
              </w:tc>
              <w:tc>
                <w:tcPr>
                  <w:tcW w:w="910" w:type="dxa"/>
                  <w:noWrap w:val="0"/>
                  <w:vAlign w:val="center"/>
                </w:tcPr>
                <w:p w14:paraId="65514A8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67.96 </w:t>
                  </w:r>
                </w:p>
              </w:tc>
              <w:tc>
                <w:tcPr>
                  <w:tcW w:w="290" w:type="pct"/>
                  <w:vMerge w:val="continue"/>
                  <w:noWrap w:val="0"/>
                  <w:vAlign w:val="center"/>
                </w:tcPr>
                <w:p w14:paraId="3738E68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6D5BE43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6D7270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47.96 </w:t>
                  </w:r>
                </w:p>
              </w:tc>
              <w:tc>
                <w:tcPr>
                  <w:tcW w:w="502" w:type="pct"/>
                  <w:noWrap w:val="0"/>
                  <w:vAlign w:val="center"/>
                </w:tcPr>
                <w:p w14:paraId="197A8FA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20B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6D8953D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96635D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3CCB39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B6841F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99A3FE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3BC9B86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shd w:val="clear" w:color="auto" w:fill="auto"/>
                  <w:noWrap w:val="0"/>
                  <w:vAlign w:val="center"/>
                </w:tcPr>
                <w:p w14:paraId="4ADBC97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910" w:type="dxa"/>
                  <w:noWrap w:val="0"/>
                  <w:vAlign w:val="center"/>
                </w:tcPr>
                <w:p w14:paraId="0348BA9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52.04 </w:t>
                  </w:r>
                </w:p>
              </w:tc>
              <w:tc>
                <w:tcPr>
                  <w:tcW w:w="290" w:type="pct"/>
                  <w:vMerge w:val="continue"/>
                  <w:noWrap w:val="0"/>
                  <w:vAlign w:val="center"/>
                </w:tcPr>
                <w:p w14:paraId="06278BF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2299373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5CAE8C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32.04 </w:t>
                  </w:r>
                </w:p>
              </w:tc>
              <w:tc>
                <w:tcPr>
                  <w:tcW w:w="502" w:type="pct"/>
                  <w:noWrap w:val="0"/>
                  <w:vAlign w:val="center"/>
                </w:tcPr>
                <w:p w14:paraId="5FE7DAB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0910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0908E6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59764B5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F1B6F1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F54E11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1647611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3351737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shd w:val="clear" w:color="auto" w:fill="auto"/>
                  <w:noWrap w:val="0"/>
                  <w:vAlign w:val="center"/>
                </w:tcPr>
                <w:p w14:paraId="08D29C1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910" w:type="dxa"/>
                  <w:noWrap w:val="0"/>
                  <w:vAlign w:val="center"/>
                </w:tcPr>
                <w:p w14:paraId="2AF004A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55.92 </w:t>
                  </w:r>
                </w:p>
              </w:tc>
              <w:tc>
                <w:tcPr>
                  <w:tcW w:w="290" w:type="pct"/>
                  <w:vMerge w:val="continue"/>
                  <w:noWrap w:val="0"/>
                  <w:vAlign w:val="center"/>
                </w:tcPr>
                <w:p w14:paraId="1988365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5955AAF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5E4996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35.92 </w:t>
                  </w:r>
                </w:p>
              </w:tc>
              <w:tc>
                <w:tcPr>
                  <w:tcW w:w="502" w:type="pct"/>
                  <w:noWrap w:val="0"/>
                  <w:vAlign w:val="center"/>
                </w:tcPr>
                <w:p w14:paraId="2AFA5C9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74D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4E8EEF5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5</w:t>
                  </w:r>
                </w:p>
              </w:tc>
              <w:tc>
                <w:tcPr>
                  <w:tcW w:w="325" w:type="pct"/>
                  <w:vMerge w:val="continue"/>
                  <w:noWrap w:val="0"/>
                  <w:vAlign w:val="center"/>
                </w:tcPr>
                <w:p w14:paraId="3A30BF3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7082EFCA">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color w:val="auto"/>
                      <w:sz w:val="21"/>
                      <w:szCs w:val="21"/>
                      <w:u w:val="none" w:color="auto"/>
                    </w:rPr>
                  </w:pPr>
                  <w:r>
                    <w:rPr>
                      <w:rFonts w:hint="eastAsia"/>
                      <w:color w:val="auto"/>
                      <w:szCs w:val="24"/>
                      <w:u w:val="none"/>
                      <w:lang w:val="en-US" w:eastAsia="zh-CN"/>
                    </w:rPr>
                    <w:t>切割机1</w:t>
                  </w:r>
                </w:p>
              </w:tc>
              <w:tc>
                <w:tcPr>
                  <w:tcW w:w="400" w:type="pct"/>
                  <w:vMerge w:val="restart"/>
                  <w:noWrap w:val="0"/>
                  <w:vAlign w:val="center"/>
                </w:tcPr>
                <w:p w14:paraId="693E3B8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26F285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4363C44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0ECA3B6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w:t>
                  </w:r>
                </w:p>
              </w:tc>
              <w:tc>
                <w:tcPr>
                  <w:tcW w:w="910" w:type="dxa"/>
                  <w:noWrap w:val="0"/>
                  <w:vAlign w:val="center"/>
                </w:tcPr>
                <w:p w14:paraId="7D9C70E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71.02 </w:t>
                  </w:r>
                </w:p>
              </w:tc>
              <w:tc>
                <w:tcPr>
                  <w:tcW w:w="290" w:type="pct"/>
                  <w:vMerge w:val="restart"/>
                  <w:noWrap w:val="0"/>
                  <w:vAlign w:val="center"/>
                </w:tcPr>
                <w:p w14:paraId="1E92877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28EDC36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04C7D88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502" w:type="pct"/>
                  <w:noWrap w:val="0"/>
                  <w:vAlign w:val="center"/>
                </w:tcPr>
                <w:p w14:paraId="473EB22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0FB1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27B479A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9AD1F6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5A39330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1836B49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FCF84B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7DF303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02A1B10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w:t>
                  </w:r>
                </w:p>
              </w:tc>
              <w:tc>
                <w:tcPr>
                  <w:tcW w:w="910" w:type="dxa"/>
                  <w:noWrap w:val="0"/>
                  <w:vAlign w:val="center"/>
                </w:tcPr>
                <w:p w14:paraId="5E5FC0C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66.94 </w:t>
                  </w:r>
                </w:p>
              </w:tc>
              <w:tc>
                <w:tcPr>
                  <w:tcW w:w="290" w:type="pct"/>
                  <w:vMerge w:val="continue"/>
                  <w:noWrap w:val="0"/>
                  <w:vAlign w:val="center"/>
                </w:tcPr>
                <w:p w14:paraId="5ABFB48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656ACF9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0824F7F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46.94 </w:t>
                  </w:r>
                </w:p>
              </w:tc>
              <w:tc>
                <w:tcPr>
                  <w:tcW w:w="502" w:type="pct"/>
                  <w:noWrap w:val="0"/>
                  <w:vAlign w:val="center"/>
                </w:tcPr>
                <w:p w14:paraId="6218546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715F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38AB35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5800C4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5B783E4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F4A78E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1552037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235429D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704260A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35</w:t>
                  </w:r>
                </w:p>
              </w:tc>
              <w:tc>
                <w:tcPr>
                  <w:tcW w:w="910" w:type="dxa"/>
                  <w:noWrap w:val="0"/>
                  <w:vAlign w:val="center"/>
                </w:tcPr>
                <w:p w14:paraId="652537B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54.12 </w:t>
                  </w:r>
                </w:p>
              </w:tc>
              <w:tc>
                <w:tcPr>
                  <w:tcW w:w="290" w:type="pct"/>
                  <w:vMerge w:val="continue"/>
                  <w:noWrap w:val="0"/>
                  <w:vAlign w:val="center"/>
                </w:tcPr>
                <w:p w14:paraId="1013B38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5ACFC87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9D200D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34.12 </w:t>
                  </w:r>
                </w:p>
              </w:tc>
              <w:tc>
                <w:tcPr>
                  <w:tcW w:w="502" w:type="pct"/>
                  <w:noWrap w:val="0"/>
                  <w:vAlign w:val="center"/>
                </w:tcPr>
                <w:p w14:paraId="74FD3DE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58C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7C66476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0C5F67C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1CA477F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EE1DF0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6C40ACF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2D04567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25B59E0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w:t>
                  </w:r>
                </w:p>
              </w:tc>
              <w:tc>
                <w:tcPr>
                  <w:tcW w:w="910" w:type="dxa"/>
                  <w:noWrap w:val="0"/>
                  <w:vAlign w:val="center"/>
                </w:tcPr>
                <w:p w14:paraId="2592138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63.42 </w:t>
                  </w:r>
                </w:p>
              </w:tc>
              <w:tc>
                <w:tcPr>
                  <w:tcW w:w="290" w:type="pct"/>
                  <w:vMerge w:val="continue"/>
                  <w:noWrap w:val="0"/>
                  <w:vAlign w:val="center"/>
                </w:tcPr>
                <w:p w14:paraId="6858F78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7030B18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1B33360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43.42 </w:t>
                  </w:r>
                </w:p>
              </w:tc>
              <w:tc>
                <w:tcPr>
                  <w:tcW w:w="502" w:type="pct"/>
                  <w:noWrap w:val="0"/>
                  <w:vAlign w:val="center"/>
                </w:tcPr>
                <w:p w14:paraId="2408F1F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80D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27642B2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6</w:t>
                  </w:r>
                </w:p>
              </w:tc>
              <w:tc>
                <w:tcPr>
                  <w:tcW w:w="325" w:type="pct"/>
                  <w:vMerge w:val="continue"/>
                  <w:noWrap w:val="0"/>
                  <w:vAlign w:val="center"/>
                </w:tcPr>
                <w:p w14:paraId="01C8454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31EB4D9C">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color w:val="auto"/>
                      <w:sz w:val="21"/>
                      <w:szCs w:val="21"/>
                      <w:u w:val="none" w:color="auto"/>
                    </w:rPr>
                  </w:pPr>
                  <w:r>
                    <w:rPr>
                      <w:rFonts w:hint="eastAsia"/>
                      <w:color w:val="auto"/>
                      <w:szCs w:val="24"/>
                      <w:u w:val="none"/>
                      <w:lang w:val="en-US" w:eastAsia="zh-CN"/>
                    </w:rPr>
                    <w:t>切割机2</w:t>
                  </w:r>
                </w:p>
              </w:tc>
              <w:tc>
                <w:tcPr>
                  <w:tcW w:w="400" w:type="pct"/>
                  <w:vMerge w:val="restart"/>
                  <w:noWrap w:val="0"/>
                  <w:vAlign w:val="center"/>
                </w:tcPr>
                <w:p w14:paraId="6B756CE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73BC7F3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143959A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shd w:val="clear" w:color="auto" w:fill="auto"/>
                  <w:noWrap w:val="0"/>
                  <w:vAlign w:val="center"/>
                </w:tcPr>
                <w:p w14:paraId="09953FF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w:t>
                  </w:r>
                </w:p>
              </w:tc>
              <w:tc>
                <w:tcPr>
                  <w:tcW w:w="910" w:type="dxa"/>
                  <w:noWrap w:val="0"/>
                  <w:vAlign w:val="center"/>
                </w:tcPr>
                <w:p w14:paraId="5CFEAB5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71.02 </w:t>
                  </w:r>
                </w:p>
              </w:tc>
              <w:tc>
                <w:tcPr>
                  <w:tcW w:w="290" w:type="pct"/>
                  <w:vMerge w:val="restart"/>
                  <w:noWrap w:val="0"/>
                  <w:vAlign w:val="center"/>
                </w:tcPr>
                <w:p w14:paraId="6EF047B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50BDC52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66059FD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502" w:type="pct"/>
                  <w:noWrap w:val="0"/>
                  <w:vAlign w:val="center"/>
                </w:tcPr>
                <w:p w14:paraId="7CF4934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7677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E24F86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0E901DF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5EE5B44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42B292C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7DE51B6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DFEA2C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shd w:val="clear" w:color="auto" w:fill="auto"/>
                  <w:noWrap w:val="0"/>
                  <w:vAlign w:val="center"/>
                </w:tcPr>
                <w:p w14:paraId="52C34E9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w:t>
                  </w:r>
                </w:p>
              </w:tc>
              <w:tc>
                <w:tcPr>
                  <w:tcW w:w="910" w:type="dxa"/>
                  <w:noWrap w:val="0"/>
                  <w:vAlign w:val="center"/>
                </w:tcPr>
                <w:p w14:paraId="176BCA2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72.96 </w:t>
                  </w:r>
                </w:p>
              </w:tc>
              <w:tc>
                <w:tcPr>
                  <w:tcW w:w="290" w:type="pct"/>
                  <w:vMerge w:val="continue"/>
                  <w:noWrap w:val="0"/>
                  <w:vAlign w:val="center"/>
                </w:tcPr>
                <w:p w14:paraId="148FAA3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0DB3F75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FBA9F2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52.96 </w:t>
                  </w:r>
                </w:p>
              </w:tc>
              <w:tc>
                <w:tcPr>
                  <w:tcW w:w="502" w:type="pct"/>
                  <w:noWrap w:val="0"/>
                  <w:vAlign w:val="center"/>
                </w:tcPr>
                <w:p w14:paraId="08E6830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4E15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661E103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4F4A457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B908B7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B2C1DF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100CF9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4FBB57E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shd w:val="clear" w:color="auto" w:fill="auto"/>
                  <w:noWrap w:val="0"/>
                  <w:vAlign w:val="center"/>
                </w:tcPr>
                <w:p w14:paraId="1230FD5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35</w:t>
                  </w:r>
                </w:p>
              </w:tc>
              <w:tc>
                <w:tcPr>
                  <w:tcW w:w="910" w:type="dxa"/>
                  <w:noWrap w:val="0"/>
                  <w:vAlign w:val="center"/>
                </w:tcPr>
                <w:p w14:paraId="2B95B3B3">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54.12 </w:t>
                  </w:r>
                </w:p>
              </w:tc>
              <w:tc>
                <w:tcPr>
                  <w:tcW w:w="290" w:type="pct"/>
                  <w:vMerge w:val="continue"/>
                  <w:noWrap w:val="0"/>
                  <w:vAlign w:val="center"/>
                </w:tcPr>
                <w:p w14:paraId="45ED8E3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717DC81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BEF77E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34.12 </w:t>
                  </w:r>
                </w:p>
              </w:tc>
              <w:tc>
                <w:tcPr>
                  <w:tcW w:w="502" w:type="pct"/>
                  <w:noWrap w:val="0"/>
                  <w:vAlign w:val="center"/>
                </w:tcPr>
                <w:p w14:paraId="52575E7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0817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1AD0750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6863B7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19DE6C7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35641CB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7175A09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DB3E5A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shd w:val="clear" w:color="auto" w:fill="auto"/>
                  <w:noWrap w:val="0"/>
                  <w:vAlign w:val="center"/>
                </w:tcPr>
                <w:p w14:paraId="3F3C44F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910" w:type="dxa"/>
                  <w:noWrap w:val="0"/>
                  <w:vAlign w:val="center"/>
                </w:tcPr>
                <w:p w14:paraId="5202D0C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60.92 </w:t>
                  </w:r>
                </w:p>
              </w:tc>
              <w:tc>
                <w:tcPr>
                  <w:tcW w:w="290" w:type="pct"/>
                  <w:vMerge w:val="continue"/>
                  <w:noWrap w:val="0"/>
                  <w:vAlign w:val="center"/>
                </w:tcPr>
                <w:p w14:paraId="63736B1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727DC11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86B6FF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40.92 </w:t>
                  </w:r>
                </w:p>
              </w:tc>
              <w:tc>
                <w:tcPr>
                  <w:tcW w:w="502" w:type="pct"/>
                  <w:noWrap w:val="0"/>
                  <w:vAlign w:val="center"/>
                </w:tcPr>
                <w:p w14:paraId="0E960CA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293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7712022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7</w:t>
                  </w:r>
                </w:p>
              </w:tc>
              <w:tc>
                <w:tcPr>
                  <w:tcW w:w="325" w:type="pct"/>
                  <w:vMerge w:val="continue"/>
                  <w:noWrap w:val="0"/>
                  <w:vAlign w:val="center"/>
                </w:tcPr>
                <w:p w14:paraId="35C96F8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3B88362B">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color w:val="auto"/>
                      <w:sz w:val="21"/>
                      <w:szCs w:val="21"/>
                      <w:u w:val="none" w:color="auto"/>
                    </w:rPr>
                  </w:pPr>
                  <w:r>
                    <w:rPr>
                      <w:rFonts w:hint="eastAsia"/>
                      <w:color w:val="auto"/>
                      <w:szCs w:val="24"/>
                      <w:u w:val="none"/>
                      <w:lang w:val="en-US" w:eastAsia="zh-CN"/>
                    </w:rPr>
                    <w:t>输送机1</w:t>
                  </w:r>
                </w:p>
              </w:tc>
              <w:tc>
                <w:tcPr>
                  <w:tcW w:w="400" w:type="pct"/>
                  <w:vMerge w:val="restart"/>
                  <w:noWrap w:val="0"/>
                  <w:vAlign w:val="center"/>
                </w:tcPr>
                <w:p w14:paraId="25E4656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075978A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3069143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01BB890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22</w:t>
                  </w:r>
                </w:p>
              </w:tc>
              <w:tc>
                <w:tcPr>
                  <w:tcW w:w="910" w:type="dxa"/>
                  <w:noWrap w:val="0"/>
                  <w:vAlign w:val="center"/>
                </w:tcPr>
                <w:p w14:paraId="506FAB3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58.15 </w:t>
                  </w:r>
                </w:p>
              </w:tc>
              <w:tc>
                <w:tcPr>
                  <w:tcW w:w="290" w:type="pct"/>
                  <w:vMerge w:val="restart"/>
                  <w:noWrap w:val="0"/>
                  <w:vAlign w:val="center"/>
                </w:tcPr>
                <w:p w14:paraId="4FB7CC7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1662D0F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994CD2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38.15 </w:t>
                  </w:r>
                </w:p>
              </w:tc>
              <w:tc>
                <w:tcPr>
                  <w:tcW w:w="502" w:type="pct"/>
                  <w:noWrap w:val="0"/>
                  <w:vAlign w:val="center"/>
                </w:tcPr>
                <w:p w14:paraId="732A32C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5ABF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33437F0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2CEE5A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3818D22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6E6D10C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24C6C3D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7EF60C2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5DDF16B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w:t>
                  </w:r>
                </w:p>
              </w:tc>
              <w:tc>
                <w:tcPr>
                  <w:tcW w:w="910" w:type="dxa"/>
                  <w:noWrap w:val="0"/>
                  <w:vAlign w:val="center"/>
                </w:tcPr>
                <w:p w14:paraId="212A4EF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66.94 </w:t>
                  </w:r>
                </w:p>
              </w:tc>
              <w:tc>
                <w:tcPr>
                  <w:tcW w:w="290" w:type="pct"/>
                  <w:vMerge w:val="continue"/>
                  <w:noWrap w:val="0"/>
                  <w:vAlign w:val="center"/>
                </w:tcPr>
                <w:p w14:paraId="14F8C06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24DCD9F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24B0BB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46.94 </w:t>
                  </w:r>
                </w:p>
              </w:tc>
              <w:tc>
                <w:tcPr>
                  <w:tcW w:w="502" w:type="pct"/>
                  <w:noWrap w:val="0"/>
                  <w:vAlign w:val="center"/>
                </w:tcPr>
                <w:p w14:paraId="3A4375E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3061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791A354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D8E489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F0C00F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6DB3DC4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C91203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3CE4E03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691A81C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18</w:t>
                  </w:r>
                </w:p>
              </w:tc>
              <w:tc>
                <w:tcPr>
                  <w:tcW w:w="910" w:type="dxa"/>
                  <w:noWrap w:val="0"/>
                  <w:vAlign w:val="center"/>
                </w:tcPr>
                <w:p w14:paraId="354B0EB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59.89 </w:t>
                  </w:r>
                </w:p>
              </w:tc>
              <w:tc>
                <w:tcPr>
                  <w:tcW w:w="290" w:type="pct"/>
                  <w:vMerge w:val="continue"/>
                  <w:noWrap w:val="0"/>
                  <w:vAlign w:val="center"/>
                </w:tcPr>
                <w:p w14:paraId="38938E6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1927E72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E711F8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39.89 </w:t>
                  </w:r>
                </w:p>
              </w:tc>
              <w:tc>
                <w:tcPr>
                  <w:tcW w:w="502" w:type="pct"/>
                  <w:noWrap w:val="0"/>
                  <w:vAlign w:val="center"/>
                </w:tcPr>
                <w:p w14:paraId="64612C7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32A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640DBD6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11C1DC7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4A81DDB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15B0B46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1BC980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7F08AB5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79C3EA6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w:t>
                  </w:r>
                </w:p>
              </w:tc>
              <w:tc>
                <w:tcPr>
                  <w:tcW w:w="910" w:type="dxa"/>
                  <w:noWrap w:val="0"/>
                  <w:vAlign w:val="center"/>
                </w:tcPr>
                <w:p w14:paraId="31B1C9C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63.42 </w:t>
                  </w:r>
                </w:p>
              </w:tc>
              <w:tc>
                <w:tcPr>
                  <w:tcW w:w="290" w:type="pct"/>
                  <w:vMerge w:val="continue"/>
                  <w:noWrap w:val="0"/>
                  <w:vAlign w:val="center"/>
                </w:tcPr>
                <w:p w14:paraId="272626B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0076BDE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24C3084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43.42 </w:t>
                  </w:r>
                </w:p>
              </w:tc>
              <w:tc>
                <w:tcPr>
                  <w:tcW w:w="502" w:type="pct"/>
                  <w:noWrap w:val="0"/>
                  <w:vAlign w:val="center"/>
                </w:tcPr>
                <w:p w14:paraId="112C395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772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3B9335B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8</w:t>
                  </w:r>
                </w:p>
              </w:tc>
              <w:tc>
                <w:tcPr>
                  <w:tcW w:w="325" w:type="pct"/>
                  <w:vMerge w:val="continue"/>
                  <w:noWrap w:val="0"/>
                  <w:vAlign w:val="center"/>
                </w:tcPr>
                <w:p w14:paraId="21658D8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4581CC1D">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s="Times New Roman"/>
                      <w:color w:val="auto"/>
                      <w:sz w:val="21"/>
                      <w:szCs w:val="21"/>
                      <w:u w:val="none" w:color="auto"/>
                    </w:rPr>
                  </w:pPr>
                  <w:r>
                    <w:rPr>
                      <w:rFonts w:hint="eastAsia"/>
                      <w:color w:val="auto"/>
                      <w:szCs w:val="24"/>
                      <w:u w:val="none"/>
                      <w:lang w:val="en-US" w:eastAsia="zh-CN"/>
                    </w:rPr>
                    <w:t>输送机2</w:t>
                  </w:r>
                </w:p>
              </w:tc>
              <w:tc>
                <w:tcPr>
                  <w:tcW w:w="400" w:type="pct"/>
                  <w:vMerge w:val="restart"/>
                  <w:noWrap w:val="0"/>
                  <w:vAlign w:val="center"/>
                </w:tcPr>
                <w:p w14:paraId="6AB40D9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1BCA02C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1715DE0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shd w:val="clear" w:color="auto" w:fill="auto"/>
                  <w:noWrap w:val="0"/>
                  <w:vAlign w:val="center"/>
                </w:tcPr>
                <w:p w14:paraId="322399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22</w:t>
                  </w:r>
                </w:p>
              </w:tc>
              <w:tc>
                <w:tcPr>
                  <w:tcW w:w="910" w:type="dxa"/>
                  <w:noWrap w:val="0"/>
                  <w:vAlign w:val="center"/>
                </w:tcPr>
                <w:p w14:paraId="39215C5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58.15 </w:t>
                  </w:r>
                </w:p>
              </w:tc>
              <w:tc>
                <w:tcPr>
                  <w:tcW w:w="290" w:type="pct"/>
                  <w:vMerge w:val="restart"/>
                  <w:noWrap w:val="0"/>
                  <w:vAlign w:val="center"/>
                </w:tcPr>
                <w:p w14:paraId="69D518C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4A3E1BC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7F0B7E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38.15 </w:t>
                  </w:r>
                </w:p>
              </w:tc>
              <w:tc>
                <w:tcPr>
                  <w:tcW w:w="502" w:type="pct"/>
                  <w:noWrap w:val="0"/>
                  <w:vAlign w:val="center"/>
                </w:tcPr>
                <w:p w14:paraId="477A666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4AA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A8D62A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A60F94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382F14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47DF91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BBF299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14887F7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shd w:val="clear" w:color="auto" w:fill="auto"/>
                  <w:noWrap w:val="0"/>
                  <w:vAlign w:val="center"/>
                </w:tcPr>
                <w:p w14:paraId="39BB666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w:t>
                  </w:r>
                </w:p>
              </w:tc>
              <w:tc>
                <w:tcPr>
                  <w:tcW w:w="910" w:type="dxa"/>
                  <w:noWrap w:val="0"/>
                  <w:vAlign w:val="center"/>
                </w:tcPr>
                <w:p w14:paraId="15C7A51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72.96 </w:t>
                  </w:r>
                </w:p>
              </w:tc>
              <w:tc>
                <w:tcPr>
                  <w:tcW w:w="290" w:type="pct"/>
                  <w:vMerge w:val="continue"/>
                  <w:noWrap w:val="0"/>
                  <w:vAlign w:val="center"/>
                </w:tcPr>
                <w:p w14:paraId="7C7810A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510CD25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6D1580C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52.96 </w:t>
                  </w:r>
                </w:p>
              </w:tc>
              <w:tc>
                <w:tcPr>
                  <w:tcW w:w="502" w:type="pct"/>
                  <w:noWrap w:val="0"/>
                  <w:vAlign w:val="center"/>
                </w:tcPr>
                <w:p w14:paraId="015E219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4531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3983A7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5DAF68B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4968C77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B3BD91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2206DEC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404A6AD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shd w:val="clear" w:color="auto" w:fill="auto"/>
                  <w:noWrap w:val="0"/>
                  <w:vAlign w:val="center"/>
                </w:tcPr>
                <w:p w14:paraId="6F206EA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18</w:t>
                  </w:r>
                </w:p>
              </w:tc>
              <w:tc>
                <w:tcPr>
                  <w:tcW w:w="910" w:type="dxa"/>
                  <w:noWrap w:val="0"/>
                  <w:vAlign w:val="center"/>
                </w:tcPr>
                <w:p w14:paraId="273B8C3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59.89 </w:t>
                  </w:r>
                </w:p>
              </w:tc>
              <w:tc>
                <w:tcPr>
                  <w:tcW w:w="290" w:type="pct"/>
                  <w:vMerge w:val="continue"/>
                  <w:noWrap w:val="0"/>
                  <w:vAlign w:val="center"/>
                </w:tcPr>
                <w:p w14:paraId="5D630E7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70F1134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23945C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39.89 </w:t>
                  </w:r>
                </w:p>
              </w:tc>
              <w:tc>
                <w:tcPr>
                  <w:tcW w:w="502" w:type="pct"/>
                  <w:noWrap w:val="0"/>
                  <w:vAlign w:val="center"/>
                </w:tcPr>
                <w:p w14:paraId="67BEB4B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3553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BD2731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10BB1FC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3F83F66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4723A75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C65234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33E7C0D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shd w:val="clear" w:color="auto" w:fill="auto"/>
                  <w:noWrap w:val="0"/>
                  <w:vAlign w:val="center"/>
                </w:tcPr>
                <w:p w14:paraId="63A7FBF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910" w:type="dxa"/>
                  <w:noWrap w:val="0"/>
                  <w:vAlign w:val="center"/>
                </w:tcPr>
                <w:p w14:paraId="689AB12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60.92 </w:t>
                  </w:r>
                </w:p>
              </w:tc>
              <w:tc>
                <w:tcPr>
                  <w:tcW w:w="290" w:type="pct"/>
                  <w:vMerge w:val="continue"/>
                  <w:noWrap w:val="0"/>
                  <w:vAlign w:val="center"/>
                </w:tcPr>
                <w:p w14:paraId="71D8729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12F592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6DB34B6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40.92 </w:t>
                  </w:r>
                </w:p>
              </w:tc>
              <w:tc>
                <w:tcPr>
                  <w:tcW w:w="502" w:type="pct"/>
                  <w:noWrap w:val="0"/>
                  <w:vAlign w:val="center"/>
                </w:tcPr>
                <w:p w14:paraId="57C773F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5E9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5DF3A03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9</w:t>
                  </w:r>
                </w:p>
              </w:tc>
              <w:tc>
                <w:tcPr>
                  <w:tcW w:w="325" w:type="pct"/>
                  <w:vMerge w:val="continue"/>
                  <w:noWrap w:val="0"/>
                  <w:vAlign w:val="center"/>
                </w:tcPr>
                <w:p w14:paraId="5D0E1D0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4732F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olor w:val="auto"/>
                      <w:kern w:val="0"/>
                      <w:sz w:val="21"/>
                      <w:szCs w:val="24"/>
                      <w:u w:val="none"/>
                      <w:lang w:val="en-US" w:eastAsia="zh-CN"/>
                    </w:rPr>
                    <w:t>提升机1</w:t>
                  </w:r>
                </w:p>
              </w:tc>
              <w:tc>
                <w:tcPr>
                  <w:tcW w:w="400" w:type="pct"/>
                  <w:vMerge w:val="restart"/>
                  <w:noWrap w:val="0"/>
                  <w:vAlign w:val="center"/>
                </w:tcPr>
                <w:p w14:paraId="556B91C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67765CD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234BA9F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70AE6CD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23</w:t>
                  </w:r>
                </w:p>
              </w:tc>
              <w:tc>
                <w:tcPr>
                  <w:tcW w:w="910" w:type="dxa"/>
                  <w:noWrap w:val="0"/>
                  <w:vAlign w:val="center"/>
                </w:tcPr>
                <w:p w14:paraId="0D7AA76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57.77 </w:t>
                  </w:r>
                </w:p>
              </w:tc>
              <w:tc>
                <w:tcPr>
                  <w:tcW w:w="290" w:type="pct"/>
                  <w:vMerge w:val="restart"/>
                  <w:noWrap w:val="0"/>
                  <w:vAlign w:val="center"/>
                </w:tcPr>
                <w:p w14:paraId="61D1256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14DFCFB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27032D7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37.77 </w:t>
                  </w:r>
                </w:p>
              </w:tc>
              <w:tc>
                <w:tcPr>
                  <w:tcW w:w="502" w:type="pct"/>
                  <w:noWrap w:val="0"/>
                  <w:vAlign w:val="center"/>
                </w:tcPr>
                <w:p w14:paraId="24FE60E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B21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F70115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0C932B5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62C418B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17A2022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6CF2B5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96A6D5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43036E6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w:t>
                  </w:r>
                </w:p>
              </w:tc>
              <w:tc>
                <w:tcPr>
                  <w:tcW w:w="910" w:type="dxa"/>
                  <w:noWrap w:val="0"/>
                  <w:vAlign w:val="center"/>
                </w:tcPr>
                <w:p w14:paraId="0500095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66.94 </w:t>
                  </w:r>
                </w:p>
              </w:tc>
              <w:tc>
                <w:tcPr>
                  <w:tcW w:w="290" w:type="pct"/>
                  <w:vMerge w:val="continue"/>
                  <w:noWrap w:val="0"/>
                  <w:vAlign w:val="center"/>
                </w:tcPr>
                <w:p w14:paraId="72A81F7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6303F03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32338A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46.94 </w:t>
                  </w:r>
                </w:p>
              </w:tc>
              <w:tc>
                <w:tcPr>
                  <w:tcW w:w="502" w:type="pct"/>
                  <w:noWrap w:val="0"/>
                  <w:vAlign w:val="center"/>
                </w:tcPr>
                <w:p w14:paraId="0C52158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92C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665389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3453B1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2077FF0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2F6E4F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11FE600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1990C8A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75F7FD4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17</w:t>
                  </w:r>
                </w:p>
              </w:tc>
              <w:tc>
                <w:tcPr>
                  <w:tcW w:w="910" w:type="dxa"/>
                  <w:noWrap w:val="0"/>
                  <w:vAlign w:val="center"/>
                </w:tcPr>
                <w:p w14:paraId="0809977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60.39 </w:t>
                  </w:r>
                </w:p>
              </w:tc>
              <w:tc>
                <w:tcPr>
                  <w:tcW w:w="290" w:type="pct"/>
                  <w:vMerge w:val="continue"/>
                  <w:noWrap w:val="0"/>
                  <w:vAlign w:val="center"/>
                </w:tcPr>
                <w:p w14:paraId="2F04971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38969FE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6D2766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40.39 </w:t>
                  </w:r>
                </w:p>
              </w:tc>
              <w:tc>
                <w:tcPr>
                  <w:tcW w:w="502" w:type="pct"/>
                  <w:noWrap w:val="0"/>
                  <w:vAlign w:val="center"/>
                </w:tcPr>
                <w:p w14:paraId="007CF63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76D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7FC0BB1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B63C92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359F79A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A49E6F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91A3E5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4DA4690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625DC76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w:t>
                  </w:r>
                </w:p>
              </w:tc>
              <w:tc>
                <w:tcPr>
                  <w:tcW w:w="910" w:type="dxa"/>
                  <w:noWrap w:val="0"/>
                  <w:vAlign w:val="center"/>
                </w:tcPr>
                <w:p w14:paraId="31FA7A1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63.42 </w:t>
                  </w:r>
                </w:p>
              </w:tc>
              <w:tc>
                <w:tcPr>
                  <w:tcW w:w="290" w:type="pct"/>
                  <w:vMerge w:val="continue"/>
                  <w:noWrap w:val="0"/>
                  <w:vAlign w:val="center"/>
                </w:tcPr>
                <w:p w14:paraId="544ECB7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2915F1D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5EED3E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43.42 </w:t>
                  </w:r>
                </w:p>
              </w:tc>
              <w:tc>
                <w:tcPr>
                  <w:tcW w:w="502" w:type="pct"/>
                  <w:noWrap w:val="0"/>
                  <w:vAlign w:val="center"/>
                </w:tcPr>
                <w:p w14:paraId="4B524AB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7C17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noWrap w:val="0"/>
                  <w:vAlign w:val="center"/>
                </w:tcPr>
                <w:p w14:paraId="7DB4E0F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10</w:t>
                  </w:r>
                </w:p>
              </w:tc>
              <w:tc>
                <w:tcPr>
                  <w:tcW w:w="325" w:type="pct"/>
                  <w:vMerge w:val="continue"/>
                  <w:noWrap w:val="0"/>
                  <w:vAlign w:val="center"/>
                </w:tcPr>
                <w:p w14:paraId="5263642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5833D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olor w:val="auto"/>
                      <w:kern w:val="0"/>
                      <w:sz w:val="21"/>
                      <w:szCs w:val="24"/>
                      <w:u w:val="none"/>
                      <w:lang w:val="en-US" w:eastAsia="zh-CN"/>
                    </w:rPr>
                    <w:t>提升机2</w:t>
                  </w:r>
                </w:p>
              </w:tc>
              <w:tc>
                <w:tcPr>
                  <w:tcW w:w="400" w:type="pct"/>
                  <w:vMerge w:val="restart"/>
                  <w:noWrap w:val="0"/>
                  <w:vAlign w:val="center"/>
                </w:tcPr>
                <w:p w14:paraId="50BA454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5</w:t>
                  </w:r>
                </w:p>
              </w:tc>
              <w:tc>
                <w:tcPr>
                  <w:tcW w:w="412" w:type="pct"/>
                  <w:vMerge w:val="restart"/>
                  <w:noWrap w:val="0"/>
                  <w:vAlign w:val="center"/>
                </w:tcPr>
                <w:p w14:paraId="0B73AEC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552ADE8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shd w:val="clear" w:color="auto" w:fill="auto"/>
                  <w:noWrap w:val="0"/>
                  <w:vAlign w:val="center"/>
                </w:tcPr>
                <w:p w14:paraId="7BD16FB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23</w:t>
                  </w:r>
                </w:p>
              </w:tc>
              <w:tc>
                <w:tcPr>
                  <w:tcW w:w="910" w:type="dxa"/>
                  <w:noWrap w:val="0"/>
                  <w:vAlign w:val="center"/>
                </w:tcPr>
                <w:p w14:paraId="3E5EECD3">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57.77 </w:t>
                  </w:r>
                </w:p>
              </w:tc>
              <w:tc>
                <w:tcPr>
                  <w:tcW w:w="290" w:type="pct"/>
                  <w:vMerge w:val="restart"/>
                  <w:noWrap w:val="0"/>
                  <w:vAlign w:val="center"/>
                </w:tcPr>
                <w:p w14:paraId="22E7A15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3647D0C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09AE03B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37.77 </w:t>
                  </w:r>
                </w:p>
              </w:tc>
              <w:tc>
                <w:tcPr>
                  <w:tcW w:w="502" w:type="pct"/>
                  <w:noWrap w:val="0"/>
                  <w:vAlign w:val="center"/>
                </w:tcPr>
                <w:p w14:paraId="2380000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77E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F2DFB0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487C856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2D2801C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63F9CB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A142C2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107465D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shd w:val="clear" w:color="auto" w:fill="auto"/>
                  <w:noWrap w:val="0"/>
                  <w:vAlign w:val="center"/>
                </w:tcPr>
                <w:p w14:paraId="79E18D9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w:t>
                  </w:r>
                </w:p>
              </w:tc>
              <w:tc>
                <w:tcPr>
                  <w:tcW w:w="910" w:type="dxa"/>
                  <w:noWrap w:val="0"/>
                  <w:vAlign w:val="center"/>
                </w:tcPr>
                <w:p w14:paraId="149976E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72.96 </w:t>
                  </w:r>
                </w:p>
              </w:tc>
              <w:tc>
                <w:tcPr>
                  <w:tcW w:w="290" w:type="pct"/>
                  <w:vMerge w:val="continue"/>
                  <w:noWrap w:val="0"/>
                  <w:vAlign w:val="center"/>
                </w:tcPr>
                <w:p w14:paraId="22FF80C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417ECDC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5C7C30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52.96 </w:t>
                  </w:r>
                </w:p>
              </w:tc>
              <w:tc>
                <w:tcPr>
                  <w:tcW w:w="502" w:type="pct"/>
                  <w:noWrap w:val="0"/>
                  <w:vAlign w:val="center"/>
                </w:tcPr>
                <w:p w14:paraId="050D7B9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4104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31D94DC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65E670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09CBD2A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39476D6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66FE95D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C7801E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shd w:val="clear" w:color="auto" w:fill="auto"/>
                  <w:noWrap w:val="0"/>
                  <w:vAlign w:val="center"/>
                </w:tcPr>
                <w:p w14:paraId="51FCBB1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17</w:t>
                  </w:r>
                </w:p>
              </w:tc>
              <w:tc>
                <w:tcPr>
                  <w:tcW w:w="910" w:type="dxa"/>
                  <w:noWrap w:val="0"/>
                  <w:vAlign w:val="center"/>
                </w:tcPr>
                <w:p w14:paraId="28AEDD9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60.39 </w:t>
                  </w:r>
                </w:p>
              </w:tc>
              <w:tc>
                <w:tcPr>
                  <w:tcW w:w="290" w:type="pct"/>
                  <w:vMerge w:val="continue"/>
                  <w:noWrap w:val="0"/>
                  <w:vAlign w:val="center"/>
                </w:tcPr>
                <w:p w14:paraId="5E8D0B3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5719DFE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92A6FB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40.39 </w:t>
                  </w:r>
                </w:p>
              </w:tc>
              <w:tc>
                <w:tcPr>
                  <w:tcW w:w="502" w:type="pct"/>
                  <w:noWrap w:val="0"/>
                  <w:vAlign w:val="center"/>
                </w:tcPr>
                <w:p w14:paraId="07C0020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029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continue"/>
                  <w:noWrap w:val="0"/>
                  <w:vAlign w:val="center"/>
                </w:tcPr>
                <w:p w14:paraId="4BED0C0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59B33B4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163E935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3A62B57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7F46C15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490D241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shd w:val="clear" w:color="auto" w:fill="auto"/>
                  <w:noWrap w:val="0"/>
                  <w:vAlign w:val="center"/>
                </w:tcPr>
                <w:p w14:paraId="0E43093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910" w:type="dxa"/>
                  <w:noWrap w:val="0"/>
                  <w:vAlign w:val="center"/>
                </w:tcPr>
                <w:p w14:paraId="4ABBEA2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60.92 </w:t>
                  </w:r>
                </w:p>
              </w:tc>
              <w:tc>
                <w:tcPr>
                  <w:tcW w:w="290" w:type="pct"/>
                  <w:vMerge w:val="continue"/>
                  <w:noWrap w:val="0"/>
                  <w:vAlign w:val="center"/>
                </w:tcPr>
                <w:p w14:paraId="2CE8AD1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75F3152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7F2592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40.92 </w:t>
                  </w:r>
                </w:p>
              </w:tc>
              <w:tc>
                <w:tcPr>
                  <w:tcW w:w="502" w:type="pct"/>
                  <w:noWrap w:val="0"/>
                  <w:vAlign w:val="center"/>
                </w:tcPr>
                <w:p w14:paraId="3D2A461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369B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77" w:type="pct"/>
                  <w:vMerge w:val="restart"/>
                  <w:noWrap w:val="0"/>
                  <w:vAlign w:val="center"/>
                </w:tcPr>
                <w:p w14:paraId="2FD8BB7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w:t>
                  </w:r>
                </w:p>
              </w:tc>
              <w:tc>
                <w:tcPr>
                  <w:tcW w:w="325" w:type="pct"/>
                  <w:vMerge w:val="restart"/>
                  <w:noWrap w:val="0"/>
                  <w:vAlign w:val="center"/>
                </w:tcPr>
                <w:p w14:paraId="1F7123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污水处理站</w:t>
                  </w:r>
                </w:p>
              </w:tc>
              <w:tc>
                <w:tcPr>
                  <w:tcW w:w="535" w:type="pct"/>
                  <w:vMerge w:val="restart"/>
                  <w:noWrap w:val="0"/>
                  <w:vAlign w:val="center"/>
                </w:tcPr>
                <w:p w14:paraId="4105C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rPr>
                  </w:pPr>
                  <w:r>
                    <w:rPr>
                      <w:rFonts w:hint="eastAsia"/>
                      <w:color w:val="auto"/>
                      <w:kern w:val="0"/>
                      <w:sz w:val="21"/>
                      <w:szCs w:val="24"/>
                      <w:u w:val="none"/>
                      <w:lang w:val="en-US" w:eastAsia="zh-CN"/>
                    </w:rPr>
                    <w:t>压滤机</w:t>
                  </w:r>
                </w:p>
              </w:tc>
              <w:tc>
                <w:tcPr>
                  <w:tcW w:w="400" w:type="pct"/>
                  <w:vMerge w:val="restart"/>
                  <w:noWrap w:val="0"/>
                  <w:vAlign w:val="center"/>
                </w:tcPr>
                <w:p w14:paraId="6A07755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80</w:t>
                  </w:r>
                </w:p>
              </w:tc>
              <w:tc>
                <w:tcPr>
                  <w:tcW w:w="412" w:type="pct"/>
                  <w:vMerge w:val="restart"/>
                  <w:noWrap w:val="0"/>
                  <w:vAlign w:val="center"/>
                </w:tcPr>
                <w:p w14:paraId="1E44CBA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减振</w:t>
                  </w:r>
                </w:p>
              </w:tc>
              <w:tc>
                <w:tcPr>
                  <w:tcW w:w="285" w:type="pct"/>
                  <w:noWrap w:val="0"/>
                  <w:vAlign w:val="center"/>
                </w:tcPr>
                <w:p w14:paraId="51B7DBB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5DD6CF5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w:t>
                  </w:r>
                </w:p>
              </w:tc>
              <w:tc>
                <w:tcPr>
                  <w:tcW w:w="910" w:type="dxa"/>
                  <w:noWrap w:val="0"/>
                  <w:vAlign w:val="center"/>
                </w:tcPr>
                <w:p w14:paraId="334177B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66.02 </w:t>
                  </w:r>
                </w:p>
              </w:tc>
              <w:tc>
                <w:tcPr>
                  <w:tcW w:w="290" w:type="pct"/>
                  <w:vMerge w:val="restart"/>
                  <w:noWrap w:val="0"/>
                  <w:vAlign w:val="center"/>
                </w:tcPr>
                <w:p w14:paraId="7B452DD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860" w:type="dxa"/>
                  <w:noWrap w:val="0"/>
                  <w:vAlign w:val="center"/>
                </w:tcPr>
                <w:p w14:paraId="1A89B39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BCB4AF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46.02 </w:t>
                  </w:r>
                </w:p>
              </w:tc>
              <w:tc>
                <w:tcPr>
                  <w:tcW w:w="502" w:type="pct"/>
                  <w:noWrap w:val="0"/>
                  <w:vAlign w:val="center"/>
                </w:tcPr>
                <w:p w14:paraId="38A5AB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489E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577E740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4A48D2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0D5E995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66F557E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14EBAF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42F603C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32B2B1B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w:t>
                  </w:r>
                </w:p>
              </w:tc>
              <w:tc>
                <w:tcPr>
                  <w:tcW w:w="910" w:type="dxa"/>
                  <w:noWrap w:val="0"/>
                  <w:vAlign w:val="center"/>
                </w:tcPr>
                <w:p w14:paraId="5FAFF213">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60.00 </w:t>
                  </w:r>
                </w:p>
              </w:tc>
              <w:tc>
                <w:tcPr>
                  <w:tcW w:w="290" w:type="pct"/>
                  <w:vMerge w:val="continue"/>
                  <w:noWrap w:val="0"/>
                  <w:vAlign w:val="center"/>
                </w:tcPr>
                <w:p w14:paraId="053CDAB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860" w:type="dxa"/>
                  <w:noWrap w:val="0"/>
                  <w:vAlign w:val="center"/>
                </w:tcPr>
                <w:p w14:paraId="4590457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0C6F22D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40.00 </w:t>
                  </w:r>
                </w:p>
              </w:tc>
              <w:tc>
                <w:tcPr>
                  <w:tcW w:w="502" w:type="pct"/>
                  <w:noWrap w:val="0"/>
                  <w:vAlign w:val="center"/>
                </w:tcPr>
                <w:p w14:paraId="36A11D2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6A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7337C41E">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0279D41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23CD56E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187B75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4D8E11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2ABCD8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63FC1A0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910" w:type="dxa"/>
                  <w:noWrap w:val="0"/>
                  <w:vAlign w:val="center"/>
                </w:tcPr>
                <w:p w14:paraId="6AB28A6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52.04 </w:t>
                  </w:r>
                </w:p>
              </w:tc>
              <w:tc>
                <w:tcPr>
                  <w:tcW w:w="290" w:type="pct"/>
                  <w:vMerge w:val="continue"/>
                  <w:noWrap w:val="0"/>
                  <w:vAlign w:val="center"/>
                </w:tcPr>
                <w:p w14:paraId="7099F3D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860" w:type="dxa"/>
                  <w:noWrap w:val="0"/>
                  <w:vAlign w:val="center"/>
                </w:tcPr>
                <w:p w14:paraId="10ED33E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6B7D70E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32.04 </w:t>
                  </w:r>
                </w:p>
              </w:tc>
              <w:tc>
                <w:tcPr>
                  <w:tcW w:w="502" w:type="pct"/>
                  <w:noWrap w:val="0"/>
                  <w:vAlign w:val="center"/>
                </w:tcPr>
                <w:p w14:paraId="2100D96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BFC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73858C0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D948CB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952C33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197B8D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2D349A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13625EE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421A29B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910" w:type="dxa"/>
                  <w:noWrap w:val="0"/>
                  <w:vAlign w:val="center"/>
                </w:tcPr>
                <w:p w14:paraId="54A5A00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56.48 </w:t>
                  </w:r>
                </w:p>
              </w:tc>
              <w:tc>
                <w:tcPr>
                  <w:tcW w:w="290" w:type="pct"/>
                  <w:vMerge w:val="continue"/>
                  <w:noWrap w:val="0"/>
                  <w:vAlign w:val="center"/>
                </w:tcPr>
                <w:p w14:paraId="7E25C8F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860" w:type="dxa"/>
                  <w:noWrap w:val="0"/>
                  <w:vAlign w:val="center"/>
                </w:tcPr>
                <w:p w14:paraId="4D8759F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0EB4202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36.48 </w:t>
                  </w:r>
                </w:p>
              </w:tc>
              <w:tc>
                <w:tcPr>
                  <w:tcW w:w="502" w:type="pct"/>
                  <w:noWrap w:val="0"/>
                  <w:vAlign w:val="center"/>
                </w:tcPr>
                <w:p w14:paraId="5A7DABA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3EB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shd w:val="clear" w:color="auto" w:fill="auto"/>
                  <w:noWrap w:val="0"/>
                  <w:vAlign w:val="center"/>
                </w:tcPr>
                <w:p w14:paraId="3DD7F24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12</w:t>
                  </w:r>
                </w:p>
              </w:tc>
              <w:tc>
                <w:tcPr>
                  <w:tcW w:w="325" w:type="pct"/>
                  <w:vMerge w:val="continue"/>
                  <w:noWrap w:val="0"/>
                  <w:vAlign w:val="center"/>
                </w:tcPr>
                <w:p w14:paraId="4D2F290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550A6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rPr>
                  </w:pPr>
                  <w:r>
                    <w:rPr>
                      <w:rFonts w:hint="eastAsia"/>
                      <w:color w:val="auto"/>
                      <w:kern w:val="0"/>
                      <w:sz w:val="21"/>
                      <w:szCs w:val="24"/>
                      <w:u w:val="none"/>
                      <w:lang w:val="en-US" w:eastAsia="zh-CN"/>
                    </w:rPr>
                    <w:t>水泵</w:t>
                  </w:r>
                </w:p>
              </w:tc>
              <w:tc>
                <w:tcPr>
                  <w:tcW w:w="400" w:type="pct"/>
                  <w:vMerge w:val="restart"/>
                  <w:noWrap w:val="0"/>
                  <w:vAlign w:val="center"/>
                </w:tcPr>
                <w:p w14:paraId="037F386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80</w:t>
                  </w:r>
                </w:p>
              </w:tc>
              <w:tc>
                <w:tcPr>
                  <w:tcW w:w="412" w:type="pct"/>
                  <w:vMerge w:val="restart"/>
                  <w:noWrap w:val="0"/>
                  <w:vAlign w:val="center"/>
                </w:tcPr>
                <w:p w14:paraId="4095AB3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减振</w:t>
                  </w:r>
                </w:p>
              </w:tc>
              <w:tc>
                <w:tcPr>
                  <w:tcW w:w="285" w:type="pct"/>
                  <w:noWrap w:val="0"/>
                  <w:vAlign w:val="center"/>
                </w:tcPr>
                <w:p w14:paraId="2B1464C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418" w:type="pct"/>
                  <w:shd w:val="clear" w:color="auto" w:fill="auto"/>
                  <w:noWrap w:val="0"/>
                  <w:vAlign w:val="center"/>
                </w:tcPr>
                <w:p w14:paraId="03C041F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w:t>
                  </w:r>
                </w:p>
              </w:tc>
              <w:tc>
                <w:tcPr>
                  <w:tcW w:w="910" w:type="dxa"/>
                  <w:noWrap w:val="0"/>
                  <w:vAlign w:val="center"/>
                </w:tcPr>
                <w:p w14:paraId="26EDA88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66.02 </w:t>
                  </w:r>
                </w:p>
              </w:tc>
              <w:tc>
                <w:tcPr>
                  <w:tcW w:w="290" w:type="pct"/>
                  <w:vMerge w:val="restart"/>
                  <w:noWrap w:val="0"/>
                  <w:vAlign w:val="center"/>
                </w:tcPr>
                <w:p w14:paraId="0148994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860" w:type="dxa"/>
                  <w:noWrap w:val="0"/>
                  <w:vAlign w:val="center"/>
                </w:tcPr>
                <w:p w14:paraId="13E34E9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FC4CA0D">
                  <w:pPr>
                    <w:pStyle w:val="37"/>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46.02</w:t>
                  </w:r>
                </w:p>
              </w:tc>
              <w:tc>
                <w:tcPr>
                  <w:tcW w:w="502" w:type="pct"/>
                  <w:noWrap w:val="0"/>
                  <w:vAlign w:val="center"/>
                </w:tcPr>
                <w:p w14:paraId="395FD19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0C7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5D97266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A81263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6224AAB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953A9F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E919CF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80FB28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418" w:type="pct"/>
                  <w:shd w:val="clear" w:color="auto" w:fill="auto"/>
                  <w:noWrap w:val="0"/>
                  <w:vAlign w:val="center"/>
                </w:tcPr>
                <w:p w14:paraId="7CB24C7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910" w:type="dxa"/>
                  <w:noWrap w:val="0"/>
                  <w:vAlign w:val="center"/>
                </w:tcPr>
                <w:p w14:paraId="2B6B07B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56.48 </w:t>
                  </w:r>
                </w:p>
              </w:tc>
              <w:tc>
                <w:tcPr>
                  <w:tcW w:w="290" w:type="pct"/>
                  <w:vMerge w:val="continue"/>
                  <w:noWrap w:val="0"/>
                  <w:vAlign w:val="center"/>
                </w:tcPr>
                <w:p w14:paraId="5744EB0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860" w:type="dxa"/>
                  <w:noWrap w:val="0"/>
                  <w:vAlign w:val="center"/>
                </w:tcPr>
                <w:p w14:paraId="73B7609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18F7FEBA">
                  <w:pPr>
                    <w:pStyle w:val="37"/>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36.48</w:t>
                  </w:r>
                </w:p>
              </w:tc>
              <w:tc>
                <w:tcPr>
                  <w:tcW w:w="502" w:type="pct"/>
                  <w:noWrap w:val="0"/>
                  <w:vAlign w:val="center"/>
                </w:tcPr>
                <w:p w14:paraId="651E0FA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53B5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6717D36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7E5B10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0D1F1C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C22399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CF6D30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E3BF1D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418" w:type="pct"/>
                  <w:shd w:val="clear" w:color="auto" w:fill="auto"/>
                  <w:noWrap w:val="0"/>
                  <w:vAlign w:val="center"/>
                </w:tcPr>
                <w:p w14:paraId="71C323A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910" w:type="dxa"/>
                  <w:noWrap w:val="0"/>
                  <w:vAlign w:val="center"/>
                </w:tcPr>
                <w:p w14:paraId="5C301A0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52.04 </w:t>
                  </w:r>
                </w:p>
              </w:tc>
              <w:tc>
                <w:tcPr>
                  <w:tcW w:w="290" w:type="pct"/>
                  <w:vMerge w:val="continue"/>
                  <w:noWrap w:val="0"/>
                  <w:vAlign w:val="center"/>
                </w:tcPr>
                <w:p w14:paraId="7C3C278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860" w:type="dxa"/>
                  <w:noWrap w:val="0"/>
                  <w:vAlign w:val="center"/>
                </w:tcPr>
                <w:p w14:paraId="68FF526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F62EF2E">
                  <w:pPr>
                    <w:pStyle w:val="37"/>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32.04</w:t>
                  </w:r>
                </w:p>
              </w:tc>
              <w:tc>
                <w:tcPr>
                  <w:tcW w:w="502" w:type="pct"/>
                  <w:noWrap w:val="0"/>
                  <w:vAlign w:val="center"/>
                </w:tcPr>
                <w:p w14:paraId="1FE2521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13D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1FB6FF8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6E2D23A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10B56A6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199A2F4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072810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966361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418" w:type="pct"/>
                  <w:shd w:val="clear" w:color="auto" w:fill="auto"/>
                  <w:noWrap w:val="0"/>
                  <w:vAlign w:val="center"/>
                </w:tcPr>
                <w:p w14:paraId="46DD16E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w:t>
                  </w:r>
                </w:p>
              </w:tc>
              <w:tc>
                <w:tcPr>
                  <w:tcW w:w="910" w:type="dxa"/>
                  <w:noWrap w:val="0"/>
                  <w:vAlign w:val="center"/>
                </w:tcPr>
                <w:p w14:paraId="28B4276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60.00 </w:t>
                  </w:r>
                </w:p>
              </w:tc>
              <w:tc>
                <w:tcPr>
                  <w:tcW w:w="290" w:type="pct"/>
                  <w:vMerge w:val="continue"/>
                  <w:noWrap w:val="0"/>
                  <w:vAlign w:val="center"/>
                </w:tcPr>
                <w:p w14:paraId="581AD44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860" w:type="dxa"/>
                  <w:noWrap w:val="0"/>
                  <w:vAlign w:val="center"/>
                </w:tcPr>
                <w:p w14:paraId="2A08845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E3DB556">
                  <w:pPr>
                    <w:pStyle w:val="37"/>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40.00</w:t>
                  </w:r>
                </w:p>
              </w:tc>
              <w:tc>
                <w:tcPr>
                  <w:tcW w:w="502" w:type="pct"/>
                  <w:noWrap w:val="0"/>
                  <w:vAlign w:val="center"/>
                </w:tcPr>
                <w:p w14:paraId="680A2CB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311C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restart"/>
                  <w:shd w:val="clear" w:color="auto" w:fill="auto"/>
                  <w:noWrap w:val="0"/>
                  <w:vAlign w:val="center"/>
                </w:tcPr>
                <w:p w14:paraId="5AC5399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13</w:t>
                  </w:r>
                </w:p>
              </w:tc>
              <w:tc>
                <w:tcPr>
                  <w:tcW w:w="325" w:type="pct"/>
                  <w:vMerge w:val="restart"/>
                  <w:noWrap w:val="0"/>
                  <w:vAlign w:val="center"/>
                </w:tcPr>
                <w:p w14:paraId="6F2E2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待宰间、屠宰线</w:t>
                  </w:r>
                </w:p>
              </w:tc>
              <w:tc>
                <w:tcPr>
                  <w:tcW w:w="535" w:type="pct"/>
                  <w:vMerge w:val="restart"/>
                  <w:noWrap w:val="0"/>
                  <w:vAlign w:val="center"/>
                </w:tcPr>
                <w:p w14:paraId="1F445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猪叫</w:t>
                  </w:r>
                </w:p>
              </w:tc>
              <w:tc>
                <w:tcPr>
                  <w:tcW w:w="400" w:type="pct"/>
                  <w:vMerge w:val="restart"/>
                  <w:noWrap w:val="0"/>
                  <w:vAlign w:val="center"/>
                </w:tcPr>
                <w:p w14:paraId="47D8577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80</w:t>
                  </w:r>
                </w:p>
              </w:tc>
              <w:tc>
                <w:tcPr>
                  <w:tcW w:w="412" w:type="pct"/>
                  <w:vMerge w:val="restart"/>
                  <w:noWrap w:val="0"/>
                  <w:vAlign w:val="center"/>
                </w:tcPr>
                <w:p w14:paraId="12ACD5F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1938476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东</w:t>
                  </w:r>
                </w:p>
              </w:tc>
              <w:tc>
                <w:tcPr>
                  <w:tcW w:w="418" w:type="pct"/>
                  <w:noWrap w:val="0"/>
                  <w:vAlign w:val="center"/>
                </w:tcPr>
                <w:p w14:paraId="5D1E23D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6811D52B">
                  <w:pPr>
                    <w:pStyle w:val="37"/>
                    <w:widowControl w:val="0"/>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66.02 </w:t>
                  </w:r>
                </w:p>
              </w:tc>
              <w:tc>
                <w:tcPr>
                  <w:tcW w:w="290" w:type="pct"/>
                  <w:vMerge w:val="restart"/>
                  <w:noWrap w:val="0"/>
                  <w:vAlign w:val="center"/>
                </w:tcPr>
                <w:p w14:paraId="05C9997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24</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2A53059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0C854C1">
                  <w:pPr>
                    <w:pStyle w:val="37"/>
                    <w:widowControl w:val="0"/>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46.02 </w:t>
                  </w:r>
                </w:p>
              </w:tc>
              <w:tc>
                <w:tcPr>
                  <w:tcW w:w="502" w:type="pct"/>
                  <w:noWrap w:val="0"/>
                  <w:vAlign w:val="center"/>
                </w:tcPr>
                <w:p w14:paraId="5860B96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14:paraId="3075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2E616A1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E515F7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4052BCC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DC3836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174AF0B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6455A2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南</w:t>
                  </w:r>
                </w:p>
              </w:tc>
              <w:tc>
                <w:tcPr>
                  <w:tcW w:w="418" w:type="pct"/>
                  <w:noWrap w:val="0"/>
                  <w:vAlign w:val="center"/>
                </w:tcPr>
                <w:p w14:paraId="71B2CC2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w:t>
                  </w:r>
                </w:p>
              </w:tc>
              <w:tc>
                <w:tcPr>
                  <w:tcW w:w="910" w:type="dxa"/>
                  <w:noWrap w:val="0"/>
                  <w:vAlign w:val="center"/>
                </w:tcPr>
                <w:p w14:paraId="60B767AB">
                  <w:pPr>
                    <w:pStyle w:val="37"/>
                    <w:widowControl w:val="0"/>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64.44 </w:t>
                  </w:r>
                </w:p>
              </w:tc>
              <w:tc>
                <w:tcPr>
                  <w:tcW w:w="290" w:type="pct"/>
                  <w:vMerge w:val="continue"/>
                  <w:noWrap w:val="0"/>
                  <w:vAlign w:val="center"/>
                </w:tcPr>
                <w:p w14:paraId="2901E55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70D57BC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061B9DF3">
                  <w:pPr>
                    <w:pStyle w:val="37"/>
                    <w:widowControl w:val="0"/>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44.44 </w:t>
                  </w:r>
                </w:p>
              </w:tc>
              <w:tc>
                <w:tcPr>
                  <w:tcW w:w="502" w:type="pct"/>
                  <w:noWrap w:val="0"/>
                  <w:vAlign w:val="center"/>
                </w:tcPr>
                <w:p w14:paraId="524B9CD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14:paraId="6F69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2264704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15268A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6391570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68E39C6D">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03A1E2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4FA888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西</w:t>
                  </w:r>
                </w:p>
              </w:tc>
              <w:tc>
                <w:tcPr>
                  <w:tcW w:w="418" w:type="pct"/>
                  <w:noWrap w:val="0"/>
                  <w:vAlign w:val="center"/>
                </w:tcPr>
                <w:p w14:paraId="4EF7FB3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0BCD47BD">
                  <w:pPr>
                    <w:pStyle w:val="37"/>
                    <w:widowControl w:val="0"/>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66.02 </w:t>
                  </w:r>
                </w:p>
              </w:tc>
              <w:tc>
                <w:tcPr>
                  <w:tcW w:w="290" w:type="pct"/>
                  <w:vMerge w:val="continue"/>
                  <w:noWrap w:val="0"/>
                  <w:vAlign w:val="center"/>
                </w:tcPr>
                <w:p w14:paraId="0CD1345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6105EDC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85FF5AA">
                  <w:pPr>
                    <w:pStyle w:val="37"/>
                    <w:widowControl w:val="0"/>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46.02 </w:t>
                  </w:r>
                </w:p>
              </w:tc>
              <w:tc>
                <w:tcPr>
                  <w:tcW w:w="502" w:type="pct"/>
                  <w:noWrap w:val="0"/>
                  <w:vAlign w:val="center"/>
                </w:tcPr>
                <w:p w14:paraId="5F25D29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14:paraId="627E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1B22B15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DDA675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2C6DF9D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A232A0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1AF2A2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3110588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北</w:t>
                  </w:r>
                </w:p>
              </w:tc>
              <w:tc>
                <w:tcPr>
                  <w:tcW w:w="418" w:type="pct"/>
                  <w:noWrap w:val="0"/>
                  <w:vAlign w:val="center"/>
                </w:tcPr>
                <w:p w14:paraId="462BF40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14</w:t>
                  </w:r>
                </w:p>
              </w:tc>
              <w:tc>
                <w:tcPr>
                  <w:tcW w:w="910" w:type="dxa"/>
                  <w:noWrap w:val="0"/>
                  <w:vAlign w:val="center"/>
                </w:tcPr>
                <w:p w14:paraId="5D51EAE3">
                  <w:pPr>
                    <w:pStyle w:val="37"/>
                    <w:widowControl w:val="0"/>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57.08 </w:t>
                  </w:r>
                </w:p>
              </w:tc>
              <w:tc>
                <w:tcPr>
                  <w:tcW w:w="290" w:type="pct"/>
                  <w:vMerge w:val="continue"/>
                  <w:noWrap w:val="0"/>
                  <w:vAlign w:val="center"/>
                </w:tcPr>
                <w:p w14:paraId="2C2AFD0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20CEB3A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1B5FCFEC">
                  <w:pPr>
                    <w:pStyle w:val="37"/>
                    <w:widowControl w:val="0"/>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37.08 </w:t>
                  </w:r>
                </w:p>
              </w:tc>
              <w:tc>
                <w:tcPr>
                  <w:tcW w:w="502" w:type="pct"/>
                  <w:noWrap w:val="0"/>
                  <w:vAlign w:val="center"/>
                </w:tcPr>
                <w:p w14:paraId="7137E79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14:paraId="7D72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shd w:val="clear" w:color="auto" w:fill="auto"/>
                  <w:noWrap w:val="0"/>
                  <w:vAlign w:val="center"/>
                </w:tcPr>
                <w:p w14:paraId="1A021A8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14</w:t>
                  </w:r>
                </w:p>
              </w:tc>
              <w:tc>
                <w:tcPr>
                  <w:tcW w:w="325" w:type="pct"/>
                  <w:vMerge w:val="continue"/>
                  <w:noWrap w:val="0"/>
                  <w:vAlign w:val="center"/>
                </w:tcPr>
                <w:p w14:paraId="6351C0B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36CC6C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牛叫</w:t>
                  </w:r>
                </w:p>
              </w:tc>
              <w:tc>
                <w:tcPr>
                  <w:tcW w:w="400" w:type="pct"/>
                  <w:vMerge w:val="restart"/>
                  <w:noWrap w:val="0"/>
                  <w:vAlign w:val="center"/>
                </w:tcPr>
                <w:p w14:paraId="3C6ACBE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80</w:t>
                  </w:r>
                </w:p>
              </w:tc>
              <w:tc>
                <w:tcPr>
                  <w:tcW w:w="412" w:type="pct"/>
                  <w:vMerge w:val="restart"/>
                  <w:noWrap w:val="0"/>
                  <w:vAlign w:val="center"/>
                </w:tcPr>
                <w:p w14:paraId="0507111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399F4F9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719" w:type="dxa"/>
                  <w:noWrap w:val="0"/>
                  <w:vAlign w:val="center"/>
                </w:tcPr>
                <w:p w14:paraId="18D81EA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7638CE9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66.02 </w:t>
                  </w:r>
                </w:p>
              </w:tc>
              <w:tc>
                <w:tcPr>
                  <w:tcW w:w="290" w:type="pct"/>
                  <w:vMerge w:val="restart"/>
                  <w:noWrap w:val="0"/>
                  <w:vAlign w:val="center"/>
                </w:tcPr>
                <w:p w14:paraId="3AC7F01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24</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061445F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F66DBA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46.02 </w:t>
                  </w:r>
                </w:p>
              </w:tc>
              <w:tc>
                <w:tcPr>
                  <w:tcW w:w="502" w:type="pct"/>
                  <w:noWrap w:val="0"/>
                  <w:vAlign w:val="center"/>
                </w:tcPr>
                <w:p w14:paraId="27CD043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D24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5C00916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4B6A995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1616478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29E0D38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06CA7D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611458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719" w:type="dxa"/>
                  <w:noWrap w:val="0"/>
                  <w:vAlign w:val="center"/>
                </w:tcPr>
                <w:p w14:paraId="5D48DFD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w:t>
                  </w:r>
                </w:p>
              </w:tc>
              <w:tc>
                <w:tcPr>
                  <w:tcW w:w="910" w:type="dxa"/>
                  <w:noWrap w:val="0"/>
                  <w:vAlign w:val="center"/>
                </w:tcPr>
                <w:p w14:paraId="1FB417C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61.94 </w:t>
                  </w:r>
                </w:p>
              </w:tc>
              <w:tc>
                <w:tcPr>
                  <w:tcW w:w="290" w:type="pct"/>
                  <w:vMerge w:val="continue"/>
                  <w:noWrap w:val="0"/>
                  <w:vAlign w:val="center"/>
                </w:tcPr>
                <w:p w14:paraId="7386EB8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3FC3B0F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29ADDE3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41.94 </w:t>
                  </w:r>
                </w:p>
              </w:tc>
              <w:tc>
                <w:tcPr>
                  <w:tcW w:w="502" w:type="pct"/>
                  <w:noWrap w:val="0"/>
                  <w:vAlign w:val="center"/>
                </w:tcPr>
                <w:p w14:paraId="1839BA7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73EF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2FD8326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6017BFD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5D1C1B5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05A704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0DD7A81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2ED939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719" w:type="dxa"/>
                  <w:noWrap w:val="0"/>
                  <w:vAlign w:val="center"/>
                </w:tcPr>
                <w:p w14:paraId="5DC3D10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39DC693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66.02 </w:t>
                  </w:r>
                </w:p>
              </w:tc>
              <w:tc>
                <w:tcPr>
                  <w:tcW w:w="290" w:type="pct"/>
                  <w:vMerge w:val="continue"/>
                  <w:noWrap w:val="0"/>
                  <w:vAlign w:val="center"/>
                </w:tcPr>
                <w:p w14:paraId="62129AD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1851C1F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6ADBD22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46.02 </w:t>
                  </w:r>
                </w:p>
              </w:tc>
              <w:tc>
                <w:tcPr>
                  <w:tcW w:w="502" w:type="pct"/>
                  <w:noWrap w:val="0"/>
                  <w:vAlign w:val="center"/>
                </w:tcPr>
                <w:p w14:paraId="190B52F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53D9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5178A3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71E1AA4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608E9D9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458AB80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04BC81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0DF3397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719" w:type="dxa"/>
                  <w:noWrap w:val="0"/>
                  <w:vAlign w:val="center"/>
                </w:tcPr>
                <w:p w14:paraId="4B3046F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12</w:t>
                  </w:r>
                </w:p>
              </w:tc>
              <w:tc>
                <w:tcPr>
                  <w:tcW w:w="910" w:type="dxa"/>
                  <w:noWrap w:val="0"/>
                  <w:vAlign w:val="center"/>
                </w:tcPr>
                <w:p w14:paraId="1600F17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58.42 </w:t>
                  </w:r>
                </w:p>
              </w:tc>
              <w:tc>
                <w:tcPr>
                  <w:tcW w:w="290" w:type="pct"/>
                  <w:vMerge w:val="continue"/>
                  <w:noWrap w:val="0"/>
                  <w:vAlign w:val="center"/>
                </w:tcPr>
                <w:p w14:paraId="06D0551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4799424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A1A945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38.42 </w:t>
                  </w:r>
                </w:p>
              </w:tc>
              <w:tc>
                <w:tcPr>
                  <w:tcW w:w="502" w:type="pct"/>
                  <w:noWrap w:val="0"/>
                  <w:vAlign w:val="center"/>
                </w:tcPr>
                <w:p w14:paraId="78E2031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3757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shd w:val="clear" w:color="auto" w:fill="auto"/>
                  <w:noWrap w:val="0"/>
                  <w:vAlign w:val="center"/>
                </w:tcPr>
                <w:p w14:paraId="0FFB0EF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15</w:t>
                  </w:r>
                </w:p>
              </w:tc>
              <w:tc>
                <w:tcPr>
                  <w:tcW w:w="325" w:type="pct"/>
                  <w:vMerge w:val="continue"/>
                  <w:noWrap w:val="0"/>
                  <w:vAlign w:val="center"/>
                </w:tcPr>
                <w:p w14:paraId="32ED8F1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52C7B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rPr>
                  </w:pPr>
                  <w:r>
                    <w:rPr>
                      <w:rFonts w:hint="eastAsia" w:cs="Times New Roman"/>
                      <w:color w:val="auto"/>
                      <w:sz w:val="21"/>
                      <w:szCs w:val="21"/>
                      <w:u w:val="none" w:color="auto"/>
                      <w:lang w:val="en-US" w:eastAsia="zh-CN"/>
                    </w:rPr>
                    <w:t>鸡叫</w:t>
                  </w:r>
                </w:p>
              </w:tc>
              <w:tc>
                <w:tcPr>
                  <w:tcW w:w="400" w:type="pct"/>
                  <w:vMerge w:val="restart"/>
                  <w:noWrap w:val="0"/>
                  <w:vAlign w:val="center"/>
                </w:tcPr>
                <w:p w14:paraId="35DC466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65</w:t>
                  </w:r>
                </w:p>
              </w:tc>
              <w:tc>
                <w:tcPr>
                  <w:tcW w:w="412" w:type="pct"/>
                  <w:vMerge w:val="restart"/>
                  <w:noWrap w:val="0"/>
                  <w:vAlign w:val="center"/>
                </w:tcPr>
                <w:p w14:paraId="72BBBD6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039750A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719" w:type="dxa"/>
                  <w:shd w:val="clear" w:color="auto" w:fill="auto"/>
                  <w:noWrap w:val="0"/>
                  <w:vAlign w:val="center"/>
                </w:tcPr>
                <w:p w14:paraId="30C5117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3A57C71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290" w:type="pct"/>
                  <w:vMerge w:val="restart"/>
                  <w:noWrap w:val="0"/>
                  <w:vAlign w:val="center"/>
                </w:tcPr>
                <w:p w14:paraId="1B0885F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24</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6AF6E45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464A068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31.02 </w:t>
                  </w:r>
                </w:p>
              </w:tc>
              <w:tc>
                <w:tcPr>
                  <w:tcW w:w="502" w:type="pct"/>
                  <w:noWrap w:val="0"/>
                  <w:vAlign w:val="center"/>
                </w:tcPr>
                <w:p w14:paraId="5C9BCB6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31C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6AAEF7D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665AD91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8CDC64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5F60B2F">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7BF0E4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20F5EAA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719" w:type="dxa"/>
                  <w:shd w:val="clear" w:color="auto" w:fill="auto"/>
                  <w:noWrap w:val="0"/>
                  <w:vAlign w:val="center"/>
                </w:tcPr>
                <w:p w14:paraId="225D048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910" w:type="dxa"/>
                  <w:noWrap w:val="0"/>
                  <w:vAlign w:val="center"/>
                </w:tcPr>
                <w:p w14:paraId="051431B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45.00 </w:t>
                  </w:r>
                </w:p>
              </w:tc>
              <w:tc>
                <w:tcPr>
                  <w:tcW w:w="290" w:type="pct"/>
                  <w:vMerge w:val="continue"/>
                  <w:noWrap w:val="0"/>
                  <w:vAlign w:val="center"/>
                </w:tcPr>
                <w:p w14:paraId="36E0AC5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21E98C3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15D733A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25.00 </w:t>
                  </w:r>
                </w:p>
              </w:tc>
              <w:tc>
                <w:tcPr>
                  <w:tcW w:w="502" w:type="pct"/>
                  <w:noWrap w:val="0"/>
                  <w:vAlign w:val="center"/>
                </w:tcPr>
                <w:p w14:paraId="35A4EBC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66DD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0F34F98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0DD21D9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1183C42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5FAD79C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75A992B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900A6C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719" w:type="dxa"/>
                  <w:shd w:val="clear" w:color="auto" w:fill="auto"/>
                  <w:noWrap w:val="0"/>
                  <w:vAlign w:val="center"/>
                </w:tcPr>
                <w:p w14:paraId="788DF86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236C6B8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290" w:type="pct"/>
                  <w:vMerge w:val="continue"/>
                  <w:noWrap w:val="0"/>
                  <w:vAlign w:val="center"/>
                </w:tcPr>
                <w:p w14:paraId="0F736FE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0DDFDEA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7CE605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31.02 </w:t>
                  </w:r>
                </w:p>
              </w:tc>
              <w:tc>
                <w:tcPr>
                  <w:tcW w:w="502" w:type="pct"/>
                  <w:noWrap w:val="0"/>
                  <w:vAlign w:val="center"/>
                </w:tcPr>
                <w:p w14:paraId="6D14266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13EE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1981C87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2431529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4505D449">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277AA68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55EDE85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8F5624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719" w:type="dxa"/>
                  <w:noWrap w:val="0"/>
                  <w:vAlign w:val="center"/>
                </w:tcPr>
                <w:p w14:paraId="49A40FA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10</w:t>
                  </w:r>
                </w:p>
              </w:tc>
              <w:tc>
                <w:tcPr>
                  <w:tcW w:w="910" w:type="dxa"/>
                  <w:noWrap w:val="0"/>
                  <w:vAlign w:val="center"/>
                </w:tcPr>
                <w:p w14:paraId="20DF6F7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45.00 </w:t>
                  </w:r>
                </w:p>
              </w:tc>
              <w:tc>
                <w:tcPr>
                  <w:tcW w:w="290" w:type="pct"/>
                  <w:vMerge w:val="continue"/>
                  <w:noWrap w:val="0"/>
                  <w:vAlign w:val="center"/>
                </w:tcPr>
                <w:p w14:paraId="062D9B0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064C031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2F25799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25.00 </w:t>
                  </w:r>
                </w:p>
              </w:tc>
              <w:tc>
                <w:tcPr>
                  <w:tcW w:w="502" w:type="pct"/>
                  <w:noWrap w:val="0"/>
                  <w:vAlign w:val="center"/>
                </w:tcPr>
                <w:p w14:paraId="34B82BA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3AEB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shd w:val="clear" w:color="auto" w:fill="auto"/>
                  <w:noWrap w:val="0"/>
                  <w:vAlign w:val="center"/>
                </w:tcPr>
                <w:p w14:paraId="2FA387A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16</w:t>
                  </w:r>
                </w:p>
              </w:tc>
              <w:tc>
                <w:tcPr>
                  <w:tcW w:w="325" w:type="pct"/>
                  <w:vMerge w:val="continue"/>
                  <w:noWrap w:val="0"/>
                  <w:vAlign w:val="center"/>
                </w:tcPr>
                <w:p w14:paraId="5ACFC8A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5725FF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鸭叫</w:t>
                  </w:r>
                </w:p>
              </w:tc>
              <w:tc>
                <w:tcPr>
                  <w:tcW w:w="400" w:type="pct"/>
                  <w:vMerge w:val="restart"/>
                  <w:noWrap w:val="0"/>
                  <w:vAlign w:val="center"/>
                </w:tcPr>
                <w:p w14:paraId="7054F5B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65</w:t>
                  </w:r>
                </w:p>
              </w:tc>
              <w:tc>
                <w:tcPr>
                  <w:tcW w:w="412" w:type="pct"/>
                  <w:vMerge w:val="restart"/>
                  <w:noWrap w:val="0"/>
                  <w:vAlign w:val="center"/>
                </w:tcPr>
                <w:p w14:paraId="2AD0B42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6135794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719" w:type="dxa"/>
                  <w:noWrap w:val="0"/>
                  <w:vAlign w:val="center"/>
                </w:tcPr>
                <w:p w14:paraId="516671C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3554D13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290" w:type="pct"/>
                  <w:vMerge w:val="restart"/>
                  <w:noWrap w:val="0"/>
                  <w:vAlign w:val="center"/>
                </w:tcPr>
                <w:p w14:paraId="2268FD1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24</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1948C91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9031EE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31.02 </w:t>
                  </w:r>
                </w:p>
              </w:tc>
              <w:tc>
                <w:tcPr>
                  <w:tcW w:w="502" w:type="pct"/>
                  <w:noWrap w:val="0"/>
                  <w:vAlign w:val="center"/>
                </w:tcPr>
                <w:p w14:paraId="70F6393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7BA2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2D1FB49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0FAC7B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31F2DB21">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081A906A">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21712E8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49DDC8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719" w:type="dxa"/>
                  <w:noWrap w:val="0"/>
                  <w:vAlign w:val="center"/>
                </w:tcPr>
                <w:p w14:paraId="1DAEC97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12</w:t>
                  </w:r>
                </w:p>
              </w:tc>
              <w:tc>
                <w:tcPr>
                  <w:tcW w:w="910" w:type="dxa"/>
                  <w:noWrap w:val="0"/>
                  <w:vAlign w:val="center"/>
                </w:tcPr>
                <w:p w14:paraId="31DB298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43.42 </w:t>
                  </w:r>
                </w:p>
              </w:tc>
              <w:tc>
                <w:tcPr>
                  <w:tcW w:w="290" w:type="pct"/>
                  <w:vMerge w:val="continue"/>
                  <w:noWrap w:val="0"/>
                  <w:vAlign w:val="center"/>
                </w:tcPr>
                <w:p w14:paraId="6E66243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113BDE9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7495A65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23.42 </w:t>
                  </w:r>
                </w:p>
              </w:tc>
              <w:tc>
                <w:tcPr>
                  <w:tcW w:w="502" w:type="pct"/>
                  <w:noWrap w:val="0"/>
                  <w:vAlign w:val="center"/>
                </w:tcPr>
                <w:p w14:paraId="04103E4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50A8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730B057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59592442">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3CEE2D2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20314E6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16DF9F2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7C75AA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719" w:type="dxa"/>
                  <w:noWrap w:val="0"/>
                  <w:vAlign w:val="center"/>
                </w:tcPr>
                <w:p w14:paraId="699BC97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46D734E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290" w:type="pct"/>
                  <w:vMerge w:val="continue"/>
                  <w:noWrap w:val="0"/>
                  <w:vAlign w:val="center"/>
                </w:tcPr>
                <w:p w14:paraId="075E065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30DD7F4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615F211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31.02 </w:t>
                  </w:r>
                </w:p>
              </w:tc>
              <w:tc>
                <w:tcPr>
                  <w:tcW w:w="502" w:type="pct"/>
                  <w:noWrap w:val="0"/>
                  <w:vAlign w:val="center"/>
                </w:tcPr>
                <w:p w14:paraId="44C86D0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2980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637AB41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4E60494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5865E72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7199667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453D3BD3">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5C9ABF0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719" w:type="dxa"/>
                  <w:noWrap w:val="0"/>
                  <w:vAlign w:val="center"/>
                </w:tcPr>
                <w:p w14:paraId="2543C2E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w:t>
                  </w:r>
                </w:p>
              </w:tc>
              <w:tc>
                <w:tcPr>
                  <w:tcW w:w="910" w:type="dxa"/>
                  <w:noWrap w:val="0"/>
                  <w:vAlign w:val="center"/>
                </w:tcPr>
                <w:p w14:paraId="3F9D699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46.94 </w:t>
                  </w:r>
                </w:p>
              </w:tc>
              <w:tc>
                <w:tcPr>
                  <w:tcW w:w="290" w:type="pct"/>
                  <w:vMerge w:val="continue"/>
                  <w:noWrap w:val="0"/>
                  <w:vAlign w:val="center"/>
                </w:tcPr>
                <w:p w14:paraId="18E0239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2AD4A41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4716413">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26.94 </w:t>
                  </w:r>
                </w:p>
              </w:tc>
              <w:tc>
                <w:tcPr>
                  <w:tcW w:w="502" w:type="pct"/>
                  <w:noWrap w:val="0"/>
                  <w:vAlign w:val="center"/>
                </w:tcPr>
                <w:p w14:paraId="31C2568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041A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restart"/>
                  <w:shd w:val="clear" w:color="auto" w:fill="auto"/>
                  <w:noWrap w:val="0"/>
                  <w:vAlign w:val="center"/>
                </w:tcPr>
                <w:p w14:paraId="55CE746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17</w:t>
                  </w:r>
                </w:p>
              </w:tc>
              <w:tc>
                <w:tcPr>
                  <w:tcW w:w="325" w:type="pct"/>
                  <w:vMerge w:val="continue"/>
                  <w:noWrap w:val="0"/>
                  <w:vAlign w:val="center"/>
                </w:tcPr>
                <w:p w14:paraId="275E072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restart"/>
                  <w:noWrap w:val="0"/>
                  <w:vAlign w:val="center"/>
                </w:tcPr>
                <w:p w14:paraId="26822C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鹅叫</w:t>
                  </w:r>
                </w:p>
              </w:tc>
              <w:tc>
                <w:tcPr>
                  <w:tcW w:w="400" w:type="pct"/>
                  <w:vMerge w:val="restart"/>
                  <w:noWrap w:val="0"/>
                  <w:vAlign w:val="center"/>
                </w:tcPr>
                <w:p w14:paraId="2B7FE8E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65</w:t>
                  </w:r>
                </w:p>
              </w:tc>
              <w:tc>
                <w:tcPr>
                  <w:tcW w:w="412" w:type="pct"/>
                  <w:vMerge w:val="restart"/>
                  <w:noWrap w:val="0"/>
                  <w:vAlign w:val="center"/>
                </w:tcPr>
                <w:p w14:paraId="20A858B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285" w:type="pct"/>
                  <w:noWrap w:val="0"/>
                  <w:vAlign w:val="center"/>
                </w:tcPr>
                <w:p w14:paraId="123B807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719" w:type="dxa"/>
                  <w:shd w:val="clear" w:color="auto" w:fill="auto"/>
                  <w:noWrap w:val="0"/>
                  <w:vAlign w:val="center"/>
                </w:tcPr>
                <w:p w14:paraId="0790B1E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660112E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290" w:type="pct"/>
                  <w:vMerge w:val="restart"/>
                  <w:noWrap w:val="0"/>
                  <w:vAlign w:val="center"/>
                </w:tcPr>
                <w:p w14:paraId="5AEC53B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24</w:t>
                  </w:r>
                  <w:r>
                    <w:rPr>
                      <w:rFonts w:hint="default" w:ascii="Times New Roman" w:hAnsi="Times New Roman" w:cs="Times New Roman"/>
                      <w:color w:val="auto"/>
                      <w:sz w:val="21"/>
                      <w:szCs w:val="21"/>
                      <w:u w:val="none" w:color="auto"/>
                      <w:lang w:val="en-US" w:eastAsia="zh-CN"/>
                    </w:rPr>
                    <w:t xml:space="preserve"> h/d</w:t>
                  </w:r>
                </w:p>
              </w:tc>
              <w:tc>
                <w:tcPr>
                  <w:tcW w:w="500" w:type="pct"/>
                  <w:noWrap w:val="0"/>
                  <w:vAlign w:val="center"/>
                </w:tcPr>
                <w:p w14:paraId="1127ECD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E4B544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31.02 </w:t>
                  </w:r>
                </w:p>
              </w:tc>
              <w:tc>
                <w:tcPr>
                  <w:tcW w:w="502" w:type="pct"/>
                  <w:noWrap w:val="0"/>
                  <w:vAlign w:val="center"/>
                </w:tcPr>
                <w:p w14:paraId="11608F4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3A84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554EDA6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0362A9C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61E63EC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306670E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068A5A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420EB54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719" w:type="dxa"/>
                  <w:shd w:val="clear" w:color="auto" w:fill="auto"/>
                  <w:noWrap w:val="0"/>
                  <w:vAlign w:val="center"/>
                </w:tcPr>
                <w:p w14:paraId="7963DA2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14</w:t>
                  </w:r>
                </w:p>
              </w:tc>
              <w:tc>
                <w:tcPr>
                  <w:tcW w:w="910" w:type="dxa"/>
                  <w:noWrap w:val="0"/>
                  <w:vAlign w:val="center"/>
                </w:tcPr>
                <w:p w14:paraId="63429CF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42.08 </w:t>
                  </w:r>
                </w:p>
              </w:tc>
              <w:tc>
                <w:tcPr>
                  <w:tcW w:w="290" w:type="pct"/>
                  <w:vMerge w:val="continue"/>
                  <w:noWrap w:val="0"/>
                  <w:vAlign w:val="center"/>
                </w:tcPr>
                <w:p w14:paraId="2FF4678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7800A3C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5B13159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22.08 </w:t>
                  </w:r>
                </w:p>
              </w:tc>
              <w:tc>
                <w:tcPr>
                  <w:tcW w:w="502" w:type="pct"/>
                  <w:noWrap w:val="0"/>
                  <w:vAlign w:val="center"/>
                </w:tcPr>
                <w:p w14:paraId="2C47EC8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7BD8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5B949200">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2558644">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7CB6094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19804B55">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3365316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3DB3C94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719" w:type="dxa"/>
                  <w:shd w:val="clear" w:color="auto" w:fill="auto"/>
                  <w:noWrap w:val="0"/>
                  <w:vAlign w:val="center"/>
                </w:tcPr>
                <w:p w14:paraId="4CB583F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5</w:t>
                  </w:r>
                </w:p>
              </w:tc>
              <w:tc>
                <w:tcPr>
                  <w:tcW w:w="910" w:type="dxa"/>
                  <w:noWrap w:val="0"/>
                  <w:vAlign w:val="center"/>
                </w:tcPr>
                <w:p w14:paraId="49C7ECA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51.02 </w:t>
                  </w:r>
                </w:p>
              </w:tc>
              <w:tc>
                <w:tcPr>
                  <w:tcW w:w="290" w:type="pct"/>
                  <w:vMerge w:val="continue"/>
                  <w:noWrap w:val="0"/>
                  <w:vAlign w:val="center"/>
                </w:tcPr>
                <w:p w14:paraId="6FE7813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6DA4D9C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3A79EB5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31.02 </w:t>
                  </w:r>
                </w:p>
              </w:tc>
              <w:tc>
                <w:tcPr>
                  <w:tcW w:w="502" w:type="pct"/>
                  <w:noWrap w:val="0"/>
                  <w:vAlign w:val="center"/>
                </w:tcPr>
                <w:p w14:paraId="72D83EF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14:paraId="4F19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77" w:type="pct"/>
                  <w:vMerge w:val="continue"/>
                  <w:noWrap w:val="0"/>
                  <w:vAlign w:val="center"/>
                </w:tcPr>
                <w:p w14:paraId="4DF6C40C">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325" w:type="pct"/>
                  <w:vMerge w:val="continue"/>
                  <w:noWrap w:val="0"/>
                  <w:vAlign w:val="center"/>
                </w:tcPr>
                <w:p w14:paraId="39C2F07B">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535" w:type="pct"/>
                  <w:vMerge w:val="continue"/>
                  <w:noWrap w:val="0"/>
                  <w:vAlign w:val="center"/>
                </w:tcPr>
                <w:p w14:paraId="640F4DD8">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00" w:type="pct"/>
                  <w:vMerge w:val="continue"/>
                  <w:noWrap w:val="0"/>
                  <w:vAlign w:val="center"/>
                </w:tcPr>
                <w:p w14:paraId="31BF0306">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412" w:type="pct"/>
                  <w:vMerge w:val="continue"/>
                  <w:noWrap w:val="0"/>
                  <w:vAlign w:val="center"/>
                </w:tcPr>
                <w:p w14:paraId="6A5E9D17">
                  <w:pPr>
                    <w:pStyle w:val="3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u w:val="none" w:color="auto"/>
                    </w:rPr>
                  </w:pPr>
                </w:p>
              </w:tc>
              <w:tc>
                <w:tcPr>
                  <w:tcW w:w="285" w:type="pct"/>
                  <w:noWrap w:val="0"/>
                  <w:vAlign w:val="center"/>
                </w:tcPr>
                <w:p w14:paraId="69EA28B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719" w:type="dxa"/>
                  <w:shd w:val="clear" w:color="auto" w:fill="auto"/>
                  <w:noWrap w:val="0"/>
                  <w:vAlign w:val="center"/>
                </w:tcPr>
                <w:p w14:paraId="7F61847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6</w:t>
                  </w:r>
                </w:p>
              </w:tc>
              <w:tc>
                <w:tcPr>
                  <w:tcW w:w="910" w:type="dxa"/>
                  <w:noWrap w:val="0"/>
                  <w:vAlign w:val="center"/>
                </w:tcPr>
                <w:p w14:paraId="0AED7BD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SA"/>
                    </w:rPr>
                    <w:t xml:space="preserve">49.44 </w:t>
                  </w:r>
                </w:p>
              </w:tc>
              <w:tc>
                <w:tcPr>
                  <w:tcW w:w="290" w:type="pct"/>
                  <w:vMerge w:val="continue"/>
                  <w:noWrap w:val="0"/>
                  <w:vAlign w:val="center"/>
                </w:tcPr>
                <w:p w14:paraId="19DAAB9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auto"/>
                      <w:sz w:val="21"/>
                      <w:szCs w:val="21"/>
                      <w:u w:val="none" w:color="auto"/>
                    </w:rPr>
                  </w:pPr>
                </w:p>
              </w:tc>
              <w:tc>
                <w:tcPr>
                  <w:tcW w:w="500" w:type="pct"/>
                  <w:noWrap w:val="0"/>
                  <w:vAlign w:val="center"/>
                </w:tcPr>
                <w:p w14:paraId="6AB6EE5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901" w:type="dxa"/>
                  <w:noWrap w:val="0"/>
                  <w:vAlign w:val="center"/>
                </w:tcPr>
                <w:p w14:paraId="17462F4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 xml:space="preserve">29.44 </w:t>
                  </w:r>
                </w:p>
              </w:tc>
              <w:tc>
                <w:tcPr>
                  <w:tcW w:w="502" w:type="pct"/>
                  <w:noWrap w:val="0"/>
                  <w:vAlign w:val="center"/>
                </w:tcPr>
                <w:p w14:paraId="413C005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bl>
          <w:p w14:paraId="7F7C5858">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8</w:t>
            </w:r>
            <w:r>
              <w:rPr>
                <w:rFonts w:hint="default" w:ascii="Times New Roman" w:hAnsi="Times New Roman" w:cs="Times New Roman"/>
                <w:b/>
                <w:bCs/>
                <w:color w:val="auto"/>
                <w:u w:val="none" w:color="auto"/>
                <w:lang w:val="en-US" w:eastAsia="zh-CN"/>
              </w:rPr>
              <w:t xml:space="preserve">.2 </w:t>
            </w:r>
            <w:r>
              <w:rPr>
                <w:rFonts w:hint="default" w:ascii="Times New Roman" w:hAnsi="Times New Roman" w:eastAsia="黑体" w:cs="Times New Roman"/>
                <w:b/>
                <w:bCs/>
                <w:color w:val="auto"/>
                <w:u w:val="none" w:color="auto"/>
                <w:lang w:val="en-US" w:eastAsia="zh-CN"/>
              </w:rPr>
              <w:t>噪声预测</w:t>
            </w:r>
          </w:p>
          <w:p w14:paraId="1929C86F">
            <w:pPr>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本项目运营期噪声源主要为</w:t>
            </w:r>
            <w:r>
              <w:rPr>
                <w:rFonts w:hint="default" w:ascii="Times New Roman" w:hAnsi="Times New Roman" w:cs="Times New Roman"/>
                <w:color w:val="auto"/>
                <w:u w:val="none" w:color="auto"/>
                <w:lang w:val="en-US" w:eastAsia="zh-CN"/>
              </w:rPr>
              <w:t>设备</w:t>
            </w:r>
            <w:r>
              <w:rPr>
                <w:rFonts w:hint="default" w:ascii="Times New Roman" w:hAnsi="Times New Roman" w:cs="Times New Roman"/>
                <w:color w:val="auto"/>
                <w:u w:val="none" w:color="auto"/>
              </w:rPr>
              <w:t>噪声。本评价采用噪声距离衰减、叠加模式计算厂界的噪声值。</w:t>
            </w:r>
          </w:p>
          <w:p w14:paraId="22013CB0">
            <w:pPr>
              <w:bidi w:val="0"/>
              <w:ind w:left="480" w:leftChars="20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噪声预测采用《环境影响评价技术导则声环境》（HJ</w:t>
            </w:r>
            <w:r>
              <w:rPr>
                <w:rFonts w:hint="eastAsia" w:cs="Times New Roman"/>
                <w:color w:val="auto"/>
                <w:u w:val="none" w:color="auto"/>
                <w:lang w:val="en-US" w:eastAsia="zh-CN"/>
              </w:rPr>
              <w:t xml:space="preserve"> </w:t>
            </w:r>
            <w:r>
              <w:rPr>
                <w:rFonts w:hint="default" w:ascii="Times New Roman" w:hAnsi="Times New Roman" w:cs="Times New Roman"/>
                <w:color w:val="auto"/>
                <w:u w:val="none" w:color="auto"/>
                <w:lang w:val="en-US" w:eastAsia="zh-CN"/>
              </w:rPr>
              <w:t>4.2-2021）推荐的模式。（1）项目设备多个噪声源叠加的综合噪声计算公式如下：</w:t>
            </w:r>
          </w:p>
          <w:p w14:paraId="60F455F3">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object>
                <v:shape id="_x0000_i1030" o:spt="75" type="#_x0000_t75" style="height:36pt;width:105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p>
          <w:p w14:paraId="45ED87DC">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式中：</w:t>
            </w:r>
            <w:r>
              <w:rPr>
                <w:rFonts w:hint="default" w:ascii="Times New Roman" w:hAnsi="Times New Roman" w:cs="Times New Roman"/>
                <w:color w:val="auto"/>
                <w:u w:val="none" w:color="auto"/>
                <w:lang w:val="en-US" w:eastAsia="zh-CN"/>
              </w:rPr>
              <w:object>
                <v:shape id="_x0000_i1031" o:spt="75" type="#_x0000_t75" style="height:18pt;width:16.5pt;" o:ole="t" filled="f" o:preferrelative="t" stroked="f" coordsize="21600,21600">
                  <v:path/>
                  <v:fill on="f" focussize="0,0"/>
                  <v:stroke on="f"/>
                  <v:imagedata r:id="rId31" o:title=""/>
                  <o:lock v:ext="edit" aspectratio="t"/>
                  <w10:wrap type="none"/>
                  <w10:anchorlock/>
                </v:shape>
                <o:OLEObject Type="Embed" ProgID="Equation.3" ShapeID="_x0000_i1031" DrawAspect="Content" ObjectID="_1468075731" r:id="rId30">
                  <o:LockedField>false</o:LockedField>
                </o:OLEObject>
              </w:object>
            </w:r>
            <w:r>
              <w:rPr>
                <w:rFonts w:hint="default" w:ascii="Times New Roman" w:hAnsi="Times New Roman" w:cs="Times New Roman"/>
                <w:color w:val="auto"/>
                <w:u w:val="none" w:color="auto"/>
                <w:lang w:val="en-US" w:eastAsia="zh-CN"/>
              </w:rPr>
              <w:t>—多个噪声源叠加的综合噪声声级，dB（A）；</w:t>
            </w:r>
          </w:p>
          <w:p w14:paraId="43035278">
            <w:pPr>
              <w:bidi w:val="0"/>
              <w:ind w:firstLine="1200" w:firstLineChars="5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object>
                <v:shape id="_x0000_i1032" o:spt="75" type="#_x0000_t75" style="height:18pt;width:12pt;" o:ole="t" filled="f" o:preferrelative="t" stroked="f" coordsize="21600,21600">
                  <v:path/>
                  <v:fill on="f" focussize="0,0"/>
                  <v:stroke on="f"/>
                  <v:imagedata r:id="rId33" o:title=""/>
                  <o:lock v:ext="edit" aspectratio="t"/>
                  <w10:wrap type="none"/>
                  <w10:anchorlock/>
                </v:shape>
                <o:OLEObject Type="Embed" ProgID="Equation.3" ShapeID="_x0000_i1032" DrawAspect="Content" ObjectID="_1468075732" r:id="rId32">
                  <o:LockedField>false</o:LockedField>
                </o:OLEObject>
              </w:object>
            </w:r>
            <w:r>
              <w:rPr>
                <w:rFonts w:hint="default" w:ascii="Times New Roman" w:hAnsi="Times New Roman" w:cs="Times New Roman"/>
                <w:color w:val="auto"/>
                <w:u w:val="none" w:color="auto"/>
                <w:lang w:val="en-US" w:eastAsia="zh-CN"/>
              </w:rPr>
              <w:t>—第I个噪声源的声级，dB（A）；</w:t>
            </w:r>
          </w:p>
          <w:p w14:paraId="0AB13980">
            <w:pPr>
              <w:bidi w:val="0"/>
              <w:ind w:firstLine="1200" w:firstLineChars="5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object>
                <v:shape id="_x0000_i1033" o:spt="75" type="#_x0000_t75" style="height:10.5pt;width:10.5pt;" o:ole="t" filled="f" o:preferrelative="t" stroked="f" coordsize="21600,21600">
                  <v:path/>
                  <v:fill on="f" focussize="0,0"/>
                  <v:stroke on="f"/>
                  <v:imagedata r:id="rId35" o:title=""/>
                  <o:lock v:ext="edit" aspectratio="t"/>
                  <w10:wrap type="none"/>
                  <w10:anchorlock/>
                </v:shape>
                <o:OLEObject Type="Embed" ProgID="Equation.3" ShapeID="_x0000_i1033" DrawAspect="Content" ObjectID="_1468075733" r:id="rId34">
                  <o:LockedField>false</o:LockedField>
                </o:OLEObject>
              </w:object>
            </w:r>
            <w:r>
              <w:rPr>
                <w:rFonts w:hint="default" w:ascii="Times New Roman" w:hAnsi="Times New Roman" w:cs="Times New Roman"/>
                <w:color w:val="auto"/>
                <w:u w:val="none" w:color="auto"/>
                <w:lang w:val="en-US" w:eastAsia="zh-CN"/>
              </w:rPr>
              <w:t>—噪声源的个数。</w:t>
            </w:r>
          </w:p>
          <w:p w14:paraId="3E7EABAB">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（2）点源衰减模式为：</w:t>
            </w:r>
          </w:p>
          <w:p w14:paraId="645E8C91">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0</w:t>
            </w:r>
            <w:r>
              <w:rPr>
                <w:rFonts w:hint="default" w:ascii="Times New Roman" w:hAnsi="Times New Roman" w:cs="Times New Roman"/>
                <w:color w:val="auto"/>
                <w:u w:val="none" w:color="auto"/>
                <w:lang w:val="en-US" w:eastAsia="zh-CN"/>
              </w:rPr>
              <w:t>—20lg（r</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lang w:val="en-US" w:eastAsia="zh-CN"/>
              </w:rPr>
              <w:t>/r</w:t>
            </w:r>
            <w:r>
              <w:rPr>
                <w:rFonts w:hint="default" w:ascii="Times New Roman" w:hAnsi="Times New Roman" w:cs="Times New Roman"/>
                <w:color w:val="auto"/>
                <w:u w:val="none" w:color="auto"/>
                <w:vertAlign w:val="subscript"/>
                <w:lang w:val="en-US" w:eastAsia="zh-CN"/>
              </w:rPr>
              <w:t>0</w:t>
            </w:r>
            <w:r>
              <w:rPr>
                <w:rFonts w:hint="default" w:ascii="Times New Roman" w:hAnsi="Times New Roman" w:cs="Times New Roman"/>
                <w:color w:val="auto"/>
                <w:u w:val="none" w:color="auto"/>
                <w:lang w:val="en-US" w:eastAsia="zh-CN"/>
              </w:rPr>
              <w:t>）</w:t>
            </w:r>
          </w:p>
          <w:p w14:paraId="77814849">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式中：L</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lang w:val="en-US" w:eastAsia="zh-CN"/>
              </w:rPr>
              <w:t>：距声源为ra米处的声级，dB（A）；</w:t>
            </w:r>
          </w:p>
          <w:p w14:paraId="26430414">
            <w:pPr>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      L</w:t>
            </w:r>
            <w:r>
              <w:rPr>
                <w:rFonts w:hint="default" w:ascii="Times New Roman" w:hAnsi="Times New Roman" w:cs="Times New Roman"/>
                <w:color w:val="auto"/>
                <w:u w:val="none" w:color="auto"/>
                <w:vertAlign w:val="subscript"/>
                <w:lang w:val="en-US" w:eastAsia="zh-CN"/>
              </w:rPr>
              <w:t>0</w:t>
            </w:r>
            <w:r>
              <w:rPr>
                <w:rFonts w:hint="default" w:ascii="Times New Roman" w:hAnsi="Times New Roman" w:cs="Times New Roman"/>
                <w:color w:val="auto"/>
                <w:u w:val="none" w:color="auto"/>
                <w:lang w:val="en-US" w:eastAsia="zh-CN"/>
              </w:rPr>
              <w:t>：距声源为r0米处的声级，dB（A）；</w:t>
            </w:r>
          </w:p>
          <w:p w14:paraId="421E7E04">
            <w:pPr>
              <w:ind w:firstLine="1200" w:firstLineChars="500"/>
              <w:rPr>
                <w:rFonts w:hint="default" w:ascii="Times New Roman" w:hAnsi="Times New Roman" w:cs="Times New Roman"/>
                <w:color w:val="auto"/>
                <w:u w:val="none" w:color="auto"/>
              </w:rPr>
            </w:pPr>
            <w:r>
              <w:rPr>
                <w:rFonts w:hint="default" w:ascii="Times New Roman" w:hAnsi="Times New Roman" w:cs="Times New Roman"/>
                <w:color w:val="auto"/>
                <w:u w:val="none" w:color="auto"/>
              </w:rPr>
              <w:t>r</w:t>
            </w:r>
            <w:r>
              <w:rPr>
                <w:rFonts w:hint="default" w:ascii="Times New Roman" w:hAnsi="Times New Roman" w:cs="Times New Roman"/>
                <w:color w:val="auto"/>
                <w:u w:val="none" w:color="auto"/>
                <w:vertAlign w:val="subscript"/>
              </w:rPr>
              <w:t>0</w:t>
            </w:r>
            <w:r>
              <w:rPr>
                <w:rFonts w:hint="default" w:ascii="Times New Roman" w:hAnsi="Times New Roman" w:cs="Times New Roman"/>
                <w:color w:val="auto"/>
                <w:u w:val="none" w:color="auto"/>
              </w:rPr>
              <w:t>—参考位置距离声源的距离，m；</w:t>
            </w:r>
          </w:p>
          <w:p w14:paraId="3483A496">
            <w:pPr>
              <w:ind w:firstLine="1200" w:firstLineChars="500"/>
              <w:rPr>
                <w:rFonts w:hint="default" w:ascii="Times New Roman" w:hAnsi="Times New Roman" w:cs="Times New Roman"/>
                <w:color w:val="auto"/>
                <w:u w:val="none" w:color="auto"/>
              </w:rPr>
            </w:pPr>
            <w:r>
              <w:rPr>
                <w:rFonts w:hint="default" w:ascii="Times New Roman" w:hAnsi="Times New Roman" w:cs="Times New Roman"/>
                <w:color w:val="auto"/>
                <w:u w:val="none" w:color="auto"/>
              </w:rPr>
              <w:t>r</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rPr>
              <w:t>—预测点距离声源的距离，m。</w:t>
            </w:r>
          </w:p>
          <w:p w14:paraId="45B2467D">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（3）室内声源等效室外声源声功率级计算方法：</w:t>
            </w:r>
          </w:p>
          <w:p w14:paraId="3CEDDD8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p2</w:t>
            </w: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p1</w:t>
            </w:r>
            <w:r>
              <w:rPr>
                <w:rFonts w:hint="default" w:ascii="Times New Roman" w:hAnsi="Times New Roman" w:cs="Times New Roman"/>
                <w:color w:val="auto"/>
                <w:u w:val="none" w:color="auto"/>
                <w:lang w:val="en-US" w:eastAsia="zh-CN"/>
              </w:rPr>
              <w:t>—TL+6</w:t>
            </w:r>
          </w:p>
          <w:p w14:paraId="03B08E76">
            <w:pPr>
              <w:pStyle w:val="9"/>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式中：L</w:t>
            </w:r>
            <w:r>
              <w:rPr>
                <w:rFonts w:hint="default" w:ascii="Times New Roman" w:hAnsi="Times New Roman" w:cs="Times New Roman"/>
                <w:color w:val="auto"/>
                <w:u w:val="none" w:color="auto"/>
                <w:vertAlign w:val="subscript"/>
                <w:lang w:val="en-US" w:eastAsia="zh-CN"/>
              </w:rPr>
              <w:t>p2</w:t>
            </w:r>
            <w:r>
              <w:rPr>
                <w:rFonts w:hint="default" w:ascii="Times New Roman" w:hAnsi="Times New Roman" w:cs="Times New Roman"/>
                <w:color w:val="auto"/>
                <w:u w:val="none" w:color="auto"/>
                <w:vertAlign w:val="baseline"/>
                <w:lang w:val="en-US" w:eastAsia="zh-CN"/>
              </w:rPr>
              <w:t>：靠近开口处（或窗户）室内某倍频带的声压级或A声级，dB；</w:t>
            </w:r>
          </w:p>
          <w:p w14:paraId="1632C17F">
            <w:pPr>
              <w:pStyle w:val="9"/>
              <w:keepNext w:val="0"/>
              <w:keepLines w:val="0"/>
              <w:pageBreakBefore w:val="0"/>
              <w:widowControl w:val="0"/>
              <w:kinsoku/>
              <w:wordWrap/>
              <w:overflowPunct/>
              <w:topLinePunct w:val="0"/>
              <w:autoSpaceDE/>
              <w:autoSpaceDN/>
              <w:bidi w:val="0"/>
              <w:adjustRightInd/>
              <w:snapToGrid/>
              <w:spacing w:after="0" w:afterLines="0"/>
              <w:ind w:left="0" w:leftChars="0" w:firstLine="1200" w:firstLineChars="500"/>
              <w:textAlignment w:val="auto"/>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p1</w:t>
            </w:r>
            <w:r>
              <w:rPr>
                <w:rFonts w:hint="default" w:ascii="Times New Roman" w:hAnsi="Times New Roman" w:cs="Times New Roman"/>
                <w:color w:val="auto"/>
                <w:u w:val="none" w:color="auto"/>
                <w:vertAlign w:val="baseline"/>
                <w:lang w:val="en-US" w:eastAsia="zh-CN"/>
              </w:rPr>
              <w:t>：靠近开口处（或窗户）室内某倍频带的声压级或A声级，dB；</w:t>
            </w:r>
          </w:p>
          <w:p w14:paraId="638D9B0D">
            <w:pPr>
              <w:keepNext w:val="0"/>
              <w:keepLines w:val="0"/>
              <w:pageBreakBefore w:val="0"/>
              <w:widowControl w:val="0"/>
              <w:kinsoku/>
              <w:wordWrap/>
              <w:overflowPunct/>
              <w:topLinePunct w:val="0"/>
              <w:autoSpaceDE/>
              <w:autoSpaceDN/>
              <w:bidi w:val="0"/>
              <w:adjustRightInd/>
              <w:snapToGrid/>
              <w:ind w:left="0" w:leftChars="0" w:firstLine="1200" w:firstLineChars="50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TL：隔墙（或窗户）倍频带或A声级的隔声量，dB。</w:t>
            </w:r>
          </w:p>
          <w:p w14:paraId="2CFA9B76">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8</w:t>
            </w:r>
            <w:r>
              <w:rPr>
                <w:rFonts w:hint="default" w:ascii="Times New Roman" w:hAnsi="Times New Roman" w:cs="Times New Roman"/>
                <w:b/>
                <w:bCs/>
                <w:color w:val="auto"/>
                <w:u w:val="none" w:color="auto"/>
                <w:lang w:val="en-US" w:eastAsia="zh-CN"/>
              </w:rPr>
              <w:t xml:space="preserve">.3 </w:t>
            </w:r>
            <w:r>
              <w:rPr>
                <w:rFonts w:hint="default" w:ascii="Times New Roman" w:hAnsi="Times New Roman" w:eastAsia="黑体" w:cs="Times New Roman"/>
                <w:b/>
                <w:bCs/>
                <w:color w:val="auto"/>
                <w:u w:val="none" w:color="auto"/>
                <w:lang w:val="en-US" w:eastAsia="zh-CN"/>
              </w:rPr>
              <w:t>达标情况分析</w:t>
            </w:r>
          </w:p>
          <w:p w14:paraId="4CDB950E">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rPr>
              <w:t>根据《环境影响评价技术导则 声环境》（HJ</w:t>
            </w:r>
            <w:r>
              <w:rPr>
                <w:rFonts w:hint="default" w:ascii="Times New Roman" w:hAnsi="Times New Roman" w:eastAsia="宋体" w:cs="Times New Roman"/>
                <w:bCs/>
                <w:color w:val="auto"/>
                <w:sz w:val="24"/>
                <w:szCs w:val="24"/>
                <w:u w:val="none" w:color="auto"/>
                <w:lang w:val="en-US" w:eastAsia="zh-CN"/>
              </w:rPr>
              <w:t xml:space="preserve"> </w:t>
            </w:r>
            <w:r>
              <w:rPr>
                <w:rFonts w:hint="default" w:ascii="Times New Roman" w:hAnsi="Times New Roman" w:eastAsia="宋体" w:cs="Times New Roman"/>
                <w:bCs/>
                <w:color w:val="auto"/>
                <w:sz w:val="24"/>
                <w:szCs w:val="24"/>
                <w:u w:val="none" w:color="auto"/>
              </w:rPr>
              <w:t>2.4-20</w:t>
            </w:r>
            <w:r>
              <w:rPr>
                <w:rFonts w:hint="default" w:ascii="Times New Roman" w:hAnsi="Times New Roman" w:cs="Times New Roman"/>
                <w:bCs/>
                <w:color w:val="auto"/>
                <w:sz w:val="24"/>
                <w:szCs w:val="24"/>
                <w:u w:val="none" w:color="auto"/>
                <w:lang w:val="en-US" w:eastAsia="zh-CN"/>
              </w:rPr>
              <w:t>21</w:t>
            </w:r>
            <w:r>
              <w:rPr>
                <w:rFonts w:hint="default" w:ascii="Times New Roman" w:hAnsi="Times New Roman" w:eastAsia="宋体" w:cs="Times New Roman"/>
                <w:bCs/>
                <w:color w:val="auto"/>
                <w:sz w:val="24"/>
                <w:szCs w:val="24"/>
                <w:u w:val="none" w:color="auto"/>
              </w:rPr>
              <w:t>），进行边界噪声评价时，建设项目以工程噪声贡献值作为评价量</w:t>
            </w:r>
            <w:r>
              <w:rPr>
                <w:rFonts w:hint="default" w:ascii="Times New Roman" w:hAnsi="Times New Roman" w:eastAsia="宋体" w:cs="Times New Roman"/>
                <w:bCs/>
                <w:color w:val="auto"/>
                <w:sz w:val="24"/>
                <w:szCs w:val="24"/>
                <w:u w:val="none" w:color="auto"/>
                <w:lang w:val="en-US" w:eastAsia="zh-CN"/>
              </w:rPr>
              <w:t>。</w:t>
            </w:r>
            <w:r>
              <w:rPr>
                <w:rFonts w:hint="default" w:ascii="Times New Roman" w:hAnsi="Times New Roman" w:eastAsia="宋体" w:cs="Times New Roman"/>
                <w:bCs/>
                <w:color w:val="auto"/>
                <w:sz w:val="24"/>
                <w:szCs w:val="24"/>
                <w:u w:val="none" w:color="auto"/>
              </w:rPr>
              <w:t>根据声源叠加的综合噪声计算公式计算出设备噪声叠加源强见表</w:t>
            </w:r>
            <w:r>
              <w:rPr>
                <w:rFonts w:hint="default" w:ascii="Times New Roman" w:hAnsi="Times New Roman" w:eastAsia="宋体" w:cs="Times New Roman"/>
                <w:bCs/>
                <w:color w:val="auto"/>
                <w:sz w:val="24"/>
                <w:szCs w:val="24"/>
                <w:u w:val="none" w:color="auto"/>
                <w:lang w:val="en-US" w:eastAsia="zh-CN"/>
              </w:rPr>
              <w:t>4.</w:t>
            </w:r>
            <w:r>
              <w:rPr>
                <w:rFonts w:hint="eastAsia" w:cs="Times New Roman"/>
                <w:bCs/>
                <w:color w:val="auto"/>
                <w:sz w:val="24"/>
                <w:szCs w:val="24"/>
                <w:u w:val="none" w:color="auto"/>
                <w:lang w:val="en-US" w:eastAsia="zh-CN"/>
              </w:rPr>
              <w:t>8</w:t>
            </w:r>
            <w:r>
              <w:rPr>
                <w:rFonts w:hint="default" w:ascii="Times New Roman" w:hAnsi="Times New Roman"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3</w:t>
            </w:r>
            <w:r>
              <w:rPr>
                <w:rFonts w:hint="default" w:ascii="Times New Roman" w:hAnsi="Times New Roman" w:cs="Times New Roman"/>
                <w:bCs/>
                <w:color w:val="auto"/>
                <w:sz w:val="24"/>
                <w:szCs w:val="24"/>
                <w:u w:val="none" w:color="auto"/>
                <w:lang w:val="en-US" w:eastAsia="zh-CN"/>
              </w:rPr>
              <w:t>，厂界噪声预测结果见表4.</w:t>
            </w:r>
            <w:r>
              <w:rPr>
                <w:rFonts w:hint="eastAsia" w:cs="Times New Roman"/>
                <w:bCs/>
                <w:color w:val="auto"/>
                <w:sz w:val="24"/>
                <w:szCs w:val="24"/>
                <w:u w:val="none" w:color="auto"/>
                <w:lang w:val="en-US" w:eastAsia="zh-CN"/>
              </w:rPr>
              <w:t>8</w:t>
            </w:r>
            <w:r>
              <w:rPr>
                <w:rFonts w:hint="default" w:ascii="Times New Roman" w:hAnsi="Times New Roman"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rPr>
              <w:t>。</w:t>
            </w:r>
          </w:p>
          <w:p w14:paraId="1D7557E6">
            <w:pPr>
              <w:pStyle w:val="35"/>
              <w:jc w:val="center"/>
              <w:rPr>
                <w:rFonts w:hint="default" w:ascii="Times New Roman" w:hAnsi="Times New Roman" w:cs="Times New Roman"/>
                <w:color w:val="auto"/>
                <w:u w:val="none" w:color="auto"/>
              </w:rPr>
            </w:pPr>
            <w:r>
              <w:rPr>
                <w:rFonts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8</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 xml:space="preserve">3 </w:t>
            </w:r>
            <w:r>
              <w:rPr>
                <w:rFonts w:ascii="Times New Roman" w:hAnsi="Times New Roman" w:cs="Times New Roman"/>
                <w:color w:val="auto"/>
                <w:u w:val="none" w:color="auto"/>
              </w:rPr>
              <w:t>生产设备</w:t>
            </w:r>
            <w:r>
              <w:rPr>
                <w:rFonts w:hint="default" w:ascii="Times New Roman" w:hAnsi="Times New Roman" w:cs="Times New Roman"/>
                <w:color w:val="auto"/>
                <w:u w:val="none" w:color="auto"/>
              </w:rPr>
              <w:t>噪声源强一览表</w:t>
            </w:r>
          </w:p>
          <w:tbl>
            <w:tblPr>
              <w:tblStyle w:val="23"/>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8"/>
              <w:gridCol w:w="855"/>
              <w:gridCol w:w="638"/>
              <w:gridCol w:w="338"/>
              <w:gridCol w:w="1224"/>
              <w:gridCol w:w="762"/>
              <w:gridCol w:w="536"/>
              <w:gridCol w:w="562"/>
              <w:gridCol w:w="500"/>
              <w:gridCol w:w="590"/>
              <w:gridCol w:w="750"/>
              <w:gridCol w:w="725"/>
              <w:gridCol w:w="708"/>
            </w:tblGrid>
            <w:tr w14:paraId="5BCA8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48" w:type="pct"/>
                  <w:vMerge w:val="restart"/>
                  <w:tcBorders>
                    <w:tl2br w:val="nil"/>
                    <w:tr2bl w:val="nil"/>
                  </w:tcBorders>
                  <w:noWrap w:val="0"/>
                  <w:vAlign w:val="center"/>
                </w:tcPr>
                <w:p w14:paraId="67E03F37">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序号</w:t>
                  </w:r>
                </w:p>
              </w:tc>
              <w:tc>
                <w:tcPr>
                  <w:tcW w:w="496" w:type="pct"/>
                  <w:vMerge w:val="restart"/>
                  <w:tcBorders>
                    <w:tl2br w:val="nil"/>
                    <w:tr2bl w:val="nil"/>
                  </w:tcBorders>
                  <w:noWrap w:val="0"/>
                  <w:vAlign w:val="center"/>
                </w:tcPr>
                <w:p w14:paraId="6D41C150">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设备名称</w:t>
                  </w:r>
                </w:p>
              </w:tc>
              <w:tc>
                <w:tcPr>
                  <w:tcW w:w="370" w:type="pct"/>
                  <w:vMerge w:val="restart"/>
                  <w:tcBorders>
                    <w:tl2br w:val="nil"/>
                    <w:tr2bl w:val="nil"/>
                  </w:tcBorders>
                  <w:noWrap w:val="0"/>
                  <w:vAlign w:val="center"/>
                </w:tcPr>
                <w:p w14:paraId="5894C368">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源强dB（A）</w:t>
                  </w:r>
                </w:p>
              </w:tc>
              <w:tc>
                <w:tcPr>
                  <w:tcW w:w="196" w:type="pct"/>
                  <w:vMerge w:val="restart"/>
                  <w:tcBorders>
                    <w:tl2br w:val="nil"/>
                    <w:tr2bl w:val="nil"/>
                  </w:tcBorders>
                  <w:noWrap w:val="0"/>
                  <w:vAlign w:val="center"/>
                </w:tcPr>
                <w:p w14:paraId="27407FF7">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数量</w:t>
                  </w:r>
                </w:p>
              </w:tc>
              <w:tc>
                <w:tcPr>
                  <w:tcW w:w="710" w:type="pct"/>
                  <w:vMerge w:val="restart"/>
                  <w:tcBorders>
                    <w:tl2br w:val="nil"/>
                    <w:tr2bl w:val="nil"/>
                  </w:tcBorders>
                  <w:noWrap w:val="0"/>
                  <w:vAlign w:val="center"/>
                </w:tcPr>
                <w:p w14:paraId="6B3DCEC4">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治理措施</w:t>
                  </w:r>
                </w:p>
              </w:tc>
              <w:tc>
                <w:tcPr>
                  <w:tcW w:w="442" w:type="pct"/>
                  <w:vMerge w:val="restart"/>
                  <w:tcBorders>
                    <w:tl2br w:val="nil"/>
                    <w:tr2bl w:val="nil"/>
                  </w:tcBorders>
                  <w:noWrap w:val="0"/>
                  <w:vAlign w:val="center"/>
                </w:tcPr>
                <w:p w14:paraId="3EDB7F9B">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single" w:color="auto"/>
                      <w:lang w:val="en-US" w:eastAsia="zh-CN"/>
                    </w:rPr>
                  </w:pPr>
                  <w:r>
                    <w:rPr>
                      <w:rFonts w:ascii="Times New Roman" w:hAnsi="Times New Roman" w:cs="Times New Roman"/>
                      <w:color w:val="auto"/>
                      <w:sz w:val="21"/>
                      <w:szCs w:val="21"/>
                      <w:u w:val="single" w:color="auto"/>
                    </w:rPr>
                    <w:t>建筑物插入损失/dB（A）</w:t>
                  </w:r>
                </w:p>
              </w:tc>
              <w:tc>
                <w:tcPr>
                  <w:tcW w:w="1269" w:type="pct"/>
                  <w:gridSpan w:val="4"/>
                  <w:tcBorders>
                    <w:tl2br w:val="nil"/>
                    <w:tr2bl w:val="nil"/>
                  </w:tcBorders>
                  <w:noWrap w:val="0"/>
                  <w:vAlign w:val="center"/>
                </w:tcPr>
                <w:p w14:paraId="5AB2998F">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距厂界的距离m</w:t>
                  </w:r>
                </w:p>
              </w:tc>
              <w:tc>
                <w:tcPr>
                  <w:tcW w:w="435" w:type="pct"/>
                  <w:vMerge w:val="restart"/>
                  <w:tcBorders>
                    <w:tl2br w:val="nil"/>
                    <w:tr2bl w:val="nil"/>
                  </w:tcBorders>
                  <w:noWrap w:val="0"/>
                  <w:vAlign w:val="center"/>
                </w:tcPr>
                <w:p w14:paraId="220E0020">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距散户居民点1距离 m</w:t>
                  </w:r>
                </w:p>
              </w:tc>
              <w:tc>
                <w:tcPr>
                  <w:tcW w:w="420" w:type="pct"/>
                  <w:vMerge w:val="restart"/>
                  <w:tcBorders>
                    <w:tl2br w:val="nil"/>
                    <w:tr2bl w:val="nil"/>
                  </w:tcBorders>
                  <w:noWrap w:val="0"/>
                  <w:vAlign w:val="center"/>
                </w:tcPr>
                <w:p w14:paraId="61B4EFA8">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距散户居民点2距离 m</w:t>
                  </w:r>
                </w:p>
              </w:tc>
              <w:tc>
                <w:tcPr>
                  <w:tcW w:w="410" w:type="pct"/>
                  <w:vMerge w:val="restart"/>
                  <w:tcBorders>
                    <w:tl2br w:val="nil"/>
                    <w:tr2bl w:val="nil"/>
                  </w:tcBorders>
                  <w:shd w:val="clear" w:color="auto" w:fill="auto"/>
                  <w:noWrap w:val="0"/>
                  <w:vAlign w:val="center"/>
                </w:tcPr>
                <w:p w14:paraId="55FD856A">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距散户居民点4距离 m</w:t>
                  </w:r>
                </w:p>
              </w:tc>
            </w:tr>
            <w:tr w14:paraId="17D00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48" w:type="pct"/>
                  <w:vMerge w:val="continue"/>
                  <w:tcBorders>
                    <w:tl2br w:val="nil"/>
                    <w:tr2bl w:val="nil"/>
                  </w:tcBorders>
                  <w:noWrap w:val="0"/>
                  <w:vAlign w:val="center"/>
                </w:tcPr>
                <w:p w14:paraId="30025514">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rPr>
                  </w:pPr>
                </w:p>
              </w:tc>
              <w:tc>
                <w:tcPr>
                  <w:tcW w:w="496" w:type="pct"/>
                  <w:vMerge w:val="continue"/>
                  <w:tcBorders>
                    <w:tl2br w:val="nil"/>
                    <w:tr2bl w:val="nil"/>
                  </w:tcBorders>
                  <w:noWrap w:val="0"/>
                  <w:vAlign w:val="center"/>
                </w:tcPr>
                <w:p w14:paraId="51A3F25D">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rPr>
                  </w:pPr>
                </w:p>
              </w:tc>
              <w:tc>
                <w:tcPr>
                  <w:tcW w:w="370" w:type="pct"/>
                  <w:vMerge w:val="continue"/>
                  <w:tcBorders>
                    <w:tl2br w:val="nil"/>
                    <w:tr2bl w:val="nil"/>
                  </w:tcBorders>
                  <w:noWrap w:val="0"/>
                  <w:vAlign w:val="center"/>
                </w:tcPr>
                <w:p w14:paraId="0B257ACD">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rPr>
                  </w:pPr>
                </w:p>
              </w:tc>
              <w:tc>
                <w:tcPr>
                  <w:tcW w:w="196" w:type="pct"/>
                  <w:vMerge w:val="continue"/>
                  <w:tcBorders>
                    <w:tl2br w:val="nil"/>
                    <w:tr2bl w:val="nil"/>
                  </w:tcBorders>
                  <w:noWrap w:val="0"/>
                  <w:vAlign w:val="center"/>
                </w:tcPr>
                <w:p w14:paraId="2C9496BD">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rPr>
                  </w:pPr>
                </w:p>
              </w:tc>
              <w:tc>
                <w:tcPr>
                  <w:tcW w:w="710" w:type="pct"/>
                  <w:vMerge w:val="continue"/>
                  <w:tcBorders>
                    <w:tl2br w:val="nil"/>
                    <w:tr2bl w:val="nil"/>
                  </w:tcBorders>
                  <w:noWrap w:val="0"/>
                  <w:vAlign w:val="center"/>
                </w:tcPr>
                <w:p w14:paraId="548D31A7">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rPr>
                  </w:pPr>
                </w:p>
              </w:tc>
              <w:tc>
                <w:tcPr>
                  <w:tcW w:w="442" w:type="pct"/>
                  <w:vMerge w:val="continue"/>
                  <w:tcBorders>
                    <w:tl2br w:val="nil"/>
                    <w:tr2bl w:val="nil"/>
                  </w:tcBorders>
                  <w:noWrap w:val="0"/>
                  <w:vAlign w:val="center"/>
                </w:tcPr>
                <w:p w14:paraId="47EF8B3C">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p>
              </w:tc>
              <w:tc>
                <w:tcPr>
                  <w:tcW w:w="311" w:type="pct"/>
                  <w:tcBorders>
                    <w:tl2br w:val="nil"/>
                    <w:tr2bl w:val="nil"/>
                  </w:tcBorders>
                  <w:noWrap w:val="0"/>
                  <w:vAlign w:val="center"/>
                </w:tcPr>
                <w:p w14:paraId="062053A7">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东</w:t>
                  </w:r>
                </w:p>
              </w:tc>
              <w:tc>
                <w:tcPr>
                  <w:tcW w:w="326" w:type="pct"/>
                  <w:tcBorders>
                    <w:tl2br w:val="nil"/>
                    <w:tr2bl w:val="nil"/>
                  </w:tcBorders>
                  <w:noWrap w:val="0"/>
                  <w:vAlign w:val="center"/>
                </w:tcPr>
                <w:p w14:paraId="2CC99A5A">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南</w:t>
                  </w:r>
                </w:p>
              </w:tc>
              <w:tc>
                <w:tcPr>
                  <w:tcW w:w="290" w:type="pct"/>
                  <w:tcBorders>
                    <w:tl2br w:val="nil"/>
                    <w:tr2bl w:val="nil"/>
                  </w:tcBorders>
                  <w:noWrap w:val="0"/>
                  <w:vAlign w:val="center"/>
                </w:tcPr>
                <w:p w14:paraId="6D1E21EC">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西</w:t>
                  </w:r>
                </w:p>
              </w:tc>
              <w:tc>
                <w:tcPr>
                  <w:tcW w:w="340" w:type="pct"/>
                  <w:tcBorders>
                    <w:tl2br w:val="nil"/>
                    <w:tr2bl w:val="nil"/>
                  </w:tcBorders>
                  <w:noWrap w:val="0"/>
                  <w:vAlign w:val="center"/>
                </w:tcPr>
                <w:p w14:paraId="30223DA8">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北</w:t>
                  </w:r>
                </w:p>
              </w:tc>
              <w:tc>
                <w:tcPr>
                  <w:tcW w:w="435" w:type="pct"/>
                  <w:vMerge w:val="continue"/>
                  <w:tcBorders>
                    <w:tl2br w:val="nil"/>
                    <w:tr2bl w:val="nil"/>
                  </w:tcBorders>
                  <w:noWrap w:val="0"/>
                  <w:vAlign w:val="center"/>
                </w:tcPr>
                <w:p w14:paraId="07E2E9C4">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p>
              </w:tc>
              <w:tc>
                <w:tcPr>
                  <w:tcW w:w="420" w:type="pct"/>
                  <w:vMerge w:val="continue"/>
                  <w:tcBorders>
                    <w:tl2br w:val="nil"/>
                    <w:tr2bl w:val="nil"/>
                  </w:tcBorders>
                  <w:noWrap w:val="0"/>
                  <w:vAlign w:val="center"/>
                </w:tcPr>
                <w:p w14:paraId="2760DB60">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p>
              </w:tc>
              <w:tc>
                <w:tcPr>
                  <w:tcW w:w="410" w:type="pct"/>
                  <w:vMerge w:val="continue"/>
                  <w:tcBorders>
                    <w:tl2br w:val="nil"/>
                    <w:tr2bl w:val="nil"/>
                  </w:tcBorders>
                  <w:noWrap w:val="0"/>
                  <w:vAlign w:val="center"/>
                </w:tcPr>
                <w:p w14:paraId="661A83AE">
                  <w:pPr>
                    <w:pStyle w:val="37"/>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single" w:color="auto"/>
                      <w:lang w:val="en-US" w:eastAsia="zh-CN"/>
                    </w:rPr>
                  </w:pPr>
                </w:p>
              </w:tc>
            </w:tr>
            <w:tr w14:paraId="312AB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2368B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bookmarkStart w:id="183" w:name="OLE_LINK266" w:colFirst="4" w:colLast="4"/>
                  <w:bookmarkStart w:id="184" w:name="OLE_LINK125" w:colFirst="1" w:colLast="2"/>
                  <w:r>
                    <w:rPr>
                      <w:rFonts w:hint="eastAsia" w:cs="Times New Roman"/>
                      <w:color w:val="auto"/>
                      <w:sz w:val="21"/>
                      <w:szCs w:val="21"/>
                      <w:u w:val="single" w:color="auto"/>
                      <w:lang w:val="en-US" w:eastAsia="zh-CN"/>
                    </w:rPr>
                    <w:t>1</w:t>
                  </w:r>
                </w:p>
              </w:tc>
              <w:tc>
                <w:tcPr>
                  <w:tcW w:w="496" w:type="pct"/>
                  <w:tcBorders>
                    <w:tl2br w:val="nil"/>
                    <w:tr2bl w:val="nil"/>
                  </w:tcBorders>
                  <w:noWrap w:val="0"/>
                  <w:vAlign w:val="center"/>
                </w:tcPr>
                <w:p w14:paraId="3BCF79A1">
                  <w:pPr>
                    <w:pStyle w:val="11"/>
                    <w:adjustRightInd/>
                    <w:snapToGrid/>
                    <w:spacing w:line="240" w:lineRule="auto"/>
                    <w:ind w:left="0" w:leftChars="0" w:firstLine="0" w:firstLineChars="0"/>
                    <w:jc w:val="center"/>
                    <w:rPr>
                      <w:rFonts w:hint="default" w:ascii="Times New Roman" w:hAnsi="Times New Roman" w:eastAsia="宋体" w:cs="Times New Roman"/>
                      <w:color w:val="auto"/>
                      <w:sz w:val="21"/>
                      <w:szCs w:val="21"/>
                      <w:u w:val="single" w:color="auto"/>
                      <w:vertAlign w:val="baseline"/>
                      <w:lang w:val="en-US" w:eastAsia="zh-CN"/>
                    </w:rPr>
                  </w:pPr>
                  <w:r>
                    <w:rPr>
                      <w:rFonts w:hint="eastAsia"/>
                      <w:color w:val="auto"/>
                      <w:szCs w:val="24"/>
                      <w:u w:val="single" w:color="auto"/>
                    </w:rPr>
                    <w:t>畜类</w:t>
                  </w:r>
                  <w:r>
                    <w:rPr>
                      <w:rFonts w:hint="default" w:ascii="Times New Roman" w:hAnsi="Times New Roman" w:eastAsia="宋体" w:cs="Times New Roman"/>
                      <w:bCs w:val="0"/>
                      <w:color w:val="auto"/>
                      <w:spacing w:val="0"/>
                      <w:kern w:val="0"/>
                      <w:sz w:val="21"/>
                      <w:szCs w:val="21"/>
                      <w:u w:val="single" w:color="auto"/>
                      <w:lang w:val="en-US" w:eastAsia="zh-CN" w:bidi="ar-SA"/>
                    </w:rPr>
                    <w:t>脱毛机</w:t>
                  </w:r>
                  <w:r>
                    <w:rPr>
                      <w:rFonts w:hint="eastAsia" w:cs="Times New Roman"/>
                      <w:bCs w:val="0"/>
                      <w:color w:val="auto"/>
                      <w:spacing w:val="0"/>
                      <w:kern w:val="0"/>
                      <w:sz w:val="21"/>
                      <w:szCs w:val="21"/>
                      <w:u w:val="single" w:color="auto"/>
                      <w:lang w:val="en-US" w:eastAsia="zh-CN" w:bidi="ar-SA"/>
                    </w:rPr>
                    <w:t>1</w:t>
                  </w:r>
                </w:p>
              </w:tc>
              <w:tc>
                <w:tcPr>
                  <w:tcW w:w="370" w:type="pct"/>
                  <w:tcBorders>
                    <w:tl2br w:val="nil"/>
                    <w:tr2bl w:val="nil"/>
                  </w:tcBorders>
                  <w:noWrap w:val="0"/>
                  <w:vAlign w:val="center"/>
                </w:tcPr>
                <w:p w14:paraId="5380DD4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1A55EB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710" w:type="pct"/>
                  <w:tcBorders>
                    <w:tl2br w:val="nil"/>
                    <w:tr2bl w:val="nil"/>
                  </w:tcBorders>
                  <w:noWrap w:val="0"/>
                  <w:vAlign w:val="center"/>
                </w:tcPr>
                <w:p w14:paraId="78C35337">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1C3053F0">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16CC46E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single" w:color="auto"/>
                      <w:lang w:val="en-US" w:eastAsia="zh-CN"/>
                    </w:rPr>
                  </w:pPr>
                  <w:bookmarkStart w:id="185" w:name="_Toc18768"/>
                  <w:bookmarkStart w:id="186" w:name="_Toc9825"/>
                  <w:bookmarkStart w:id="187" w:name="_Toc1589"/>
                  <w:bookmarkStart w:id="188" w:name="_Toc27686"/>
                  <w:bookmarkStart w:id="189" w:name="_Toc28384"/>
                  <w:bookmarkStart w:id="190" w:name="_Toc8123"/>
                  <w:r>
                    <w:rPr>
                      <w:rFonts w:hint="eastAsia" w:cs="Times New Roman"/>
                      <w:color w:val="auto"/>
                      <w:sz w:val="21"/>
                      <w:szCs w:val="21"/>
                      <w:u w:val="single" w:color="auto"/>
                      <w:lang w:val="en-US" w:eastAsia="zh-CN"/>
                    </w:rPr>
                    <w:t>40</w:t>
                  </w:r>
                  <w:bookmarkEnd w:id="185"/>
                  <w:bookmarkEnd w:id="186"/>
                  <w:bookmarkEnd w:id="187"/>
                  <w:bookmarkEnd w:id="188"/>
                  <w:bookmarkEnd w:id="189"/>
                  <w:bookmarkEnd w:id="190"/>
                </w:p>
              </w:tc>
              <w:tc>
                <w:tcPr>
                  <w:tcW w:w="326" w:type="pct"/>
                  <w:tcBorders>
                    <w:tl2br w:val="nil"/>
                    <w:tr2bl w:val="nil"/>
                  </w:tcBorders>
                  <w:noWrap w:val="0"/>
                  <w:vAlign w:val="center"/>
                </w:tcPr>
                <w:p w14:paraId="6CEEAA2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single" w:color="auto"/>
                      <w:lang w:val="en-US" w:eastAsia="zh-CN"/>
                    </w:rPr>
                  </w:pPr>
                  <w:bookmarkStart w:id="191" w:name="_Toc336"/>
                  <w:bookmarkStart w:id="192" w:name="_Toc29222"/>
                  <w:bookmarkStart w:id="193" w:name="_Toc13126"/>
                  <w:bookmarkStart w:id="194" w:name="_Toc21886"/>
                  <w:bookmarkStart w:id="195" w:name="_Toc21961"/>
                  <w:bookmarkStart w:id="196" w:name="_Toc23669"/>
                  <w:r>
                    <w:rPr>
                      <w:rFonts w:hint="eastAsia" w:cs="Times New Roman"/>
                      <w:color w:val="auto"/>
                      <w:sz w:val="21"/>
                      <w:szCs w:val="21"/>
                      <w:u w:val="single" w:color="auto"/>
                      <w:lang w:val="en-US" w:eastAsia="zh-CN"/>
                    </w:rPr>
                    <w:t>28</w:t>
                  </w:r>
                  <w:bookmarkEnd w:id="191"/>
                  <w:bookmarkEnd w:id="192"/>
                  <w:bookmarkEnd w:id="193"/>
                  <w:bookmarkEnd w:id="194"/>
                  <w:bookmarkEnd w:id="195"/>
                  <w:bookmarkEnd w:id="196"/>
                </w:p>
              </w:tc>
              <w:tc>
                <w:tcPr>
                  <w:tcW w:w="290" w:type="pct"/>
                  <w:tcBorders>
                    <w:tl2br w:val="nil"/>
                    <w:tr2bl w:val="nil"/>
                  </w:tcBorders>
                  <w:noWrap w:val="0"/>
                  <w:vAlign w:val="center"/>
                </w:tcPr>
                <w:p w14:paraId="545B9E9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single" w:color="auto"/>
                      <w:lang w:val="en-US" w:eastAsia="zh-CN"/>
                    </w:rPr>
                  </w:pPr>
                  <w:bookmarkStart w:id="197" w:name="_Toc7742"/>
                  <w:bookmarkStart w:id="198" w:name="_Toc11254"/>
                  <w:bookmarkStart w:id="199" w:name="_Toc20849"/>
                  <w:bookmarkStart w:id="200" w:name="_Toc25619"/>
                  <w:bookmarkStart w:id="201" w:name="_Toc22115"/>
                  <w:bookmarkStart w:id="202" w:name="_Toc30097"/>
                  <w:r>
                    <w:rPr>
                      <w:rFonts w:hint="eastAsia" w:cs="Times New Roman"/>
                      <w:color w:val="auto"/>
                      <w:sz w:val="21"/>
                      <w:szCs w:val="21"/>
                      <w:u w:val="single" w:color="auto"/>
                      <w:lang w:val="en-US" w:eastAsia="zh-CN"/>
                    </w:rPr>
                    <w:t>45</w:t>
                  </w:r>
                  <w:bookmarkEnd w:id="197"/>
                  <w:bookmarkEnd w:id="198"/>
                  <w:bookmarkEnd w:id="199"/>
                  <w:bookmarkEnd w:id="200"/>
                  <w:bookmarkEnd w:id="201"/>
                  <w:bookmarkEnd w:id="202"/>
                </w:p>
              </w:tc>
              <w:tc>
                <w:tcPr>
                  <w:tcW w:w="340" w:type="pct"/>
                  <w:tcBorders>
                    <w:tl2br w:val="nil"/>
                    <w:tr2bl w:val="nil"/>
                  </w:tcBorders>
                  <w:noWrap w:val="0"/>
                  <w:vAlign w:val="center"/>
                </w:tcPr>
                <w:p w14:paraId="5482A3B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single" w:color="auto"/>
                      <w:lang w:val="en-US" w:eastAsia="zh-CN"/>
                    </w:rPr>
                  </w:pPr>
                  <w:bookmarkStart w:id="203" w:name="_Toc11192"/>
                  <w:bookmarkStart w:id="204" w:name="_Toc20367"/>
                  <w:bookmarkStart w:id="205" w:name="_Toc25717"/>
                  <w:bookmarkStart w:id="206" w:name="_Toc30974"/>
                  <w:bookmarkStart w:id="207" w:name="_Toc16369"/>
                  <w:bookmarkStart w:id="208" w:name="_Toc7124"/>
                  <w:r>
                    <w:rPr>
                      <w:rFonts w:hint="eastAsia" w:cs="Times New Roman"/>
                      <w:color w:val="auto"/>
                      <w:sz w:val="21"/>
                      <w:szCs w:val="21"/>
                      <w:u w:val="single" w:color="auto"/>
                      <w:lang w:val="en-US" w:eastAsia="zh-CN"/>
                    </w:rPr>
                    <w:t>22</w:t>
                  </w:r>
                  <w:bookmarkEnd w:id="203"/>
                  <w:bookmarkEnd w:id="204"/>
                  <w:bookmarkEnd w:id="205"/>
                  <w:bookmarkEnd w:id="206"/>
                  <w:bookmarkEnd w:id="207"/>
                  <w:bookmarkEnd w:id="208"/>
                </w:p>
              </w:tc>
              <w:tc>
                <w:tcPr>
                  <w:tcW w:w="435" w:type="pct"/>
                  <w:tcBorders>
                    <w:tl2br w:val="nil"/>
                    <w:tr2bl w:val="nil"/>
                  </w:tcBorders>
                  <w:noWrap w:val="0"/>
                  <w:vAlign w:val="center"/>
                </w:tcPr>
                <w:p w14:paraId="44F49B8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09" w:name="_Toc21462"/>
                  <w:bookmarkStart w:id="210" w:name="_Toc2703"/>
                  <w:bookmarkStart w:id="211" w:name="_Toc25309"/>
                  <w:bookmarkStart w:id="212" w:name="_Toc11353"/>
                  <w:bookmarkStart w:id="213" w:name="_Toc8325"/>
                  <w:bookmarkStart w:id="214" w:name="_Toc1333"/>
                  <w:r>
                    <w:rPr>
                      <w:rFonts w:hint="eastAsia" w:cs="Times New Roman"/>
                      <w:color w:val="auto"/>
                      <w:sz w:val="21"/>
                      <w:szCs w:val="21"/>
                      <w:u w:val="single" w:color="auto"/>
                      <w:lang w:val="en-US" w:eastAsia="zh-CN"/>
                    </w:rPr>
                    <w:t>75</w:t>
                  </w:r>
                  <w:bookmarkEnd w:id="209"/>
                  <w:bookmarkEnd w:id="210"/>
                  <w:bookmarkEnd w:id="211"/>
                  <w:bookmarkEnd w:id="212"/>
                  <w:bookmarkEnd w:id="213"/>
                  <w:bookmarkEnd w:id="214"/>
                </w:p>
              </w:tc>
              <w:tc>
                <w:tcPr>
                  <w:tcW w:w="420" w:type="pct"/>
                  <w:tcBorders>
                    <w:tl2br w:val="nil"/>
                    <w:tr2bl w:val="nil"/>
                  </w:tcBorders>
                  <w:noWrap w:val="0"/>
                  <w:vAlign w:val="center"/>
                </w:tcPr>
                <w:p w14:paraId="7A49D2B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15" w:name="_Toc23784"/>
                  <w:bookmarkStart w:id="216" w:name="_Toc6038"/>
                  <w:bookmarkStart w:id="217" w:name="_Toc11456"/>
                  <w:bookmarkStart w:id="218" w:name="_Toc26700"/>
                  <w:bookmarkStart w:id="219" w:name="_Toc14951"/>
                  <w:bookmarkStart w:id="220" w:name="_Toc8797"/>
                  <w:r>
                    <w:rPr>
                      <w:rFonts w:hint="eastAsia" w:cs="Times New Roman"/>
                      <w:color w:val="auto"/>
                      <w:sz w:val="21"/>
                      <w:szCs w:val="21"/>
                      <w:u w:val="single" w:color="auto"/>
                      <w:lang w:val="en-US" w:eastAsia="zh-CN"/>
                    </w:rPr>
                    <w:t>49</w:t>
                  </w:r>
                  <w:bookmarkEnd w:id="215"/>
                  <w:bookmarkEnd w:id="216"/>
                  <w:bookmarkEnd w:id="217"/>
                  <w:bookmarkEnd w:id="218"/>
                  <w:bookmarkEnd w:id="219"/>
                  <w:bookmarkEnd w:id="220"/>
                </w:p>
              </w:tc>
              <w:tc>
                <w:tcPr>
                  <w:tcW w:w="410" w:type="pct"/>
                  <w:tcBorders>
                    <w:tl2br w:val="nil"/>
                    <w:tr2bl w:val="nil"/>
                  </w:tcBorders>
                  <w:noWrap w:val="0"/>
                  <w:vAlign w:val="center"/>
                </w:tcPr>
                <w:p w14:paraId="5C287DF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21" w:name="_Toc4066"/>
                  <w:bookmarkStart w:id="222" w:name="_Toc66"/>
                  <w:bookmarkStart w:id="223" w:name="_Toc6131"/>
                  <w:bookmarkStart w:id="224" w:name="_Toc10420"/>
                  <w:bookmarkStart w:id="225" w:name="_Toc10269"/>
                  <w:bookmarkStart w:id="226" w:name="_Toc31796"/>
                  <w:r>
                    <w:rPr>
                      <w:rFonts w:hint="eastAsia" w:cs="Times New Roman"/>
                      <w:color w:val="auto"/>
                      <w:sz w:val="21"/>
                      <w:szCs w:val="21"/>
                      <w:u w:val="single" w:color="auto"/>
                      <w:lang w:val="en-US" w:eastAsia="zh-CN"/>
                    </w:rPr>
                    <w:t>71</w:t>
                  </w:r>
                  <w:bookmarkEnd w:id="221"/>
                  <w:bookmarkEnd w:id="222"/>
                  <w:bookmarkEnd w:id="223"/>
                  <w:bookmarkEnd w:id="224"/>
                  <w:bookmarkEnd w:id="225"/>
                  <w:bookmarkEnd w:id="226"/>
                </w:p>
              </w:tc>
            </w:tr>
            <w:tr w14:paraId="0CE9B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4FBBB4F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27" w:name="_Toc20401"/>
                  <w:bookmarkStart w:id="228" w:name="_Toc4898"/>
                  <w:bookmarkStart w:id="229" w:name="_Toc3703"/>
                  <w:bookmarkStart w:id="230" w:name="_Toc10755"/>
                  <w:bookmarkStart w:id="231" w:name="_Toc16122"/>
                  <w:bookmarkStart w:id="232" w:name="_Toc5689"/>
                  <w:r>
                    <w:rPr>
                      <w:rFonts w:hint="eastAsia" w:cs="Times New Roman"/>
                      <w:color w:val="auto"/>
                      <w:sz w:val="21"/>
                      <w:szCs w:val="21"/>
                      <w:u w:val="single" w:color="auto"/>
                      <w:lang w:val="en-US" w:eastAsia="zh-CN"/>
                    </w:rPr>
                    <w:t>2</w:t>
                  </w:r>
                  <w:bookmarkEnd w:id="227"/>
                  <w:bookmarkEnd w:id="228"/>
                  <w:bookmarkEnd w:id="229"/>
                  <w:bookmarkEnd w:id="230"/>
                  <w:bookmarkEnd w:id="231"/>
                  <w:bookmarkEnd w:id="232"/>
                </w:p>
              </w:tc>
              <w:tc>
                <w:tcPr>
                  <w:tcW w:w="496" w:type="pct"/>
                  <w:tcBorders>
                    <w:tl2br w:val="nil"/>
                    <w:tr2bl w:val="nil"/>
                  </w:tcBorders>
                  <w:noWrap w:val="0"/>
                  <w:vAlign w:val="center"/>
                </w:tcPr>
                <w:p w14:paraId="4594F890">
                  <w:pPr>
                    <w:pStyle w:val="11"/>
                    <w:adjustRightInd/>
                    <w:snapToGrid/>
                    <w:spacing w:line="240" w:lineRule="auto"/>
                    <w:ind w:left="0" w:leftChars="0" w:firstLine="0" w:firstLineChars="0"/>
                    <w:jc w:val="center"/>
                    <w:rPr>
                      <w:rFonts w:hint="eastAsia" w:cs="Times New Roman"/>
                      <w:color w:val="auto"/>
                      <w:sz w:val="21"/>
                      <w:szCs w:val="21"/>
                      <w:u w:val="single" w:color="auto"/>
                      <w:lang w:val="en-US" w:eastAsia="zh-CN"/>
                    </w:rPr>
                  </w:pPr>
                  <w:r>
                    <w:rPr>
                      <w:rFonts w:hint="eastAsia"/>
                      <w:color w:val="auto"/>
                      <w:szCs w:val="24"/>
                      <w:u w:val="single" w:color="auto"/>
                    </w:rPr>
                    <w:t>畜类</w:t>
                  </w:r>
                  <w:r>
                    <w:rPr>
                      <w:rFonts w:hint="default" w:ascii="Times New Roman" w:hAnsi="Times New Roman" w:eastAsia="宋体" w:cs="Times New Roman"/>
                      <w:bCs w:val="0"/>
                      <w:color w:val="auto"/>
                      <w:spacing w:val="0"/>
                      <w:kern w:val="0"/>
                      <w:sz w:val="21"/>
                      <w:szCs w:val="21"/>
                      <w:u w:val="single" w:color="auto"/>
                      <w:lang w:val="en-US" w:eastAsia="zh-CN" w:bidi="ar-SA"/>
                    </w:rPr>
                    <w:t>脱毛机</w:t>
                  </w:r>
                  <w:r>
                    <w:rPr>
                      <w:rFonts w:hint="eastAsia" w:cs="Times New Roman"/>
                      <w:bCs w:val="0"/>
                      <w:color w:val="auto"/>
                      <w:spacing w:val="0"/>
                      <w:kern w:val="0"/>
                      <w:sz w:val="21"/>
                      <w:szCs w:val="21"/>
                      <w:u w:val="single" w:color="auto"/>
                      <w:lang w:val="en-US" w:eastAsia="zh-CN" w:bidi="ar-SA"/>
                    </w:rPr>
                    <w:t>2</w:t>
                  </w:r>
                </w:p>
              </w:tc>
              <w:tc>
                <w:tcPr>
                  <w:tcW w:w="370" w:type="pct"/>
                  <w:tcBorders>
                    <w:tl2br w:val="nil"/>
                    <w:tr2bl w:val="nil"/>
                  </w:tcBorders>
                  <w:noWrap w:val="0"/>
                  <w:vAlign w:val="center"/>
                </w:tcPr>
                <w:p w14:paraId="645AB4D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2AE384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1D5C8312">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270518B8">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377C2C5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33" w:name="_Toc1294"/>
                  <w:bookmarkStart w:id="234" w:name="_Toc6285"/>
                  <w:bookmarkStart w:id="235" w:name="_Toc32614"/>
                  <w:bookmarkStart w:id="236" w:name="_Toc8897"/>
                  <w:bookmarkStart w:id="237" w:name="_Toc30608"/>
                  <w:bookmarkStart w:id="238" w:name="_Toc16952"/>
                  <w:r>
                    <w:rPr>
                      <w:rFonts w:hint="eastAsia" w:cs="Times New Roman"/>
                      <w:color w:val="auto"/>
                      <w:sz w:val="21"/>
                      <w:szCs w:val="21"/>
                      <w:u w:val="single" w:color="auto"/>
                      <w:lang w:val="en-US" w:eastAsia="zh-CN"/>
                    </w:rPr>
                    <w:t>40</w:t>
                  </w:r>
                  <w:bookmarkEnd w:id="233"/>
                  <w:bookmarkEnd w:id="234"/>
                  <w:bookmarkEnd w:id="235"/>
                  <w:bookmarkEnd w:id="236"/>
                  <w:bookmarkEnd w:id="237"/>
                  <w:bookmarkEnd w:id="238"/>
                </w:p>
              </w:tc>
              <w:tc>
                <w:tcPr>
                  <w:tcW w:w="326" w:type="pct"/>
                  <w:tcBorders>
                    <w:tl2br w:val="nil"/>
                    <w:tr2bl w:val="nil"/>
                  </w:tcBorders>
                  <w:noWrap w:val="0"/>
                  <w:vAlign w:val="center"/>
                </w:tcPr>
                <w:p w14:paraId="132E0E5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39" w:name="_Toc4937"/>
                  <w:bookmarkStart w:id="240" w:name="_Toc20071"/>
                  <w:bookmarkStart w:id="241" w:name="_Toc21173"/>
                  <w:bookmarkStart w:id="242" w:name="_Toc31735"/>
                  <w:bookmarkStart w:id="243" w:name="_Toc12704"/>
                  <w:bookmarkStart w:id="244" w:name="_Toc20632"/>
                  <w:r>
                    <w:rPr>
                      <w:rFonts w:hint="eastAsia" w:cs="Times New Roman"/>
                      <w:color w:val="auto"/>
                      <w:sz w:val="21"/>
                      <w:szCs w:val="21"/>
                      <w:u w:val="single" w:color="auto"/>
                      <w:lang w:val="en-US" w:eastAsia="zh-CN"/>
                    </w:rPr>
                    <w:t>24</w:t>
                  </w:r>
                  <w:bookmarkEnd w:id="239"/>
                  <w:bookmarkEnd w:id="240"/>
                  <w:bookmarkEnd w:id="241"/>
                  <w:bookmarkEnd w:id="242"/>
                  <w:bookmarkEnd w:id="243"/>
                  <w:bookmarkEnd w:id="244"/>
                </w:p>
              </w:tc>
              <w:tc>
                <w:tcPr>
                  <w:tcW w:w="290" w:type="pct"/>
                  <w:tcBorders>
                    <w:tl2br w:val="nil"/>
                    <w:tr2bl w:val="nil"/>
                  </w:tcBorders>
                  <w:noWrap w:val="0"/>
                  <w:vAlign w:val="center"/>
                </w:tcPr>
                <w:p w14:paraId="33BDDE9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45" w:name="_Toc17557"/>
                  <w:bookmarkStart w:id="246" w:name="_Toc29413"/>
                  <w:bookmarkStart w:id="247" w:name="_Toc3591"/>
                  <w:bookmarkStart w:id="248" w:name="_Toc29765"/>
                  <w:bookmarkStart w:id="249" w:name="_Toc31852"/>
                  <w:bookmarkStart w:id="250" w:name="_Toc15729"/>
                  <w:r>
                    <w:rPr>
                      <w:rFonts w:hint="eastAsia" w:cs="Times New Roman"/>
                      <w:color w:val="auto"/>
                      <w:sz w:val="21"/>
                      <w:szCs w:val="21"/>
                      <w:u w:val="single" w:color="auto"/>
                      <w:lang w:val="en-US" w:eastAsia="zh-CN"/>
                    </w:rPr>
                    <w:t>45</w:t>
                  </w:r>
                  <w:bookmarkEnd w:id="245"/>
                  <w:bookmarkEnd w:id="246"/>
                  <w:bookmarkEnd w:id="247"/>
                  <w:bookmarkEnd w:id="248"/>
                  <w:bookmarkEnd w:id="249"/>
                  <w:bookmarkEnd w:id="250"/>
                </w:p>
              </w:tc>
              <w:tc>
                <w:tcPr>
                  <w:tcW w:w="340" w:type="pct"/>
                  <w:tcBorders>
                    <w:tl2br w:val="nil"/>
                    <w:tr2bl w:val="nil"/>
                  </w:tcBorders>
                  <w:noWrap w:val="0"/>
                  <w:vAlign w:val="center"/>
                </w:tcPr>
                <w:p w14:paraId="4399190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51" w:name="_Toc16945"/>
                  <w:bookmarkStart w:id="252" w:name="_Toc2128"/>
                  <w:bookmarkStart w:id="253" w:name="_Toc17655"/>
                  <w:bookmarkStart w:id="254" w:name="_Toc6199"/>
                  <w:bookmarkStart w:id="255" w:name="_Toc15904"/>
                  <w:bookmarkStart w:id="256" w:name="_Toc27779"/>
                  <w:r>
                    <w:rPr>
                      <w:rFonts w:hint="eastAsia" w:cs="Times New Roman"/>
                      <w:color w:val="auto"/>
                      <w:sz w:val="21"/>
                      <w:szCs w:val="21"/>
                      <w:u w:val="single" w:color="auto"/>
                      <w:lang w:val="en-US" w:eastAsia="zh-CN"/>
                    </w:rPr>
                    <w:t>26</w:t>
                  </w:r>
                  <w:bookmarkEnd w:id="251"/>
                  <w:bookmarkEnd w:id="252"/>
                  <w:bookmarkEnd w:id="253"/>
                  <w:bookmarkEnd w:id="254"/>
                  <w:bookmarkEnd w:id="255"/>
                  <w:bookmarkEnd w:id="256"/>
                </w:p>
              </w:tc>
              <w:tc>
                <w:tcPr>
                  <w:tcW w:w="435" w:type="pct"/>
                  <w:tcBorders>
                    <w:tl2br w:val="nil"/>
                    <w:tr2bl w:val="nil"/>
                  </w:tcBorders>
                  <w:noWrap w:val="0"/>
                  <w:vAlign w:val="center"/>
                </w:tcPr>
                <w:p w14:paraId="108B425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57" w:name="_Toc12657"/>
                  <w:bookmarkStart w:id="258" w:name="_Toc30549"/>
                  <w:bookmarkStart w:id="259" w:name="_Toc14211"/>
                  <w:bookmarkStart w:id="260" w:name="_Toc26986"/>
                  <w:bookmarkStart w:id="261" w:name="_Toc18414"/>
                  <w:bookmarkStart w:id="262" w:name="_Toc10090"/>
                  <w:r>
                    <w:rPr>
                      <w:rFonts w:hint="eastAsia" w:cs="Times New Roman"/>
                      <w:color w:val="auto"/>
                      <w:sz w:val="21"/>
                      <w:szCs w:val="21"/>
                      <w:u w:val="single" w:color="auto"/>
                      <w:lang w:val="en-US" w:eastAsia="zh-CN"/>
                    </w:rPr>
                    <w:t>75</w:t>
                  </w:r>
                  <w:bookmarkEnd w:id="257"/>
                  <w:bookmarkEnd w:id="258"/>
                  <w:bookmarkEnd w:id="259"/>
                  <w:bookmarkEnd w:id="260"/>
                  <w:bookmarkEnd w:id="261"/>
                  <w:bookmarkEnd w:id="262"/>
                </w:p>
              </w:tc>
              <w:tc>
                <w:tcPr>
                  <w:tcW w:w="420" w:type="pct"/>
                  <w:tcBorders>
                    <w:tl2br w:val="nil"/>
                    <w:tr2bl w:val="nil"/>
                  </w:tcBorders>
                  <w:noWrap w:val="0"/>
                  <w:vAlign w:val="center"/>
                </w:tcPr>
                <w:p w14:paraId="41BEC0C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63" w:name="_Toc8195"/>
                  <w:bookmarkStart w:id="264" w:name="_Toc10283"/>
                  <w:bookmarkStart w:id="265" w:name="_Toc21861"/>
                  <w:bookmarkStart w:id="266" w:name="_Toc25257"/>
                  <w:bookmarkStart w:id="267" w:name="_Toc10620"/>
                  <w:bookmarkStart w:id="268" w:name="_Toc6590"/>
                  <w:r>
                    <w:rPr>
                      <w:rFonts w:hint="eastAsia" w:cs="Times New Roman"/>
                      <w:color w:val="auto"/>
                      <w:sz w:val="21"/>
                      <w:szCs w:val="21"/>
                      <w:u w:val="single" w:color="auto"/>
                      <w:lang w:val="en-US" w:eastAsia="zh-CN"/>
                    </w:rPr>
                    <w:t>49</w:t>
                  </w:r>
                  <w:bookmarkEnd w:id="263"/>
                  <w:bookmarkEnd w:id="264"/>
                  <w:bookmarkEnd w:id="265"/>
                  <w:bookmarkEnd w:id="266"/>
                  <w:bookmarkEnd w:id="267"/>
                  <w:bookmarkEnd w:id="268"/>
                </w:p>
              </w:tc>
              <w:tc>
                <w:tcPr>
                  <w:tcW w:w="410" w:type="pct"/>
                  <w:tcBorders>
                    <w:tl2br w:val="nil"/>
                    <w:tr2bl w:val="nil"/>
                  </w:tcBorders>
                  <w:noWrap w:val="0"/>
                  <w:vAlign w:val="center"/>
                </w:tcPr>
                <w:p w14:paraId="522A1AF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69" w:name="_Toc25017"/>
                  <w:bookmarkStart w:id="270" w:name="_Toc16863"/>
                  <w:bookmarkStart w:id="271" w:name="_Toc11637"/>
                  <w:bookmarkStart w:id="272" w:name="_Toc1382"/>
                  <w:bookmarkStart w:id="273" w:name="_Toc13354"/>
                  <w:bookmarkStart w:id="274" w:name="_Toc2365"/>
                  <w:r>
                    <w:rPr>
                      <w:rFonts w:hint="eastAsia" w:cs="Times New Roman"/>
                      <w:color w:val="auto"/>
                      <w:sz w:val="21"/>
                      <w:szCs w:val="21"/>
                      <w:u w:val="single" w:color="auto"/>
                      <w:lang w:val="en-US" w:eastAsia="zh-CN"/>
                    </w:rPr>
                    <w:t>71</w:t>
                  </w:r>
                  <w:bookmarkEnd w:id="269"/>
                  <w:bookmarkEnd w:id="270"/>
                  <w:bookmarkEnd w:id="271"/>
                  <w:bookmarkEnd w:id="272"/>
                  <w:bookmarkEnd w:id="273"/>
                  <w:bookmarkEnd w:id="274"/>
                </w:p>
              </w:tc>
            </w:tr>
            <w:tr w14:paraId="112E9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33CDB02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75" w:name="_Toc13362"/>
                  <w:bookmarkStart w:id="276" w:name="_Toc31723"/>
                  <w:bookmarkStart w:id="277" w:name="_Toc11287"/>
                  <w:bookmarkStart w:id="278" w:name="_Toc48"/>
                  <w:bookmarkStart w:id="279" w:name="_Toc14197"/>
                  <w:bookmarkStart w:id="280" w:name="_Toc15809"/>
                  <w:r>
                    <w:rPr>
                      <w:rFonts w:hint="eastAsia" w:cs="Times New Roman"/>
                      <w:color w:val="auto"/>
                      <w:sz w:val="21"/>
                      <w:szCs w:val="21"/>
                      <w:u w:val="single" w:color="auto"/>
                      <w:lang w:val="en-US" w:eastAsia="zh-CN"/>
                    </w:rPr>
                    <w:t>3</w:t>
                  </w:r>
                  <w:bookmarkEnd w:id="275"/>
                  <w:bookmarkEnd w:id="276"/>
                  <w:bookmarkEnd w:id="277"/>
                  <w:bookmarkEnd w:id="278"/>
                  <w:bookmarkEnd w:id="279"/>
                  <w:bookmarkEnd w:id="280"/>
                </w:p>
              </w:tc>
              <w:tc>
                <w:tcPr>
                  <w:tcW w:w="496" w:type="pct"/>
                  <w:tcBorders>
                    <w:tl2br w:val="nil"/>
                    <w:tr2bl w:val="nil"/>
                  </w:tcBorders>
                  <w:noWrap w:val="0"/>
                  <w:vAlign w:val="center"/>
                </w:tcPr>
                <w:p w14:paraId="1AB0704B">
                  <w:pPr>
                    <w:pStyle w:val="11"/>
                    <w:adjustRightInd/>
                    <w:snapToGrid/>
                    <w:spacing w:line="240" w:lineRule="auto"/>
                    <w:ind w:left="0" w:leftChars="0" w:firstLine="0" w:firstLineChars="0"/>
                    <w:jc w:val="center"/>
                    <w:rPr>
                      <w:rFonts w:hint="eastAsia" w:cs="Times New Roman"/>
                      <w:color w:val="auto"/>
                      <w:sz w:val="21"/>
                      <w:szCs w:val="21"/>
                      <w:u w:val="single" w:color="auto"/>
                      <w:lang w:val="en-US" w:eastAsia="zh-CN"/>
                    </w:rPr>
                  </w:pPr>
                  <w:r>
                    <w:rPr>
                      <w:rFonts w:hint="default" w:ascii="Times New Roman" w:hAnsi="Times New Roman" w:eastAsia="宋体" w:cs="Times New Roman"/>
                      <w:bCs w:val="0"/>
                      <w:color w:val="auto"/>
                      <w:spacing w:val="0"/>
                      <w:kern w:val="0"/>
                      <w:sz w:val="21"/>
                      <w:szCs w:val="21"/>
                      <w:u w:val="single" w:color="auto"/>
                      <w:lang w:val="en-US" w:eastAsia="zh-CN" w:bidi="ar-SA"/>
                    </w:rPr>
                    <w:t>高压清洗器</w:t>
                  </w:r>
                  <w:r>
                    <w:rPr>
                      <w:rFonts w:hint="eastAsia" w:cs="Times New Roman"/>
                      <w:bCs w:val="0"/>
                      <w:color w:val="auto"/>
                      <w:spacing w:val="0"/>
                      <w:kern w:val="0"/>
                      <w:sz w:val="21"/>
                      <w:szCs w:val="21"/>
                      <w:u w:val="single" w:color="auto"/>
                      <w:lang w:val="en-US" w:eastAsia="zh-CN" w:bidi="ar-SA"/>
                    </w:rPr>
                    <w:t>1</w:t>
                  </w:r>
                </w:p>
              </w:tc>
              <w:tc>
                <w:tcPr>
                  <w:tcW w:w="370" w:type="pct"/>
                  <w:tcBorders>
                    <w:tl2br w:val="nil"/>
                    <w:tr2bl w:val="nil"/>
                  </w:tcBorders>
                  <w:noWrap w:val="0"/>
                  <w:vAlign w:val="center"/>
                </w:tcPr>
                <w:p w14:paraId="57D7B84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80</w:t>
                  </w:r>
                </w:p>
              </w:tc>
              <w:tc>
                <w:tcPr>
                  <w:tcW w:w="196" w:type="pct"/>
                  <w:tcBorders>
                    <w:tl2br w:val="nil"/>
                    <w:tr2bl w:val="nil"/>
                  </w:tcBorders>
                  <w:noWrap w:val="0"/>
                  <w:vAlign w:val="center"/>
                </w:tcPr>
                <w:p w14:paraId="50CC8E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49B6F623">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3406224C">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2B1E966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81" w:name="_Toc23682"/>
                  <w:bookmarkStart w:id="282" w:name="_Toc16721"/>
                  <w:bookmarkStart w:id="283" w:name="_Toc28991"/>
                  <w:bookmarkStart w:id="284" w:name="_Toc6717"/>
                  <w:bookmarkStart w:id="285" w:name="_Toc18004"/>
                  <w:bookmarkStart w:id="286" w:name="_Toc8782"/>
                  <w:r>
                    <w:rPr>
                      <w:rFonts w:hint="eastAsia" w:cs="Times New Roman"/>
                      <w:color w:val="auto"/>
                      <w:sz w:val="21"/>
                      <w:szCs w:val="21"/>
                      <w:u w:val="single" w:color="auto"/>
                      <w:lang w:val="en-US" w:eastAsia="zh-CN"/>
                    </w:rPr>
                    <w:t>35</w:t>
                  </w:r>
                  <w:bookmarkEnd w:id="281"/>
                  <w:bookmarkEnd w:id="282"/>
                  <w:bookmarkEnd w:id="283"/>
                  <w:bookmarkEnd w:id="284"/>
                  <w:bookmarkEnd w:id="285"/>
                  <w:bookmarkEnd w:id="286"/>
                </w:p>
              </w:tc>
              <w:tc>
                <w:tcPr>
                  <w:tcW w:w="326" w:type="pct"/>
                  <w:tcBorders>
                    <w:tl2br w:val="nil"/>
                    <w:tr2bl w:val="nil"/>
                  </w:tcBorders>
                  <w:noWrap w:val="0"/>
                  <w:vAlign w:val="center"/>
                </w:tcPr>
                <w:p w14:paraId="6ACF96E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287" w:name="_Toc14177"/>
                  <w:bookmarkStart w:id="288" w:name="_Toc24538"/>
                  <w:bookmarkStart w:id="289" w:name="_Toc10855"/>
                  <w:bookmarkStart w:id="290" w:name="_Toc12117"/>
                  <w:bookmarkStart w:id="291" w:name="_Toc24884"/>
                  <w:bookmarkStart w:id="292" w:name="_Toc32478"/>
                  <w:r>
                    <w:rPr>
                      <w:rFonts w:hint="eastAsia" w:cs="Times New Roman"/>
                      <w:color w:val="auto"/>
                      <w:sz w:val="21"/>
                      <w:szCs w:val="21"/>
                      <w:u w:val="single" w:color="auto"/>
                      <w:lang w:val="en-US" w:eastAsia="zh-CN"/>
                    </w:rPr>
                    <w:t>28</w:t>
                  </w:r>
                  <w:bookmarkEnd w:id="287"/>
                  <w:bookmarkEnd w:id="288"/>
                  <w:bookmarkEnd w:id="289"/>
                  <w:bookmarkEnd w:id="290"/>
                  <w:bookmarkEnd w:id="291"/>
                  <w:bookmarkEnd w:id="292"/>
                </w:p>
              </w:tc>
              <w:tc>
                <w:tcPr>
                  <w:tcW w:w="290" w:type="pct"/>
                  <w:tcBorders>
                    <w:tl2br w:val="nil"/>
                    <w:tr2bl w:val="nil"/>
                  </w:tcBorders>
                  <w:noWrap w:val="0"/>
                  <w:vAlign w:val="center"/>
                </w:tcPr>
                <w:p w14:paraId="7E19694F">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293" w:name="_Toc1437"/>
                  <w:bookmarkStart w:id="294" w:name="_Toc25337"/>
                  <w:bookmarkStart w:id="295" w:name="_Toc18533"/>
                  <w:bookmarkStart w:id="296" w:name="_Toc16234"/>
                  <w:bookmarkStart w:id="297" w:name="_Toc6189"/>
                  <w:bookmarkStart w:id="298" w:name="_Toc29383"/>
                  <w:r>
                    <w:rPr>
                      <w:rFonts w:hint="eastAsia" w:cs="Times New Roman"/>
                      <w:color w:val="auto"/>
                      <w:sz w:val="21"/>
                      <w:szCs w:val="21"/>
                      <w:u w:val="single" w:color="auto"/>
                      <w:lang w:val="en-US" w:eastAsia="zh-CN"/>
                    </w:rPr>
                    <w:t>50</w:t>
                  </w:r>
                  <w:bookmarkEnd w:id="293"/>
                  <w:bookmarkEnd w:id="294"/>
                  <w:bookmarkEnd w:id="295"/>
                  <w:bookmarkEnd w:id="296"/>
                  <w:bookmarkEnd w:id="297"/>
                  <w:bookmarkEnd w:id="298"/>
                </w:p>
              </w:tc>
              <w:tc>
                <w:tcPr>
                  <w:tcW w:w="340" w:type="pct"/>
                  <w:tcBorders>
                    <w:tl2br w:val="nil"/>
                    <w:tr2bl w:val="nil"/>
                  </w:tcBorders>
                  <w:noWrap w:val="0"/>
                  <w:vAlign w:val="center"/>
                </w:tcPr>
                <w:p w14:paraId="4BA96F9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299" w:name="_Toc11766"/>
                  <w:bookmarkStart w:id="300" w:name="_Toc20366"/>
                  <w:bookmarkStart w:id="301" w:name="_Toc12722"/>
                  <w:bookmarkStart w:id="302" w:name="_Toc18939"/>
                  <w:bookmarkStart w:id="303" w:name="_Toc11848"/>
                  <w:bookmarkStart w:id="304" w:name="_Toc14253"/>
                  <w:r>
                    <w:rPr>
                      <w:rFonts w:hint="eastAsia" w:cs="Times New Roman"/>
                      <w:color w:val="auto"/>
                      <w:sz w:val="21"/>
                      <w:szCs w:val="21"/>
                      <w:u w:val="single" w:color="auto"/>
                      <w:lang w:val="en-US" w:eastAsia="zh-CN"/>
                    </w:rPr>
                    <w:t>22</w:t>
                  </w:r>
                  <w:bookmarkEnd w:id="299"/>
                  <w:bookmarkEnd w:id="300"/>
                  <w:bookmarkEnd w:id="301"/>
                  <w:bookmarkEnd w:id="302"/>
                  <w:bookmarkEnd w:id="303"/>
                  <w:bookmarkEnd w:id="304"/>
                </w:p>
              </w:tc>
              <w:tc>
                <w:tcPr>
                  <w:tcW w:w="435" w:type="pct"/>
                  <w:tcBorders>
                    <w:tl2br w:val="nil"/>
                    <w:tr2bl w:val="nil"/>
                  </w:tcBorders>
                  <w:noWrap w:val="0"/>
                  <w:vAlign w:val="center"/>
                </w:tcPr>
                <w:p w14:paraId="6C23E78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05" w:name="_Toc15218"/>
                  <w:bookmarkStart w:id="306" w:name="_Toc14404"/>
                  <w:bookmarkStart w:id="307" w:name="_Toc24140"/>
                  <w:bookmarkStart w:id="308" w:name="_Toc19920"/>
                  <w:bookmarkStart w:id="309" w:name="_Toc7354"/>
                  <w:bookmarkStart w:id="310" w:name="_Toc19844"/>
                  <w:r>
                    <w:rPr>
                      <w:rFonts w:hint="eastAsia" w:cs="Times New Roman"/>
                      <w:color w:val="auto"/>
                      <w:sz w:val="21"/>
                      <w:szCs w:val="21"/>
                      <w:u w:val="single" w:color="auto"/>
                      <w:lang w:val="en-US" w:eastAsia="zh-CN"/>
                    </w:rPr>
                    <w:t>70</w:t>
                  </w:r>
                  <w:bookmarkEnd w:id="305"/>
                  <w:bookmarkEnd w:id="306"/>
                  <w:bookmarkEnd w:id="307"/>
                  <w:bookmarkEnd w:id="308"/>
                  <w:bookmarkEnd w:id="309"/>
                  <w:bookmarkEnd w:id="310"/>
                </w:p>
              </w:tc>
              <w:tc>
                <w:tcPr>
                  <w:tcW w:w="420" w:type="pct"/>
                  <w:tcBorders>
                    <w:tl2br w:val="nil"/>
                    <w:tr2bl w:val="nil"/>
                  </w:tcBorders>
                  <w:noWrap w:val="0"/>
                  <w:vAlign w:val="center"/>
                </w:tcPr>
                <w:p w14:paraId="55DC265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11" w:name="_Toc27047"/>
                  <w:bookmarkStart w:id="312" w:name="_Toc4593"/>
                  <w:bookmarkStart w:id="313" w:name="_Toc22154"/>
                  <w:bookmarkStart w:id="314" w:name="_Toc28085"/>
                  <w:bookmarkStart w:id="315" w:name="_Toc18155"/>
                  <w:bookmarkStart w:id="316" w:name="_Toc6140"/>
                  <w:r>
                    <w:rPr>
                      <w:rFonts w:hint="eastAsia" w:cs="Times New Roman"/>
                      <w:color w:val="auto"/>
                      <w:sz w:val="21"/>
                      <w:szCs w:val="21"/>
                      <w:u w:val="single" w:color="auto"/>
                      <w:lang w:val="en-US" w:eastAsia="zh-CN"/>
                    </w:rPr>
                    <w:t>54</w:t>
                  </w:r>
                  <w:bookmarkEnd w:id="311"/>
                  <w:bookmarkEnd w:id="312"/>
                  <w:bookmarkEnd w:id="313"/>
                  <w:bookmarkEnd w:id="314"/>
                  <w:bookmarkEnd w:id="315"/>
                  <w:bookmarkEnd w:id="316"/>
                </w:p>
              </w:tc>
              <w:tc>
                <w:tcPr>
                  <w:tcW w:w="410" w:type="pct"/>
                  <w:tcBorders>
                    <w:tl2br w:val="nil"/>
                    <w:tr2bl w:val="nil"/>
                  </w:tcBorders>
                  <w:noWrap w:val="0"/>
                  <w:vAlign w:val="center"/>
                </w:tcPr>
                <w:p w14:paraId="3612B2A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17" w:name="_Toc7059"/>
                  <w:bookmarkStart w:id="318" w:name="_Toc11897"/>
                  <w:bookmarkStart w:id="319" w:name="_Toc28485"/>
                  <w:bookmarkStart w:id="320" w:name="_Toc31250"/>
                  <w:bookmarkStart w:id="321" w:name="_Toc20855"/>
                  <w:bookmarkStart w:id="322" w:name="_Toc3832"/>
                  <w:r>
                    <w:rPr>
                      <w:rFonts w:hint="eastAsia" w:cs="Times New Roman"/>
                      <w:color w:val="auto"/>
                      <w:sz w:val="21"/>
                      <w:szCs w:val="21"/>
                      <w:u w:val="single" w:color="auto"/>
                      <w:lang w:val="en-US" w:eastAsia="zh-CN"/>
                    </w:rPr>
                    <w:t>66</w:t>
                  </w:r>
                  <w:bookmarkEnd w:id="317"/>
                  <w:bookmarkEnd w:id="318"/>
                  <w:bookmarkEnd w:id="319"/>
                  <w:bookmarkEnd w:id="320"/>
                  <w:bookmarkEnd w:id="321"/>
                  <w:bookmarkEnd w:id="322"/>
                </w:p>
              </w:tc>
            </w:tr>
            <w:tr w14:paraId="33CE9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4E7E081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23" w:name="_Toc523"/>
                  <w:bookmarkStart w:id="324" w:name="_Toc29785"/>
                  <w:bookmarkStart w:id="325" w:name="_Toc26127"/>
                  <w:bookmarkStart w:id="326" w:name="_Toc7322"/>
                  <w:bookmarkStart w:id="327" w:name="_Toc8041"/>
                  <w:bookmarkStart w:id="328" w:name="_Toc3363"/>
                  <w:r>
                    <w:rPr>
                      <w:rFonts w:hint="eastAsia" w:cs="Times New Roman"/>
                      <w:color w:val="auto"/>
                      <w:sz w:val="21"/>
                      <w:szCs w:val="21"/>
                      <w:u w:val="single" w:color="auto"/>
                      <w:lang w:val="en-US" w:eastAsia="zh-CN"/>
                    </w:rPr>
                    <w:t>4</w:t>
                  </w:r>
                  <w:bookmarkEnd w:id="323"/>
                  <w:bookmarkEnd w:id="324"/>
                  <w:bookmarkEnd w:id="325"/>
                  <w:bookmarkEnd w:id="326"/>
                  <w:bookmarkEnd w:id="327"/>
                  <w:bookmarkEnd w:id="328"/>
                </w:p>
              </w:tc>
              <w:tc>
                <w:tcPr>
                  <w:tcW w:w="496" w:type="pct"/>
                  <w:tcBorders>
                    <w:tl2br w:val="nil"/>
                    <w:tr2bl w:val="nil"/>
                  </w:tcBorders>
                  <w:noWrap w:val="0"/>
                  <w:vAlign w:val="center"/>
                </w:tcPr>
                <w:p w14:paraId="0FFC0409">
                  <w:pPr>
                    <w:pStyle w:val="11"/>
                    <w:adjustRightInd/>
                    <w:snapToGrid/>
                    <w:spacing w:line="240" w:lineRule="auto"/>
                    <w:ind w:left="0" w:leftChars="0" w:firstLine="0" w:firstLineChars="0"/>
                    <w:jc w:val="center"/>
                    <w:rPr>
                      <w:rFonts w:hint="eastAsia" w:cs="Times New Roman"/>
                      <w:color w:val="auto"/>
                      <w:sz w:val="21"/>
                      <w:szCs w:val="21"/>
                      <w:u w:val="single" w:color="auto"/>
                      <w:lang w:val="en-US" w:eastAsia="zh-CN"/>
                    </w:rPr>
                  </w:pPr>
                  <w:r>
                    <w:rPr>
                      <w:rFonts w:hint="default" w:ascii="Times New Roman" w:hAnsi="Times New Roman" w:eastAsia="宋体" w:cs="Times New Roman"/>
                      <w:bCs w:val="0"/>
                      <w:color w:val="auto"/>
                      <w:spacing w:val="0"/>
                      <w:kern w:val="0"/>
                      <w:sz w:val="21"/>
                      <w:szCs w:val="21"/>
                      <w:u w:val="single" w:color="auto"/>
                      <w:lang w:val="en-US" w:eastAsia="zh-CN" w:bidi="ar-SA"/>
                    </w:rPr>
                    <w:t>高压清洗器</w:t>
                  </w:r>
                  <w:r>
                    <w:rPr>
                      <w:rFonts w:hint="eastAsia" w:cs="Times New Roman"/>
                      <w:bCs w:val="0"/>
                      <w:color w:val="auto"/>
                      <w:spacing w:val="0"/>
                      <w:kern w:val="0"/>
                      <w:sz w:val="21"/>
                      <w:szCs w:val="21"/>
                      <w:u w:val="single" w:color="auto"/>
                      <w:lang w:val="en-US" w:eastAsia="zh-CN" w:bidi="ar-SA"/>
                    </w:rPr>
                    <w:t>2</w:t>
                  </w:r>
                </w:p>
              </w:tc>
              <w:tc>
                <w:tcPr>
                  <w:tcW w:w="370" w:type="pct"/>
                  <w:tcBorders>
                    <w:tl2br w:val="nil"/>
                    <w:tr2bl w:val="nil"/>
                  </w:tcBorders>
                  <w:noWrap w:val="0"/>
                  <w:vAlign w:val="center"/>
                </w:tcPr>
                <w:p w14:paraId="1CB54E2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80</w:t>
                  </w:r>
                </w:p>
              </w:tc>
              <w:tc>
                <w:tcPr>
                  <w:tcW w:w="196" w:type="pct"/>
                  <w:tcBorders>
                    <w:tl2br w:val="nil"/>
                    <w:tr2bl w:val="nil"/>
                  </w:tcBorders>
                  <w:noWrap w:val="0"/>
                  <w:vAlign w:val="center"/>
                </w:tcPr>
                <w:p w14:paraId="3D3FB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72D076AB">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49EC74D7">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30ECF66F">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29" w:name="_Toc14580"/>
                  <w:bookmarkStart w:id="330" w:name="_Toc18399"/>
                  <w:bookmarkStart w:id="331" w:name="_Toc29402"/>
                  <w:bookmarkStart w:id="332" w:name="_Toc20319"/>
                  <w:bookmarkStart w:id="333" w:name="_Toc29720"/>
                  <w:bookmarkStart w:id="334" w:name="_Toc18391"/>
                  <w:r>
                    <w:rPr>
                      <w:rFonts w:hint="eastAsia" w:cs="Times New Roman"/>
                      <w:color w:val="auto"/>
                      <w:sz w:val="21"/>
                      <w:szCs w:val="21"/>
                      <w:u w:val="single" w:color="auto"/>
                      <w:lang w:val="en-US" w:eastAsia="zh-CN"/>
                    </w:rPr>
                    <w:t>35</w:t>
                  </w:r>
                  <w:bookmarkEnd w:id="329"/>
                  <w:bookmarkEnd w:id="330"/>
                  <w:bookmarkEnd w:id="331"/>
                  <w:bookmarkEnd w:id="332"/>
                  <w:bookmarkEnd w:id="333"/>
                  <w:bookmarkEnd w:id="334"/>
                </w:p>
              </w:tc>
              <w:tc>
                <w:tcPr>
                  <w:tcW w:w="326" w:type="pct"/>
                  <w:tcBorders>
                    <w:tl2br w:val="nil"/>
                    <w:tr2bl w:val="nil"/>
                  </w:tcBorders>
                  <w:noWrap w:val="0"/>
                  <w:vAlign w:val="center"/>
                </w:tcPr>
                <w:p w14:paraId="2FAEACA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335" w:name="_Toc14465"/>
                  <w:bookmarkStart w:id="336" w:name="_Toc29515"/>
                  <w:bookmarkStart w:id="337" w:name="_Toc27692"/>
                  <w:bookmarkStart w:id="338" w:name="_Toc1717"/>
                  <w:bookmarkStart w:id="339" w:name="_Toc31169"/>
                  <w:bookmarkStart w:id="340" w:name="_Toc13388"/>
                  <w:r>
                    <w:rPr>
                      <w:rFonts w:hint="eastAsia" w:cs="Times New Roman"/>
                      <w:color w:val="auto"/>
                      <w:sz w:val="21"/>
                      <w:szCs w:val="21"/>
                      <w:u w:val="single" w:color="auto"/>
                      <w:lang w:val="en-US" w:eastAsia="zh-CN"/>
                    </w:rPr>
                    <w:t>24</w:t>
                  </w:r>
                  <w:bookmarkEnd w:id="335"/>
                  <w:bookmarkEnd w:id="336"/>
                  <w:bookmarkEnd w:id="337"/>
                  <w:bookmarkEnd w:id="338"/>
                  <w:bookmarkEnd w:id="339"/>
                  <w:bookmarkEnd w:id="340"/>
                </w:p>
              </w:tc>
              <w:tc>
                <w:tcPr>
                  <w:tcW w:w="290" w:type="pct"/>
                  <w:tcBorders>
                    <w:tl2br w:val="nil"/>
                    <w:tr2bl w:val="nil"/>
                  </w:tcBorders>
                  <w:noWrap w:val="0"/>
                  <w:vAlign w:val="center"/>
                </w:tcPr>
                <w:p w14:paraId="25DF5D5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41" w:name="_Toc2207"/>
                  <w:bookmarkStart w:id="342" w:name="_Toc17799"/>
                  <w:bookmarkStart w:id="343" w:name="_Toc8327"/>
                  <w:bookmarkStart w:id="344" w:name="_Toc32448"/>
                  <w:bookmarkStart w:id="345" w:name="_Toc18562"/>
                  <w:bookmarkStart w:id="346" w:name="_Toc23657"/>
                  <w:r>
                    <w:rPr>
                      <w:rFonts w:hint="eastAsia" w:cs="Times New Roman"/>
                      <w:color w:val="auto"/>
                      <w:sz w:val="21"/>
                      <w:szCs w:val="21"/>
                      <w:u w:val="single" w:color="auto"/>
                      <w:lang w:val="en-US" w:eastAsia="zh-CN"/>
                    </w:rPr>
                    <w:t>50</w:t>
                  </w:r>
                  <w:bookmarkEnd w:id="341"/>
                  <w:bookmarkEnd w:id="342"/>
                  <w:bookmarkEnd w:id="343"/>
                  <w:bookmarkEnd w:id="344"/>
                  <w:bookmarkEnd w:id="345"/>
                  <w:bookmarkEnd w:id="346"/>
                </w:p>
              </w:tc>
              <w:tc>
                <w:tcPr>
                  <w:tcW w:w="340" w:type="pct"/>
                  <w:tcBorders>
                    <w:tl2br w:val="nil"/>
                    <w:tr2bl w:val="nil"/>
                  </w:tcBorders>
                  <w:noWrap w:val="0"/>
                  <w:vAlign w:val="center"/>
                </w:tcPr>
                <w:p w14:paraId="4B1A42F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347" w:name="_Toc29727"/>
                  <w:bookmarkStart w:id="348" w:name="_Toc24193"/>
                  <w:bookmarkStart w:id="349" w:name="_Toc23646"/>
                  <w:bookmarkStart w:id="350" w:name="_Toc1808"/>
                  <w:bookmarkStart w:id="351" w:name="_Toc32191"/>
                  <w:bookmarkStart w:id="352" w:name="_Toc4279"/>
                  <w:r>
                    <w:rPr>
                      <w:rFonts w:hint="eastAsia" w:cs="Times New Roman"/>
                      <w:color w:val="auto"/>
                      <w:sz w:val="21"/>
                      <w:szCs w:val="21"/>
                      <w:u w:val="single" w:color="auto"/>
                      <w:lang w:val="en-US" w:eastAsia="zh-CN"/>
                    </w:rPr>
                    <w:t>26</w:t>
                  </w:r>
                  <w:bookmarkEnd w:id="347"/>
                  <w:bookmarkEnd w:id="348"/>
                  <w:bookmarkEnd w:id="349"/>
                  <w:bookmarkEnd w:id="350"/>
                  <w:bookmarkEnd w:id="351"/>
                  <w:bookmarkEnd w:id="352"/>
                </w:p>
              </w:tc>
              <w:tc>
                <w:tcPr>
                  <w:tcW w:w="435" w:type="pct"/>
                  <w:tcBorders>
                    <w:tl2br w:val="nil"/>
                    <w:tr2bl w:val="nil"/>
                  </w:tcBorders>
                  <w:noWrap w:val="0"/>
                  <w:vAlign w:val="center"/>
                </w:tcPr>
                <w:p w14:paraId="3008A57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53" w:name="_Toc18938"/>
                  <w:bookmarkStart w:id="354" w:name="_Toc24957"/>
                  <w:bookmarkStart w:id="355" w:name="_Toc2919"/>
                  <w:bookmarkStart w:id="356" w:name="_Toc31088"/>
                  <w:bookmarkStart w:id="357" w:name="_Toc28736"/>
                  <w:bookmarkStart w:id="358" w:name="_Toc21898"/>
                  <w:r>
                    <w:rPr>
                      <w:rFonts w:hint="eastAsia" w:cs="Times New Roman"/>
                      <w:color w:val="auto"/>
                      <w:sz w:val="21"/>
                      <w:szCs w:val="21"/>
                      <w:u w:val="single" w:color="auto"/>
                      <w:lang w:val="en-US" w:eastAsia="zh-CN"/>
                    </w:rPr>
                    <w:t>70</w:t>
                  </w:r>
                  <w:bookmarkEnd w:id="353"/>
                  <w:bookmarkEnd w:id="354"/>
                  <w:bookmarkEnd w:id="355"/>
                  <w:bookmarkEnd w:id="356"/>
                  <w:bookmarkEnd w:id="357"/>
                  <w:bookmarkEnd w:id="358"/>
                </w:p>
              </w:tc>
              <w:tc>
                <w:tcPr>
                  <w:tcW w:w="420" w:type="pct"/>
                  <w:tcBorders>
                    <w:tl2br w:val="nil"/>
                    <w:tr2bl w:val="nil"/>
                  </w:tcBorders>
                  <w:noWrap w:val="0"/>
                  <w:vAlign w:val="center"/>
                </w:tcPr>
                <w:p w14:paraId="1A51153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59" w:name="_Toc28404"/>
                  <w:bookmarkStart w:id="360" w:name="_Toc7088"/>
                  <w:bookmarkStart w:id="361" w:name="_Toc23373"/>
                  <w:bookmarkStart w:id="362" w:name="_Toc32192"/>
                  <w:bookmarkStart w:id="363" w:name="_Toc4858"/>
                  <w:bookmarkStart w:id="364" w:name="_Toc7943"/>
                  <w:r>
                    <w:rPr>
                      <w:rFonts w:hint="eastAsia" w:cs="Times New Roman"/>
                      <w:color w:val="auto"/>
                      <w:sz w:val="21"/>
                      <w:szCs w:val="21"/>
                      <w:u w:val="single" w:color="auto"/>
                      <w:lang w:val="en-US" w:eastAsia="zh-CN"/>
                    </w:rPr>
                    <w:t>54</w:t>
                  </w:r>
                  <w:bookmarkEnd w:id="359"/>
                  <w:bookmarkEnd w:id="360"/>
                  <w:bookmarkEnd w:id="361"/>
                  <w:bookmarkEnd w:id="362"/>
                  <w:bookmarkEnd w:id="363"/>
                  <w:bookmarkEnd w:id="364"/>
                </w:p>
              </w:tc>
              <w:tc>
                <w:tcPr>
                  <w:tcW w:w="410" w:type="pct"/>
                  <w:tcBorders>
                    <w:tl2br w:val="nil"/>
                    <w:tr2bl w:val="nil"/>
                  </w:tcBorders>
                  <w:noWrap w:val="0"/>
                  <w:vAlign w:val="center"/>
                </w:tcPr>
                <w:p w14:paraId="73CB6C3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65" w:name="_Toc31978"/>
                  <w:bookmarkStart w:id="366" w:name="_Toc21309"/>
                  <w:bookmarkStart w:id="367" w:name="_Toc15889"/>
                  <w:bookmarkStart w:id="368" w:name="_Toc14112"/>
                  <w:bookmarkStart w:id="369" w:name="_Toc15266"/>
                  <w:bookmarkStart w:id="370" w:name="_Toc29462"/>
                  <w:r>
                    <w:rPr>
                      <w:rFonts w:hint="eastAsia" w:cs="Times New Roman"/>
                      <w:color w:val="auto"/>
                      <w:sz w:val="21"/>
                      <w:szCs w:val="21"/>
                      <w:u w:val="single" w:color="auto"/>
                      <w:lang w:val="en-US" w:eastAsia="zh-CN"/>
                    </w:rPr>
                    <w:t>66</w:t>
                  </w:r>
                  <w:bookmarkEnd w:id="365"/>
                  <w:bookmarkEnd w:id="366"/>
                  <w:bookmarkEnd w:id="367"/>
                  <w:bookmarkEnd w:id="368"/>
                  <w:bookmarkEnd w:id="369"/>
                  <w:bookmarkEnd w:id="370"/>
                </w:p>
              </w:tc>
            </w:tr>
            <w:tr w14:paraId="1F518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6977DE1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71" w:name="_Toc1278"/>
                  <w:bookmarkStart w:id="372" w:name="_Toc6506"/>
                  <w:bookmarkStart w:id="373" w:name="_Toc8913"/>
                  <w:bookmarkStart w:id="374" w:name="_Toc28007"/>
                  <w:bookmarkStart w:id="375" w:name="_Toc28027"/>
                  <w:bookmarkStart w:id="376" w:name="_Toc9917"/>
                  <w:r>
                    <w:rPr>
                      <w:rFonts w:hint="eastAsia" w:cs="Times New Roman"/>
                      <w:color w:val="auto"/>
                      <w:sz w:val="21"/>
                      <w:szCs w:val="21"/>
                      <w:u w:val="single" w:color="auto"/>
                      <w:lang w:val="en-US" w:eastAsia="zh-CN"/>
                    </w:rPr>
                    <w:t>5</w:t>
                  </w:r>
                  <w:bookmarkEnd w:id="371"/>
                  <w:bookmarkEnd w:id="372"/>
                  <w:bookmarkEnd w:id="373"/>
                  <w:bookmarkEnd w:id="374"/>
                  <w:bookmarkEnd w:id="375"/>
                  <w:bookmarkEnd w:id="376"/>
                </w:p>
              </w:tc>
              <w:tc>
                <w:tcPr>
                  <w:tcW w:w="496" w:type="pct"/>
                  <w:tcBorders>
                    <w:tl2br w:val="nil"/>
                    <w:tr2bl w:val="nil"/>
                  </w:tcBorders>
                  <w:noWrap w:val="0"/>
                  <w:vAlign w:val="center"/>
                </w:tcPr>
                <w:p w14:paraId="33C3B7F4">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u w:val="single" w:color="auto"/>
                      <w:lang w:val="en-US" w:eastAsia="zh-CN"/>
                    </w:rPr>
                  </w:pPr>
                  <w:r>
                    <w:rPr>
                      <w:rFonts w:hint="eastAsia"/>
                      <w:color w:val="auto"/>
                      <w:szCs w:val="24"/>
                      <w:u w:val="single" w:color="auto"/>
                      <w:lang w:val="en-US" w:eastAsia="zh-CN"/>
                    </w:rPr>
                    <w:t>切割机1</w:t>
                  </w:r>
                </w:p>
              </w:tc>
              <w:tc>
                <w:tcPr>
                  <w:tcW w:w="370" w:type="pct"/>
                  <w:tcBorders>
                    <w:tl2br w:val="nil"/>
                    <w:tr2bl w:val="nil"/>
                  </w:tcBorders>
                  <w:noWrap w:val="0"/>
                  <w:vAlign w:val="center"/>
                </w:tcPr>
                <w:p w14:paraId="4FEED18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56387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1D1F56E4">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5A8CF8CB">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657DEAB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77" w:name="_Toc12001"/>
                  <w:bookmarkStart w:id="378" w:name="_Toc31248"/>
                  <w:bookmarkStart w:id="379" w:name="_Toc25"/>
                  <w:bookmarkStart w:id="380" w:name="_Toc10867"/>
                  <w:bookmarkStart w:id="381" w:name="_Toc23183"/>
                  <w:bookmarkStart w:id="382" w:name="_Toc30543"/>
                  <w:r>
                    <w:rPr>
                      <w:rFonts w:hint="eastAsia" w:cs="Times New Roman"/>
                      <w:color w:val="auto"/>
                      <w:sz w:val="21"/>
                      <w:szCs w:val="21"/>
                      <w:u w:val="single" w:color="auto"/>
                      <w:lang w:val="en-US" w:eastAsia="zh-CN"/>
                    </w:rPr>
                    <w:t>25</w:t>
                  </w:r>
                  <w:bookmarkEnd w:id="377"/>
                  <w:bookmarkEnd w:id="378"/>
                  <w:bookmarkEnd w:id="379"/>
                  <w:bookmarkEnd w:id="380"/>
                  <w:bookmarkEnd w:id="381"/>
                  <w:bookmarkEnd w:id="382"/>
                </w:p>
              </w:tc>
              <w:tc>
                <w:tcPr>
                  <w:tcW w:w="326" w:type="pct"/>
                  <w:tcBorders>
                    <w:tl2br w:val="nil"/>
                    <w:tr2bl w:val="nil"/>
                  </w:tcBorders>
                  <w:noWrap w:val="0"/>
                  <w:vAlign w:val="center"/>
                </w:tcPr>
                <w:p w14:paraId="6D0A318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383" w:name="_Toc10617"/>
                  <w:bookmarkStart w:id="384" w:name="_Toc22203"/>
                  <w:bookmarkStart w:id="385" w:name="_Toc28548"/>
                  <w:bookmarkStart w:id="386" w:name="_Toc393"/>
                  <w:bookmarkStart w:id="387" w:name="_Toc28054"/>
                  <w:bookmarkStart w:id="388" w:name="_Toc32432"/>
                  <w:r>
                    <w:rPr>
                      <w:rFonts w:hint="eastAsia" w:cs="Times New Roman"/>
                      <w:color w:val="auto"/>
                      <w:sz w:val="21"/>
                      <w:szCs w:val="21"/>
                      <w:u w:val="single" w:color="auto"/>
                      <w:lang w:val="en-US" w:eastAsia="zh-CN"/>
                    </w:rPr>
                    <w:t>28</w:t>
                  </w:r>
                  <w:bookmarkEnd w:id="383"/>
                  <w:bookmarkEnd w:id="384"/>
                  <w:bookmarkEnd w:id="385"/>
                  <w:bookmarkEnd w:id="386"/>
                  <w:bookmarkEnd w:id="387"/>
                  <w:bookmarkEnd w:id="388"/>
                </w:p>
              </w:tc>
              <w:tc>
                <w:tcPr>
                  <w:tcW w:w="290" w:type="pct"/>
                  <w:tcBorders>
                    <w:tl2br w:val="nil"/>
                    <w:tr2bl w:val="nil"/>
                  </w:tcBorders>
                  <w:noWrap w:val="0"/>
                  <w:vAlign w:val="center"/>
                </w:tcPr>
                <w:p w14:paraId="4D8EF8C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389" w:name="_Toc26364"/>
                  <w:bookmarkStart w:id="390" w:name="_Toc28398"/>
                  <w:bookmarkStart w:id="391" w:name="_Toc12649"/>
                  <w:bookmarkStart w:id="392" w:name="_Toc19699"/>
                  <w:bookmarkStart w:id="393" w:name="_Toc6434"/>
                  <w:bookmarkStart w:id="394" w:name="_Toc16933"/>
                  <w:r>
                    <w:rPr>
                      <w:rFonts w:hint="eastAsia" w:cs="Times New Roman"/>
                      <w:color w:val="auto"/>
                      <w:sz w:val="21"/>
                      <w:szCs w:val="21"/>
                      <w:u w:val="single" w:color="auto"/>
                      <w:lang w:val="en-US" w:eastAsia="zh-CN"/>
                    </w:rPr>
                    <w:t>60</w:t>
                  </w:r>
                  <w:bookmarkEnd w:id="389"/>
                  <w:bookmarkEnd w:id="390"/>
                  <w:bookmarkEnd w:id="391"/>
                  <w:bookmarkEnd w:id="392"/>
                  <w:bookmarkEnd w:id="393"/>
                  <w:bookmarkEnd w:id="394"/>
                </w:p>
              </w:tc>
              <w:tc>
                <w:tcPr>
                  <w:tcW w:w="340" w:type="pct"/>
                  <w:tcBorders>
                    <w:tl2br w:val="nil"/>
                    <w:tr2bl w:val="nil"/>
                  </w:tcBorders>
                  <w:noWrap w:val="0"/>
                  <w:vAlign w:val="center"/>
                </w:tcPr>
                <w:p w14:paraId="40EFC8A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395" w:name="_Toc14015"/>
                  <w:bookmarkStart w:id="396" w:name="_Toc18881"/>
                  <w:bookmarkStart w:id="397" w:name="_Toc13041"/>
                  <w:bookmarkStart w:id="398" w:name="_Toc3022"/>
                  <w:bookmarkStart w:id="399" w:name="_Toc6774"/>
                  <w:bookmarkStart w:id="400" w:name="_Toc24150"/>
                  <w:r>
                    <w:rPr>
                      <w:rFonts w:hint="eastAsia" w:cs="Times New Roman"/>
                      <w:color w:val="auto"/>
                      <w:sz w:val="21"/>
                      <w:szCs w:val="21"/>
                      <w:u w:val="single" w:color="auto"/>
                      <w:lang w:val="en-US" w:eastAsia="zh-CN"/>
                    </w:rPr>
                    <w:t>22</w:t>
                  </w:r>
                  <w:bookmarkEnd w:id="395"/>
                  <w:bookmarkEnd w:id="396"/>
                  <w:bookmarkEnd w:id="397"/>
                  <w:bookmarkEnd w:id="398"/>
                  <w:bookmarkEnd w:id="399"/>
                  <w:bookmarkEnd w:id="400"/>
                </w:p>
              </w:tc>
              <w:tc>
                <w:tcPr>
                  <w:tcW w:w="435" w:type="pct"/>
                  <w:tcBorders>
                    <w:tl2br w:val="nil"/>
                    <w:tr2bl w:val="nil"/>
                  </w:tcBorders>
                  <w:noWrap w:val="0"/>
                  <w:vAlign w:val="center"/>
                </w:tcPr>
                <w:p w14:paraId="59897D69">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01" w:name="_Toc8070"/>
                  <w:bookmarkStart w:id="402" w:name="_Toc29381"/>
                  <w:bookmarkStart w:id="403" w:name="_Toc6258"/>
                  <w:bookmarkStart w:id="404" w:name="_Toc13552"/>
                  <w:bookmarkStart w:id="405" w:name="_Toc7420"/>
                  <w:bookmarkStart w:id="406" w:name="_Toc28422"/>
                  <w:r>
                    <w:rPr>
                      <w:rFonts w:hint="eastAsia" w:cs="Times New Roman"/>
                      <w:color w:val="auto"/>
                      <w:sz w:val="21"/>
                      <w:szCs w:val="21"/>
                      <w:u w:val="single" w:color="auto"/>
                      <w:lang w:val="en-US" w:eastAsia="zh-CN"/>
                    </w:rPr>
                    <w:t>60</w:t>
                  </w:r>
                  <w:bookmarkEnd w:id="401"/>
                  <w:bookmarkEnd w:id="402"/>
                  <w:bookmarkEnd w:id="403"/>
                  <w:bookmarkEnd w:id="404"/>
                  <w:bookmarkEnd w:id="405"/>
                  <w:bookmarkEnd w:id="406"/>
                </w:p>
              </w:tc>
              <w:tc>
                <w:tcPr>
                  <w:tcW w:w="420" w:type="pct"/>
                  <w:tcBorders>
                    <w:tl2br w:val="nil"/>
                    <w:tr2bl w:val="nil"/>
                  </w:tcBorders>
                  <w:noWrap w:val="0"/>
                  <w:vAlign w:val="center"/>
                </w:tcPr>
                <w:p w14:paraId="5E464AD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07" w:name="_Toc4361"/>
                  <w:bookmarkStart w:id="408" w:name="_Toc8193"/>
                  <w:bookmarkStart w:id="409" w:name="_Toc7493"/>
                  <w:bookmarkStart w:id="410" w:name="_Toc6358"/>
                  <w:bookmarkStart w:id="411" w:name="_Toc3740"/>
                  <w:bookmarkStart w:id="412" w:name="_Toc10275"/>
                  <w:r>
                    <w:rPr>
                      <w:rFonts w:hint="eastAsia" w:cs="Times New Roman"/>
                      <w:color w:val="auto"/>
                      <w:sz w:val="21"/>
                      <w:szCs w:val="21"/>
                      <w:u w:val="single" w:color="auto"/>
                      <w:lang w:val="en-US" w:eastAsia="zh-CN"/>
                    </w:rPr>
                    <w:t>64</w:t>
                  </w:r>
                  <w:bookmarkEnd w:id="407"/>
                  <w:bookmarkEnd w:id="408"/>
                  <w:bookmarkEnd w:id="409"/>
                  <w:bookmarkEnd w:id="410"/>
                  <w:bookmarkEnd w:id="411"/>
                  <w:bookmarkEnd w:id="412"/>
                </w:p>
              </w:tc>
              <w:tc>
                <w:tcPr>
                  <w:tcW w:w="410" w:type="pct"/>
                  <w:tcBorders>
                    <w:tl2br w:val="nil"/>
                    <w:tr2bl w:val="nil"/>
                  </w:tcBorders>
                  <w:noWrap w:val="0"/>
                  <w:vAlign w:val="center"/>
                </w:tcPr>
                <w:p w14:paraId="7777A25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13" w:name="_Toc22697"/>
                  <w:bookmarkStart w:id="414" w:name="_Toc28746"/>
                  <w:bookmarkStart w:id="415" w:name="_Toc25635"/>
                  <w:bookmarkStart w:id="416" w:name="_Toc6089"/>
                  <w:bookmarkStart w:id="417" w:name="_Toc26390"/>
                  <w:bookmarkStart w:id="418" w:name="_Toc10312"/>
                  <w:r>
                    <w:rPr>
                      <w:rFonts w:hint="eastAsia" w:cs="Times New Roman"/>
                      <w:color w:val="auto"/>
                      <w:sz w:val="21"/>
                      <w:szCs w:val="21"/>
                      <w:u w:val="single" w:color="auto"/>
                      <w:lang w:val="en-US" w:eastAsia="zh-CN"/>
                    </w:rPr>
                    <w:t>56</w:t>
                  </w:r>
                  <w:bookmarkEnd w:id="413"/>
                  <w:bookmarkEnd w:id="414"/>
                  <w:bookmarkEnd w:id="415"/>
                  <w:bookmarkEnd w:id="416"/>
                  <w:bookmarkEnd w:id="417"/>
                  <w:bookmarkEnd w:id="418"/>
                </w:p>
              </w:tc>
            </w:tr>
            <w:tr w14:paraId="55092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60BDD822">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19" w:name="_Toc29053"/>
                  <w:bookmarkStart w:id="420" w:name="_Toc26098"/>
                  <w:bookmarkStart w:id="421" w:name="_Toc1721"/>
                  <w:bookmarkStart w:id="422" w:name="_Toc4780"/>
                  <w:bookmarkStart w:id="423" w:name="_Toc5659"/>
                  <w:bookmarkStart w:id="424" w:name="_Toc9776"/>
                  <w:r>
                    <w:rPr>
                      <w:rFonts w:hint="eastAsia" w:cs="Times New Roman"/>
                      <w:color w:val="auto"/>
                      <w:sz w:val="21"/>
                      <w:szCs w:val="21"/>
                      <w:u w:val="single" w:color="auto"/>
                      <w:lang w:val="en-US" w:eastAsia="zh-CN"/>
                    </w:rPr>
                    <w:t>6</w:t>
                  </w:r>
                  <w:bookmarkEnd w:id="419"/>
                  <w:bookmarkEnd w:id="420"/>
                  <w:bookmarkEnd w:id="421"/>
                  <w:bookmarkEnd w:id="422"/>
                  <w:bookmarkEnd w:id="423"/>
                  <w:bookmarkEnd w:id="424"/>
                </w:p>
              </w:tc>
              <w:tc>
                <w:tcPr>
                  <w:tcW w:w="496" w:type="pct"/>
                  <w:tcBorders>
                    <w:tl2br w:val="nil"/>
                    <w:tr2bl w:val="nil"/>
                  </w:tcBorders>
                  <w:noWrap w:val="0"/>
                  <w:vAlign w:val="center"/>
                </w:tcPr>
                <w:p w14:paraId="0D0A893B">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u w:val="single" w:color="auto"/>
                      <w:lang w:val="en-US" w:eastAsia="zh-CN"/>
                    </w:rPr>
                  </w:pPr>
                  <w:r>
                    <w:rPr>
                      <w:rFonts w:hint="eastAsia"/>
                      <w:color w:val="auto"/>
                      <w:szCs w:val="24"/>
                      <w:u w:val="single" w:color="auto"/>
                      <w:lang w:val="en-US" w:eastAsia="zh-CN"/>
                    </w:rPr>
                    <w:t>切割机2</w:t>
                  </w:r>
                </w:p>
              </w:tc>
              <w:tc>
                <w:tcPr>
                  <w:tcW w:w="370" w:type="pct"/>
                  <w:tcBorders>
                    <w:tl2br w:val="nil"/>
                    <w:tr2bl w:val="nil"/>
                  </w:tcBorders>
                  <w:noWrap w:val="0"/>
                  <w:vAlign w:val="center"/>
                </w:tcPr>
                <w:p w14:paraId="2342E6A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3F147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0D47C7B1">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33BAB7AE">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6F6FD7F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25" w:name="_Toc32012"/>
                  <w:bookmarkStart w:id="426" w:name="_Toc30794"/>
                  <w:bookmarkStart w:id="427" w:name="_Toc1003"/>
                  <w:bookmarkStart w:id="428" w:name="_Toc28062"/>
                  <w:bookmarkStart w:id="429" w:name="_Toc88"/>
                  <w:bookmarkStart w:id="430" w:name="_Toc7899"/>
                  <w:r>
                    <w:rPr>
                      <w:rFonts w:hint="eastAsia" w:cs="Times New Roman"/>
                      <w:color w:val="auto"/>
                      <w:sz w:val="21"/>
                      <w:szCs w:val="21"/>
                      <w:u w:val="single" w:color="auto"/>
                      <w:lang w:val="en-US" w:eastAsia="zh-CN"/>
                    </w:rPr>
                    <w:t>25</w:t>
                  </w:r>
                  <w:bookmarkEnd w:id="425"/>
                  <w:bookmarkEnd w:id="426"/>
                  <w:bookmarkEnd w:id="427"/>
                  <w:bookmarkEnd w:id="428"/>
                  <w:bookmarkEnd w:id="429"/>
                  <w:bookmarkEnd w:id="430"/>
                </w:p>
              </w:tc>
              <w:tc>
                <w:tcPr>
                  <w:tcW w:w="326" w:type="pct"/>
                  <w:tcBorders>
                    <w:tl2br w:val="nil"/>
                    <w:tr2bl w:val="nil"/>
                  </w:tcBorders>
                  <w:noWrap w:val="0"/>
                  <w:vAlign w:val="center"/>
                </w:tcPr>
                <w:p w14:paraId="741D311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431" w:name="_Toc5101"/>
                  <w:bookmarkStart w:id="432" w:name="_Toc29605"/>
                  <w:bookmarkStart w:id="433" w:name="_Toc3004"/>
                  <w:bookmarkStart w:id="434" w:name="_Toc31190"/>
                  <w:bookmarkStart w:id="435" w:name="_Toc26876"/>
                  <w:bookmarkStart w:id="436" w:name="_Toc11016"/>
                  <w:r>
                    <w:rPr>
                      <w:rFonts w:hint="eastAsia" w:cs="Times New Roman"/>
                      <w:color w:val="auto"/>
                      <w:sz w:val="21"/>
                      <w:szCs w:val="21"/>
                      <w:u w:val="single" w:color="auto"/>
                      <w:lang w:val="en-US" w:eastAsia="zh-CN"/>
                    </w:rPr>
                    <w:t>24</w:t>
                  </w:r>
                  <w:bookmarkEnd w:id="431"/>
                  <w:bookmarkEnd w:id="432"/>
                  <w:bookmarkEnd w:id="433"/>
                  <w:bookmarkEnd w:id="434"/>
                  <w:bookmarkEnd w:id="435"/>
                  <w:bookmarkEnd w:id="436"/>
                </w:p>
              </w:tc>
              <w:tc>
                <w:tcPr>
                  <w:tcW w:w="290" w:type="pct"/>
                  <w:tcBorders>
                    <w:tl2br w:val="nil"/>
                    <w:tr2bl w:val="nil"/>
                  </w:tcBorders>
                  <w:noWrap w:val="0"/>
                  <w:vAlign w:val="center"/>
                </w:tcPr>
                <w:p w14:paraId="2137842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37" w:name="_Toc21924"/>
                  <w:bookmarkStart w:id="438" w:name="_Toc11037"/>
                  <w:bookmarkStart w:id="439" w:name="_Toc20537"/>
                  <w:bookmarkStart w:id="440" w:name="_Toc1317"/>
                  <w:bookmarkStart w:id="441" w:name="_Toc13883"/>
                  <w:bookmarkStart w:id="442" w:name="_Toc15178"/>
                  <w:r>
                    <w:rPr>
                      <w:rFonts w:hint="eastAsia" w:cs="Times New Roman"/>
                      <w:color w:val="auto"/>
                      <w:sz w:val="21"/>
                      <w:szCs w:val="21"/>
                      <w:u w:val="single" w:color="auto"/>
                      <w:lang w:val="en-US" w:eastAsia="zh-CN"/>
                    </w:rPr>
                    <w:t>60</w:t>
                  </w:r>
                  <w:bookmarkEnd w:id="437"/>
                  <w:bookmarkEnd w:id="438"/>
                  <w:bookmarkEnd w:id="439"/>
                  <w:bookmarkEnd w:id="440"/>
                  <w:bookmarkEnd w:id="441"/>
                  <w:bookmarkEnd w:id="442"/>
                </w:p>
              </w:tc>
              <w:tc>
                <w:tcPr>
                  <w:tcW w:w="340" w:type="pct"/>
                  <w:tcBorders>
                    <w:tl2br w:val="nil"/>
                    <w:tr2bl w:val="nil"/>
                  </w:tcBorders>
                  <w:noWrap w:val="0"/>
                  <w:vAlign w:val="center"/>
                </w:tcPr>
                <w:p w14:paraId="5DFFEE39">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443" w:name="_Toc26597"/>
                  <w:bookmarkStart w:id="444" w:name="_Toc2286"/>
                  <w:bookmarkStart w:id="445" w:name="_Toc30885"/>
                  <w:bookmarkStart w:id="446" w:name="_Toc8728"/>
                  <w:bookmarkStart w:id="447" w:name="_Toc2718"/>
                  <w:bookmarkStart w:id="448" w:name="_Toc30105"/>
                  <w:r>
                    <w:rPr>
                      <w:rFonts w:hint="eastAsia" w:cs="Times New Roman"/>
                      <w:color w:val="auto"/>
                      <w:sz w:val="21"/>
                      <w:szCs w:val="21"/>
                      <w:u w:val="single" w:color="auto"/>
                      <w:lang w:val="en-US" w:eastAsia="zh-CN"/>
                    </w:rPr>
                    <w:t>26</w:t>
                  </w:r>
                  <w:bookmarkEnd w:id="443"/>
                  <w:bookmarkEnd w:id="444"/>
                  <w:bookmarkEnd w:id="445"/>
                  <w:bookmarkEnd w:id="446"/>
                  <w:bookmarkEnd w:id="447"/>
                  <w:bookmarkEnd w:id="448"/>
                </w:p>
              </w:tc>
              <w:tc>
                <w:tcPr>
                  <w:tcW w:w="435" w:type="pct"/>
                  <w:tcBorders>
                    <w:tl2br w:val="nil"/>
                    <w:tr2bl w:val="nil"/>
                  </w:tcBorders>
                  <w:noWrap w:val="0"/>
                  <w:vAlign w:val="center"/>
                </w:tcPr>
                <w:p w14:paraId="02084E89">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49" w:name="_Toc631"/>
                  <w:bookmarkStart w:id="450" w:name="_Toc29956"/>
                  <w:bookmarkStart w:id="451" w:name="_Toc13346"/>
                  <w:bookmarkStart w:id="452" w:name="_Toc18644"/>
                  <w:bookmarkStart w:id="453" w:name="_Toc16213"/>
                  <w:bookmarkStart w:id="454" w:name="_Toc26207"/>
                  <w:r>
                    <w:rPr>
                      <w:rFonts w:hint="eastAsia" w:cs="Times New Roman"/>
                      <w:color w:val="auto"/>
                      <w:sz w:val="21"/>
                      <w:szCs w:val="21"/>
                      <w:u w:val="single" w:color="auto"/>
                      <w:lang w:val="en-US" w:eastAsia="zh-CN"/>
                    </w:rPr>
                    <w:t>60</w:t>
                  </w:r>
                  <w:bookmarkEnd w:id="449"/>
                  <w:bookmarkEnd w:id="450"/>
                  <w:bookmarkEnd w:id="451"/>
                  <w:bookmarkEnd w:id="452"/>
                  <w:bookmarkEnd w:id="453"/>
                  <w:bookmarkEnd w:id="454"/>
                </w:p>
              </w:tc>
              <w:tc>
                <w:tcPr>
                  <w:tcW w:w="420" w:type="pct"/>
                  <w:tcBorders>
                    <w:tl2br w:val="nil"/>
                    <w:tr2bl w:val="nil"/>
                  </w:tcBorders>
                  <w:noWrap w:val="0"/>
                  <w:vAlign w:val="center"/>
                </w:tcPr>
                <w:p w14:paraId="781B52D3">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55" w:name="_Toc22462"/>
                  <w:bookmarkStart w:id="456" w:name="_Toc19122"/>
                  <w:bookmarkStart w:id="457" w:name="_Toc13609"/>
                  <w:bookmarkStart w:id="458" w:name="_Toc23259"/>
                  <w:bookmarkStart w:id="459" w:name="_Toc287"/>
                  <w:bookmarkStart w:id="460" w:name="_Toc17947"/>
                  <w:r>
                    <w:rPr>
                      <w:rFonts w:hint="eastAsia" w:cs="Times New Roman"/>
                      <w:color w:val="auto"/>
                      <w:sz w:val="21"/>
                      <w:szCs w:val="21"/>
                      <w:u w:val="single" w:color="auto"/>
                      <w:lang w:val="en-US" w:eastAsia="zh-CN"/>
                    </w:rPr>
                    <w:t>64</w:t>
                  </w:r>
                  <w:bookmarkEnd w:id="455"/>
                  <w:bookmarkEnd w:id="456"/>
                  <w:bookmarkEnd w:id="457"/>
                  <w:bookmarkEnd w:id="458"/>
                  <w:bookmarkEnd w:id="459"/>
                  <w:bookmarkEnd w:id="460"/>
                </w:p>
              </w:tc>
              <w:tc>
                <w:tcPr>
                  <w:tcW w:w="410" w:type="pct"/>
                  <w:tcBorders>
                    <w:tl2br w:val="nil"/>
                    <w:tr2bl w:val="nil"/>
                  </w:tcBorders>
                  <w:noWrap w:val="0"/>
                  <w:vAlign w:val="center"/>
                </w:tcPr>
                <w:p w14:paraId="0CFBD1A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61" w:name="_Toc18974"/>
                  <w:bookmarkStart w:id="462" w:name="_Toc10371"/>
                  <w:bookmarkStart w:id="463" w:name="_Toc14629"/>
                  <w:bookmarkStart w:id="464" w:name="_Toc16757"/>
                  <w:bookmarkStart w:id="465" w:name="_Toc24559"/>
                  <w:bookmarkStart w:id="466" w:name="_Toc31516"/>
                  <w:r>
                    <w:rPr>
                      <w:rFonts w:hint="eastAsia" w:cs="Times New Roman"/>
                      <w:color w:val="auto"/>
                      <w:sz w:val="21"/>
                      <w:szCs w:val="21"/>
                      <w:u w:val="single" w:color="auto"/>
                      <w:lang w:val="en-US" w:eastAsia="zh-CN"/>
                    </w:rPr>
                    <w:t>56</w:t>
                  </w:r>
                  <w:bookmarkEnd w:id="461"/>
                  <w:bookmarkEnd w:id="462"/>
                  <w:bookmarkEnd w:id="463"/>
                  <w:bookmarkEnd w:id="464"/>
                  <w:bookmarkEnd w:id="465"/>
                  <w:bookmarkEnd w:id="466"/>
                </w:p>
              </w:tc>
            </w:tr>
            <w:tr w14:paraId="3B1DC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39B5E5A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67" w:name="_Toc26606"/>
                  <w:bookmarkStart w:id="468" w:name="_Toc9861"/>
                  <w:bookmarkStart w:id="469" w:name="_Toc14381"/>
                  <w:bookmarkStart w:id="470" w:name="_Toc24457"/>
                  <w:bookmarkStart w:id="471" w:name="_Toc1597"/>
                  <w:bookmarkStart w:id="472" w:name="_Toc22489"/>
                  <w:r>
                    <w:rPr>
                      <w:rFonts w:hint="eastAsia" w:cs="Times New Roman"/>
                      <w:color w:val="auto"/>
                      <w:sz w:val="21"/>
                      <w:szCs w:val="21"/>
                      <w:u w:val="single" w:color="auto"/>
                      <w:lang w:val="en-US" w:eastAsia="zh-CN"/>
                    </w:rPr>
                    <w:t>7</w:t>
                  </w:r>
                  <w:bookmarkEnd w:id="467"/>
                  <w:bookmarkEnd w:id="468"/>
                  <w:bookmarkEnd w:id="469"/>
                  <w:bookmarkEnd w:id="470"/>
                  <w:bookmarkEnd w:id="471"/>
                  <w:bookmarkEnd w:id="472"/>
                </w:p>
              </w:tc>
              <w:tc>
                <w:tcPr>
                  <w:tcW w:w="496" w:type="pct"/>
                  <w:tcBorders>
                    <w:tl2br w:val="nil"/>
                    <w:tr2bl w:val="nil"/>
                  </w:tcBorders>
                  <w:noWrap w:val="0"/>
                  <w:vAlign w:val="center"/>
                </w:tcPr>
                <w:p w14:paraId="67169908">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u w:val="single" w:color="auto"/>
                      <w:lang w:val="en-US" w:eastAsia="zh-CN"/>
                    </w:rPr>
                  </w:pPr>
                  <w:r>
                    <w:rPr>
                      <w:rFonts w:hint="eastAsia"/>
                      <w:color w:val="auto"/>
                      <w:szCs w:val="24"/>
                      <w:u w:val="single" w:color="auto"/>
                      <w:lang w:val="en-US" w:eastAsia="zh-CN"/>
                    </w:rPr>
                    <w:t>输送机1</w:t>
                  </w:r>
                </w:p>
              </w:tc>
              <w:tc>
                <w:tcPr>
                  <w:tcW w:w="370" w:type="pct"/>
                  <w:tcBorders>
                    <w:tl2br w:val="nil"/>
                    <w:tr2bl w:val="nil"/>
                  </w:tcBorders>
                  <w:noWrap w:val="0"/>
                  <w:vAlign w:val="center"/>
                </w:tcPr>
                <w:p w14:paraId="5283C20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094E6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69CAF5C3">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09467918">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0E07762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73" w:name="_Toc10902"/>
                  <w:bookmarkStart w:id="474" w:name="_Toc24830"/>
                  <w:bookmarkStart w:id="475" w:name="_Toc3311"/>
                  <w:bookmarkStart w:id="476" w:name="_Toc20194"/>
                  <w:bookmarkStart w:id="477" w:name="_Toc29474"/>
                  <w:bookmarkStart w:id="478" w:name="_Toc12386"/>
                  <w:r>
                    <w:rPr>
                      <w:rFonts w:hint="eastAsia" w:cs="Times New Roman"/>
                      <w:color w:val="auto"/>
                      <w:sz w:val="21"/>
                      <w:szCs w:val="21"/>
                      <w:u w:val="single" w:color="auto"/>
                      <w:lang w:val="en-US" w:eastAsia="zh-CN"/>
                    </w:rPr>
                    <w:t>42</w:t>
                  </w:r>
                  <w:bookmarkEnd w:id="473"/>
                  <w:bookmarkEnd w:id="474"/>
                  <w:bookmarkEnd w:id="475"/>
                  <w:bookmarkEnd w:id="476"/>
                  <w:bookmarkEnd w:id="477"/>
                  <w:bookmarkEnd w:id="478"/>
                </w:p>
              </w:tc>
              <w:tc>
                <w:tcPr>
                  <w:tcW w:w="326" w:type="pct"/>
                  <w:tcBorders>
                    <w:tl2br w:val="nil"/>
                    <w:tr2bl w:val="nil"/>
                  </w:tcBorders>
                  <w:noWrap w:val="0"/>
                  <w:vAlign w:val="center"/>
                </w:tcPr>
                <w:p w14:paraId="0719FF8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479" w:name="_Toc23616"/>
                  <w:bookmarkStart w:id="480" w:name="_Toc24282"/>
                  <w:bookmarkStart w:id="481" w:name="_Toc26503"/>
                  <w:bookmarkStart w:id="482" w:name="_Toc2727"/>
                  <w:bookmarkStart w:id="483" w:name="_Toc27273"/>
                  <w:bookmarkStart w:id="484" w:name="_Toc6581"/>
                  <w:r>
                    <w:rPr>
                      <w:rFonts w:hint="eastAsia" w:cs="Times New Roman"/>
                      <w:color w:val="auto"/>
                      <w:sz w:val="21"/>
                      <w:szCs w:val="21"/>
                      <w:u w:val="single" w:color="auto"/>
                      <w:lang w:val="en-US" w:eastAsia="zh-CN"/>
                    </w:rPr>
                    <w:t>28</w:t>
                  </w:r>
                  <w:bookmarkEnd w:id="479"/>
                  <w:bookmarkEnd w:id="480"/>
                  <w:bookmarkEnd w:id="481"/>
                  <w:bookmarkEnd w:id="482"/>
                  <w:bookmarkEnd w:id="483"/>
                  <w:bookmarkEnd w:id="484"/>
                </w:p>
              </w:tc>
              <w:tc>
                <w:tcPr>
                  <w:tcW w:w="290" w:type="pct"/>
                  <w:tcBorders>
                    <w:tl2br w:val="nil"/>
                    <w:tr2bl w:val="nil"/>
                  </w:tcBorders>
                  <w:noWrap w:val="0"/>
                  <w:vAlign w:val="center"/>
                </w:tcPr>
                <w:p w14:paraId="084E0AA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85" w:name="_Toc1187"/>
                  <w:bookmarkStart w:id="486" w:name="_Toc21528"/>
                  <w:bookmarkStart w:id="487" w:name="_Toc20059"/>
                  <w:bookmarkStart w:id="488" w:name="_Toc30653"/>
                  <w:bookmarkStart w:id="489" w:name="_Toc26194"/>
                  <w:bookmarkStart w:id="490" w:name="_Toc18841"/>
                  <w:r>
                    <w:rPr>
                      <w:rFonts w:hint="eastAsia" w:cs="Times New Roman"/>
                      <w:color w:val="auto"/>
                      <w:sz w:val="21"/>
                      <w:szCs w:val="21"/>
                      <w:u w:val="single" w:color="auto"/>
                      <w:lang w:val="en-US" w:eastAsia="zh-CN"/>
                    </w:rPr>
                    <w:t>43</w:t>
                  </w:r>
                  <w:bookmarkEnd w:id="485"/>
                  <w:bookmarkEnd w:id="486"/>
                  <w:bookmarkEnd w:id="487"/>
                  <w:bookmarkEnd w:id="488"/>
                  <w:bookmarkEnd w:id="489"/>
                  <w:bookmarkEnd w:id="490"/>
                </w:p>
              </w:tc>
              <w:tc>
                <w:tcPr>
                  <w:tcW w:w="340" w:type="pct"/>
                  <w:tcBorders>
                    <w:tl2br w:val="nil"/>
                    <w:tr2bl w:val="nil"/>
                  </w:tcBorders>
                  <w:noWrap w:val="0"/>
                  <w:vAlign w:val="center"/>
                </w:tcPr>
                <w:p w14:paraId="1A410533">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491" w:name="_Toc6606"/>
                  <w:bookmarkStart w:id="492" w:name="_Toc13461"/>
                  <w:bookmarkStart w:id="493" w:name="_Toc25925"/>
                  <w:bookmarkStart w:id="494" w:name="_Toc19102"/>
                  <w:bookmarkStart w:id="495" w:name="_Toc30027"/>
                  <w:bookmarkStart w:id="496" w:name="_Toc8420"/>
                  <w:r>
                    <w:rPr>
                      <w:rFonts w:hint="eastAsia" w:cs="Times New Roman"/>
                      <w:color w:val="auto"/>
                      <w:sz w:val="21"/>
                      <w:szCs w:val="21"/>
                      <w:u w:val="single" w:color="auto"/>
                      <w:lang w:val="en-US" w:eastAsia="zh-CN"/>
                    </w:rPr>
                    <w:t>22</w:t>
                  </w:r>
                  <w:bookmarkEnd w:id="491"/>
                  <w:bookmarkEnd w:id="492"/>
                  <w:bookmarkEnd w:id="493"/>
                  <w:bookmarkEnd w:id="494"/>
                  <w:bookmarkEnd w:id="495"/>
                  <w:bookmarkEnd w:id="496"/>
                </w:p>
              </w:tc>
              <w:tc>
                <w:tcPr>
                  <w:tcW w:w="435" w:type="pct"/>
                  <w:tcBorders>
                    <w:tl2br w:val="nil"/>
                    <w:tr2bl w:val="nil"/>
                  </w:tcBorders>
                  <w:noWrap w:val="0"/>
                  <w:vAlign w:val="center"/>
                </w:tcPr>
                <w:p w14:paraId="34AD6B0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497" w:name="_Toc9721"/>
                  <w:bookmarkStart w:id="498" w:name="_Toc22897"/>
                  <w:bookmarkStart w:id="499" w:name="_Toc2279"/>
                  <w:bookmarkStart w:id="500" w:name="_Toc15010"/>
                  <w:bookmarkStart w:id="501" w:name="_Toc30066"/>
                  <w:bookmarkStart w:id="502" w:name="_Toc23312"/>
                  <w:r>
                    <w:rPr>
                      <w:rFonts w:hint="eastAsia" w:cs="Times New Roman"/>
                      <w:color w:val="auto"/>
                      <w:sz w:val="21"/>
                      <w:szCs w:val="21"/>
                      <w:u w:val="single" w:color="auto"/>
                      <w:lang w:val="en-US" w:eastAsia="zh-CN"/>
                    </w:rPr>
                    <w:t>77</w:t>
                  </w:r>
                  <w:bookmarkEnd w:id="497"/>
                  <w:bookmarkEnd w:id="498"/>
                  <w:bookmarkEnd w:id="499"/>
                  <w:bookmarkEnd w:id="500"/>
                  <w:bookmarkEnd w:id="501"/>
                  <w:bookmarkEnd w:id="502"/>
                </w:p>
              </w:tc>
              <w:tc>
                <w:tcPr>
                  <w:tcW w:w="420" w:type="pct"/>
                  <w:tcBorders>
                    <w:tl2br w:val="nil"/>
                    <w:tr2bl w:val="nil"/>
                  </w:tcBorders>
                  <w:noWrap w:val="0"/>
                  <w:vAlign w:val="center"/>
                </w:tcPr>
                <w:p w14:paraId="0601C402">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03" w:name="_Toc14117"/>
                  <w:bookmarkStart w:id="504" w:name="_Toc5905"/>
                  <w:bookmarkStart w:id="505" w:name="_Toc18257"/>
                  <w:bookmarkStart w:id="506" w:name="_Toc12161"/>
                  <w:bookmarkStart w:id="507" w:name="_Toc8266"/>
                  <w:bookmarkStart w:id="508" w:name="_Toc16686"/>
                  <w:r>
                    <w:rPr>
                      <w:rFonts w:hint="eastAsia" w:cs="Times New Roman"/>
                      <w:color w:val="auto"/>
                      <w:sz w:val="21"/>
                      <w:szCs w:val="21"/>
                      <w:u w:val="single" w:color="auto"/>
                      <w:lang w:val="en-US" w:eastAsia="zh-CN"/>
                    </w:rPr>
                    <w:t>47</w:t>
                  </w:r>
                  <w:bookmarkEnd w:id="503"/>
                  <w:bookmarkEnd w:id="504"/>
                  <w:bookmarkEnd w:id="505"/>
                  <w:bookmarkEnd w:id="506"/>
                  <w:bookmarkEnd w:id="507"/>
                  <w:bookmarkEnd w:id="508"/>
                </w:p>
              </w:tc>
              <w:tc>
                <w:tcPr>
                  <w:tcW w:w="410" w:type="pct"/>
                  <w:tcBorders>
                    <w:tl2br w:val="nil"/>
                    <w:tr2bl w:val="nil"/>
                  </w:tcBorders>
                  <w:noWrap w:val="0"/>
                  <w:vAlign w:val="center"/>
                </w:tcPr>
                <w:p w14:paraId="4CF2B45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09" w:name="_Toc16374"/>
                  <w:bookmarkStart w:id="510" w:name="_Toc26265"/>
                  <w:bookmarkStart w:id="511" w:name="_Toc25415"/>
                  <w:bookmarkStart w:id="512" w:name="_Toc2306"/>
                  <w:bookmarkStart w:id="513" w:name="_Toc10337"/>
                  <w:bookmarkStart w:id="514" w:name="_Toc6814"/>
                  <w:r>
                    <w:rPr>
                      <w:rFonts w:hint="eastAsia" w:cs="Times New Roman"/>
                      <w:color w:val="auto"/>
                      <w:sz w:val="21"/>
                      <w:szCs w:val="21"/>
                      <w:u w:val="single" w:color="auto"/>
                      <w:lang w:val="en-US" w:eastAsia="zh-CN"/>
                    </w:rPr>
                    <w:t>73</w:t>
                  </w:r>
                  <w:bookmarkEnd w:id="509"/>
                  <w:bookmarkEnd w:id="510"/>
                  <w:bookmarkEnd w:id="511"/>
                  <w:bookmarkEnd w:id="512"/>
                  <w:bookmarkEnd w:id="513"/>
                  <w:bookmarkEnd w:id="514"/>
                </w:p>
              </w:tc>
            </w:tr>
            <w:tr w14:paraId="66A33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427C89F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15" w:name="_Toc29771"/>
                  <w:bookmarkStart w:id="516" w:name="_Toc29401"/>
                  <w:bookmarkStart w:id="517" w:name="_Toc25562"/>
                  <w:bookmarkStart w:id="518" w:name="_Toc15662"/>
                  <w:bookmarkStart w:id="519" w:name="_Toc14181"/>
                  <w:bookmarkStart w:id="520" w:name="_Toc1274"/>
                  <w:r>
                    <w:rPr>
                      <w:rFonts w:hint="eastAsia" w:cs="Times New Roman"/>
                      <w:color w:val="auto"/>
                      <w:sz w:val="21"/>
                      <w:szCs w:val="21"/>
                      <w:u w:val="single" w:color="auto"/>
                      <w:lang w:val="en-US" w:eastAsia="zh-CN"/>
                    </w:rPr>
                    <w:t>8</w:t>
                  </w:r>
                  <w:bookmarkEnd w:id="515"/>
                  <w:bookmarkEnd w:id="516"/>
                  <w:bookmarkEnd w:id="517"/>
                  <w:bookmarkEnd w:id="518"/>
                  <w:bookmarkEnd w:id="519"/>
                  <w:bookmarkEnd w:id="520"/>
                </w:p>
              </w:tc>
              <w:tc>
                <w:tcPr>
                  <w:tcW w:w="496" w:type="pct"/>
                  <w:tcBorders>
                    <w:tl2br w:val="nil"/>
                    <w:tr2bl w:val="nil"/>
                  </w:tcBorders>
                  <w:noWrap w:val="0"/>
                  <w:vAlign w:val="center"/>
                </w:tcPr>
                <w:p w14:paraId="49F23896">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u w:val="single" w:color="auto"/>
                      <w:lang w:val="en-US" w:eastAsia="zh-CN"/>
                    </w:rPr>
                  </w:pPr>
                  <w:r>
                    <w:rPr>
                      <w:rFonts w:hint="eastAsia"/>
                      <w:color w:val="auto"/>
                      <w:szCs w:val="24"/>
                      <w:u w:val="single" w:color="auto"/>
                      <w:lang w:val="en-US" w:eastAsia="zh-CN"/>
                    </w:rPr>
                    <w:t>输送机2</w:t>
                  </w:r>
                </w:p>
              </w:tc>
              <w:tc>
                <w:tcPr>
                  <w:tcW w:w="370" w:type="pct"/>
                  <w:tcBorders>
                    <w:tl2br w:val="nil"/>
                    <w:tr2bl w:val="nil"/>
                  </w:tcBorders>
                  <w:noWrap w:val="0"/>
                  <w:vAlign w:val="center"/>
                </w:tcPr>
                <w:p w14:paraId="33B48F8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19DC7C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1BC97FE3">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1B89BAF4">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25751B9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21" w:name="_Toc12743"/>
                  <w:bookmarkStart w:id="522" w:name="_Toc30275"/>
                  <w:bookmarkStart w:id="523" w:name="_Toc4551"/>
                  <w:bookmarkStart w:id="524" w:name="_Toc21957"/>
                  <w:bookmarkStart w:id="525" w:name="_Toc19297"/>
                  <w:bookmarkStart w:id="526" w:name="_Toc1257"/>
                  <w:r>
                    <w:rPr>
                      <w:rFonts w:hint="eastAsia" w:cs="Times New Roman"/>
                      <w:color w:val="auto"/>
                      <w:sz w:val="21"/>
                      <w:szCs w:val="21"/>
                      <w:u w:val="single" w:color="auto"/>
                      <w:lang w:val="en-US" w:eastAsia="zh-CN"/>
                    </w:rPr>
                    <w:t>42</w:t>
                  </w:r>
                  <w:bookmarkEnd w:id="521"/>
                  <w:bookmarkEnd w:id="522"/>
                  <w:bookmarkEnd w:id="523"/>
                  <w:bookmarkEnd w:id="524"/>
                  <w:bookmarkEnd w:id="525"/>
                  <w:bookmarkEnd w:id="526"/>
                </w:p>
              </w:tc>
              <w:tc>
                <w:tcPr>
                  <w:tcW w:w="326" w:type="pct"/>
                  <w:tcBorders>
                    <w:tl2br w:val="nil"/>
                    <w:tr2bl w:val="nil"/>
                  </w:tcBorders>
                  <w:noWrap w:val="0"/>
                  <w:vAlign w:val="center"/>
                </w:tcPr>
                <w:p w14:paraId="363A70F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527" w:name="_Toc15215"/>
                  <w:bookmarkStart w:id="528" w:name="_Toc24006"/>
                  <w:bookmarkStart w:id="529" w:name="_Toc4501"/>
                  <w:bookmarkStart w:id="530" w:name="_Toc21585"/>
                  <w:bookmarkStart w:id="531" w:name="_Toc29501"/>
                  <w:bookmarkStart w:id="532" w:name="_Toc19546"/>
                  <w:r>
                    <w:rPr>
                      <w:rFonts w:hint="eastAsia" w:cs="Times New Roman"/>
                      <w:color w:val="auto"/>
                      <w:sz w:val="21"/>
                      <w:szCs w:val="21"/>
                      <w:u w:val="single" w:color="auto"/>
                      <w:lang w:val="en-US" w:eastAsia="zh-CN"/>
                    </w:rPr>
                    <w:t>24</w:t>
                  </w:r>
                  <w:bookmarkEnd w:id="527"/>
                  <w:bookmarkEnd w:id="528"/>
                  <w:bookmarkEnd w:id="529"/>
                  <w:bookmarkEnd w:id="530"/>
                  <w:bookmarkEnd w:id="531"/>
                  <w:bookmarkEnd w:id="532"/>
                </w:p>
              </w:tc>
              <w:tc>
                <w:tcPr>
                  <w:tcW w:w="290" w:type="pct"/>
                  <w:tcBorders>
                    <w:tl2br w:val="nil"/>
                    <w:tr2bl w:val="nil"/>
                  </w:tcBorders>
                  <w:noWrap w:val="0"/>
                  <w:vAlign w:val="center"/>
                </w:tcPr>
                <w:p w14:paraId="7DB3FB1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33" w:name="_Toc8025"/>
                  <w:bookmarkStart w:id="534" w:name="_Toc3244"/>
                  <w:bookmarkStart w:id="535" w:name="_Toc5127"/>
                  <w:bookmarkStart w:id="536" w:name="_Toc23322"/>
                  <w:bookmarkStart w:id="537" w:name="_Toc6079"/>
                  <w:bookmarkStart w:id="538" w:name="_Toc10113"/>
                  <w:r>
                    <w:rPr>
                      <w:rFonts w:hint="eastAsia" w:cs="Times New Roman"/>
                      <w:color w:val="auto"/>
                      <w:sz w:val="21"/>
                      <w:szCs w:val="21"/>
                      <w:u w:val="single" w:color="auto"/>
                      <w:lang w:val="en-US" w:eastAsia="zh-CN"/>
                    </w:rPr>
                    <w:t>43</w:t>
                  </w:r>
                  <w:bookmarkEnd w:id="533"/>
                  <w:bookmarkEnd w:id="534"/>
                  <w:bookmarkEnd w:id="535"/>
                  <w:bookmarkEnd w:id="536"/>
                  <w:bookmarkEnd w:id="537"/>
                  <w:bookmarkEnd w:id="538"/>
                </w:p>
              </w:tc>
              <w:tc>
                <w:tcPr>
                  <w:tcW w:w="340" w:type="pct"/>
                  <w:tcBorders>
                    <w:tl2br w:val="nil"/>
                    <w:tr2bl w:val="nil"/>
                  </w:tcBorders>
                  <w:noWrap w:val="0"/>
                  <w:vAlign w:val="center"/>
                </w:tcPr>
                <w:p w14:paraId="05FE9892">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539" w:name="_Toc3638"/>
                  <w:bookmarkStart w:id="540" w:name="_Toc27017"/>
                  <w:bookmarkStart w:id="541" w:name="_Toc18508"/>
                  <w:bookmarkStart w:id="542" w:name="_Toc7821"/>
                  <w:bookmarkStart w:id="543" w:name="_Toc29805"/>
                  <w:bookmarkStart w:id="544" w:name="_Toc11239"/>
                  <w:r>
                    <w:rPr>
                      <w:rFonts w:hint="eastAsia" w:cs="Times New Roman"/>
                      <w:color w:val="auto"/>
                      <w:sz w:val="21"/>
                      <w:szCs w:val="21"/>
                      <w:u w:val="single" w:color="auto"/>
                      <w:lang w:val="en-US" w:eastAsia="zh-CN"/>
                    </w:rPr>
                    <w:t>26</w:t>
                  </w:r>
                  <w:bookmarkEnd w:id="539"/>
                  <w:bookmarkEnd w:id="540"/>
                  <w:bookmarkEnd w:id="541"/>
                  <w:bookmarkEnd w:id="542"/>
                  <w:bookmarkEnd w:id="543"/>
                  <w:bookmarkEnd w:id="544"/>
                </w:p>
              </w:tc>
              <w:tc>
                <w:tcPr>
                  <w:tcW w:w="435" w:type="pct"/>
                  <w:tcBorders>
                    <w:tl2br w:val="nil"/>
                    <w:tr2bl w:val="nil"/>
                  </w:tcBorders>
                  <w:noWrap w:val="0"/>
                  <w:vAlign w:val="center"/>
                </w:tcPr>
                <w:p w14:paraId="6907E783">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45" w:name="_Toc9666"/>
                  <w:bookmarkStart w:id="546" w:name="_Toc7699"/>
                  <w:bookmarkStart w:id="547" w:name="_Toc23775"/>
                  <w:bookmarkStart w:id="548" w:name="_Toc14442"/>
                  <w:bookmarkStart w:id="549" w:name="_Toc23447"/>
                  <w:bookmarkStart w:id="550" w:name="_Toc5466"/>
                  <w:r>
                    <w:rPr>
                      <w:rFonts w:hint="eastAsia" w:cs="Times New Roman"/>
                      <w:color w:val="auto"/>
                      <w:sz w:val="21"/>
                      <w:szCs w:val="21"/>
                      <w:u w:val="single" w:color="auto"/>
                      <w:lang w:val="en-US" w:eastAsia="zh-CN"/>
                    </w:rPr>
                    <w:t>77</w:t>
                  </w:r>
                  <w:bookmarkEnd w:id="545"/>
                  <w:bookmarkEnd w:id="546"/>
                  <w:bookmarkEnd w:id="547"/>
                  <w:bookmarkEnd w:id="548"/>
                  <w:bookmarkEnd w:id="549"/>
                  <w:bookmarkEnd w:id="550"/>
                </w:p>
              </w:tc>
              <w:tc>
                <w:tcPr>
                  <w:tcW w:w="420" w:type="pct"/>
                  <w:tcBorders>
                    <w:tl2br w:val="nil"/>
                    <w:tr2bl w:val="nil"/>
                  </w:tcBorders>
                  <w:noWrap w:val="0"/>
                  <w:vAlign w:val="center"/>
                </w:tcPr>
                <w:p w14:paraId="6F25F31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51" w:name="_Toc30211"/>
                  <w:bookmarkStart w:id="552" w:name="_Toc17324"/>
                  <w:bookmarkStart w:id="553" w:name="_Toc7819"/>
                  <w:bookmarkStart w:id="554" w:name="_Toc24950"/>
                  <w:bookmarkStart w:id="555" w:name="_Toc3550"/>
                  <w:bookmarkStart w:id="556" w:name="_Toc6163"/>
                  <w:r>
                    <w:rPr>
                      <w:rFonts w:hint="eastAsia" w:cs="Times New Roman"/>
                      <w:color w:val="auto"/>
                      <w:sz w:val="21"/>
                      <w:szCs w:val="21"/>
                      <w:u w:val="single" w:color="auto"/>
                      <w:lang w:val="en-US" w:eastAsia="zh-CN"/>
                    </w:rPr>
                    <w:t>47</w:t>
                  </w:r>
                  <w:bookmarkEnd w:id="551"/>
                  <w:bookmarkEnd w:id="552"/>
                  <w:bookmarkEnd w:id="553"/>
                  <w:bookmarkEnd w:id="554"/>
                  <w:bookmarkEnd w:id="555"/>
                  <w:bookmarkEnd w:id="556"/>
                </w:p>
              </w:tc>
              <w:tc>
                <w:tcPr>
                  <w:tcW w:w="410" w:type="pct"/>
                  <w:tcBorders>
                    <w:tl2br w:val="nil"/>
                    <w:tr2bl w:val="nil"/>
                  </w:tcBorders>
                  <w:noWrap w:val="0"/>
                  <w:vAlign w:val="center"/>
                </w:tcPr>
                <w:p w14:paraId="05727A53">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57" w:name="_Toc9061"/>
                  <w:bookmarkStart w:id="558" w:name="_Toc32454"/>
                  <w:bookmarkStart w:id="559" w:name="_Toc23845"/>
                  <w:bookmarkStart w:id="560" w:name="_Toc27924"/>
                  <w:bookmarkStart w:id="561" w:name="_Toc1277"/>
                  <w:bookmarkStart w:id="562" w:name="_Toc25902"/>
                  <w:r>
                    <w:rPr>
                      <w:rFonts w:hint="eastAsia" w:cs="Times New Roman"/>
                      <w:color w:val="auto"/>
                      <w:sz w:val="21"/>
                      <w:szCs w:val="21"/>
                      <w:u w:val="single" w:color="auto"/>
                      <w:lang w:val="en-US" w:eastAsia="zh-CN"/>
                    </w:rPr>
                    <w:t>73</w:t>
                  </w:r>
                  <w:bookmarkEnd w:id="557"/>
                  <w:bookmarkEnd w:id="558"/>
                  <w:bookmarkEnd w:id="559"/>
                  <w:bookmarkEnd w:id="560"/>
                  <w:bookmarkEnd w:id="561"/>
                  <w:bookmarkEnd w:id="562"/>
                </w:p>
              </w:tc>
            </w:tr>
            <w:tr w14:paraId="4690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7727C61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63" w:name="_Toc7446"/>
                  <w:bookmarkStart w:id="564" w:name="_Toc27921"/>
                  <w:bookmarkStart w:id="565" w:name="_Toc1052"/>
                  <w:bookmarkStart w:id="566" w:name="_Toc17772"/>
                  <w:bookmarkStart w:id="567" w:name="_Toc19337"/>
                  <w:bookmarkStart w:id="568" w:name="_Toc21955"/>
                  <w:r>
                    <w:rPr>
                      <w:rFonts w:hint="eastAsia" w:cs="Times New Roman"/>
                      <w:color w:val="auto"/>
                      <w:sz w:val="21"/>
                      <w:szCs w:val="21"/>
                      <w:u w:val="single" w:color="auto"/>
                      <w:lang w:val="en-US" w:eastAsia="zh-CN"/>
                    </w:rPr>
                    <w:t>9</w:t>
                  </w:r>
                  <w:bookmarkEnd w:id="563"/>
                  <w:bookmarkEnd w:id="564"/>
                  <w:bookmarkEnd w:id="565"/>
                  <w:bookmarkEnd w:id="566"/>
                  <w:bookmarkEnd w:id="567"/>
                  <w:bookmarkEnd w:id="568"/>
                </w:p>
              </w:tc>
              <w:tc>
                <w:tcPr>
                  <w:tcW w:w="496" w:type="pct"/>
                  <w:tcBorders>
                    <w:tl2br w:val="nil"/>
                    <w:tr2bl w:val="nil"/>
                  </w:tcBorders>
                  <w:noWrap w:val="0"/>
                  <w:vAlign w:val="center"/>
                </w:tcPr>
                <w:p w14:paraId="47A484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olor w:val="auto"/>
                      <w:kern w:val="0"/>
                      <w:sz w:val="21"/>
                      <w:szCs w:val="24"/>
                      <w:u w:val="single" w:color="auto"/>
                      <w:lang w:val="en-US" w:eastAsia="zh-CN"/>
                    </w:rPr>
                    <w:t>提升机1</w:t>
                  </w:r>
                </w:p>
              </w:tc>
              <w:tc>
                <w:tcPr>
                  <w:tcW w:w="370" w:type="pct"/>
                  <w:tcBorders>
                    <w:tl2br w:val="nil"/>
                    <w:tr2bl w:val="nil"/>
                  </w:tcBorders>
                  <w:noWrap w:val="0"/>
                  <w:vAlign w:val="center"/>
                </w:tcPr>
                <w:p w14:paraId="2A853BF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1762A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7DFC045F">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22DB3821">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1989DA5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69" w:name="_Toc1385"/>
                  <w:bookmarkStart w:id="570" w:name="_Toc29648"/>
                  <w:bookmarkStart w:id="571" w:name="_Toc7657"/>
                  <w:bookmarkStart w:id="572" w:name="_Toc25216"/>
                  <w:bookmarkStart w:id="573" w:name="_Toc22513"/>
                  <w:bookmarkStart w:id="574" w:name="_Toc16423"/>
                  <w:r>
                    <w:rPr>
                      <w:rFonts w:hint="eastAsia" w:cs="Times New Roman"/>
                      <w:color w:val="auto"/>
                      <w:sz w:val="21"/>
                      <w:szCs w:val="21"/>
                      <w:u w:val="single" w:color="auto"/>
                      <w:lang w:val="en-US" w:eastAsia="zh-CN"/>
                    </w:rPr>
                    <w:t>43</w:t>
                  </w:r>
                  <w:bookmarkEnd w:id="569"/>
                  <w:bookmarkEnd w:id="570"/>
                  <w:bookmarkEnd w:id="571"/>
                  <w:bookmarkEnd w:id="572"/>
                  <w:bookmarkEnd w:id="573"/>
                  <w:bookmarkEnd w:id="574"/>
                </w:p>
              </w:tc>
              <w:tc>
                <w:tcPr>
                  <w:tcW w:w="326" w:type="pct"/>
                  <w:tcBorders>
                    <w:tl2br w:val="nil"/>
                    <w:tr2bl w:val="nil"/>
                  </w:tcBorders>
                  <w:noWrap w:val="0"/>
                  <w:vAlign w:val="center"/>
                </w:tcPr>
                <w:p w14:paraId="7B6E11C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575" w:name="_Toc59"/>
                  <w:bookmarkStart w:id="576" w:name="_Toc10197"/>
                  <w:bookmarkStart w:id="577" w:name="_Toc14188"/>
                  <w:bookmarkStart w:id="578" w:name="_Toc11650"/>
                  <w:bookmarkStart w:id="579" w:name="_Toc1320"/>
                  <w:bookmarkStart w:id="580" w:name="_Toc15466"/>
                  <w:r>
                    <w:rPr>
                      <w:rFonts w:hint="eastAsia" w:cs="Times New Roman"/>
                      <w:color w:val="auto"/>
                      <w:sz w:val="21"/>
                      <w:szCs w:val="21"/>
                      <w:u w:val="single" w:color="auto"/>
                      <w:lang w:val="en-US" w:eastAsia="zh-CN"/>
                    </w:rPr>
                    <w:t>28</w:t>
                  </w:r>
                  <w:bookmarkEnd w:id="575"/>
                  <w:bookmarkEnd w:id="576"/>
                  <w:bookmarkEnd w:id="577"/>
                  <w:bookmarkEnd w:id="578"/>
                  <w:bookmarkEnd w:id="579"/>
                  <w:bookmarkEnd w:id="580"/>
                </w:p>
              </w:tc>
              <w:tc>
                <w:tcPr>
                  <w:tcW w:w="290" w:type="pct"/>
                  <w:tcBorders>
                    <w:tl2br w:val="nil"/>
                    <w:tr2bl w:val="nil"/>
                  </w:tcBorders>
                  <w:noWrap w:val="0"/>
                  <w:vAlign w:val="center"/>
                </w:tcPr>
                <w:p w14:paraId="64C2E302">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81" w:name="_Toc10729"/>
                  <w:bookmarkStart w:id="582" w:name="_Toc32015"/>
                  <w:bookmarkStart w:id="583" w:name="_Toc25954"/>
                  <w:bookmarkStart w:id="584" w:name="_Toc5825"/>
                  <w:bookmarkStart w:id="585" w:name="_Toc11983"/>
                  <w:bookmarkStart w:id="586" w:name="_Toc27767"/>
                  <w:r>
                    <w:rPr>
                      <w:rFonts w:hint="eastAsia" w:cs="Times New Roman"/>
                      <w:color w:val="auto"/>
                      <w:sz w:val="21"/>
                      <w:szCs w:val="21"/>
                      <w:u w:val="single" w:color="auto"/>
                      <w:lang w:val="en-US" w:eastAsia="zh-CN"/>
                    </w:rPr>
                    <w:t>42</w:t>
                  </w:r>
                  <w:bookmarkEnd w:id="581"/>
                  <w:bookmarkEnd w:id="582"/>
                  <w:bookmarkEnd w:id="583"/>
                  <w:bookmarkEnd w:id="584"/>
                  <w:bookmarkEnd w:id="585"/>
                  <w:bookmarkEnd w:id="586"/>
                </w:p>
              </w:tc>
              <w:tc>
                <w:tcPr>
                  <w:tcW w:w="340" w:type="pct"/>
                  <w:tcBorders>
                    <w:tl2br w:val="nil"/>
                    <w:tr2bl w:val="nil"/>
                  </w:tcBorders>
                  <w:noWrap w:val="0"/>
                  <w:vAlign w:val="center"/>
                </w:tcPr>
                <w:p w14:paraId="4203544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587" w:name="_Toc654"/>
                  <w:bookmarkStart w:id="588" w:name="_Toc18602"/>
                  <w:bookmarkStart w:id="589" w:name="_Toc7011"/>
                  <w:bookmarkStart w:id="590" w:name="_Toc9999"/>
                  <w:bookmarkStart w:id="591" w:name="_Toc12281"/>
                  <w:bookmarkStart w:id="592" w:name="_Toc22777"/>
                  <w:r>
                    <w:rPr>
                      <w:rFonts w:hint="eastAsia" w:cs="Times New Roman"/>
                      <w:color w:val="auto"/>
                      <w:sz w:val="21"/>
                      <w:szCs w:val="21"/>
                      <w:u w:val="single" w:color="auto"/>
                      <w:lang w:val="en-US" w:eastAsia="zh-CN"/>
                    </w:rPr>
                    <w:t>22</w:t>
                  </w:r>
                  <w:bookmarkEnd w:id="587"/>
                  <w:bookmarkEnd w:id="588"/>
                  <w:bookmarkEnd w:id="589"/>
                  <w:bookmarkEnd w:id="590"/>
                  <w:bookmarkEnd w:id="591"/>
                  <w:bookmarkEnd w:id="592"/>
                </w:p>
              </w:tc>
              <w:tc>
                <w:tcPr>
                  <w:tcW w:w="435" w:type="pct"/>
                  <w:tcBorders>
                    <w:tl2br w:val="nil"/>
                    <w:tr2bl w:val="nil"/>
                  </w:tcBorders>
                  <w:noWrap w:val="0"/>
                  <w:vAlign w:val="center"/>
                </w:tcPr>
                <w:p w14:paraId="1D22E8A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93" w:name="_Toc18987"/>
                  <w:bookmarkStart w:id="594" w:name="_Toc5264"/>
                  <w:bookmarkStart w:id="595" w:name="_Toc14647"/>
                  <w:bookmarkStart w:id="596" w:name="_Toc3770"/>
                  <w:bookmarkStart w:id="597" w:name="_Toc19260"/>
                  <w:bookmarkStart w:id="598" w:name="_Toc24783"/>
                  <w:r>
                    <w:rPr>
                      <w:rFonts w:hint="eastAsia" w:cs="Times New Roman"/>
                      <w:color w:val="auto"/>
                      <w:sz w:val="21"/>
                      <w:szCs w:val="21"/>
                      <w:u w:val="single" w:color="auto"/>
                      <w:lang w:val="en-US" w:eastAsia="zh-CN"/>
                    </w:rPr>
                    <w:t>78</w:t>
                  </w:r>
                  <w:bookmarkEnd w:id="593"/>
                  <w:bookmarkEnd w:id="594"/>
                  <w:bookmarkEnd w:id="595"/>
                  <w:bookmarkEnd w:id="596"/>
                  <w:bookmarkEnd w:id="597"/>
                  <w:bookmarkEnd w:id="598"/>
                </w:p>
              </w:tc>
              <w:tc>
                <w:tcPr>
                  <w:tcW w:w="420" w:type="pct"/>
                  <w:tcBorders>
                    <w:tl2br w:val="nil"/>
                    <w:tr2bl w:val="nil"/>
                  </w:tcBorders>
                  <w:noWrap w:val="0"/>
                  <w:vAlign w:val="center"/>
                </w:tcPr>
                <w:p w14:paraId="1843727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599" w:name="_Toc11205"/>
                  <w:bookmarkStart w:id="600" w:name="_Toc25470"/>
                  <w:bookmarkStart w:id="601" w:name="_Toc4240"/>
                  <w:bookmarkStart w:id="602" w:name="_Toc15073"/>
                  <w:bookmarkStart w:id="603" w:name="_Toc23792"/>
                  <w:bookmarkStart w:id="604" w:name="_Toc12623"/>
                  <w:r>
                    <w:rPr>
                      <w:rFonts w:hint="eastAsia" w:cs="Times New Roman"/>
                      <w:color w:val="auto"/>
                      <w:sz w:val="21"/>
                      <w:szCs w:val="21"/>
                      <w:u w:val="single" w:color="auto"/>
                      <w:lang w:val="en-US" w:eastAsia="zh-CN"/>
                    </w:rPr>
                    <w:t>46</w:t>
                  </w:r>
                  <w:bookmarkEnd w:id="599"/>
                  <w:bookmarkEnd w:id="600"/>
                  <w:bookmarkEnd w:id="601"/>
                  <w:bookmarkEnd w:id="602"/>
                  <w:bookmarkEnd w:id="603"/>
                  <w:bookmarkEnd w:id="604"/>
                </w:p>
              </w:tc>
              <w:tc>
                <w:tcPr>
                  <w:tcW w:w="410" w:type="pct"/>
                  <w:tcBorders>
                    <w:tl2br w:val="nil"/>
                    <w:tr2bl w:val="nil"/>
                  </w:tcBorders>
                  <w:noWrap w:val="0"/>
                  <w:vAlign w:val="center"/>
                </w:tcPr>
                <w:p w14:paraId="2AA50FD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05" w:name="_Toc3765"/>
                  <w:bookmarkStart w:id="606" w:name="_Toc23791"/>
                  <w:bookmarkStart w:id="607" w:name="_Toc19659"/>
                  <w:bookmarkStart w:id="608" w:name="_Toc8254"/>
                  <w:bookmarkStart w:id="609" w:name="_Toc20181"/>
                  <w:bookmarkStart w:id="610" w:name="_Toc804"/>
                  <w:r>
                    <w:rPr>
                      <w:rFonts w:hint="eastAsia" w:cs="Times New Roman"/>
                      <w:color w:val="auto"/>
                      <w:sz w:val="21"/>
                      <w:szCs w:val="21"/>
                      <w:u w:val="single" w:color="auto"/>
                      <w:lang w:val="en-US" w:eastAsia="zh-CN"/>
                    </w:rPr>
                    <w:t>74</w:t>
                  </w:r>
                  <w:bookmarkEnd w:id="605"/>
                  <w:bookmarkEnd w:id="606"/>
                  <w:bookmarkEnd w:id="607"/>
                  <w:bookmarkEnd w:id="608"/>
                  <w:bookmarkEnd w:id="609"/>
                  <w:bookmarkEnd w:id="610"/>
                </w:p>
              </w:tc>
            </w:tr>
            <w:tr w14:paraId="72F40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5F3356D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11" w:name="_Toc2544"/>
                  <w:bookmarkStart w:id="612" w:name="_Toc30320"/>
                  <w:bookmarkStart w:id="613" w:name="_Toc29550"/>
                  <w:bookmarkStart w:id="614" w:name="_Toc24834"/>
                  <w:bookmarkStart w:id="615" w:name="_Toc31415"/>
                  <w:bookmarkStart w:id="616" w:name="_Toc22972"/>
                  <w:r>
                    <w:rPr>
                      <w:rFonts w:hint="eastAsia" w:cs="Times New Roman"/>
                      <w:color w:val="auto"/>
                      <w:sz w:val="21"/>
                      <w:szCs w:val="21"/>
                      <w:u w:val="single" w:color="auto"/>
                      <w:lang w:val="en-US" w:eastAsia="zh-CN"/>
                    </w:rPr>
                    <w:t>10</w:t>
                  </w:r>
                  <w:bookmarkEnd w:id="611"/>
                  <w:bookmarkEnd w:id="612"/>
                  <w:bookmarkEnd w:id="613"/>
                  <w:bookmarkEnd w:id="614"/>
                  <w:bookmarkEnd w:id="615"/>
                  <w:bookmarkEnd w:id="616"/>
                </w:p>
              </w:tc>
              <w:tc>
                <w:tcPr>
                  <w:tcW w:w="496" w:type="pct"/>
                  <w:tcBorders>
                    <w:tl2br w:val="nil"/>
                    <w:tr2bl w:val="nil"/>
                  </w:tcBorders>
                  <w:noWrap w:val="0"/>
                  <w:vAlign w:val="center"/>
                </w:tcPr>
                <w:p w14:paraId="1D281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olor w:val="auto"/>
                      <w:kern w:val="0"/>
                      <w:sz w:val="21"/>
                      <w:szCs w:val="24"/>
                      <w:u w:val="single" w:color="auto"/>
                      <w:lang w:val="en-US" w:eastAsia="zh-CN"/>
                    </w:rPr>
                    <w:t>提升机2</w:t>
                  </w:r>
                </w:p>
              </w:tc>
              <w:tc>
                <w:tcPr>
                  <w:tcW w:w="370" w:type="pct"/>
                  <w:tcBorders>
                    <w:tl2br w:val="nil"/>
                    <w:tr2bl w:val="nil"/>
                  </w:tcBorders>
                  <w:noWrap w:val="0"/>
                  <w:vAlign w:val="center"/>
                </w:tcPr>
                <w:p w14:paraId="69E1FE8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r>
                    <w:rPr>
                      <w:rFonts w:hint="default" w:ascii="Times New Roman" w:hAnsi="Times New Roman" w:cs="Times New Roman"/>
                      <w:color w:val="auto"/>
                      <w:sz w:val="21"/>
                      <w:szCs w:val="21"/>
                      <w:u w:val="single" w:color="auto"/>
                      <w:lang w:val="en-US" w:eastAsia="zh-CN"/>
                    </w:rPr>
                    <w:t>5</w:t>
                  </w:r>
                </w:p>
              </w:tc>
              <w:tc>
                <w:tcPr>
                  <w:tcW w:w="196" w:type="pct"/>
                  <w:tcBorders>
                    <w:tl2br w:val="nil"/>
                    <w:tr2bl w:val="nil"/>
                  </w:tcBorders>
                  <w:noWrap w:val="0"/>
                  <w:vAlign w:val="center"/>
                </w:tcPr>
                <w:p w14:paraId="51A8E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7B7EA7AC">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326EF0D8">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6AAFD74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17" w:name="_Toc28661"/>
                  <w:bookmarkStart w:id="618" w:name="_Toc29037"/>
                  <w:bookmarkStart w:id="619" w:name="_Toc15568"/>
                  <w:bookmarkStart w:id="620" w:name="_Toc12075"/>
                  <w:bookmarkStart w:id="621" w:name="_Toc2502"/>
                  <w:bookmarkStart w:id="622" w:name="_Toc2831"/>
                  <w:r>
                    <w:rPr>
                      <w:rFonts w:hint="eastAsia" w:cs="Times New Roman"/>
                      <w:color w:val="auto"/>
                      <w:sz w:val="21"/>
                      <w:szCs w:val="21"/>
                      <w:u w:val="single" w:color="auto"/>
                      <w:lang w:val="en-US" w:eastAsia="zh-CN"/>
                    </w:rPr>
                    <w:t>43</w:t>
                  </w:r>
                  <w:bookmarkEnd w:id="617"/>
                  <w:bookmarkEnd w:id="618"/>
                  <w:bookmarkEnd w:id="619"/>
                  <w:bookmarkEnd w:id="620"/>
                  <w:bookmarkEnd w:id="621"/>
                  <w:bookmarkEnd w:id="622"/>
                </w:p>
              </w:tc>
              <w:tc>
                <w:tcPr>
                  <w:tcW w:w="326" w:type="pct"/>
                  <w:tcBorders>
                    <w:tl2br w:val="nil"/>
                    <w:tr2bl w:val="nil"/>
                  </w:tcBorders>
                  <w:noWrap w:val="0"/>
                  <w:vAlign w:val="center"/>
                </w:tcPr>
                <w:p w14:paraId="294C524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623" w:name="_Toc28530"/>
                  <w:bookmarkStart w:id="624" w:name="_Toc15035"/>
                  <w:bookmarkStart w:id="625" w:name="_Toc26692"/>
                  <w:bookmarkStart w:id="626" w:name="_Toc29467"/>
                  <w:bookmarkStart w:id="627" w:name="_Toc2302"/>
                  <w:bookmarkStart w:id="628" w:name="_Toc15304"/>
                  <w:r>
                    <w:rPr>
                      <w:rFonts w:hint="eastAsia" w:cs="Times New Roman"/>
                      <w:color w:val="auto"/>
                      <w:sz w:val="21"/>
                      <w:szCs w:val="21"/>
                      <w:u w:val="single" w:color="auto"/>
                      <w:lang w:val="en-US" w:eastAsia="zh-CN"/>
                    </w:rPr>
                    <w:t>24</w:t>
                  </w:r>
                  <w:bookmarkEnd w:id="623"/>
                  <w:bookmarkEnd w:id="624"/>
                  <w:bookmarkEnd w:id="625"/>
                  <w:bookmarkEnd w:id="626"/>
                  <w:bookmarkEnd w:id="627"/>
                  <w:bookmarkEnd w:id="628"/>
                </w:p>
              </w:tc>
              <w:tc>
                <w:tcPr>
                  <w:tcW w:w="290" w:type="pct"/>
                  <w:tcBorders>
                    <w:tl2br w:val="nil"/>
                    <w:tr2bl w:val="nil"/>
                  </w:tcBorders>
                  <w:noWrap w:val="0"/>
                  <w:vAlign w:val="center"/>
                </w:tcPr>
                <w:p w14:paraId="3D1CCFE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29" w:name="_Toc1698"/>
                  <w:bookmarkStart w:id="630" w:name="_Toc28563"/>
                  <w:bookmarkStart w:id="631" w:name="_Toc32302"/>
                  <w:bookmarkStart w:id="632" w:name="_Toc14600"/>
                  <w:bookmarkStart w:id="633" w:name="_Toc12458"/>
                  <w:bookmarkStart w:id="634" w:name="_Toc13745"/>
                  <w:r>
                    <w:rPr>
                      <w:rFonts w:hint="eastAsia" w:cs="Times New Roman"/>
                      <w:color w:val="auto"/>
                      <w:sz w:val="21"/>
                      <w:szCs w:val="21"/>
                      <w:u w:val="single" w:color="auto"/>
                      <w:lang w:val="en-US" w:eastAsia="zh-CN"/>
                    </w:rPr>
                    <w:t>42</w:t>
                  </w:r>
                  <w:bookmarkEnd w:id="629"/>
                  <w:bookmarkEnd w:id="630"/>
                  <w:bookmarkEnd w:id="631"/>
                  <w:bookmarkEnd w:id="632"/>
                  <w:bookmarkEnd w:id="633"/>
                  <w:bookmarkEnd w:id="634"/>
                </w:p>
              </w:tc>
              <w:tc>
                <w:tcPr>
                  <w:tcW w:w="340" w:type="pct"/>
                  <w:tcBorders>
                    <w:tl2br w:val="nil"/>
                    <w:tr2bl w:val="nil"/>
                  </w:tcBorders>
                  <w:noWrap w:val="0"/>
                  <w:vAlign w:val="center"/>
                </w:tcPr>
                <w:p w14:paraId="4A11F02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635" w:name="_Toc11845"/>
                  <w:bookmarkStart w:id="636" w:name="_Toc22868"/>
                  <w:bookmarkStart w:id="637" w:name="_Toc21689"/>
                  <w:bookmarkStart w:id="638" w:name="_Toc7361"/>
                  <w:bookmarkStart w:id="639" w:name="_Toc12119"/>
                  <w:bookmarkStart w:id="640" w:name="_Toc21661"/>
                  <w:r>
                    <w:rPr>
                      <w:rFonts w:hint="eastAsia" w:cs="Times New Roman"/>
                      <w:color w:val="auto"/>
                      <w:sz w:val="21"/>
                      <w:szCs w:val="21"/>
                      <w:u w:val="single" w:color="auto"/>
                      <w:lang w:val="en-US" w:eastAsia="zh-CN"/>
                    </w:rPr>
                    <w:t>26</w:t>
                  </w:r>
                  <w:bookmarkEnd w:id="635"/>
                  <w:bookmarkEnd w:id="636"/>
                  <w:bookmarkEnd w:id="637"/>
                  <w:bookmarkEnd w:id="638"/>
                  <w:bookmarkEnd w:id="639"/>
                  <w:bookmarkEnd w:id="640"/>
                </w:p>
              </w:tc>
              <w:tc>
                <w:tcPr>
                  <w:tcW w:w="435" w:type="pct"/>
                  <w:tcBorders>
                    <w:tl2br w:val="nil"/>
                    <w:tr2bl w:val="nil"/>
                  </w:tcBorders>
                  <w:noWrap w:val="0"/>
                  <w:vAlign w:val="center"/>
                </w:tcPr>
                <w:p w14:paraId="3106B6B6">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41" w:name="_Toc31520"/>
                  <w:bookmarkStart w:id="642" w:name="_Toc11140"/>
                  <w:bookmarkStart w:id="643" w:name="_Toc6177"/>
                  <w:bookmarkStart w:id="644" w:name="_Toc25946"/>
                  <w:bookmarkStart w:id="645" w:name="_Toc14668"/>
                  <w:bookmarkStart w:id="646" w:name="_Toc2245"/>
                  <w:r>
                    <w:rPr>
                      <w:rFonts w:hint="eastAsia" w:cs="Times New Roman"/>
                      <w:color w:val="auto"/>
                      <w:sz w:val="21"/>
                      <w:szCs w:val="21"/>
                      <w:u w:val="single" w:color="auto"/>
                      <w:lang w:val="en-US" w:eastAsia="zh-CN"/>
                    </w:rPr>
                    <w:t>78</w:t>
                  </w:r>
                  <w:bookmarkEnd w:id="641"/>
                  <w:bookmarkEnd w:id="642"/>
                  <w:bookmarkEnd w:id="643"/>
                  <w:bookmarkEnd w:id="644"/>
                  <w:bookmarkEnd w:id="645"/>
                  <w:bookmarkEnd w:id="646"/>
                </w:p>
              </w:tc>
              <w:tc>
                <w:tcPr>
                  <w:tcW w:w="420" w:type="pct"/>
                  <w:tcBorders>
                    <w:tl2br w:val="nil"/>
                    <w:tr2bl w:val="nil"/>
                  </w:tcBorders>
                  <w:noWrap w:val="0"/>
                  <w:vAlign w:val="center"/>
                </w:tcPr>
                <w:p w14:paraId="5B9BBF96">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47" w:name="_Toc1337"/>
                  <w:bookmarkStart w:id="648" w:name="_Toc22413"/>
                  <w:bookmarkStart w:id="649" w:name="_Toc27655"/>
                  <w:bookmarkStart w:id="650" w:name="_Toc8373"/>
                  <w:bookmarkStart w:id="651" w:name="_Toc15260"/>
                  <w:bookmarkStart w:id="652" w:name="_Toc14845"/>
                  <w:r>
                    <w:rPr>
                      <w:rFonts w:hint="eastAsia" w:cs="Times New Roman"/>
                      <w:color w:val="auto"/>
                      <w:sz w:val="21"/>
                      <w:szCs w:val="21"/>
                      <w:u w:val="single" w:color="auto"/>
                      <w:lang w:val="en-US" w:eastAsia="zh-CN"/>
                    </w:rPr>
                    <w:t>46</w:t>
                  </w:r>
                  <w:bookmarkEnd w:id="647"/>
                  <w:bookmarkEnd w:id="648"/>
                  <w:bookmarkEnd w:id="649"/>
                  <w:bookmarkEnd w:id="650"/>
                  <w:bookmarkEnd w:id="651"/>
                  <w:bookmarkEnd w:id="652"/>
                </w:p>
              </w:tc>
              <w:tc>
                <w:tcPr>
                  <w:tcW w:w="410" w:type="pct"/>
                  <w:tcBorders>
                    <w:tl2br w:val="nil"/>
                    <w:tr2bl w:val="nil"/>
                  </w:tcBorders>
                  <w:noWrap w:val="0"/>
                  <w:vAlign w:val="center"/>
                </w:tcPr>
                <w:p w14:paraId="5EB89CCF">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53" w:name="_Toc26744"/>
                  <w:bookmarkStart w:id="654" w:name="_Toc12928"/>
                  <w:bookmarkStart w:id="655" w:name="_Toc14029"/>
                  <w:bookmarkStart w:id="656" w:name="_Toc20257"/>
                  <w:bookmarkStart w:id="657" w:name="_Toc13180"/>
                  <w:bookmarkStart w:id="658" w:name="_Toc24260"/>
                  <w:r>
                    <w:rPr>
                      <w:rFonts w:hint="eastAsia" w:cs="Times New Roman"/>
                      <w:color w:val="auto"/>
                      <w:sz w:val="21"/>
                      <w:szCs w:val="21"/>
                      <w:u w:val="single" w:color="auto"/>
                      <w:lang w:val="en-US" w:eastAsia="zh-CN"/>
                    </w:rPr>
                    <w:t>74</w:t>
                  </w:r>
                  <w:bookmarkEnd w:id="653"/>
                  <w:bookmarkEnd w:id="654"/>
                  <w:bookmarkEnd w:id="655"/>
                  <w:bookmarkEnd w:id="656"/>
                  <w:bookmarkEnd w:id="657"/>
                  <w:bookmarkEnd w:id="658"/>
                </w:p>
              </w:tc>
            </w:tr>
            <w:tr w14:paraId="12ABB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1739C0B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59" w:name="_Toc22120"/>
                  <w:bookmarkStart w:id="660" w:name="_Toc15097"/>
                  <w:bookmarkStart w:id="661" w:name="_Toc13836"/>
                  <w:bookmarkStart w:id="662" w:name="_Toc19579"/>
                  <w:bookmarkStart w:id="663" w:name="_Toc29136"/>
                  <w:bookmarkStart w:id="664" w:name="_Toc18512"/>
                  <w:r>
                    <w:rPr>
                      <w:rFonts w:hint="eastAsia" w:cs="Times New Roman"/>
                      <w:color w:val="auto"/>
                      <w:sz w:val="21"/>
                      <w:szCs w:val="21"/>
                      <w:u w:val="single" w:color="auto"/>
                      <w:lang w:val="en-US" w:eastAsia="zh-CN"/>
                    </w:rPr>
                    <w:t>11</w:t>
                  </w:r>
                  <w:bookmarkEnd w:id="659"/>
                  <w:bookmarkEnd w:id="660"/>
                  <w:bookmarkEnd w:id="661"/>
                  <w:bookmarkEnd w:id="662"/>
                  <w:bookmarkEnd w:id="663"/>
                  <w:bookmarkEnd w:id="664"/>
                </w:p>
              </w:tc>
              <w:tc>
                <w:tcPr>
                  <w:tcW w:w="496" w:type="pct"/>
                  <w:tcBorders>
                    <w:tl2br w:val="nil"/>
                    <w:tr2bl w:val="nil"/>
                  </w:tcBorders>
                  <w:noWrap w:val="0"/>
                  <w:vAlign w:val="center"/>
                </w:tcPr>
                <w:p w14:paraId="5E36F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olor w:val="auto"/>
                      <w:kern w:val="0"/>
                      <w:sz w:val="21"/>
                      <w:szCs w:val="24"/>
                      <w:u w:val="single" w:color="auto"/>
                      <w:lang w:val="en-US" w:eastAsia="zh-CN"/>
                    </w:rPr>
                    <w:t>压滤机</w:t>
                  </w:r>
                </w:p>
              </w:tc>
              <w:tc>
                <w:tcPr>
                  <w:tcW w:w="370" w:type="pct"/>
                  <w:tcBorders>
                    <w:tl2br w:val="nil"/>
                    <w:tr2bl w:val="nil"/>
                  </w:tcBorders>
                  <w:noWrap w:val="0"/>
                  <w:vAlign w:val="center"/>
                </w:tcPr>
                <w:p w14:paraId="01C5862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80</w:t>
                  </w:r>
                </w:p>
              </w:tc>
              <w:tc>
                <w:tcPr>
                  <w:tcW w:w="196" w:type="pct"/>
                  <w:tcBorders>
                    <w:tl2br w:val="nil"/>
                    <w:tr2bl w:val="nil"/>
                  </w:tcBorders>
                  <w:noWrap w:val="0"/>
                  <w:vAlign w:val="center"/>
                </w:tcPr>
                <w:p w14:paraId="033013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5C282BE1">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7CBA80E9">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70467D6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65" w:name="_Toc20912"/>
                  <w:bookmarkStart w:id="666" w:name="_Toc31783"/>
                  <w:bookmarkStart w:id="667" w:name="_Toc172"/>
                  <w:bookmarkStart w:id="668" w:name="_Toc30746"/>
                  <w:bookmarkStart w:id="669" w:name="_Toc6346"/>
                  <w:bookmarkStart w:id="670" w:name="_Toc10809"/>
                  <w:r>
                    <w:rPr>
                      <w:rFonts w:hint="eastAsia" w:cs="Times New Roman"/>
                      <w:color w:val="auto"/>
                      <w:sz w:val="21"/>
                      <w:szCs w:val="21"/>
                      <w:u w:val="single" w:color="auto"/>
                      <w:lang w:val="en-US" w:eastAsia="zh-CN"/>
                    </w:rPr>
                    <w:t>25</w:t>
                  </w:r>
                  <w:bookmarkEnd w:id="665"/>
                  <w:bookmarkEnd w:id="666"/>
                  <w:bookmarkEnd w:id="667"/>
                  <w:bookmarkEnd w:id="668"/>
                  <w:bookmarkEnd w:id="669"/>
                  <w:bookmarkEnd w:id="670"/>
                </w:p>
              </w:tc>
              <w:tc>
                <w:tcPr>
                  <w:tcW w:w="326" w:type="pct"/>
                  <w:tcBorders>
                    <w:tl2br w:val="nil"/>
                    <w:tr2bl w:val="nil"/>
                  </w:tcBorders>
                  <w:noWrap w:val="0"/>
                  <w:vAlign w:val="center"/>
                </w:tcPr>
                <w:p w14:paraId="2D5178C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71" w:name="_Toc22642"/>
                  <w:bookmarkStart w:id="672" w:name="_Toc20065"/>
                  <w:bookmarkStart w:id="673" w:name="_Toc11072"/>
                  <w:bookmarkStart w:id="674" w:name="_Toc18250"/>
                  <w:bookmarkStart w:id="675" w:name="_Toc28087"/>
                  <w:bookmarkStart w:id="676" w:name="_Toc10340"/>
                  <w:r>
                    <w:rPr>
                      <w:rFonts w:hint="eastAsia" w:cs="Times New Roman"/>
                      <w:color w:val="auto"/>
                      <w:sz w:val="21"/>
                      <w:szCs w:val="21"/>
                      <w:u w:val="single" w:color="auto"/>
                      <w:lang w:val="en-US" w:eastAsia="zh-CN"/>
                    </w:rPr>
                    <w:t>15</w:t>
                  </w:r>
                  <w:bookmarkEnd w:id="671"/>
                  <w:bookmarkEnd w:id="672"/>
                  <w:bookmarkEnd w:id="673"/>
                  <w:bookmarkEnd w:id="674"/>
                  <w:bookmarkEnd w:id="675"/>
                  <w:bookmarkEnd w:id="676"/>
                </w:p>
              </w:tc>
              <w:tc>
                <w:tcPr>
                  <w:tcW w:w="290" w:type="pct"/>
                  <w:tcBorders>
                    <w:tl2br w:val="nil"/>
                    <w:tr2bl w:val="nil"/>
                  </w:tcBorders>
                  <w:noWrap w:val="0"/>
                  <w:vAlign w:val="center"/>
                </w:tcPr>
                <w:p w14:paraId="698FC2B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77" w:name="_Toc22985"/>
                  <w:bookmarkStart w:id="678" w:name="_Toc23576"/>
                  <w:bookmarkStart w:id="679" w:name="_Toc3878"/>
                  <w:bookmarkStart w:id="680" w:name="_Toc30047"/>
                  <w:bookmarkStart w:id="681" w:name="_Toc10008"/>
                  <w:bookmarkStart w:id="682" w:name="_Toc5415"/>
                  <w:r>
                    <w:rPr>
                      <w:rFonts w:hint="eastAsia" w:cs="Times New Roman"/>
                      <w:color w:val="auto"/>
                      <w:sz w:val="21"/>
                      <w:szCs w:val="21"/>
                      <w:u w:val="single" w:color="auto"/>
                      <w:lang w:val="en-US" w:eastAsia="zh-CN"/>
                    </w:rPr>
                    <w:t>27</w:t>
                  </w:r>
                  <w:bookmarkEnd w:id="677"/>
                  <w:bookmarkEnd w:id="678"/>
                  <w:bookmarkEnd w:id="679"/>
                  <w:bookmarkEnd w:id="680"/>
                  <w:bookmarkEnd w:id="681"/>
                  <w:bookmarkEnd w:id="682"/>
                </w:p>
              </w:tc>
              <w:tc>
                <w:tcPr>
                  <w:tcW w:w="340" w:type="pct"/>
                  <w:tcBorders>
                    <w:tl2br w:val="nil"/>
                    <w:tr2bl w:val="nil"/>
                  </w:tcBorders>
                  <w:noWrap w:val="0"/>
                  <w:vAlign w:val="center"/>
                </w:tcPr>
                <w:p w14:paraId="44B1D46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83" w:name="_Toc31671"/>
                  <w:bookmarkStart w:id="684" w:name="_Toc28984"/>
                  <w:bookmarkStart w:id="685" w:name="_Toc1543"/>
                  <w:bookmarkStart w:id="686" w:name="_Toc31722"/>
                  <w:bookmarkStart w:id="687" w:name="_Toc26041"/>
                  <w:bookmarkStart w:id="688" w:name="_Toc3912"/>
                  <w:r>
                    <w:rPr>
                      <w:rFonts w:hint="eastAsia" w:cs="Times New Roman"/>
                      <w:color w:val="auto"/>
                      <w:sz w:val="21"/>
                      <w:szCs w:val="21"/>
                      <w:u w:val="single" w:color="auto"/>
                      <w:lang w:val="en-US" w:eastAsia="zh-CN"/>
                    </w:rPr>
                    <w:t>12</w:t>
                  </w:r>
                  <w:bookmarkEnd w:id="683"/>
                  <w:bookmarkEnd w:id="684"/>
                  <w:bookmarkEnd w:id="685"/>
                  <w:bookmarkEnd w:id="686"/>
                  <w:bookmarkEnd w:id="687"/>
                  <w:bookmarkEnd w:id="688"/>
                </w:p>
              </w:tc>
              <w:tc>
                <w:tcPr>
                  <w:tcW w:w="435" w:type="pct"/>
                  <w:tcBorders>
                    <w:tl2br w:val="nil"/>
                    <w:tr2bl w:val="nil"/>
                  </w:tcBorders>
                  <w:noWrap w:val="0"/>
                  <w:vAlign w:val="center"/>
                </w:tcPr>
                <w:p w14:paraId="3B0F1C7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689" w:name="_Toc11900"/>
                  <w:bookmarkStart w:id="690" w:name="_Toc27971"/>
                  <w:bookmarkStart w:id="691" w:name="_Toc8279"/>
                  <w:bookmarkStart w:id="692" w:name="_Toc3211"/>
                  <w:bookmarkStart w:id="693" w:name="_Toc1984"/>
                  <w:bookmarkStart w:id="694" w:name="_Toc32171"/>
                  <w:r>
                    <w:rPr>
                      <w:rFonts w:hint="eastAsia" w:cs="Times New Roman"/>
                      <w:color w:val="auto"/>
                      <w:sz w:val="21"/>
                      <w:szCs w:val="21"/>
                      <w:u w:val="single" w:color="auto"/>
                      <w:lang w:val="en-US" w:eastAsia="zh-CN"/>
                    </w:rPr>
                    <w:t>115</w:t>
                  </w:r>
                  <w:bookmarkEnd w:id="689"/>
                  <w:bookmarkEnd w:id="690"/>
                  <w:bookmarkEnd w:id="691"/>
                  <w:bookmarkEnd w:id="692"/>
                  <w:bookmarkEnd w:id="693"/>
                  <w:bookmarkEnd w:id="694"/>
                </w:p>
              </w:tc>
              <w:tc>
                <w:tcPr>
                  <w:tcW w:w="420" w:type="pct"/>
                  <w:tcBorders>
                    <w:tl2br w:val="nil"/>
                    <w:tr2bl w:val="nil"/>
                  </w:tcBorders>
                  <w:shd w:val="clear" w:color="auto" w:fill="auto"/>
                  <w:noWrap w:val="0"/>
                  <w:vAlign w:val="center"/>
                </w:tcPr>
                <w:p w14:paraId="51E215F6">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bookmarkStart w:id="695" w:name="_Toc9278"/>
                  <w:bookmarkStart w:id="696" w:name="_Toc155"/>
                  <w:bookmarkStart w:id="697" w:name="_Toc20128"/>
                  <w:bookmarkStart w:id="698" w:name="_Toc17505"/>
                  <w:bookmarkStart w:id="699" w:name="_Toc29657"/>
                  <w:bookmarkStart w:id="700" w:name="_Toc28275"/>
                  <w:r>
                    <w:rPr>
                      <w:rFonts w:hint="eastAsia" w:cs="Times New Roman"/>
                      <w:color w:val="auto"/>
                      <w:sz w:val="21"/>
                      <w:szCs w:val="21"/>
                      <w:u w:val="single" w:color="auto"/>
                      <w:lang w:val="en-US" w:eastAsia="zh-CN"/>
                    </w:rPr>
                    <w:t>22</w:t>
                  </w:r>
                  <w:bookmarkEnd w:id="695"/>
                  <w:bookmarkEnd w:id="696"/>
                  <w:bookmarkEnd w:id="697"/>
                  <w:bookmarkEnd w:id="698"/>
                  <w:bookmarkEnd w:id="699"/>
                  <w:bookmarkEnd w:id="700"/>
                </w:p>
              </w:tc>
              <w:tc>
                <w:tcPr>
                  <w:tcW w:w="410" w:type="pct"/>
                  <w:tcBorders>
                    <w:tl2br w:val="nil"/>
                    <w:tr2bl w:val="nil"/>
                  </w:tcBorders>
                  <w:noWrap w:val="0"/>
                  <w:vAlign w:val="center"/>
                </w:tcPr>
                <w:p w14:paraId="28CE52A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01" w:name="_Toc9583"/>
                  <w:bookmarkStart w:id="702" w:name="_Toc6458"/>
                  <w:bookmarkStart w:id="703" w:name="_Toc1636"/>
                  <w:bookmarkStart w:id="704" w:name="_Toc32370"/>
                  <w:bookmarkStart w:id="705" w:name="_Toc2158"/>
                  <w:bookmarkStart w:id="706" w:name="_Toc29102"/>
                  <w:r>
                    <w:rPr>
                      <w:rFonts w:hint="eastAsia" w:cs="Times New Roman"/>
                      <w:color w:val="auto"/>
                      <w:sz w:val="21"/>
                      <w:szCs w:val="21"/>
                      <w:u w:val="single" w:color="auto"/>
                      <w:lang w:val="en-US" w:eastAsia="zh-CN"/>
                    </w:rPr>
                    <w:t>125</w:t>
                  </w:r>
                  <w:bookmarkEnd w:id="701"/>
                  <w:bookmarkEnd w:id="702"/>
                  <w:bookmarkEnd w:id="703"/>
                  <w:bookmarkEnd w:id="704"/>
                  <w:bookmarkEnd w:id="705"/>
                  <w:bookmarkEnd w:id="706"/>
                </w:p>
              </w:tc>
            </w:tr>
            <w:tr w14:paraId="15FCE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4AE05E7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07" w:name="_Toc560"/>
                  <w:bookmarkStart w:id="708" w:name="_Toc489"/>
                  <w:bookmarkStart w:id="709" w:name="_Toc7243"/>
                  <w:bookmarkStart w:id="710" w:name="_Toc7753"/>
                  <w:bookmarkStart w:id="711" w:name="_Toc9453"/>
                  <w:bookmarkStart w:id="712" w:name="_Toc29678"/>
                  <w:r>
                    <w:rPr>
                      <w:rFonts w:hint="eastAsia" w:cs="Times New Roman"/>
                      <w:color w:val="auto"/>
                      <w:sz w:val="21"/>
                      <w:szCs w:val="21"/>
                      <w:u w:val="single" w:color="auto"/>
                      <w:lang w:val="en-US" w:eastAsia="zh-CN"/>
                    </w:rPr>
                    <w:t>12</w:t>
                  </w:r>
                  <w:bookmarkEnd w:id="707"/>
                  <w:bookmarkEnd w:id="708"/>
                  <w:bookmarkEnd w:id="709"/>
                  <w:bookmarkEnd w:id="710"/>
                  <w:bookmarkEnd w:id="711"/>
                  <w:bookmarkEnd w:id="712"/>
                </w:p>
              </w:tc>
              <w:tc>
                <w:tcPr>
                  <w:tcW w:w="496" w:type="pct"/>
                  <w:tcBorders>
                    <w:tl2br w:val="nil"/>
                    <w:tr2bl w:val="nil"/>
                  </w:tcBorders>
                  <w:noWrap w:val="0"/>
                  <w:vAlign w:val="center"/>
                </w:tcPr>
                <w:p w14:paraId="12A45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olor w:val="auto"/>
                      <w:kern w:val="0"/>
                      <w:sz w:val="21"/>
                      <w:szCs w:val="24"/>
                      <w:u w:val="single" w:color="auto"/>
                      <w:lang w:val="en-US" w:eastAsia="zh-CN"/>
                    </w:rPr>
                    <w:t>水泵</w:t>
                  </w:r>
                </w:p>
              </w:tc>
              <w:tc>
                <w:tcPr>
                  <w:tcW w:w="370" w:type="pct"/>
                  <w:tcBorders>
                    <w:tl2br w:val="nil"/>
                    <w:tr2bl w:val="nil"/>
                  </w:tcBorders>
                  <w:noWrap w:val="0"/>
                  <w:vAlign w:val="center"/>
                </w:tcPr>
                <w:p w14:paraId="1683D89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80</w:t>
                  </w:r>
                </w:p>
              </w:tc>
              <w:tc>
                <w:tcPr>
                  <w:tcW w:w="196" w:type="pct"/>
                  <w:tcBorders>
                    <w:tl2br w:val="nil"/>
                    <w:tr2bl w:val="nil"/>
                  </w:tcBorders>
                  <w:noWrap w:val="0"/>
                  <w:vAlign w:val="center"/>
                </w:tcPr>
                <w:p w14:paraId="65FBCF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台</w:t>
                  </w:r>
                </w:p>
              </w:tc>
              <w:tc>
                <w:tcPr>
                  <w:tcW w:w="1224" w:type="dxa"/>
                  <w:tcBorders>
                    <w:tl2br w:val="nil"/>
                    <w:tr2bl w:val="nil"/>
                  </w:tcBorders>
                  <w:noWrap w:val="0"/>
                  <w:vAlign w:val="center"/>
                </w:tcPr>
                <w:p w14:paraId="045DAFB9">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713C8F8B">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19EF24D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13" w:name="_Toc26997"/>
                  <w:bookmarkStart w:id="714" w:name="_Toc8742"/>
                  <w:bookmarkStart w:id="715" w:name="_Toc1707"/>
                  <w:bookmarkStart w:id="716" w:name="_Toc7941"/>
                  <w:bookmarkStart w:id="717" w:name="_Toc7620"/>
                  <w:bookmarkStart w:id="718" w:name="_Toc28282"/>
                  <w:r>
                    <w:rPr>
                      <w:rFonts w:hint="eastAsia" w:cs="Times New Roman"/>
                      <w:color w:val="auto"/>
                      <w:sz w:val="21"/>
                      <w:szCs w:val="21"/>
                      <w:u w:val="single" w:color="auto"/>
                      <w:lang w:val="en-US" w:eastAsia="zh-CN"/>
                    </w:rPr>
                    <w:t>25</w:t>
                  </w:r>
                  <w:bookmarkEnd w:id="713"/>
                  <w:bookmarkEnd w:id="714"/>
                  <w:bookmarkEnd w:id="715"/>
                  <w:bookmarkEnd w:id="716"/>
                  <w:bookmarkEnd w:id="717"/>
                  <w:bookmarkEnd w:id="718"/>
                </w:p>
              </w:tc>
              <w:tc>
                <w:tcPr>
                  <w:tcW w:w="326" w:type="pct"/>
                  <w:tcBorders>
                    <w:tl2br w:val="nil"/>
                    <w:tr2bl w:val="nil"/>
                  </w:tcBorders>
                  <w:noWrap w:val="0"/>
                  <w:vAlign w:val="center"/>
                </w:tcPr>
                <w:p w14:paraId="1BC7609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19" w:name="_Toc23883"/>
                  <w:bookmarkStart w:id="720" w:name="_Toc9652"/>
                  <w:bookmarkStart w:id="721" w:name="_Toc17391"/>
                  <w:bookmarkStart w:id="722" w:name="_Toc30711"/>
                  <w:bookmarkStart w:id="723" w:name="_Toc24410"/>
                  <w:bookmarkStart w:id="724" w:name="_Toc31649"/>
                  <w:r>
                    <w:rPr>
                      <w:rFonts w:hint="eastAsia" w:cs="Times New Roman"/>
                      <w:color w:val="auto"/>
                      <w:sz w:val="21"/>
                      <w:szCs w:val="21"/>
                      <w:u w:val="single" w:color="auto"/>
                      <w:lang w:val="en-US" w:eastAsia="zh-CN"/>
                    </w:rPr>
                    <w:t>10</w:t>
                  </w:r>
                  <w:bookmarkEnd w:id="719"/>
                  <w:bookmarkEnd w:id="720"/>
                  <w:bookmarkEnd w:id="721"/>
                  <w:bookmarkEnd w:id="722"/>
                  <w:bookmarkEnd w:id="723"/>
                  <w:bookmarkEnd w:id="724"/>
                </w:p>
              </w:tc>
              <w:tc>
                <w:tcPr>
                  <w:tcW w:w="290" w:type="pct"/>
                  <w:tcBorders>
                    <w:tl2br w:val="nil"/>
                    <w:tr2bl w:val="nil"/>
                  </w:tcBorders>
                  <w:noWrap w:val="0"/>
                  <w:vAlign w:val="center"/>
                </w:tcPr>
                <w:p w14:paraId="04A09FA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25" w:name="_Toc889"/>
                  <w:bookmarkStart w:id="726" w:name="_Toc13698"/>
                  <w:bookmarkStart w:id="727" w:name="_Toc14115"/>
                  <w:bookmarkStart w:id="728" w:name="_Toc320"/>
                  <w:bookmarkStart w:id="729" w:name="_Toc23984"/>
                  <w:bookmarkStart w:id="730" w:name="_Toc15786"/>
                  <w:r>
                    <w:rPr>
                      <w:rFonts w:hint="eastAsia" w:cs="Times New Roman"/>
                      <w:color w:val="auto"/>
                      <w:sz w:val="21"/>
                      <w:szCs w:val="21"/>
                      <w:u w:val="single" w:color="auto"/>
                      <w:lang w:val="en-US" w:eastAsia="zh-CN"/>
                    </w:rPr>
                    <w:t>27</w:t>
                  </w:r>
                  <w:bookmarkEnd w:id="725"/>
                  <w:bookmarkEnd w:id="726"/>
                  <w:bookmarkEnd w:id="727"/>
                  <w:bookmarkEnd w:id="728"/>
                  <w:bookmarkEnd w:id="729"/>
                  <w:bookmarkEnd w:id="730"/>
                </w:p>
              </w:tc>
              <w:tc>
                <w:tcPr>
                  <w:tcW w:w="340" w:type="pct"/>
                  <w:tcBorders>
                    <w:tl2br w:val="nil"/>
                    <w:tr2bl w:val="nil"/>
                  </w:tcBorders>
                  <w:noWrap w:val="0"/>
                  <w:vAlign w:val="center"/>
                </w:tcPr>
                <w:p w14:paraId="38CA61A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31" w:name="_Toc7460"/>
                  <w:bookmarkStart w:id="732" w:name="_Toc11952"/>
                  <w:bookmarkStart w:id="733" w:name="_Toc29132"/>
                  <w:bookmarkStart w:id="734" w:name="_Toc22571"/>
                  <w:bookmarkStart w:id="735" w:name="_Toc32133"/>
                  <w:bookmarkStart w:id="736" w:name="_Toc21730"/>
                  <w:r>
                    <w:rPr>
                      <w:rFonts w:hint="eastAsia" w:cs="Times New Roman"/>
                      <w:color w:val="auto"/>
                      <w:sz w:val="21"/>
                      <w:szCs w:val="21"/>
                      <w:u w:val="single" w:color="auto"/>
                      <w:lang w:val="en-US" w:eastAsia="zh-CN"/>
                    </w:rPr>
                    <w:t>17</w:t>
                  </w:r>
                  <w:bookmarkEnd w:id="731"/>
                  <w:bookmarkEnd w:id="732"/>
                  <w:bookmarkEnd w:id="733"/>
                  <w:bookmarkEnd w:id="734"/>
                  <w:bookmarkEnd w:id="735"/>
                  <w:bookmarkEnd w:id="736"/>
                </w:p>
              </w:tc>
              <w:tc>
                <w:tcPr>
                  <w:tcW w:w="435" w:type="pct"/>
                  <w:tcBorders>
                    <w:tl2br w:val="nil"/>
                    <w:tr2bl w:val="nil"/>
                  </w:tcBorders>
                  <w:noWrap w:val="0"/>
                  <w:vAlign w:val="center"/>
                </w:tcPr>
                <w:p w14:paraId="76D6083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37" w:name="_Toc6361"/>
                  <w:bookmarkStart w:id="738" w:name="_Toc26225"/>
                  <w:bookmarkStart w:id="739" w:name="_Toc11241"/>
                  <w:bookmarkStart w:id="740" w:name="_Toc27447"/>
                  <w:bookmarkStart w:id="741" w:name="_Toc9408"/>
                  <w:bookmarkStart w:id="742" w:name="_Toc9817"/>
                  <w:r>
                    <w:rPr>
                      <w:rFonts w:hint="eastAsia" w:cs="Times New Roman"/>
                      <w:color w:val="auto"/>
                      <w:sz w:val="21"/>
                      <w:szCs w:val="21"/>
                      <w:u w:val="single" w:color="auto"/>
                      <w:lang w:val="en-US" w:eastAsia="zh-CN"/>
                    </w:rPr>
                    <w:t>115</w:t>
                  </w:r>
                  <w:bookmarkEnd w:id="737"/>
                  <w:bookmarkEnd w:id="738"/>
                  <w:bookmarkEnd w:id="739"/>
                  <w:bookmarkEnd w:id="740"/>
                  <w:bookmarkEnd w:id="741"/>
                  <w:bookmarkEnd w:id="742"/>
                </w:p>
              </w:tc>
              <w:tc>
                <w:tcPr>
                  <w:tcW w:w="420" w:type="pct"/>
                  <w:tcBorders>
                    <w:tl2br w:val="nil"/>
                    <w:tr2bl w:val="nil"/>
                  </w:tcBorders>
                  <w:shd w:val="clear" w:color="auto" w:fill="auto"/>
                  <w:noWrap w:val="0"/>
                  <w:vAlign w:val="center"/>
                </w:tcPr>
                <w:p w14:paraId="1F096E96">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bookmarkStart w:id="743" w:name="_Toc16099"/>
                  <w:bookmarkStart w:id="744" w:name="_Toc4151"/>
                  <w:bookmarkStart w:id="745" w:name="_Toc3552"/>
                  <w:bookmarkStart w:id="746" w:name="_Toc10367"/>
                  <w:bookmarkStart w:id="747" w:name="_Toc29466"/>
                  <w:bookmarkStart w:id="748" w:name="_Toc7578"/>
                  <w:r>
                    <w:rPr>
                      <w:rFonts w:hint="eastAsia" w:cs="Times New Roman"/>
                      <w:color w:val="auto"/>
                      <w:sz w:val="21"/>
                      <w:szCs w:val="21"/>
                      <w:u w:val="single" w:color="auto"/>
                      <w:lang w:val="en-US" w:eastAsia="zh-CN"/>
                    </w:rPr>
                    <w:t>27</w:t>
                  </w:r>
                  <w:bookmarkEnd w:id="743"/>
                  <w:bookmarkEnd w:id="744"/>
                  <w:bookmarkEnd w:id="745"/>
                  <w:bookmarkEnd w:id="746"/>
                  <w:bookmarkEnd w:id="747"/>
                  <w:bookmarkEnd w:id="748"/>
                </w:p>
              </w:tc>
              <w:tc>
                <w:tcPr>
                  <w:tcW w:w="410" w:type="pct"/>
                  <w:tcBorders>
                    <w:tl2br w:val="nil"/>
                    <w:tr2bl w:val="nil"/>
                  </w:tcBorders>
                  <w:noWrap w:val="0"/>
                  <w:vAlign w:val="center"/>
                </w:tcPr>
                <w:p w14:paraId="5FBF4659">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49" w:name="_Toc23899"/>
                  <w:bookmarkStart w:id="750" w:name="_Toc4337"/>
                  <w:bookmarkStart w:id="751" w:name="_Toc14439"/>
                  <w:bookmarkStart w:id="752" w:name="_Toc20361"/>
                  <w:bookmarkStart w:id="753" w:name="_Toc1311"/>
                  <w:bookmarkStart w:id="754" w:name="_Toc16023"/>
                  <w:r>
                    <w:rPr>
                      <w:rFonts w:hint="eastAsia" w:cs="Times New Roman"/>
                      <w:color w:val="auto"/>
                      <w:sz w:val="21"/>
                      <w:szCs w:val="21"/>
                      <w:u w:val="single" w:color="auto"/>
                      <w:lang w:val="en-US" w:eastAsia="zh-CN"/>
                    </w:rPr>
                    <w:t>125</w:t>
                  </w:r>
                  <w:bookmarkEnd w:id="749"/>
                  <w:bookmarkEnd w:id="750"/>
                  <w:bookmarkEnd w:id="751"/>
                  <w:bookmarkEnd w:id="752"/>
                  <w:bookmarkEnd w:id="753"/>
                  <w:bookmarkEnd w:id="754"/>
                </w:p>
              </w:tc>
            </w:tr>
            <w:tr w14:paraId="39CC2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4EE7C87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55" w:name="_Toc32101"/>
                  <w:bookmarkStart w:id="756" w:name="_Toc29549"/>
                  <w:bookmarkStart w:id="757" w:name="_Toc4721"/>
                  <w:bookmarkStart w:id="758" w:name="_Toc22736"/>
                  <w:bookmarkStart w:id="759" w:name="_Toc5633"/>
                  <w:bookmarkStart w:id="760" w:name="_Toc29595"/>
                  <w:r>
                    <w:rPr>
                      <w:rFonts w:hint="eastAsia" w:cs="Times New Roman"/>
                      <w:color w:val="auto"/>
                      <w:sz w:val="21"/>
                      <w:szCs w:val="21"/>
                      <w:u w:val="single" w:color="auto"/>
                      <w:lang w:val="en-US" w:eastAsia="zh-CN"/>
                    </w:rPr>
                    <w:t>13</w:t>
                  </w:r>
                  <w:bookmarkEnd w:id="755"/>
                  <w:bookmarkEnd w:id="756"/>
                  <w:bookmarkEnd w:id="757"/>
                  <w:bookmarkEnd w:id="758"/>
                  <w:bookmarkEnd w:id="759"/>
                  <w:bookmarkEnd w:id="760"/>
                </w:p>
              </w:tc>
              <w:tc>
                <w:tcPr>
                  <w:tcW w:w="496" w:type="pct"/>
                  <w:tcBorders>
                    <w:tl2br w:val="nil"/>
                    <w:tr2bl w:val="nil"/>
                  </w:tcBorders>
                  <w:noWrap w:val="0"/>
                  <w:vAlign w:val="center"/>
                </w:tcPr>
                <w:p w14:paraId="00460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猪叫</w:t>
                  </w:r>
                </w:p>
              </w:tc>
              <w:tc>
                <w:tcPr>
                  <w:tcW w:w="370" w:type="pct"/>
                  <w:tcBorders>
                    <w:tl2br w:val="nil"/>
                    <w:tr2bl w:val="nil"/>
                  </w:tcBorders>
                  <w:noWrap w:val="0"/>
                  <w:vAlign w:val="center"/>
                </w:tcPr>
                <w:p w14:paraId="4DB979E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80</w:t>
                  </w:r>
                </w:p>
              </w:tc>
              <w:tc>
                <w:tcPr>
                  <w:tcW w:w="196" w:type="pct"/>
                  <w:tcBorders>
                    <w:tl2br w:val="nil"/>
                    <w:tr2bl w:val="nil"/>
                  </w:tcBorders>
                  <w:noWrap w:val="0"/>
                  <w:vAlign w:val="center"/>
                </w:tcPr>
                <w:p w14:paraId="56A688E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61" w:name="_Toc1664"/>
                  <w:bookmarkStart w:id="762" w:name="_Toc18674"/>
                  <w:bookmarkStart w:id="763" w:name="_Toc31621"/>
                  <w:bookmarkStart w:id="764" w:name="_Toc5564"/>
                  <w:bookmarkStart w:id="765" w:name="_Toc2744"/>
                  <w:bookmarkStart w:id="766" w:name="_Toc7734"/>
                  <w:r>
                    <w:rPr>
                      <w:rFonts w:hint="eastAsia" w:cs="Times New Roman"/>
                      <w:color w:val="auto"/>
                      <w:sz w:val="21"/>
                      <w:szCs w:val="21"/>
                      <w:u w:val="single" w:color="auto"/>
                      <w:lang w:val="en-US" w:eastAsia="zh-CN"/>
                    </w:rPr>
                    <w:t>/</w:t>
                  </w:r>
                  <w:bookmarkEnd w:id="761"/>
                  <w:bookmarkEnd w:id="762"/>
                  <w:bookmarkEnd w:id="763"/>
                  <w:bookmarkEnd w:id="764"/>
                  <w:bookmarkEnd w:id="765"/>
                  <w:bookmarkEnd w:id="766"/>
                </w:p>
              </w:tc>
              <w:tc>
                <w:tcPr>
                  <w:tcW w:w="1224" w:type="dxa"/>
                  <w:tcBorders>
                    <w:tl2br w:val="nil"/>
                    <w:tr2bl w:val="nil"/>
                  </w:tcBorders>
                  <w:noWrap w:val="0"/>
                  <w:vAlign w:val="center"/>
                </w:tcPr>
                <w:p w14:paraId="7A391313">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4259DD79">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311" w:type="pct"/>
                  <w:tcBorders>
                    <w:tl2br w:val="nil"/>
                    <w:tr2bl w:val="nil"/>
                  </w:tcBorders>
                  <w:noWrap w:val="0"/>
                  <w:vAlign w:val="center"/>
                </w:tcPr>
                <w:p w14:paraId="7EFAEA53">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67" w:name="_Toc2448"/>
                  <w:bookmarkStart w:id="768" w:name="_Toc9994"/>
                  <w:bookmarkStart w:id="769" w:name="_Toc23774"/>
                  <w:bookmarkStart w:id="770" w:name="_Toc20459"/>
                  <w:bookmarkStart w:id="771" w:name="_Toc24911"/>
                  <w:bookmarkStart w:id="772" w:name="_Toc25443"/>
                  <w:r>
                    <w:rPr>
                      <w:rFonts w:hint="eastAsia" w:cs="Times New Roman"/>
                      <w:color w:val="auto"/>
                      <w:sz w:val="21"/>
                      <w:szCs w:val="21"/>
                      <w:u w:val="single" w:color="auto"/>
                      <w:lang w:val="en-US" w:eastAsia="zh-CN"/>
                    </w:rPr>
                    <w:t>65</w:t>
                  </w:r>
                  <w:bookmarkEnd w:id="767"/>
                  <w:bookmarkEnd w:id="768"/>
                  <w:bookmarkEnd w:id="769"/>
                  <w:bookmarkEnd w:id="770"/>
                  <w:bookmarkEnd w:id="771"/>
                  <w:bookmarkEnd w:id="772"/>
                </w:p>
              </w:tc>
              <w:tc>
                <w:tcPr>
                  <w:tcW w:w="326" w:type="pct"/>
                  <w:tcBorders>
                    <w:tl2br w:val="nil"/>
                    <w:tr2bl w:val="nil"/>
                  </w:tcBorders>
                  <w:noWrap w:val="0"/>
                  <w:vAlign w:val="center"/>
                </w:tcPr>
                <w:p w14:paraId="5EF15BA2">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73" w:name="_Toc26181"/>
                  <w:bookmarkStart w:id="774" w:name="_Toc8901"/>
                  <w:bookmarkStart w:id="775" w:name="_Toc2751"/>
                  <w:bookmarkStart w:id="776" w:name="_Toc401"/>
                  <w:bookmarkStart w:id="777" w:name="_Toc3108"/>
                  <w:bookmarkStart w:id="778" w:name="_Toc15052"/>
                  <w:r>
                    <w:rPr>
                      <w:rFonts w:hint="eastAsia" w:cs="Times New Roman"/>
                      <w:color w:val="auto"/>
                      <w:sz w:val="21"/>
                      <w:szCs w:val="21"/>
                      <w:u w:val="single" w:color="auto"/>
                      <w:lang w:val="en-US" w:eastAsia="zh-CN"/>
                    </w:rPr>
                    <w:t>36</w:t>
                  </w:r>
                  <w:bookmarkEnd w:id="773"/>
                  <w:bookmarkEnd w:id="774"/>
                  <w:bookmarkEnd w:id="775"/>
                  <w:bookmarkEnd w:id="776"/>
                  <w:bookmarkEnd w:id="777"/>
                  <w:bookmarkEnd w:id="778"/>
                </w:p>
              </w:tc>
              <w:tc>
                <w:tcPr>
                  <w:tcW w:w="290" w:type="pct"/>
                  <w:tcBorders>
                    <w:tl2br w:val="nil"/>
                    <w:tr2bl w:val="nil"/>
                  </w:tcBorders>
                  <w:noWrap w:val="0"/>
                  <w:vAlign w:val="center"/>
                </w:tcPr>
                <w:p w14:paraId="5AF5011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79" w:name="_Toc17308"/>
                  <w:bookmarkStart w:id="780" w:name="_Toc30617"/>
                  <w:bookmarkStart w:id="781" w:name="_Toc17742"/>
                  <w:bookmarkStart w:id="782" w:name="_Toc10052"/>
                  <w:bookmarkStart w:id="783" w:name="_Toc19933"/>
                  <w:bookmarkStart w:id="784" w:name="_Toc23729"/>
                  <w:r>
                    <w:rPr>
                      <w:rFonts w:hint="eastAsia" w:cs="Times New Roman"/>
                      <w:color w:val="auto"/>
                      <w:sz w:val="21"/>
                      <w:szCs w:val="21"/>
                      <w:u w:val="single" w:color="auto"/>
                      <w:lang w:val="en-US" w:eastAsia="zh-CN"/>
                    </w:rPr>
                    <w:t>20</w:t>
                  </w:r>
                  <w:bookmarkEnd w:id="779"/>
                  <w:bookmarkEnd w:id="780"/>
                  <w:bookmarkEnd w:id="781"/>
                  <w:bookmarkEnd w:id="782"/>
                  <w:bookmarkEnd w:id="783"/>
                  <w:bookmarkEnd w:id="784"/>
                </w:p>
              </w:tc>
              <w:tc>
                <w:tcPr>
                  <w:tcW w:w="340" w:type="pct"/>
                  <w:tcBorders>
                    <w:tl2br w:val="nil"/>
                    <w:tr2bl w:val="nil"/>
                  </w:tcBorders>
                  <w:noWrap w:val="0"/>
                  <w:vAlign w:val="center"/>
                </w:tcPr>
                <w:p w14:paraId="60CCCFB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85" w:name="_Toc32329"/>
                  <w:bookmarkStart w:id="786" w:name="_Toc3275"/>
                  <w:bookmarkStart w:id="787" w:name="_Toc15350"/>
                  <w:bookmarkStart w:id="788" w:name="_Toc4247"/>
                  <w:bookmarkStart w:id="789" w:name="_Toc25565"/>
                  <w:bookmarkStart w:id="790" w:name="_Toc19803"/>
                  <w:r>
                    <w:rPr>
                      <w:rFonts w:hint="eastAsia" w:cs="Times New Roman"/>
                      <w:color w:val="auto"/>
                      <w:sz w:val="21"/>
                      <w:szCs w:val="21"/>
                      <w:u w:val="single" w:color="auto"/>
                      <w:lang w:val="en-US" w:eastAsia="zh-CN"/>
                    </w:rPr>
                    <w:t>24</w:t>
                  </w:r>
                  <w:bookmarkEnd w:id="785"/>
                  <w:bookmarkEnd w:id="786"/>
                  <w:bookmarkEnd w:id="787"/>
                  <w:bookmarkEnd w:id="788"/>
                  <w:bookmarkEnd w:id="789"/>
                  <w:bookmarkEnd w:id="790"/>
                </w:p>
              </w:tc>
              <w:tc>
                <w:tcPr>
                  <w:tcW w:w="435" w:type="pct"/>
                  <w:tcBorders>
                    <w:tl2br w:val="nil"/>
                    <w:tr2bl w:val="nil"/>
                  </w:tcBorders>
                  <w:noWrap w:val="0"/>
                  <w:vAlign w:val="center"/>
                </w:tcPr>
                <w:p w14:paraId="0CDF66C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91" w:name="_Toc10785"/>
                  <w:bookmarkStart w:id="792" w:name="_Toc26241"/>
                  <w:bookmarkStart w:id="793" w:name="_Toc24620"/>
                  <w:bookmarkStart w:id="794" w:name="_Toc29590"/>
                  <w:bookmarkStart w:id="795" w:name="_Toc16477"/>
                  <w:bookmarkStart w:id="796" w:name="_Toc15041"/>
                  <w:r>
                    <w:rPr>
                      <w:rFonts w:hint="eastAsia" w:cs="Times New Roman"/>
                      <w:color w:val="auto"/>
                      <w:sz w:val="21"/>
                      <w:szCs w:val="21"/>
                      <w:u w:val="single" w:color="auto"/>
                      <w:lang w:val="en-US" w:eastAsia="zh-CN"/>
                    </w:rPr>
                    <w:t>100</w:t>
                  </w:r>
                  <w:bookmarkEnd w:id="791"/>
                  <w:bookmarkEnd w:id="792"/>
                  <w:bookmarkEnd w:id="793"/>
                  <w:bookmarkEnd w:id="794"/>
                  <w:bookmarkEnd w:id="795"/>
                  <w:bookmarkEnd w:id="796"/>
                </w:p>
              </w:tc>
              <w:tc>
                <w:tcPr>
                  <w:tcW w:w="420" w:type="pct"/>
                  <w:tcBorders>
                    <w:tl2br w:val="nil"/>
                    <w:tr2bl w:val="nil"/>
                  </w:tcBorders>
                  <w:noWrap w:val="0"/>
                  <w:vAlign w:val="center"/>
                </w:tcPr>
                <w:p w14:paraId="622D2AA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797" w:name="_Toc18198"/>
                  <w:bookmarkStart w:id="798" w:name="_Toc15626"/>
                  <w:bookmarkStart w:id="799" w:name="_Toc4452"/>
                  <w:bookmarkStart w:id="800" w:name="_Toc25067"/>
                  <w:bookmarkStart w:id="801" w:name="_Toc1674"/>
                  <w:bookmarkStart w:id="802" w:name="_Toc24148"/>
                  <w:r>
                    <w:rPr>
                      <w:rFonts w:hint="eastAsia" w:cs="Times New Roman"/>
                      <w:color w:val="auto"/>
                      <w:sz w:val="21"/>
                      <w:szCs w:val="21"/>
                      <w:u w:val="single" w:color="auto"/>
                      <w:lang w:val="en-US" w:eastAsia="zh-CN"/>
                    </w:rPr>
                    <w:t>24</w:t>
                  </w:r>
                  <w:bookmarkEnd w:id="797"/>
                  <w:bookmarkEnd w:id="798"/>
                  <w:bookmarkEnd w:id="799"/>
                  <w:bookmarkEnd w:id="800"/>
                  <w:bookmarkEnd w:id="801"/>
                  <w:bookmarkEnd w:id="802"/>
                </w:p>
              </w:tc>
              <w:tc>
                <w:tcPr>
                  <w:tcW w:w="410" w:type="pct"/>
                  <w:tcBorders>
                    <w:tl2br w:val="nil"/>
                    <w:tr2bl w:val="nil"/>
                  </w:tcBorders>
                  <w:noWrap w:val="0"/>
                  <w:vAlign w:val="center"/>
                </w:tcPr>
                <w:p w14:paraId="43DE9E2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03" w:name="_Toc12485"/>
                  <w:bookmarkStart w:id="804" w:name="_Toc18606"/>
                  <w:bookmarkStart w:id="805" w:name="_Toc1861"/>
                  <w:bookmarkStart w:id="806" w:name="_Toc24044"/>
                  <w:bookmarkStart w:id="807" w:name="_Toc26723"/>
                  <w:bookmarkStart w:id="808" w:name="_Toc28829"/>
                  <w:r>
                    <w:rPr>
                      <w:rFonts w:hint="eastAsia" w:cs="Times New Roman"/>
                      <w:color w:val="auto"/>
                      <w:sz w:val="21"/>
                      <w:szCs w:val="21"/>
                      <w:u w:val="single" w:color="auto"/>
                      <w:lang w:val="en-US" w:eastAsia="zh-CN"/>
                    </w:rPr>
                    <w:t>96</w:t>
                  </w:r>
                  <w:bookmarkEnd w:id="803"/>
                  <w:bookmarkEnd w:id="804"/>
                  <w:bookmarkEnd w:id="805"/>
                  <w:bookmarkEnd w:id="806"/>
                  <w:bookmarkEnd w:id="807"/>
                  <w:bookmarkEnd w:id="808"/>
                </w:p>
              </w:tc>
            </w:tr>
            <w:tr w14:paraId="5136B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5697ECE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09" w:name="_Toc11142"/>
                  <w:bookmarkStart w:id="810" w:name="_Toc22222"/>
                  <w:bookmarkStart w:id="811" w:name="_Toc4161"/>
                  <w:bookmarkStart w:id="812" w:name="_Toc19584"/>
                  <w:bookmarkStart w:id="813" w:name="_Toc7796"/>
                  <w:bookmarkStart w:id="814" w:name="_Toc22651"/>
                  <w:r>
                    <w:rPr>
                      <w:rFonts w:hint="eastAsia" w:cs="Times New Roman"/>
                      <w:color w:val="auto"/>
                      <w:sz w:val="21"/>
                      <w:szCs w:val="21"/>
                      <w:u w:val="single" w:color="auto"/>
                      <w:lang w:val="en-US" w:eastAsia="zh-CN"/>
                    </w:rPr>
                    <w:t>14</w:t>
                  </w:r>
                  <w:bookmarkEnd w:id="809"/>
                  <w:bookmarkEnd w:id="810"/>
                  <w:bookmarkEnd w:id="811"/>
                  <w:bookmarkEnd w:id="812"/>
                  <w:bookmarkEnd w:id="813"/>
                  <w:bookmarkEnd w:id="814"/>
                </w:p>
              </w:tc>
              <w:tc>
                <w:tcPr>
                  <w:tcW w:w="496" w:type="pct"/>
                  <w:tcBorders>
                    <w:tl2br w:val="nil"/>
                    <w:tr2bl w:val="nil"/>
                  </w:tcBorders>
                  <w:noWrap w:val="0"/>
                  <w:vAlign w:val="center"/>
                </w:tcPr>
                <w:p w14:paraId="37E26D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牛叫</w:t>
                  </w:r>
                </w:p>
              </w:tc>
              <w:tc>
                <w:tcPr>
                  <w:tcW w:w="370" w:type="pct"/>
                  <w:tcBorders>
                    <w:tl2br w:val="nil"/>
                    <w:tr2bl w:val="nil"/>
                  </w:tcBorders>
                  <w:noWrap w:val="0"/>
                  <w:vAlign w:val="center"/>
                </w:tcPr>
                <w:p w14:paraId="426CCF0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80</w:t>
                  </w:r>
                </w:p>
              </w:tc>
              <w:tc>
                <w:tcPr>
                  <w:tcW w:w="196" w:type="pct"/>
                  <w:tcBorders>
                    <w:tl2br w:val="nil"/>
                    <w:tr2bl w:val="nil"/>
                  </w:tcBorders>
                  <w:noWrap w:val="0"/>
                  <w:vAlign w:val="center"/>
                </w:tcPr>
                <w:p w14:paraId="19145CF6">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15" w:name="_Toc14678"/>
                  <w:bookmarkStart w:id="816" w:name="_Toc22346"/>
                  <w:bookmarkStart w:id="817" w:name="_Toc12188"/>
                  <w:bookmarkStart w:id="818" w:name="_Toc2983"/>
                  <w:bookmarkStart w:id="819" w:name="_Toc27198"/>
                  <w:bookmarkStart w:id="820" w:name="_Toc31329"/>
                  <w:r>
                    <w:rPr>
                      <w:rFonts w:hint="eastAsia" w:cs="Times New Roman"/>
                      <w:color w:val="auto"/>
                      <w:sz w:val="21"/>
                      <w:szCs w:val="21"/>
                      <w:u w:val="single" w:color="auto"/>
                      <w:lang w:val="en-US" w:eastAsia="zh-CN"/>
                    </w:rPr>
                    <w:t>/</w:t>
                  </w:r>
                  <w:bookmarkEnd w:id="815"/>
                  <w:bookmarkEnd w:id="816"/>
                  <w:bookmarkEnd w:id="817"/>
                  <w:bookmarkEnd w:id="818"/>
                  <w:bookmarkEnd w:id="819"/>
                  <w:bookmarkEnd w:id="820"/>
                </w:p>
              </w:tc>
              <w:tc>
                <w:tcPr>
                  <w:tcW w:w="1224" w:type="dxa"/>
                  <w:tcBorders>
                    <w:tl2br w:val="nil"/>
                    <w:tr2bl w:val="nil"/>
                  </w:tcBorders>
                  <w:noWrap w:val="0"/>
                  <w:vAlign w:val="center"/>
                </w:tcPr>
                <w:p w14:paraId="52DDB35D">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26308044">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537" w:type="dxa"/>
                  <w:tcBorders>
                    <w:tl2br w:val="nil"/>
                    <w:tr2bl w:val="nil"/>
                  </w:tcBorders>
                  <w:noWrap w:val="0"/>
                  <w:vAlign w:val="center"/>
                </w:tcPr>
                <w:p w14:paraId="645BD8B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21" w:name="_Toc17288"/>
                  <w:bookmarkStart w:id="822" w:name="_Toc31377"/>
                  <w:bookmarkStart w:id="823" w:name="_Toc12904"/>
                  <w:bookmarkStart w:id="824" w:name="_Toc16054"/>
                  <w:bookmarkStart w:id="825" w:name="_Toc7773"/>
                  <w:bookmarkStart w:id="826" w:name="_Toc27277"/>
                  <w:r>
                    <w:rPr>
                      <w:rFonts w:hint="eastAsia" w:cs="Times New Roman"/>
                      <w:color w:val="auto"/>
                      <w:sz w:val="21"/>
                      <w:szCs w:val="21"/>
                      <w:u w:val="single" w:color="auto"/>
                      <w:lang w:val="en-US" w:eastAsia="zh-CN"/>
                    </w:rPr>
                    <w:t>65</w:t>
                  </w:r>
                  <w:bookmarkEnd w:id="821"/>
                  <w:bookmarkEnd w:id="822"/>
                  <w:bookmarkEnd w:id="823"/>
                  <w:bookmarkEnd w:id="824"/>
                  <w:bookmarkEnd w:id="825"/>
                  <w:bookmarkEnd w:id="826"/>
                </w:p>
              </w:tc>
              <w:tc>
                <w:tcPr>
                  <w:tcW w:w="563" w:type="dxa"/>
                  <w:tcBorders>
                    <w:tl2br w:val="nil"/>
                    <w:tr2bl w:val="nil"/>
                  </w:tcBorders>
                  <w:noWrap w:val="0"/>
                  <w:vAlign w:val="center"/>
                </w:tcPr>
                <w:p w14:paraId="07B0B73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27" w:name="_Toc5352"/>
                  <w:bookmarkStart w:id="828" w:name="_Toc916"/>
                  <w:bookmarkStart w:id="829" w:name="_Toc2584"/>
                  <w:bookmarkStart w:id="830" w:name="_Toc15579"/>
                  <w:bookmarkStart w:id="831" w:name="_Toc19147"/>
                  <w:bookmarkStart w:id="832" w:name="_Toc30350"/>
                  <w:r>
                    <w:rPr>
                      <w:rFonts w:hint="eastAsia" w:cs="Times New Roman"/>
                      <w:color w:val="auto"/>
                      <w:sz w:val="21"/>
                      <w:szCs w:val="21"/>
                      <w:u w:val="single" w:color="auto"/>
                      <w:lang w:val="en-US" w:eastAsia="zh-CN"/>
                    </w:rPr>
                    <w:t>38</w:t>
                  </w:r>
                  <w:bookmarkEnd w:id="827"/>
                  <w:bookmarkEnd w:id="828"/>
                  <w:bookmarkEnd w:id="829"/>
                  <w:bookmarkEnd w:id="830"/>
                  <w:bookmarkEnd w:id="831"/>
                  <w:bookmarkEnd w:id="832"/>
                </w:p>
              </w:tc>
              <w:tc>
                <w:tcPr>
                  <w:tcW w:w="500" w:type="dxa"/>
                  <w:tcBorders>
                    <w:tl2br w:val="nil"/>
                    <w:tr2bl w:val="nil"/>
                  </w:tcBorders>
                  <w:noWrap w:val="0"/>
                  <w:vAlign w:val="center"/>
                </w:tcPr>
                <w:p w14:paraId="6E2A180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33" w:name="_Toc9377"/>
                  <w:bookmarkStart w:id="834" w:name="_Toc7999"/>
                  <w:bookmarkStart w:id="835" w:name="_Toc6839"/>
                  <w:bookmarkStart w:id="836" w:name="_Toc29620"/>
                  <w:bookmarkStart w:id="837" w:name="_Toc4077"/>
                  <w:bookmarkStart w:id="838" w:name="_Toc4973"/>
                  <w:r>
                    <w:rPr>
                      <w:rFonts w:hint="eastAsia" w:cs="Times New Roman"/>
                      <w:color w:val="auto"/>
                      <w:sz w:val="21"/>
                      <w:szCs w:val="21"/>
                      <w:u w:val="single" w:color="auto"/>
                      <w:lang w:val="en-US" w:eastAsia="zh-CN"/>
                    </w:rPr>
                    <w:t>20</w:t>
                  </w:r>
                  <w:bookmarkEnd w:id="833"/>
                  <w:bookmarkEnd w:id="834"/>
                  <w:bookmarkEnd w:id="835"/>
                  <w:bookmarkEnd w:id="836"/>
                  <w:bookmarkEnd w:id="837"/>
                  <w:bookmarkEnd w:id="838"/>
                </w:p>
              </w:tc>
              <w:tc>
                <w:tcPr>
                  <w:tcW w:w="340" w:type="pct"/>
                  <w:tcBorders>
                    <w:tl2br w:val="nil"/>
                    <w:tr2bl w:val="nil"/>
                  </w:tcBorders>
                  <w:noWrap w:val="0"/>
                  <w:vAlign w:val="center"/>
                </w:tcPr>
                <w:p w14:paraId="35DCC94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39" w:name="_Toc5926"/>
                  <w:bookmarkStart w:id="840" w:name="_Toc22327"/>
                  <w:bookmarkStart w:id="841" w:name="_Toc13802"/>
                  <w:bookmarkStart w:id="842" w:name="_Toc22604"/>
                  <w:bookmarkStart w:id="843" w:name="_Toc32403"/>
                  <w:bookmarkStart w:id="844" w:name="_Toc44"/>
                  <w:r>
                    <w:rPr>
                      <w:rFonts w:hint="eastAsia" w:cs="Times New Roman"/>
                      <w:color w:val="auto"/>
                      <w:sz w:val="21"/>
                      <w:szCs w:val="21"/>
                      <w:u w:val="single" w:color="auto"/>
                      <w:lang w:val="en-US" w:eastAsia="zh-CN"/>
                    </w:rPr>
                    <w:t>22</w:t>
                  </w:r>
                  <w:bookmarkEnd w:id="839"/>
                  <w:bookmarkEnd w:id="840"/>
                  <w:bookmarkEnd w:id="841"/>
                  <w:bookmarkEnd w:id="842"/>
                  <w:bookmarkEnd w:id="843"/>
                  <w:bookmarkEnd w:id="844"/>
                </w:p>
              </w:tc>
              <w:tc>
                <w:tcPr>
                  <w:tcW w:w="750" w:type="dxa"/>
                  <w:tcBorders>
                    <w:tl2br w:val="nil"/>
                    <w:tr2bl w:val="nil"/>
                  </w:tcBorders>
                  <w:noWrap w:val="0"/>
                  <w:vAlign w:val="center"/>
                </w:tcPr>
                <w:p w14:paraId="20B245D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45" w:name="_Toc32498"/>
                  <w:bookmarkStart w:id="846" w:name="_Toc17384"/>
                  <w:bookmarkStart w:id="847" w:name="_Toc20270"/>
                  <w:bookmarkStart w:id="848" w:name="_Toc6658"/>
                  <w:bookmarkStart w:id="849" w:name="_Toc3005"/>
                  <w:bookmarkStart w:id="850" w:name="_Toc26125"/>
                  <w:r>
                    <w:rPr>
                      <w:rFonts w:hint="eastAsia" w:cs="Times New Roman"/>
                      <w:color w:val="auto"/>
                      <w:sz w:val="21"/>
                      <w:szCs w:val="21"/>
                      <w:u w:val="single" w:color="auto"/>
                      <w:lang w:val="en-US" w:eastAsia="zh-CN"/>
                    </w:rPr>
                    <w:t>100</w:t>
                  </w:r>
                  <w:bookmarkEnd w:id="845"/>
                  <w:bookmarkEnd w:id="846"/>
                  <w:bookmarkEnd w:id="847"/>
                  <w:bookmarkEnd w:id="848"/>
                  <w:bookmarkEnd w:id="849"/>
                  <w:bookmarkEnd w:id="850"/>
                </w:p>
              </w:tc>
              <w:tc>
                <w:tcPr>
                  <w:tcW w:w="725" w:type="dxa"/>
                  <w:tcBorders>
                    <w:tl2br w:val="nil"/>
                    <w:tr2bl w:val="nil"/>
                  </w:tcBorders>
                  <w:noWrap w:val="0"/>
                  <w:vAlign w:val="center"/>
                </w:tcPr>
                <w:p w14:paraId="04F071E9">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51" w:name="_Toc4841"/>
                  <w:bookmarkStart w:id="852" w:name="_Toc5130"/>
                  <w:bookmarkStart w:id="853" w:name="_Toc29895"/>
                  <w:bookmarkStart w:id="854" w:name="_Toc23737"/>
                  <w:bookmarkStart w:id="855" w:name="_Toc13160"/>
                  <w:bookmarkStart w:id="856" w:name="_Toc21079"/>
                  <w:r>
                    <w:rPr>
                      <w:rFonts w:hint="eastAsia" w:cs="Times New Roman"/>
                      <w:color w:val="auto"/>
                      <w:sz w:val="21"/>
                      <w:szCs w:val="21"/>
                      <w:u w:val="single" w:color="auto"/>
                      <w:lang w:val="en-US" w:eastAsia="zh-CN"/>
                    </w:rPr>
                    <w:t>24</w:t>
                  </w:r>
                  <w:bookmarkEnd w:id="851"/>
                  <w:bookmarkEnd w:id="852"/>
                  <w:bookmarkEnd w:id="853"/>
                  <w:bookmarkEnd w:id="854"/>
                  <w:bookmarkEnd w:id="855"/>
                  <w:bookmarkEnd w:id="856"/>
                </w:p>
              </w:tc>
              <w:tc>
                <w:tcPr>
                  <w:tcW w:w="707" w:type="dxa"/>
                  <w:tcBorders>
                    <w:tl2br w:val="nil"/>
                    <w:tr2bl w:val="nil"/>
                  </w:tcBorders>
                  <w:noWrap w:val="0"/>
                  <w:vAlign w:val="center"/>
                </w:tcPr>
                <w:p w14:paraId="7E2D440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57" w:name="_Toc32343"/>
                  <w:bookmarkStart w:id="858" w:name="_Toc3304"/>
                  <w:bookmarkStart w:id="859" w:name="_Toc29614"/>
                  <w:bookmarkStart w:id="860" w:name="_Toc15196"/>
                  <w:bookmarkStart w:id="861" w:name="_Toc6724"/>
                  <w:bookmarkStart w:id="862" w:name="_Toc31354"/>
                  <w:r>
                    <w:rPr>
                      <w:rFonts w:hint="eastAsia" w:cs="Times New Roman"/>
                      <w:color w:val="auto"/>
                      <w:sz w:val="21"/>
                      <w:szCs w:val="21"/>
                      <w:u w:val="single" w:color="auto"/>
                      <w:lang w:val="en-US" w:eastAsia="zh-CN"/>
                    </w:rPr>
                    <w:t>96</w:t>
                  </w:r>
                  <w:bookmarkEnd w:id="857"/>
                  <w:bookmarkEnd w:id="858"/>
                  <w:bookmarkEnd w:id="859"/>
                  <w:bookmarkEnd w:id="860"/>
                  <w:bookmarkEnd w:id="861"/>
                  <w:bookmarkEnd w:id="862"/>
                </w:p>
              </w:tc>
            </w:tr>
            <w:tr w14:paraId="60E3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27BF212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63" w:name="_Toc7247"/>
                  <w:bookmarkStart w:id="864" w:name="_Toc17924"/>
                  <w:bookmarkStart w:id="865" w:name="_Toc31381"/>
                  <w:bookmarkStart w:id="866" w:name="_Toc6289"/>
                  <w:bookmarkStart w:id="867" w:name="_Toc32660"/>
                  <w:bookmarkStart w:id="868" w:name="_Toc7293"/>
                  <w:r>
                    <w:rPr>
                      <w:rFonts w:hint="eastAsia" w:cs="Times New Roman"/>
                      <w:color w:val="auto"/>
                      <w:sz w:val="21"/>
                      <w:szCs w:val="21"/>
                      <w:u w:val="single" w:color="auto"/>
                      <w:lang w:val="en-US" w:eastAsia="zh-CN"/>
                    </w:rPr>
                    <w:t>15</w:t>
                  </w:r>
                  <w:bookmarkEnd w:id="863"/>
                  <w:bookmarkEnd w:id="864"/>
                  <w:bookmarkEnd w:id="865"/>
                  <w:bookmarkEnd w:id="866"/>
                  <w:bookmarkEnd w:id="867"/>
                  <w:bookmarkEnd w:id="868"/>
                </w:p>
              </w:tc>
              <w:tc>
                <w:tcPr>
                  <w:tcW w:w="496" w:type="pct"/>
                  <w:tcBorders>
                    <w:tl2br w:val="nil"/>
                    <w:tr2bl w:val="nil"/>
                  </w:tcBorders>
                  <w:noWrap w:val="0"/>
                  <w:vAlign w:val="center"/>
                </w:tcPr>
                <w:p w14:paraId="190A8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鸡叫</w:t>
                  </w:r>
                </w:p>
              </w:tc>
              <w:tc>
                <w:tcPr>
                  <w:tcW w:w="370" w:type="pct"/>
                  <w:tcBorders>
                    <w:tl2br w:val="nil"/>
                    <w:tr2bl w:val="nil"/>
                  </w:tcBorders>
                  <w:noWrap w:val="0"/>
                  <w:vAlign w:val="center"/>
                </w:tcPr>
                <w:p w14:paraId="3657CD4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w:t>
                  </w:r>
                </w:p>
              </w:tc>
              <w:tc>
                <w:tcPr>
                  <w:tcW w:w="196" w:type="pct"/>
                  <w:tcBorders>
                    <w:tl2br w:val="nil"/>
                    <w:tr2bl w:val="nil"/>
                  </w:tcBorders>
                  <w:noWrap w:val="0"/>
                  <w:vAlign w:val="center"/>
                </w:tcPr>
                <w:p w14:paraId="33CD920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69" w:name="_Toc18185"/>
                  <w:bookmarkStart w:id="870" w:name="_Toc11219"/>
                  <w:bookmarkStart w:id="871" w:name="_Toc31874"/>
                  <w:bookmarkStart w:id="872" w:name="_Toc31890"/>
                  <w:bookmarkStart w:id="873" w:name="_Toc26718"/>
                  <w:bookmarkStart w:id="874" w:name="_Toc7782"/>
                  <w:r>
                    <w:rPr>
                      <w:rFonts w:hint="eastAsia" w:cs="Times New Roman"/>
                      <w:color w:val="auto"/>
                      <w:sz w:val="21"/>
                      <w:szCs w:val="21"/>
                      <w:u w:val="single" w:color="auto"/>
                      <w:lang w:val="en-US" w:eastAsia="zh-CN"/>
                    </w:rPr>
                    <w:t>/</w:t>
                  </w:r>
                  <w:bookmarkEnd w:id="869"/>
                  <w:bookmarkEnd w:id="870"/>
                  <w:bookmarkEnd w:id="871"/>
                  <w:bookmarkEnd w:id="872"/>
                  <w:bookmarkEnd w:id="873"/>
                  <w:bookmarkEnd w:id="874"/>
                </w:p>
              </w:tc>
              <w:tc>
                <w:tcPr>
                  <w:tcW w:w="1224" w:type="dxa"/>
                  <w:tcBorders>
                    <w:tl2br w:val="nil"/>
                    <w:tr2bl w:val="nil"/>
                  </w:tcBorders>
                  <w:noWrap w:val="0"/>
                  <w:vAlign w:val="center"/>
                </w:tcPr>
                <w:p w14:paraId="165AEA60">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7BA94FBB">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537" w:type="dxa"/>
                  <w:tcBorders>
                    <w:tl2br w:val="nil"/>
                    <w:tr2bl w:val="nil"/>
                  </w:tcBorders>
                  <w:noWrap w:val="0"/>
                  <w:vAlign w:val="center"/>
                </w:tcPr>
                <w:p w14:paraId="14A81A9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75" w:name="_Toc26822"/>
                  <w:bookmarkStart w:id="876" w:name="_Toc22970"/>
                  <w:bookmarkStart w:id="877" w:name="_Toc23897"/>
                  <w:bookmarkStart w:id="878" w:name="_Toc17950"/>
                  <w:bookmarkStart w:id="879" w:name="_Toc932"/>
                  <w:bookmarkStart w:id="880" w:name="_Toc19097"/>
                  <w:r>
                    <w:rPr>
                      <w:rFonts w:hint="eastAsia" w:cs="Times New Roman"/>
                      <w:color w:val="auto"/>
                      <w:sz w:val="21"/>
                      <w:szCs w:val="21"/>
                      <w:u w:val="single" w:color="auto"/>
                      <w:lang w:val="en-US" w:eastAsia="zh-CN"/>
                    </w:rPr>
                    <w:t>65</w:t>
                  </w:r>
                  <w:bookmarkEnd w:id="875"/>
                  <w:bookmarkEnd w:id="876"/>
                  <w:bookmarkEnd w:id="877"/>
                  <w:bookmarkEnd w:id="878"/>
                  <w:bookmarkEnd w:id="879"/>
                  <w:bookmarkEnd w:id="880"/>
                </w:p>
              </w:tc>
              <w:tc>
                <w:tcPr>
                  <w:tcW w:w="563" w:type="dxa"/>
                  <w:tcBorders>
                    <w:tl2br w:val="nil"/>
                    <w:tr2bl w:val="nil"/>
                  </w:tcBorders>
                  <w:noWrap w:val="0"/>
                  <w:vAlign w:val="center"/>
                </w:tcPr>
                <w:p w14:paraId="737219B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81" w:name="_Toc11655"/>
                  <w:bookmarkStart w:id="882" w:name="_Toc22352"/>
                  <w:bookmarkStart w:id="883" w:name="_Toc23613"/>
                  <w:bookmarkStart w:id="884" w:name="_Toc31925"/>
                  <w:bookmarkStart w:id="885" w:name="_Toc25566"/>
                  <w:bookmarkStart w:id="886" w:name="_Toc7144"/>
                  <w:r>
                    <w:rPr>
                      <w:rFonts w:hint="eastAsia" w:cs="Times New Roman"/>
                      <w:color w:val="auto"/>
                      <w:sz w:val="21"/>
                      <w:szCs w:val="21"/>
                      <w:u w:val="single" w:color="auto"/>
                      <w:lang w:val="en-US" w:eastAsia="zh-CN"/>
                    </w:rPr>
                    <w:t>40</w:t>
                  </w:r>
                  <w:bookmarkEnd w:id="881"/>
                  <w:bookmarkEnd w:id="882"/>
                  <w:bookmarkEnd w:id="883"/>
                  <w:bookmarkEnd w:id="884"/>
                  <w:bookmarkEnd w:id="885"/>
                  <w:bookmarkEnd w:id="886"/>
                </w:p>
              </w:tc>
              <w:tc>
                <w:tcPr>
                  <w:tcW w:w="500" w:type="dxa"/>
                  <w:tcBorders>
                    <w:tl2br w:val="nil"/>
                    <w:tr2bl w:val="nil"/>
                  </w:tcBorders>
                  <w:noWrap w:val="0"/>
                  <w:vAlign w:val="center"/>
                </w:tcPr>
                <w:p w14:paraId="10AA7A5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87" w:name="_Toc3361"/>
                  <w:bookmarkStart w:id="888" w:name="_Toc4395"/>
                  <w:bookmarkStart w:id="889" w:name="_Toc5044"/>
                  <w:bookmarkStart w:id="890" w:name="_Toc18465"/>
                  <w:bookmarkStart w:id="891" w:name="_Toc13409"/>
                  <w:bookmarkStart w:id="892" w:name="_Toc4813"/>
                  <w:r>
                    <w:rPr>
                      <w:rFonts w:hint="eastAsia" w:cs="Times New Roman"/>
                      <w:color w:val="auto"/>
                      <w:sz w:val="21"/>
                      <w:szCs w:val="21"/>
                      <w:u w:val="single" w:color="auto"/>
                      <w:lang w:val="en-US" w:eastAsia="zh-CN"/>
                    </w:rPr>
                    <w:t>20</w:t>
                  </w:r>
                  <w:bookmarkEnd w:id="887"/>
                  <w:bookmarkEnd w:id="888"/>
                  <w:bookmarkEnd w:id="889"/>
                  <w:bookmarkEnd w:id="890"/>
                  <w:bookmarkEnd w:id="891"/>
                  <w:bookmarkEnd w:id="892"/>
                </w:p>
              </w:tc>
              <w:tc>
                <w:tcPr>
                  <w:tcW w:w="340" w:type="pct"/>
                  <w:tcBorders>
                    <w:tl2br w:val="nil"/>
                    <w:tr2bl w:val="nil"/>
                  </w:tcBorders>
                  <w:noWrap w:val="0"/>
                  <w:vAlign w:val="center"/>
                </w:tcPr>
                <w:p w14:paraId="402AD26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893" w:name="_Toc261"/>
                  <w:bookmarkStart w:id="894" w:name="_Toc21763"/>
                  <w:bookmarkStart w:id="895" w:name="_Toc28451"/>
                  <w:bookmarkStart w:id="896" w:name="_Toc27333"/>
                  <w:bookmarkStart w:id="897" w:name="_Toc20304"/>
                  <w:bookmarkStart w:id="898" w:name="_Toc31548"/>
                  <w:r>
                    <w:rPr>
                      <w:rFonts w:hint="eastAsia" w:cs="Times New Roman"/>
                      <w:color w:val="auto"/>
                      <w:sz w:val="21"/>
                      <w:szCs w:val="21"/>
                      <w:u w:val="single" w:color="auto"/>
                      <w:lang w:val="en-US" w:eastAsia="zh-CN"/>
                    </w:rPr>
                    <w:t>20</w:t>
                  </w:r>
                  <w:bookmarkEnd w:id="893"/>
                  <w:bookmarkEnd w:id="894"/>
                  <w:bookmarkEnd w:id="895"/>
                  <w:bookmarkEnd w:id="896"/>
                  <w:bookmarkEnd w:id="897"/>
                  <w:bookmarkEnd w:id="898"/>
                </w:p>
              </w:tc>
              <w:tc>
                <w:tcPr>
                  <w:tcW w:w="750" w:type="dxa"/>
                  <w:tcBorders>
                    <w:tl2br w:val="nil"/>
                    <w:tr2bl w:val="nil"/>
                  </w:tcBorders>
                  <w:noWrap w:val="0"/>
                  <w:vAlign w:val="center"/>
                </w:tcPr>
                <w:p w14:paraId="647D56E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899" w:name="_Toc12682"/>
                  <w:bookmarkStart w:id="900" w:name="_Toc15536"/>
                  <w:bookmarkStart w:id="901" w:name="_Toc15392"/>
                  <w:bookmarkStart w:id="902" w:name="_Toc25109"/>
                  <w:bookmarkStart w:id="903" w:name="_Toc29728"/>
                  <w:bookmarkStart w:id="904" w:name="_Toc5491"/>
                  <w:r>
                    <w:rPr>
                      <w:rFonts w:hint="eastAsia" w:cs="Times New Roman"/>
                      <w:color w:val="auto"/>
                      <w:sz w:val="21"/>
                      <w:szCs w:val="21"/>
                      <w:u w:val="single" w:color="auto"/>
                      <w:lang w:val="en-US" w:eastAsia="zh-CN"/>
                    </w:rPr>
                    <w:t>100</w:t>
                  </w:r>
                  <w:bookmarkEnd w:id="899"/>
                  <w:bookmarkEnd w:id="900"/>
                  <w:bookmarkEnd w:id="901"/>
                  <w:bookmarkEnd w:id="902"/>
                  <w:bookmarkEnd w:id="903"/>
                  <w:bookmarkEnd w:id="904"/>
                </w:p>
              </w:tc>
              <w:tc>
                <w:tcPr>
                  <w:tcW w:w="725" w:type="dxa"/>
                  <w:tcBorders>
                    <w:tl2br w:val="nil"/>
                    <w:tr2bl w:val="nil"/>
                  </w:tcBorders>
                  <w:noWrap w:val="0"/>
                  <w:vAlign w:val="center"/>
                </w:tcPr>
                <w:p w14:paraId="6FC05C2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05" w:name="_Toc17423"/>
                  <w:bookmarkStart w:id="906" w:name="_Toc22077"/>
                  <w:bookmarkStart w:id="907" w:name="_Toc10365"/>
                  <w:bookmarkStart w:id="908" w:name="_Toc2283"/>
                  <w:bookmarkStart w:id="909" w:name="_Toc8105"/>
                  <w:bookmarkStart w:id="910" w:name="_Toc9687"/>
                  <w:r>
                    <w:rPr>
                      <w:rFonts w:hint="eastAsia" w:cs="Times New Roman"/>
                      <w:color w:val="auto"/>
                      <w:sz w:val="21"/>
                      <w:szCs w:val="21"/>
                      <w:u w:val="single" w:color="auto"/>
                      <w:lang w:val="en-US" w:eastAsia="zh-CN"/>
                    </w:rPr>
                    <w:t>24</w:t>
                  </w:r>
                  <w:bookmarkEnd w:id="905"/>
                  <w:bookmarkEnd w:id="906"/>
                  <w:bookmarkEnd w:id="907"/>
                  <w:bookmarkEnd w:id="908"/>
                  <w:bookmarkEnd w:id="909"/>
                  <w:bookmarkEnd w:id="910"/>
                </w:p>
              </w:tc>
              <w:tc>
                <w:tcPr>
                  <w:tcW w:w="707" w:type="dxa"/>
                  <w:tcBorders>
                    <w:tl2br w:val="nil"/>
                    <w:tr2bl w:val="nil"/>
                  </w:tcBorders>
                  <w:noWrap w:val="0"/>
                  <w:vAlign w:val="center"/>
                </w:tcPr>
                <w:p w14:paraId="252A9E0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11" w:name="_Toc7673"/>
                  <w:bookmarkStart w:id="912" w:name="_Toc25329"/>
                  <w:bookmarkStart w:id="913" w:name="_Toc26719"/>
                  <w:bookmarkStart w:id="914" w:name="_Toc18154"/>
                  <w:bookmarkStart w:id="915" w:name="_Toc20346"/>
                  <w:bookmarkStart w:id="916" w:name="_Toc19989"/>
                  <w:r>
                    <w:rPr>
                      <w:rFonts w:hint="eastAsia" w:cs="Times New Roman"/>
                      <w:color w:val="auto"/>
                      <w:sz w:val="21"/>
                      <w:szCs w:val="21"/>
                      <w:u w:val="single" w:color="auto"/>
                      <w:lang w:val="en-US" w:eastAsia="zh-CN"/>
                    </w:rPr>
                    <w:t>96</w:t>
                  </w:r>
                  <w:bookmarkEnd w:id="911"/>
                  <w:bookmarkEnd w:id="912"/>
                  <w:bookmarkEnd w:id="913"/>
                  <w:bookmarkEnd w:id="914"/>
                  <w:bookmarkEnd w:id="915"/>
                  <w:bookmarkEnd w:id="916"/>
                </w:p>
              </w:tc>
            </w:tr>
            <w:tr w14:paraId="245ED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285974C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917" w:name="_Toc8661"/>
                  <w:bookmarkStart w:id="918" w:name="_Toc11546"/>
                  <w:bookmarkStart w:id="919" w:name="_Toc11069"/>
                  <w:bookmarkStart w:id="920" w:name="_Toc5829"/>
                  <w:bookmarkStart w:id="921" w:name="_Toc20012"/>
                  <w:bookmarkStart w:id="922" w:name="_Toc26733"/>
                  <w:r>
                    <w:rPr>
                      <w:rFonts w:hint="eastAsia" w:cs="Times New Roman"/>
                      <w:color w:val="auto"/>
                      <w:sz w:val="21"/>
                      <w:szCs w:val="21"/>
                      <w:u w:val="single" w:color="auto"/>
                      <w:lang w:val="en-US" w:eastAsia="zh-CN"/>
                    </w:rPr>
                    <w:t>16</w:t>
                  </w:r>
                  <w:bookmarkEnd w:id="917"/>
                  <w:bookmarkEnd w:id="918"/>
                  <w:bookmarkEnd w:id="919"/>
                  <w:bookmarkEnd w:id="920"/>
                  <w:bookmarkEnd w:id="921"/>
                  <w:bookmarkEnd w:id="922"/>
                </w:p>
              </w:tc>
              <w:tc>
                <w:tcPr>
                  <w:tcW w:w="496" w:type="pct"/>
                  <w:tcBorders>
                    <w:tl2br w:val="nil"/>
                    <w:tr2bl w:val="nil"/>
                  </w:tcBorders>
                  <w:noWrap w:val="0"/>
                  <w:vAlign w:val="center"/>
                </w:tcPr>
                <w:p w14:paraId="72F57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鸭叫</w:t>
                  </w:r>
                </w:p>
              </w:tc>
              <w:tc>
                <w:tcPr>
                  <w:tcW w:w="370" w:type="pct"/>
                  <w:tcBorders>
                    <w:tl2br w:val="nil"/>
                    <w:tr2bl w:val="nil"/>
                  </w:tcBorders>
                  <w:noWrap w:val="0"/>
                  <w:vAlign w:val="center"/>
                </w:tcPr>
                <w:p w14:paraId="3213AA9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w:t>
                  </w:r>
                </w:p>
              </w:tc>
              <w:tc>
                <w:tcPr>
                  <w:tcW w:w="196" w:type="pct"/>
                  <w:tcBorders>
                    <w:tl2br w:val="nil"/>
                    <w:tr2bl w:val="nil"/>
                  </w:tcBorders>
                  <w:noWrap w:val="0"/>
                  <w:vAlign w:val="center"/>
                </w:tcPr>
                <w:p w14:paraId="642E566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923" w:name="_Toc8291"/>
                  <w:bookmarkStart w:id="924" w:name="_Toc5448"/>
                  <w:bookmarkStart w:id="925" w:name="_Toc7111"/>
                  <w:bookmarkStart w:id="926" w:name="_Toc3087"/>
                  <w:bookmarkStart w:id="927" w:name="_Toc6599"/>
                  <w:bookmarkStart w:id="928" w:name="_Toc9971"/>
                  <w:r>
                    <w:rPr>
                      <w:rFonts w:hint="eastAsia" w:cs="Times New Roman"/>
                      <w:color w:val="auto"/>
                      <w:sz w:val="21"/>
                      <w:szCs w:val="21"/>
                      <w:u w:val="single" w:color="auto"/>
                      <w:lang w:val="en-US" w:eastAsia="zh-CN"/>
                    </w:rPr>
                    <w:t>/</w:t>
                  </w:r>
                  <w:bookmarkEnd w:id="923"/>
                  <w:bookmarkEnd w:id="924"/>
                  <w:bookmarkEnd w:id="925"/>
                  <w:bookmarkEnd w:id="926"/>
                  <w:bookmarkEnd w:id="927"/>
                  <w:bookmarkEnd w:id="928"/>
                </w:p>
              </w:tc>
              <w:tc>
                <w:tcPr>
                  <w:tcW w:w="1224" w:type="dxa"/>
                  <w:tcBorders>
                    <w:tl2br w:val="nil"/>
                    <w:tr2bl w:val="nil"/>
                  </w:tcBorders>
                  <w:noWrap w:val="0"/>
                  <w:vAlign w:val="center"/>
                </w:tcPr>
                <w:p w14:paraId="60EDE8FC">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56F83CCC">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537" w:type="dxa"/>
                  <w:tcBorders>
                    <w:tl2br w:val="nil"/>
                    <w:tr2bl w:val="nil"/>
                  </w:tcBorders>
                  <w:noWrap w:val="0"/>
                  <w:vAlign w:val="center"/>
                </w:tcPr>
                <w:p w14:paraId="57796C6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29" w:name="_Toc5761"/>
                  <w:bookmarkStart w:id="930" w:name="_Toc22011"/>
                  <w:bookmarkStart w:id="931" w:name="_Toc28026"/>
                  <w:bookmarkStart w:id="932" w:name="_Toc11299"/>
                  <w:bookmarkStart w:id="933" w:name="_Toc25008"/>
                  <w:bookmarkStart w:id="934" w:name="_Toc21906"/>
                  <w:r>
                    <w:rPr>
                      <w:rFonts w:hint="eastAsia" w:cs="Times New Roman"/>
                      <w:color w:val="auto"/>
                      <w:sz w:val="21"/>
                      <w:szCs w:val="21"/>
                      <w:u w:val="single" w:color="auto"/>
                      <w:lang w:val="en-US" w:eastAsia="zh-CN"/>
                    </w:rPr>
                    <w:t>65</w:t>
                  </w:r>
                  <w:bookmarkEnd w:id="929"/>
                  <w:bookmarkEnd w:id="930"/>
                  <w:bookmarkEnd w:id="931"/>
                  <w:bookmarkEnd w:id="932"/>
                  <w:bookmarkEnd w:id="933"/>
                  <w:bookmarkEnd w:id="934"/>
                </w:p>
              </w:tc>
              <w:tc>
                <w:tcPr>
                  <w:tcW w:w="563" w:type="dxa"/>
                  <w:tcBorders>
                    <w:tl2br w:val="nil"/>
                    <w:tr2bl w:val="nil"/>
                  </w:tcBorders>
                  <w:noWrap w:val="0"/>
                  <w:vAlign w:val="center"/>
                </w:tcPr>
                <w:p w14:paraId="0B03A2A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935" w:name="_Toc29302"/>
                  <w:bookmarkStart w:id="936" w:name="_Toc19036"/>
                  <w:bookmarkStart w:id="937" w:name="_Toc17774"/>
                  <w:bookmarkStart w:id="938" w:name="_Toc12471"/>
                  <w:bookmarkStart w:id="939" w:name="_Toc16911"/>
                  <w:bookmarkStart w:id="940" w:name="_Toc20418"/>
                  <w:r>
                    <w:rPr>
                      <w:rFonts w:hint="eastAsia" w:cs="Times New Roman"/>
                      <w:color w:val="auto"/>
                      <w:sz w:val="21"/>
                      <w:szCs w:val="21"/>
                      <w:u w:val="single" w:color="auto"/>
                      <w:lang w:val="en-US" w:eastAsia="zh-CN"/>
                    </w:rPr>
                    <w:t>42</w:t>
                  </w:r>
                  <w:bookmarkEnd w:id="935"/>
                  <w:bookmarkEnd w:id="936"/>
                  <w:bookmarkEnd w:id="937"/>
                  <w:bookmarkEnd w:id="938"/>
                  <w:bookmarkEnd w:id="939"/>
                  <w:bookmarkEnd w:id="940"/>
                </w:p>
              </w:tc>
              <w:tc>
                <w:tcPr>
                  <w:tcW w:w="500" w:type="dxa"/>
                  <w:tcBorders>
                    <w:tl2br w:val="nil"/>
                    <w:tr2bl w:val="nil"/>
                  </w:tcBorders>
                  <w:noWrap w:val="0"/>
                  <w:vAlign w:val="center"/>
                </w:tcPr>
                <w:p w14:paraId="69AAA8D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41" w:name="_Toc19969"/>
                  <w:bookmarkStart w:id="942" w:name="_Toc30480"/>
                  <w:bookmarkStart w:id="943" w:name="_Toc31935"/>
                  <w:bookmarkStart w:id="944" w:name="_Toc9852"/>
                  <w:bookmarkStart w:id="945" w:name="_Toc9261"/>
                  <w:bookmarkStart w:id="946" w:name="_Toc13475"/>
                  <w:r>
                    <w:rPr>
                      <w:rFonts w:hint="eastAsia" w:cs="Times New Roman"/>
                      <w:color w:val="auto"/>
                      <w:sz w:val="21"/>
                      <w:szCs w:val="21"/>
                      <w:u w:val="single" w:color="auto"/>
                      <w:lang w:val="en-US" w:eastAsia="zh-CN"/>
                    </w:rPr>
                    <w:t>20</w:t>
                  </w:r>
                  <w:bookmarkEnd w:id="941"/>
                  <w:bookmarkEnd w:id="942"/>
                  <w:bookmarkEnd w:id="943"/>
                  <w:bookmarkEnd w:id="944"/>
                  <w:bookmarkEnd w:id="945"/>
                  <w:bookmarkEnd w:id="946"/>
                </w:p>
              </w:tc>
              <w:tc>
                <w:tcPr>
                  <w:tcW w:w="340" w:type="pct"/>
                  <w:tcBorders>
                    <w:tl2br w:val="nil"/>
                    <w:tr2bl w:val="nil"/>
                  </w:tcBorders>
                  <w:noWrap w:val="0"/>
                  <w:vAlign w:val="center"/>
                </w:tcPr>
                <w:p w14:paraId="1EBC1A46">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947" w:name="_Toc29423"/>
                  <w:bookmarkStart w:id="948" w:name="_Toc31939"/>
                  <w:bookmarkStart w:id="949" w:name="_Toc23991"/>
                  <w:bookmarkStart w:id="950" w:name="_Toc11412"/>
                  <w:bookmarkStart w:id="951" w:name="_Toc18860"/>
                  <w:bookmarkStart w:id="952" w:name="_Toc7763"/>
                  <w:r>
                    <w:rPr>
                      <w:rFonts w:hint="eastAsia" w:cs="Times New Roman"/>
                      <w:color w:val="auto"/>
                      <w:sz w:val="21"/>
                      <w:szCs w:val="21"/>
                      <w:u w:val="single" w:color="auto"/>
                      <w:lang w:val="en-US" w:eastAsia="zh-CN"/>
                    </w:rPr>
                    <w:t>18</w:t>
                  </w:r>
                  <w:bookmarkEnd w:id="947"/>
                  <w:bookmarkEnd w:id="948"/>
                  <w:bookmarkEnd w:id="949"/>
                  <w:bookmarkEnd w:id="950"/>
                  <w:bookmarkEnd w:id="951"/>
                  <w:bookmarkEnd w:id="952"/>
                </w:p>
              </w:tc>
              <w:tc>
                <w:tcPr>
                  <w:tcW w:w="750" w:type="dxa"/>
                  <w:tcBorders>
                    <w:tl2br w:val="nil"/>
                    <w:tr2bl w:val="nil"/>
                  </w:tcBorders>
                  <w:noWrap w:val="0"/>
                  <w:vAlign w:val="center"/>
                </w:tcPr>
                <w:p w14:paraId="1650442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53" w:name="_Toc7894"/>
                  <w:bookmarkStart w:id="954" w:name="_Toc14420"/>
                  <w:bookmarkStart w:id="955" w:name="_Toc20068"/>
                  <w:bookmarkStart w:id="956" w:name="_Toc21907"/>
                  <w:bookmarkStart w:id="957" w:name="_Toc31114"/>
                  <w:bookmarkStart w:id="958" w:name="_Toc24641"/>
                  <w:r>
                    <w:rPr>
                      <w:rFonts w:hint="eastAsia" w:cs="Times New Roman"/>
                      <w:color w:val="auto"/>
                      <w:sz w:val="21"/>
                      <w:szCs w:val="21"/>
                      <w:u w:val="single" w:color="auto"/>
                      <w:lang w:val="en-US" w:eastAsia="zh-CN"/>
                    </w:rPr>
                    <w:t>100</w:t>
                  </w:r>
                  <w:bookmarkEnd w:id="953"/>
                  <w:bookmarkEnd w:id="954"/>
                  <w:bookmarkEnd w:id="955"/>
                  <w:bookmarkEnd w:id="956"/>
                  <w:bookmarkEnd w:id="957"/>
                  <w:bookmarkEnd w:id="958"/>
                </w:p>
              </w:tc>
              <w:tc>
                <w:tcPr>
                  <w:tcW w:w="725" w:type="dxa"/>
                  <w:tcBorders>
                    <w:tl2br w:val="nil"/>
                    <w:tr2bl w:val="nil"/>
                  </w:tcBorders>
                  <w:noWrap w:val="0"/>
                  <w:vAlign w:val="center"/>
                </w:tcPr>
                <w:p w14:paraId="4145C2B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59" w:name="_Toc12142"/>
                  <w:bookmarkStart w:id="960" w:name="_Toc2743"/>
                  <w:bookmarkStart w:id="961" w:name="_Toc18765"/>
                  <w:bookmarkStart w:id="962" w:name="_Toc21002"/>
                  <w:bookmarkStart w:id="963" w:name="_Toc15990"/>
                  <w:bookmarkStart w:id="964" w:name="_Toc15128"/>
                  <w:r>
                    <w:rPr>
                      <w:rFonts w:hint="eastAsia" w:cs="Times New Roman"/>
                      <w:color w:val="auto"/>
                      <w:sz w:val="21"/>
                      <w:szCs w:val="21"/>
                      <w:u w:val="single" w:color="auto"/>
                      <w:lang w:val="en-US" w:eastAsia="zh-CN"/>
                    </w:rPr>
                    <w:t>24</w:t>
                  </w:r>
                  <w:bookmarkEnd w:id="959"/>
                  <w:bookmarkEnd w:id="960"/>
                  <w:bookmarkEnd w:id="961"/>
                  <w:bookmarkEnd w:id="962"/>
                  <w:bookmarkEnd w:id="963"/>
                  <w:bookmarkEnd w:id="964"/>
                </w:p>
              </w:tc>
              <w:tc>
                <w:tcPr>
                  <w:tcW w:w="707" w:type="dxa"/>
                  <w:tcBorders>
                    <w:tl2br w:val="nil"/>
                    <w:tr2bl w:val="nil"/>
                  </w:tcBorders>
                  <w:noWrap w:val="0"/>
                  <w:vAlign w:val="center"/>
                </w:tcPr>
                <w:p w14:paraId="5263D50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65" w:name="_Toc29677"/>
                  <w:bookmarkStart w:id="966" w:name="_Toc30321"/>
                  <w:bookmarkStart w:id="967" w:name="_Toc18331"/>
                  <w:bookmarkStart w:id="968" w:name="_Toc11886"/>
                  <w:bookmarkStart w:id="969" w:name="_Toc14326"/>
                  <w:bookmarkStart w:id="970" w:name="_Toc6495"/>
                  <w:r>
                    <w:rPr>
                      <w:rFonts w:hint="eastAsia" w:cs="Times New Roman"/>
                      <w:color w:val="auto"/>
                      <w:sz w:val="21"/>
                      <w:szCs w:val="21"/>
                      <w:u w:val="single" w:color="auto"/>
                      <w:lang w:val="en-US" w:eastAsia="zh-CN"/>
                    </w:rPr>
                    <w:t>96</w:t>
                  </w:r>
                  <w:bookmarkEnd w:id="965"/>
                  <w:bookmarkEnd w:id="966"/>
                  <w:bookmarkEnd w:id="967"/>
                  <w:bookmarkEnd w:id="968"/>
                  <w:bookmarkEnd w:id="969"/>
                  <w:bookmarkEnd w:id="970"/>
                </w:p>
              </w:tc>
            </w:tr>
            <w:tr w14:paraId="035C0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248" w:type="pct"/>
                  <w:tcBorders>
                    <w:tl2br w:val="nil"/>
                    <w:tr2bl w:val="nil"/>
                  </w:tcBorders>
                  <w:noWrap w:val="0"/>
                  <w:vAlign w:val="center"/>
                </w:tcPr>
                <w:p w14:paraId="26072DF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971" w:name="_Toc11631"/>
                  <w:bookmarkStart w:id="972" w:name="_Toc31522"/>
                  <w:bookmarkStart w:id="973" w:name="_Toc4022"/>
                  <w:bookmarkStart w:id="974" w:name="_Toc85"/>
                  <w:bookmarkStart w:id="975" w:name="_Toc29730"/>
                  <w:bookmarkStart w:id="976" w:name="_Toc26276"/>
                  <w:r>
                    <w:rPr>
                      <w:rFonts w:hint="eastAsia" w:cs="Times New Roman"/>
                      <w:color w:val="auto"/>
                      <w:sz w:val="21"/>
                      <w:szCs w:val="21"/>
                      <w:u w:val="single" w:color="auto"/>
                      <w:lang w:val="en-US" w:eastAsia="zh-CN"/>
                    </w:rPr>
                    <w:t>17</w:t>
                  </w:r>
                  <w:bookmarkEnd w:id="971"/>
                  <w:bookmarkEnd w:id="972"/>
                  <w:bookmarkEnd w:id="973"/>
                  <w:bookmarkEnd w:id="974"/>
                  <w:bookmarkEnd w:id="975"/>
                  <w:bookmarkEnd w:id="976"/>
                </w:p>
              </w:tc>
              <w:tc>
                <w:tcPr>
                  <w:tcW w:w="496" w:type="pct"/>
                  <w:tcBorders>
                    <w:tl2br w:val="nil"/>
                    <w:tr2bl w:val="nil"/>
                  </w:tcBorders>
                  <w:noWrap w:val="0"/>
                  <w:vAlign w:val="center"/>
                </w:tcPr>
                <w:p w14:paraId="1F984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鹅叫</w:t>
                  </w:r>
                </w:p>
              </w:tc>
              <w:tc>
                <w:tcPr>
                  <w:tcW w:w="370" w:type="pct"/>
                  <w:tcBorders>
                    <w:tl2br w:val="nil"/>
                    <w:tr2bl w:val="nil"/>
                  </w:tcBorders>
                  <w:noWrap w:val="0"/>
                  <w:vAlign w:val="center"/>
                </w:tcPr>
                <w:p w14:paraId="76D90E3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w:t>
                  </w:r>
                </w:p>
              </w:tc>
              <w:tc>
                <w:tcPr>
                  <w:tcW w:w="196" w:type="pct"/>
                  <w:tcBorders>
                    <w:tl2br w:val="nil"/>
                    <w:tr2bl w:val="nil"/>
                  </w:tcBorders>
                  <w:noWrap w:val="0"/>
                  <w:vAlign w:val="center"/>
                </w:tcPr>
                <w:p w14:paraId="69A1CE4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977" w:name="_Toc20835"/>
                  <w:bookmarkStart w:id="978" w:name="_Toc22299"/>
                  <w:bookmarkStart w:id="979" w:name="_Toc31521"/>
                  <w:bookmarkStart w:id="980" w:name="_Toc29152"/>
                  <w:bookmarkStart w:id="981" w:name="_Toc2797"/>
                  <w:bookmarkStart w:id="982" w:name="_Toc12566"/>
                  <w:r>
                    <w:rPr>
                      <w:rFonts w:hint="eastAsia" w:cs="Times New Roman"/>
                      <w:color w:val="auto"/>
                      <w:sz w:val="21"/>
                      <w:szCs w:val="21"/>
                      <w:u w:val="single" w:color="auto"/>
                      <w:lang w:val="en-US" w:eastAsia="zh-CN"/>
                    </w:rPr>
                    <w:t>/</w:t>
                  </w:r>
                  <w:bookmarkEnd w:id="977"/>
                  <w:bookmarkEnd w:id="978"/>
                  <w:bookmarkEnd w:id="979"/>
                  <w:bookmarkEnd w:id="980"/>
                  <w:bookmarkEnd w:id="981"/>
                  <w:bookmarkEnd w:id="982"/>
                </w:p>
              </w:tc>
              <w:tc>
                <w:tcPr>
                  <w:tcW w:w="1224" w:type="dxa"/>
                  <w:tcBorders>
                    <w:tl2br w:val="nil"/>
                    <w:tr2bl w:val="nil"/>
                  </w:tcBorders>
                  <w:noWrap w:val="0"/>
                  <w:vAlign w:val="center"/>
                </w:tcPr>
                <w:p w14:paraId="2B8F254A">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合理布局、</w:t>
                  </w:r>
                  <w:r>
                    <w:rPr>
                      <w:rFonts w:hint="default" w:ascii="Times New Roman" w:hAnsi="Times New Roman" w:cs="Times New Roman"/>
                      <w:color w:val="auto"/>
                      <w:sz w:val="21"/>
                      <w:szCs w:val="21"/>
                      <w:u w:val="single" w:color="auto"/>
                      <w:lang w:val="en-US" w:eastAsia="zh-CN"/>
                    </w:rPr>
                    <w:t>基础减振</w:t>
                  </w:r>
                  <w:r>
                    <w:rPr>
                      <w:rFonts w:hint="eastAsia" w:cs="Times New Roman"/>
                      <w:color w:val="auto"/>
                      <w:sz w:val="21"/>
                      <w:szCs w:val="21"/>
                      <w:u w:val="single" w:color="auto"/>
                      <w:lang w:val="en-US" w:eastAsia="zh-CN"/>
                    </w:rPr>
                    <w:t>、加高围墙</w:t>
                  </w:r>
                </w:p>
              </w:tc>
              <w:tc>
                <w:tcPr>
                  <w:tcW w:w="442" w:type="pct"/>
                  <w:tcBorders>
                    <w:tl2br w:val="nil"/>
                    <w:tr2bl w:val="nil"/>
                  </w:tcBorders>
                  <w:noWrap w:val="0"/>
                  <w:vAlign w:val="center"/>
                </w:tcPr>
                <w:p w14:paraId="2F78253D">
                  <w:pPr>
                    <w:pStyle w:val="3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0</w:t>
                  </w:r>
                </w:p>
              </w:tc>
              <w:tc>
                <w:tcPr>
                  <w:tcW w:w="537" w:type="dxa"/>
                  <w:tcBorders>
                    <w:tl2br w:val="nil"/>
                    <w:tr2bl w:val="nil"/>
                  </w:tcBorders>
                  <w:noWrap w:val="0"/>
                  <w:vAlign w:val="center"/>
                </w:tcPr>
                <w:p w14:paraId="2B442BD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83" w:name="_Toc23583"/>
                  <w:bookmarkStart w:id="984" w:name="_Toc10212"/>
                  <w:bookmarkStart w:id="985" w:name="_Toc13807"/>
                  <w:bookmarkStart w:id="986" w:name="_Toc6540"/>
                  <w:bookmarkStart w:id="987" w:name="_Toc7206"/>
                  <w:bookmarkStart w:id="988" w:name="_Toc20064"/>
                  <w:r>
                    <w:rPr>
                      <w:rFonts w:hint="eastAsia" w:cs="Times New Roman"/>
                      <w:color w:val="auto"/>
                      <w:sz w:val="21"/>
                      <w:szCs w:val="21"/>
                      <w:u w:val="single" w:color="auto"/>
                      <w:lang w:val="en-US" w:eastAsia="zh-CN"/>
                    </w:rPr>
                    <w:t>65</w:t>
                  </w:r>
                  <w:bookmarkEnd w:id="983"/>
                  <w:bookmarkEnd w:id="984"/>
                  <w:bookmarkEnd w:id="985"/>
                  <w:bookmarkEnd w:id="986"/>
                  <w:bookmarkEnd w:id="987"/>
                  <w:bookmarkEnd w:id="988"/>
                </w:p>
              </w:tc>
              <w:tc>
                <w:tcPr>
                  <w:tcW w:w="563" w:type="dxa"/>
                  <w:tcBorders>
                    <w:tl2br w:val="nil"/>
                    <w:tr2bl w:val="nil"/>
                  </w:tcBorders>
                  <w:noWrap w:val="0"/>
                  <w:vAlign w:val="center"/>
                </w:tcPr>
                <w:p w14:paraId="0E247675">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989" w:name="_Toc25486"/>
                  <w:bookmarkStart w:id="990" w:name="_Toc32017"/>
                  <w:bookmarkStart w:id="991" w:name="_Toc5554"/>
                  <w:bookmarkStart w:id="992" w:name="_Toc9735"/>
                  <w:bookmarkStart w:id="993" w:name="_Toc22260"/>
                  <w:bookmarkStart w:id="994" w:name="_Toc8244"/>
                  <w:r>
                    <w:rPr>
                      <w:rFonts w:hint="eastAsia" w:cs="Times New Roman"/>
                      <w:color w:val="auto"/>
                      <w:sz w:val="21"/>
                      <w:szCs w:val="21"/>
                      <w:u w:val="single" w:color="auto"/>
                      <w:lang w:val="en-US" w:eastAsia="zh-CN"/>
                    </w:rPr>
                    <w:t>44</w:t>
                  </w:r>
                  <w:bookmarkEnd w:id="989"/>
                  <w:bookmarkEnd w:id="990"/>
                  <w:bookmarkEnd w:id="991"/>
                  <w:bookmarkEnd w:id="992"/>
                  <w:bookmarkEnd w:id="993"/>
                  <w:bookmarkEnd w:id="994"/>
                </w:p>
              </w:tc>
              <w:tc>
                <w:tcPr>
                  <w:tcW w:w="500" w:type="dxa"/>
                  <w:tcBorders>
                    <w:tl2br w:val="nil"/>
                    <w:tr2bl w:val="nil"/>
                  </w:tcBorders>
                  <w:noWrap w:val="0"/>
                  <w:vAlign w:val="center"/>
                </w:tcPr>
                <w:p w14:paraId="292469A2">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995" w:name="_Toc32518"/>
                  <w:bookmarkStart w:id="996" w:name="_Toc14318"/>
                  <w:bookmarkStart w:id="997" w:name="_Toc12765"/>
                  <w:bookmarkStart w:id="998" w:name="_Toc18699"/>
                  <w:bookmarkStart w:id="999" w:name="_Toc26851"/>
                  <w:bookmarkStart w:id="1000" w:name="_Toc15689"/>
                  <w:r>
                    <w:rPr>
                      <w:rFonts w:hint="eastAsia" w:cs="Times New Roman"/>
                      <w:color w:val="auto"/>
                      <w:sz w:val="21"/>
                      <w:szCs w:val="21"/>
                      <w:u w:val="single" w:color="auto"/>
                      <w:lang w:val="en-US" w:eastAsia="zh-CN"/>
                    </w:rPr>
                    <w:t>20</w:t>
                  </w:r>
                  <w:bookmarkEnd w:id="995"/>
                  <w:bookmarkEnd w:id="996"/>
                  <w:bookmarkEnd w:id="997"/>
                  <w:bookmarkEnd w:id="998"/>
                  <w:bookmarkEnd w:id="999"/>
                  <w:bookmarkEnd w:id="1000"/>
                </w:p>
              </w:tc>
              <w:tc>
                <w:tcPr>
                  <w:tcW w:w="340" w:type="pct"/>
                  <w:tcBorders>
                    <w:tl2br w:val="nil"/>
                    <w:tr2bl w:val="nil"/>
                  </w:tcBorders>
                  <w:noWrap w:val="0"/>
                  <w:vAlign w:val="center"/>
                </w:tcPr>
                <w:p w14:paraId="180F31E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single" w:color="auto"/>
                      <w:lang w:val="en-US" w:eastAsia="zh-CN"/>
                    </w:rPr>
                  </w:pPr>
                  <w:bookmarkStart w:id="1001" w:name="_Toc18982"/>
                  <w:bookmarkStart w:id="1002" w:name="_Toc31812"/>
                  <w:bookmarkStart w:id="1003" w:name="_Toc12044"/>
                  <w:bookmarkStart w:id="1004" w:name="_Toc24949"/>
                  <w:bookmarkStart w:id="1005" w:name="_Toc8463"/>
                  <w:bookmarkStart w:id="1006" w:name="_Toc10130"/>
                  <w:r>
                    <w:rPr>
                      <w:rFonts w:hint="eastAsia" w:cs="Times New Roman"/>
                      <w:color w:val="auto"/>
                      <w:sz w:val="21"/>
                      <w:szCs w:val="21"/>
                      <w:u w:val="single" w:color="auto"/>
                      <w:lang w:val="en-US" w:eastAsia="zh-CN"/>
                    </w:rPr>
                    <w:t>16</w:t>
                  </w:r>
                  <w:bookmarkEnd w:id="1001"/>
                  <w:bookmarkEnd w:id="1002"/>
                  <w:bookmarkEnd w:id="1003"/>
                  <w:bookmarkEnd w:id="1004"/>
                  <w:bookmarkEnd w:id="1005"/>
                  <w:bookmarkEnd w:id="1006"/>
                </w:p>
              </w:tc>
              <w:tc>
                <w:tcPr>
                  <w:tcW w:w="750" w:type="dxa"/>
                  <w:tcBorders>
                    <w:tl2br w:val="nil"/>
                    <w:tr2bl w:val="nil"/>
                  </w:tcBorders>
                  <w:noWrap w:val="0"/>
                  <w:vAlign w:val="center"/>
                </w:tcPr>
                <w:p w14:paraId="5759773B">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1007" w:name="_Toc13619"/>
                  <w:bookmarkStart w:id="1008" w:name="_Toc15131"/>
                  <w:bookmarkStart w:id="1009" w:name="_Toc29088"/>
                  <w:bookmarkStart w:id="1010" w:name="_Toc11452"/>
                  <w:bookmarkStart w:id="1011" w:name="_Toc23020"/>
                  <w:bookmarkStart w:id="1012" w:name="_Toc3290"/>
                  <w:r>
                    <w:rPr>
                      <w:rFonts w:hint="eastAsia" w:cs="Times New Roman"/>
                      <w:color w:val="auto"/>
                      <w:sz w:val="21"/>
                      <w:szCs w:val="21"/>
                      <w:u w:val="single" w:color="auto"/>
                      <w:lang w:val="en-US" w:eastAsia="zh-CN"/>
                    </w:rPr>
                    <w:t>100</w:t>
                  </w:r>
                  <w:bookmarkEnd w:id="1007"/>
                  <w:bookmarkEnd w:id="1008"/>
                  <w:bookmarkEnd w:id="1009"/>
                  <w:bookmarkEnd w:id="1010"/>
                  <w:bookmarkEnd w:id="1011"/>
                  <w:bookmarkEnd w:id="1012"/>
                </w:p>
              </w:tc>
              <w:tc>
                <w:tcPr>
                  <w:tcW w:w="725" w:type="dxa"/>
                  <w:tcBorders>
                    <w:tl2br w:val="nil"/>
                    <w:tr2bl w:val="nil"/>
                  </w:tcBorders>
                  <w:noWrap w:val="0"/>
                  <w:vAlign w:val="center"/>
                </w:tcPr>
                <w:p w14:paraId="4A98CE61">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1013" w:name="_Toc23650"/>
                  <w:bookmarkStart w:id="1014" w:name="_Toc20447"/>
                  <w:bookmarkStart w:id="1015" w:name="_Toc31400"/>
                  <w:bookmarkStart w:id="1016" w:name="_Toc29389"/>
                  <w:bookmarkStart w:id="1017" w:name="_Toc21138"/>
                  <w:bookmarkStart w:id="1018" w:name="_Toc9142"/>
                  <w:r>
                    <w:rPr>
                      <w:rFonts w:hint="eastAsia" w:cs="Times New Roman"/>
                      <w:color w:val="auto"/>
                      <w:sz w:val="21"/>
                      <w:szCs w:val="21"/>
                      <w:u w:val="single" w:color="auto"/>
                      <w:lang w:val="en-US" w:eastAsia="zh-CN"/>
                    </w:rPr>
                    <w:t>24</w:t>
                  </w:r>
                  <w:bookmarkEnd w:id="1013"/>
                  <w:bookmarkEnd w:id="1014"/>
                  <w:bookmarkEnd w:id="1015"/>
                  <w:bookmarkEnd w:id="1016"/>
                  <w:bookmarkEnd w:id="1017"/>
                  <w:bookmarkEnd w:id="1018"/>
                </w:p>
              </w:tc>
              <w:tc>
                <w:tcPr>
                  <w:tcW w:w="707" w:type="dxa"/>
                  <w:tcBorders>
                    <w:tl2br w:val="nil"/>
                    <w:tr2bl w:val="nil"/>
                  </w:tcBorders>
                  <w:noWrap w:val="0"/>
                  <w:vAlign w:val="center"/>
                </w:tcPr>
                <w:p w14:paraId="07AE6E0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single" w:color="auto"/>
                      <w:lang w:val="en-US" w:eastAsia="zh-CN"/>
                    </w:rPr>
                  </w:pPr>
                  <w:bookmarkStart w:id="1019" w:name="_Toc21281"/>
                  <w:bookmarkStart w:id="1020" w:name="_Toc20282"/>
                  <w:bookmarkStart w:id="1021" w:name="_Toc12110"/>
                  <w:bookmarkStart w:id="1022" w:name="_Toc10619"/>
                  <w:bookmarkStart w:id="1023" w:name="_Toc16337"/>
                  <w:bookmarkStart w:id="1024" w:name="_Toc3326"/>
                  <w:r>
                    <w:rPr>
                      <w:rFonts w:hint="eastAsia" w:cs="Times New Roman"/>
                      <w:color w:val="auto"/>
                      <w:sz w:val="21"/>
                      <w:szCs w:val="21"/>
                      <w:u w:val="single" w:color="auto"/>
                      <w:lang w:val="en-US" w:eastAsia="zh-CN"/>
                    </w:rPr>
                    <w:t>96</w:t>
                  </w:r>
                  <w:bookmarkEnd w:id="1019"/>
                  <w:bookmarkEnd w:id="1020"/>
                  <w:bookmarkEnd w:id="1021"/>
                  <w:bookmarkEnd w:id="1022"/>
                  <w:bookmarkEnd w:id="1023"/>
                  <w:bookmarkEnd w:id="1024"/>
                </w:p>
              </w:tc>
            </w:tr>
            <w:bookmarkEnd w:id="183"/>
            <w:bookmarkEnd w:id="184"/>
          </w:tbl>
          <w:p w14:paraId="450C8500">
            <w:pPr>
              <w:pStyle w:val="35"/>
              <w:jc w:val="center"/>
              <w:rPr>
                <w:rFonts w:ascii="Times New Roman" w:hAnsi="Times New Roman" w:cs="Times New Roman"/>
                <w:color w:val="auto"/>
                <w:u w:val="none" w:color="auto"/>
              </w:rPr>
            </w:pPr>
            <w:r>
              <w:rPr>
                <w:rFonts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8</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4</w:t>
            </w:r>
            <w:r>
              <w:rPr>
                <w:rFonts w:ascii="Times New Roman" w:hAnsi="Times New Roman" w:cs="Times New Roman"/>
                <w:color w:val="auto"/>
                <w:u w:val="none" w:color="auto"/>
              </w:rPr>
              <w:t xml:space="preserve"> 噪声预测结果</w:t>
            </w:r>
          </w:p>
          <w:tbl>
            <w:tblPr>
              <w:tblStyle w:val="23"/>
              <w:tblW w:w="492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92"/>
              <w:gridCol w:w="868"/>
              <w:gridCol w:w="782"/>
              <w:gridCol w:w="815"/>
              <w:gridCol w:w="781"/>
              <w:gridCol w:w="748"/>
              <w:gridCol w:w="1138"/>
              <w:gridCol w:w="1138"/>
              <w:gridCol w:w="1140"/>
            </w:tblGrid>
            <w:tr w14:paraId="38A39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642" w:type="pct"/>
                  <w:vMerge w:val="restart"/>
                  <w:tcBorders>
                    <w:tl2br w:val="nil"/>
                    <w:tr2bl w:val="nil"/>
                  </w:tcBorders>
                  <w:noWrap w:val="0"/>
                  <w:vAlign w:val="center"/>
                </w:tcPr>
                <w:p w14:paraId="44F05C81">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025" w:name="_Toc24591"/>
                  <w:bookmarkStart w:id="1026" w:name="_Toc20"/>
                  <w:bookmarkStart w:id="1027" w:name="_Toc18676"/>
                  <w:bookmarkStart w:id="1028" w:name="_Toc22648"/>
                  <w:bookmarkStart w:id="1029" w:name="_Toc1498"/>
                  <w:bookmarkStart w:id="1030" w:name="_Toc30546"/>
                  <w:bookmarkStart w:id="1031" w:name="_Toc6676"/>
                  <w:bookmarkStart w:id="1032" w:name="_Toc335"/>
                  <w:bookmarkStart w:id="1033" w:name="_Toc16153"/>
                  <w:bookmarkStart w:id="1034" w:name="_Toc25038"/>
                  <w:bookmarkStart w:id="1035" w:name="_Toc7100"/>
                  <w:bookmarkStart w:id="1036" w:name="_Toc19988"/>
                  <w:bookmarkStart w:id="1037" w:name="_Toc29177"/>
                  <w:bookmarkStart w:id="1038" w:name="_Toc11257"/>
                  <w:bookmarkStart w:id="1039" w:name="_Toc20084"/>
                  <w:bookmarkStart w:id="1040" w:name="_Toc13077"/>
                  <w:bookmarkStart w:id="1041" w:name="_Toc19119"/>
                  <w:bookmarkStart w:id="1042" w:name="_Toc8298"/>
                  <w:bookmarkStart w:id="1043" w:name="_Toc26002"/>
                  <w:bookmarkStart w:id="1044" w:name="_Toc13571"/>
                  <w:bookmarkStart w:id="1045" w:name="_Toc7736"/>
                  <w:bookmarkStart w:id="1046" w:name="_Toc10713"/>
                  <w:bookmarkStart w:id="1047" w:name="_Toc28488"/>
                  <w:r>
                    <w:rPr>
                      <w:rFonts w:hint="default" w:ascii="Times New Roman" w:hAnsi="Times New Roman" w:cs="Times New Roman"/>
                      <w:color w:val="auto"/>
                      <w:u w:val="none" w:color="auto"/>
                      <w:lang w:val="en-US" w:eastAsia="zh-CN"/>
                    </w:rPr>
                    <w:t>噪声源</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tc>
              <w:tc>
                <w:tcPr>
                  <w:tcW w:w="509" w:type="pct"/>
                  <w:vMerge w:val="restart"/>
                  <w:tcBorders>
                    <w:tl2br w:val="nil"/>
                    <w:tr2bl w:val="nil"/>
                  </w:tcBorders>
                  <w:noWrap w:val="0"/>
                  <w:vAlign w:val="center"/>
                </w:tcPr>
                <w:p w14:paraId="24BF6277">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048" w:name="_Toc28663"/>
                  <w:bookmarkStart w:id="1049" w:name="_Toc4633"/>
                  <w:bookmarkStart w:id="1050" w:name="_Toc19206"/>
                  <w:bookmarkStart w:id="1051" w:name="_Toc31349"/>
                  <w:bookmarkStart w:id="1052" w:name="_Toc18163"/>
                  <w:bookmarkStart w:id="1053" w:name="_Toc6888"/>
                  <w:bookmarkStart w:id="1054" w:name="_Toc28972"/>
                  <w:bookmarkStart w:id="1055" w:name="_Toc5435"/>
                  <w:bookmarkStart w:id="1056" w:name="_Toc25873"/>
                  <w:bookmarkStart w:id="1057" w:name="_Toc31703"/>
                  <w:bookmarkStart w:id="1058" w:name="_Toc17770"/>
                  <w:bookmarkStart w:id="1059" w:name="_Toc177"/>
                  <w:bookmarkStart w:id="1060" w:name="_Toc26698"/>
                  <w:bookmarkStart w:id="1061" w:name="_Toc11908"/>
                  <w:bookmarkStart w:id="1062" w:name="_Toc18152"/>
                  <w:bookmarkStart w:id="1063" w:name="_Toc6911"/>
                  <w:bookmarkStart w:id="1064" w:name="_Toc32214"/>
                  <w:bookmarkStart w:id="1065" w:name="_Toc7945"/>
                  <w:bookmarkStart w:id="1066" w:name="_Toc20038"/>
                  <w:bookmarkStart w:id="1067" w:name="_Toc15091"/>
                  <w:bookmarkStart w:id="1068" w:name="_Toc16562"/>
                  <w:bookmarkStart w:id="1069" w:name="_Toc51"/>
                  <w:bookmarkStart w:id="1070" w:name="_Toc18633"/>
                  <w:r>
                    <w:rPr>
                      <w:rFonts w:hint="default" w:ascii="Times New Roman" w:hAnsi="Times New Roman" w:cs="Times New Roman"/>
                      <w:color w:val="auto"/>
                      <w:u w:val="none" w:color="auto"/>
                      <w:lang w:val="en-US" w:eastAsia="zh-CN"/>
                    </w:rPr>
                    <w:t>降噪后源强dB（A）</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tc>
              <w:tc>
                <w:tcPr>
                  <w:tcW w:w="1838" w:type="pct"/>
                  <w:gridSpan w:val="4"/>
                  <w:tcBorders>
                    <w:tl2br w:val="nil"/>
                    <w:tr2bl w:val="nil"/>
                  </w:tcBorders>
                  <w:noWrap w:val="0"/>
                  <w:vAlign w:val="center"/>
                </w:tcPr>
                <w:p w14:paraId="3C6F7F9F">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071" w:name="_Toc23519"/>
                  <w:bookmarkStart w:id="1072" w:name="_Toc13075"/>
                  <w:bookmarkStart w:id="1073" w:name="_Toc2599"/>
                  <w:bookmarkStart w:id="1074" w:name="_Toc16641"/>
                  <w:bookmarkStart w:id="1075" w:name="_Toc19009"/>
                  <w:bookmarkStart w:id="1076" w:name="_Toc11247"/>
                  <w:bookmarkStart w:id="1077" w:name="_Toc26487"/>
                  <w:bookmarkStart w:id="1078" w:name="_Toc14971"/>
                  <w:bookmarkStart w:id="1079" w:name="_Toc3577"/>
                  <w:bookmarkStart w:id="1080" w:name="_Toc11056"/>
                  <w:bookmarkStart w:id="1081" w:name="_Toc14325"/>
                  <w:bookmarkStart w:id="1082" w:name="_Toc3341"/>
                  <w:bookmarkStart w:id="1083" w:name="_Toc25941"/>
                  <w:bookmarkStart w:id="1084" w:name="_Toc5004"/>
                  <w:bookmarkStart w:id="1085" w:name="_Toc6826"/>
                  <w:bookmarkStart w:id="1086" w:name="_Toc21197"/>
                  <w:bookmarkStart w:id="1087" w:name="_Toc3010"/>
                  <w:bookmarkStart w:id="1088" w:name="_Toc27744"/>
                  <w:bookmarkStart w:id="1089" w:name="_Toc29504"/>
                  <w:bookmarkStart w:id="1090" w:name="_Toc8711"/>
                  <w:bookmarkStart w:id="1091" w:name="_Toc7595"/>
                  <w:bookmarkStart w:id="1092" w:name="_Toc586"/>
                  <w:bookmarkStart w:id="1093" w:name="_Toc8550"/>
                  <w:r>
                    <w:rPr>
                      <w:rFonts w:hint="default" w:ascii="Times New Roman" w:hAnsi="Times New Roman" w:cs="Times New Roman"/>
                      <w:color w:val="auto"/>
                      <w:u w:val="none" w:color="auto"/>
                      <w:lang w:val="en-US" w:eastAsia="zh-CN"/>
                    </w:rPr>
                    <w:t>厂界噪声值dB（A）</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tc>
              <w:tc>
                <w:tcPr>
                  <w:tcW w:w="669" w:type="pct"/>
                  <w:vMerge w:val="restart"/>
                  <w:tcBorders>
                    <w:tl2br w:val="nil"/>
                    <w:tr2bl w:val="nil"/>
                  </w:tcBorders>
                  <w:shd w:val="clear" w:color="auto" w:fill="auto"/>
                  <w:noWrap w:val="0"/>
                  <w:vAlign w:val="center"/>
                </w:tcPr>
                <w:p w14:paraId="756DED65">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bookmarkStart w:id="1094" w:name="_Toc8366"/>
                  <w:bookmarkStart w:id="1095" w:name="_Toc31136"/>
                  <w:bookmarkStart w:id="1096" w:name="_Toc8179"/>
                  <w:bookmarkStart w:id="1097" w:name="_Toc11437"/>
                  <w:bookmarkStart w:id="1098" w:name="_Toc20230"/>
                  <w:bookmarkStart w:id="1099" w:name="_Toc13387"/>
                  <w:bookmarkStart w:id="1100" w:name="_Toc17840"/>
                  <w:bookmarkStart w:id="1101" w:name="_Toc3613"/>
                  <w:r>
                    <w:rPr>
                      <w:rFonts w:hint="eastAsia" w:cs="Times New Roman"/>
                      <w:color w:val="auto"/>
                      <w:sz w:val="21"/>
                      <w:szCs w:val="21"/>
                      <w:u w:val="none" w:color="auto"/>
                      <w:lang w:val="en-US" w:eastAsia="zh-CN"/>
                    </w:rPr>
                    <w:t>散户居民点1</w:t>
                  </w:r>
                  <w:r>
                    <w:rPr>
                      <w:rFonts w:hint="default" w:ascii="Times New Roman" w:hAnsi="Times New Roman" w:cs="Times New Roman"/>
                      <w:color w:val="auto"/>
                      <w:u w:val="none" w:color="auto"/>
                      <w:lang w:val="en-US" w:eastAsia="zh-CN"/>
                    </w:rPr>
                    <w:t>噪声值dB（A）</w:t>
                  </w:r>
                  <w:bookmarkEnd w:id="1094"/>
                  <w:bookmarkEnd w:id="1095"/>
                  <w:bookmarkEnd w:id="1096"/>
                  <w:bookmarkEnd w:id="1097"/>
                  <w:bookmarkEnd w:id="1098"/>
                  <w:bookmarkEnd w:id="1099"/>
                  <w:bookmarkEnd w:id="1100"/>
                  <w:bookmarkEnd w:id="1101"/>
                </w:p>
              </w:tc>
              <w:tc>
                <w:tcPr>
                  <w:tcW w:w="1138" w:type="dxa"/>
                  <w:vMerge w:val="restart"/>
                  <w:tcBorders>
                    <w:tl2br w:val="nil"/>
                    <w:tr2bl w:val="nil"/>
                  </w:tcBorders>
                  <w:shd w:val="clear" w:color="auto" w:fill="auto"/>
                  <w:noWrap w:val="0"/>
                  <w:vAlign w:val="center"/>
                </w:tcPr>
                <w:p w14:paraId="5644D78F">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s="Times New Roman"/>
                      <w:color w:val="auto"/>
                      <w:u w:val="none" w:color="auto"/>
                      <w:lang w:val="en-US" w:eastAsia="zh-CN"/>
                    </w:rPr>
                  </w:pPr>
                  <w:bookmarkStart w:id="1102" w:name="_Toc30875"/>
                  <w:bookmarkStart w:id="1103" w:name="_Toc23268"/>
                  <w:bookmarkStart w:id="1104" w:name="_Toc6570"/>
                  <w:bookmarkStart w:id="1105" w:name="_Toc24551"/>
                  <w:bookmarkStart w:id="1106" w:name="_Toc19397"/>
                  <w:bookmarkStart w:id="1107" w:name="_Toc12598"/>
                  <w:r>
                    <w:rPr>
                      <w:rFonts w:hint="eastAsia" w:cs="Times New Roman"/>
                      <w:color w:val="auto"/>
                      <w:sz w:val="21"/>
                      <w:szCs w:val="21"/>
                      <w:u w:val="none" w:color="auto"/>
                      <w:lang w:val="en-US" w:eastAsia="zh-CN"/>
                    </w:rPr>
                    <w:t>散户居民点2</w:t>
                  </w:r>
                  <w:r>
                    <w:rPr>
                      <w:rFonts w:hint="default" w:ascii="Times New Roman" w:hAnsi="Times New Roman" w:cs="Times New Roman"/>
                      <w:color w:val="auto"/>
                      <w:u w:val="none" w:color="auto"/>
                      <w:lang w:val="en-US" w:eastAsia="zh-CN"/>
                    </w:rPr>
                    <w:t>噪声值dB（A）</w:t>
                  </w:r>
                  <w:bookmarkEnd w:id="1102"/>
                  <w:bookmarkEnd w:id="1103"/>
                  <w:bookmarkEnd w:id="1104"/>
                  <w:bookmarkEnd w:id="1105"/>
                  <w:bookmarkEnd w:id="1106"/>
                  <w:bookmarkEnd w:id="1107"/>
                </w:p>
              </w:tc>
              <w:tc>
                <w:tcPr>
                  <w:tcW w:w="1140" w:type="dxa"/>
                  <w:vMerge w:val="restart"/>
                  <w:tcBorders>
                    <w:tl2br w:val="nil"/>
                    <w:tr2bl w:val="nil"/>
                  </w:tcBorders>
                  <w:shd w:val="clear" w:color="auto" w:fill="auto"/>
                  <w:noWrap w:val="0"/>
                  <w:vAlign w:val="center"/>
                </w:tcPr>
                <w:p w14:paraId="72E85C27">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s="Times New Roman"/>
                      <w:color w:val="auto"/>
                      <w:u w:val="none" w:color="auto"/>
                      <w:lang w:val="en-US" w:eastAsia="zh-CN"/>
                    </w:rPr>
                  </w:pPr>
                  <w:bookmarkStart w:id="1108" w:name="_Toc23605"/>
                  <w:bookmarkStart w:id="1109" w:name="_Toc29488"/>
                  <w:bookmarkStart w:id="1110" w:name="_Toc7599"/>
                  <w:bookmarkStart w:id="1111" w:name="_Toc7337"/>
                  <w:bookmarkStart w:id="1112" w:name="_Toc20949"/>
                  <w:bookmarkStart w:id="1113" w:name="_Toc26264"/>
                  <w:r>
                    <w:rPr>
                      <w:rFonts w:hint="eastAsia" w:cs="Times New Roman"/>
                      <w:color w:val="auto"/>
                      <w:sz w:val="21"/>
                      <w:szCs w:val="21"/>
                      <w:u w:val="none" w:color="auto"/>
                      <w:lang w:val="en-US" w:eastAsia="zh-CN"/>
                    </w:rPr>
                    <w:t>散户居民点4</w:t>
                  </w:r>
                  <w:r>
                    <w:rPr>
                      <w:rFonts w:hint="default" w:ascii="Times New Roman" w:hAnsi="Times New Roman" w:cs="Times New Roman"/>
                      <w:color w:val="auto"/>
                      <w:u w:val="none" w:color="auto"/>
                      <w:lang w:val="en-US" w:eastAsia="zh-CN"/>
                    </w:rPr>
                    <w:t>噪声值dB（A）</w:t>
                  </w:r>
                  <w:bookmarkEnd w:id="1108"/>
                  <w:bookmarkEnd w:id="1109"/>
                  <w:bookmarkEnd w:id="1110"/>
                  <w:bookmarkEnd w:id="1111"/>
                  <w:bookmarkEnd w:id="1112"/>
                  <w:bookmarkEnd w:id="1113"/>
                </w:p>
              </w:tc>
            </w:tr>
            <w:tr w14:paraId="71A92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2" w:type="pct"/>
                  <w:vMerge w:val="continue"/>
                  <w:tcBorders>
                    <w:tl2br w:val="nil"/>
                    <w:tr2bl w:val="nil"/>
                  </w:tcBorders>
                  <w:noWrap w:val="0"/>
                  <w:vAlign w:val="center"/>
                </w:tcPr>
                <w:p w14:paraId="75F84231">
                  <w:pPr>
                    <w:pStyle w:val="44"/>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u w:val="none" w:color="auto"/>
                      <w:lang w:val="en-US" w:eastAsia="zh-CN"/>
                    </w:rPr>
                  </w:pPr>
                </w:p>
              </w:tc>
              <w:tc>
                <w:tcPr>
                  <w:tcW w:w="509" w:type="pct"/>
                  <w:vMerge w:val="continue"/>
                  <w:tcBorders>
                    <w:tl2br w:val="nil"/>
                    <w:tr2bl w:val="nil"/>
                  </w:tcBorders>
                  <w:noWrap w:val="0"/>
                  <w:vAlign w:val="center"/>
                </w:tcPr>
                <w:p w14:paraId="46ECAFBD">
                  <w:pPr>
                    <w:pStyle w:val="44"/>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u w:val="none" w:color="auto"/>
                      <w:lang w:val="en-US" w:eastAsia="zh-CN"/>
                    </w:rPr>
                  </w:pPr>
                </w:p>
              </w:tc>
              <w:tc>
                <w:tcPr>
                  <w:tcW w:w="460" w:type="pct"/>
                  <w:tcBorders>
                    <w:tl2br w:val="nil"/>
                    <w:tr2bl w:val="nil"/>
                  </w:tcBorders>
                  <w:noWrap w:val="0"/>
                  <w:vAlign w:val="center"/>
                </w:tcPr>
                <w:p w14:paraId="2AB8D3FE">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114" w:name="_Toc24645"/>
                  <w:bookmarkStart w:id="1115" w:name="_Toc12828"/>
                  <w:bookmarkStart w:id="1116" w:name="_Toc23738"/>
                  <w:bookmarkStart w:id="1117" w:name="_Toc16704"/>
                  <w:bookmarkStart w:id="1118" w:name="_Toc30825"/>
                  <w:bookmarkStart w:id="1119" w:name="_Toc10561"/>
                  <w:bookmarkStart w:id="1120" w:name="_Toc27189"/>
                  <w:bookmarkStart w:id="1121" w:name="_Toc27503"/>
                  <w:bookmarkStart w:id="1122" w:name="_Toc25323"/>
                  <w:bookmarkStart w:id="1123" w:name="_Toc32669"/>
                  <w:bookmarkStart w:id="1124" w:name="_Toc9300"/>
                  <w:bookmarkStart w:id="1125" w:name="_Toc6837"/>
                  <w:bookmarkStart w:id="1126" w:name="_Toc3350"/>
                  <w:bookmarkStart w:id="1127" w:name="_Toc16848"/>
                  <w:bookmarkStart w:id="1128" w:name="_Toc16154"/>
                  <w:bookmarkStart w:id="1129" w:name="_Toc14604"/>
                  <w:bookmarkStart w:id="1130" w:name="_Toc15573"/>
                  <w:bookmarkStart w:id="1131" w:name="_Toc31553"/>
                  <w:bookmarkStart w:id="1132" w:name="_Toc29027"/>
                  <w:bookmarkStart w:id="1133" w:name="_Toc8659"/>
                  <w:bookmarkStart w:id="1134" w:name="_Toc20205"/>
                  <w:bookmarkStart w:id="1135" w:name="_Toc1820"/>
                  <w:bookmarkStart w:id="1136" w:name="_Toc17463"/>
                  <w:r>
                    <w:rPr>
                      <w:rFonts w:hint="default" w:ascii="Times New Roman" w:hAnsi="Times New Roman" w:cs="Times New Roman"/>
                      <w:color w:val="auto"/>
                      <w:u w:val="none" w:color="auto"/>
                      <w:lang w:val="en-US" w:eastAsia="zh-CN"/>
                    </w:rPr>
                    <w:t>东厂界</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tc>
              <w:tc>
                <w:tcPr>
                  <w:tcW w:w="479" w:type="pct"/>
                  <w:tcBorders>
                    <w:tl2br w:val="nil"/>
                    <w:tr2bl w:val="nil"/>
                  </w:tcBorders>
                  <w:noWrap w:val="0"/>
                  <w:vAlign w:val="center"/>
                </w:tcPr>
                <w:p w14:paraId="5AEDFF97">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137" w:name="_Toc19594"/>
                  <w:bookmarkStart w:id="1138" w:name="_Toc30127"/>
                  <w:bookmarkStart w:id="1139" w:name="_Toc13377"/>
                  <w:bookmarkStart w:id="1140" w:name="_Toc26752"/>
                  <w:bookmarkStart w:id="1141" w:name="_Toc25961"/>
                  <w:bookmarkStart w:id="1142" w:name="_Toc2124"/>
                  <w:bookmarkStart w:id="1143" w:name="_Toc31110"/>
                  <w:bookmarkStart w:id="1144" w:name="_Toc1694"/>
                  <w:bookmarkStart w:id="1145" w:name="_Toc8785"/>
                  <w:bookmarkStart w:id="1146" w:name="_Toc22899"/>
                  <w:bookmarkStart w:id="1147" w:name="_Toc16042"/>
                  <w:bookmarkStart w:id="1148" w:name="_Toc5475"/>
                  <w:bookmarkStart w:id="1149" w:name="_Toc6144"/>
                  <w:bookmarkStart w:id="1150" w:name="_Toc4463"/>
                  <w:bookmarkStart w:id="1151" w:name="_Toc25612"/>
                  <w:bookmarkStart w:id="1152" w:name="_Toc13399"/>
                  <w:bookmarkStart w:id="1153" w:name="_Toc2258"/>
                  <w:bookmarkStart w:id="1154" w:name="_Toc31001"/>
                  <w:bookmarkStart w:id="1155" w:name="_Toc13258"/>
                  <w:bookmarkStart w:id="1156" w:name="_Toc23400"/>
                  <w:bookmarkStart w:id="1157" w:name="_Toc19981"/>
                  <w:bookmarkStart w:id="1158" w:name="_Toc1714"/>
                  <w:bookmarkStart w:id="1159" w:name="_Toc18650"/>
                  <w:r>
                    <w:rPr>
                      <w:rFonts w:hint="default" w:ascii="Times New Roman" w:hAnsi="Times New Roman" w:cs="Times New Roman"/>
                      <w:color w:val="auto"/>
                      <w:u w:val="none" w:color="auto"/>
                      <w:lang w:val="en-US" w:eastAsia="zh-CN"/>
                    </w:rPr>
                    <w:t>南厂界</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tc>
              <w:tc>
                <w:tcPr>
                  <w:tcW w:w="459" w:type="pct"/>
                  <w:tcBorders>
                    <w:tl2br w:val="nil"/>
                    <w:tr2bl w:val="nil"/>
                  </w:tcBorders>
                  <w:noWrap w:val="0"/>
                  <w:vAlign w:val="center"/>
                </w:tcPr>
                <w:p w14:paraId="73FB188B">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160" w:name="_Toc21200"/>
                  <w:bookmarkStart w:id="1161" w:name="_Toc21413"/>
                  <w:bookmarkStart w:id="1162" w:name="_Toc1360"/>
                  <w:bookmarkStart w:id="1163" w:name="_Toc32200"/>
                  <w:bookmarkStart w:id="1164" w:name="_Toc5111"/>
                  <w:bookmarkStart w:id="1165" w:name="_Toc13651"/>
                  <w:bookmarkStart w:id="1166" w:name="_Toc15692"/>
                  <w:bookmarkStart w:id="1167" w:name="_Toc7055"/>
                  <w:bookmarkStart w:id="1168" w:name="_Toc17515"/>
                  <w:bookmarkStart w:id="1169" w:name="_Toc90"/>
                  <w:bookmarkStart w:id="1170" w:name="_Toc26456"/>
                  <w:bookmarkStart w:id="1171" w:name="_Toc2575"/>
                  <w:bookmarkStart w:id="1172" w:name="_Toc17915"/>
                  <w:bookmarkStart w:id="1173" w:name="_Toc15971"/>
                  <w:bookmarkStart w:id="1174" w:name="_Toc11349"/>
                  <w:bookmarkStart w:id="1175" w:name="_Toc6576"/>
                  <w:bookmarkStart w:id="1176" w:name="_Toc4969"/>
                  <w:bookmarkStart w:id="1177" w:name="_Toc32338"/>
                  <w:bookmarkStart w:id="1178" w:name="_Toc11407"/>
                  <w:bookmarkStart w:id="1179" w:name="_Toc17272"/>
                  <w:bookmarkStart w:id="1180" w:name="_Toc2954"/>
                  <w:bookmarkStart w:id="1181" w:name="_Toc7561"/>
                  <w:bookmarkStart w:id="1182" w:name="_Toc463"/>
                  <w:r>
                    <w:rPr>
                      <w:rFonts w:hint="default" w:ascii="Times New Roman" w:hAnsi="Times New Roman" w:cs="Times New Roman"/>
                      <w:color w:val="auto"/>
                      <w:u w:val="none" w:color="auto"/>
                      <w:lang w:val="en-US" w:eastAsia="zh-CN"/>
                    </w:rPr>
                    <w:t>西厂界</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tc>
              <w:tc>
                <w:tcPr>
                  <w:tcW w:w="439" w:type="pct"/>
                  <w:tcBorders>
                    <w:tl2br w:val="nil"/>
                    <w:tr2bl w:val="nil"/>
                  </w:tcBorders>
                  <w:noWrap w:val="0"/>
                  <w:vAlign w:val="center"/>
                </w:tcPr>
                <w:p w14:paraId="30F69D2E">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bookmarkStart w:id="1183" w:name="_Toc30346"/>
                  <w:bookmarkStart w:id="1184" w:name="_Toc29835"/>
                  <w:bookmarkStart w:id="1185" w:name="_Toc22555"/>
                  <w:bookmarkStart w:id="1186" w:name="_Toc24059"/>
                  <w:bookmarkStart w:id="1187" w:name="_Toc25862"/>
                  <w:bookmarkStart w:id="1188" w:name="_Toc8601"/>
                  <w:bookmarkStart w:id="1189" w:name="_Toc17247"/>
                  <w:bookmarkStart w:id="1190" w:name="_Toc1157"/>
                  <w:bookmarkStart w:id="1191" w:name="_Toc21469"/>
                  <w:bookmarkStart w:id="1192" w:name="_Toc6448"/>
                  <w:bookmarkStart w:id="1193" w:name="_Toc9944"/>
                  <w:bookmarkStart w:id="1194" w:name="_Toc27396"/>
                  <w:bookmarkStart w:id="1195" w:name="_Toc22204"/>
                  <w:bookmarkStart w:id="1196" w:name="_Toc12290"/>
                  <w:bookmarkStart w:id="1197" w:name="_Toc27709"/>
                  <w:bookmarkStart w:id="1198" w:name="_Toc5815"/>
                  <w:bookmarkStart w:id="1199" w:name="_Toc6161"/>
                  <w:bookmarkStart w:id="1200" w:name="_Toc19406"/>
                  <w:bookmarkStart w:id="1201" w:name="_Toc7033"/>
                  <w:bookmarkStart w:id="1202" w:name="_Toc4764"/>
                  <w:bookmarkStart w:id="1203" w:name="_Toc12879"/>
                  <w:bookmarkStart w:id="1204" w:name="_Toc23587"/>
                  <w:bookmarkStart w:id="1205" w:name="_Toc26341"/>
                  <w:r>
                    <w:rPr>
                      <w:rFonts w:hint="default" w:ascii="Times New Roman" w:hAnsi="Times New Roman" w:cs="Times New Roman"/>
                      <w:color w:val="auto"/>
                      <w:u w:val="none" w:color="auto"/>
                      <w:lang w:val="en-US" w:eastAsia="zh-CN"/>
                    </w:rPr>
                    <w:t>北厂界</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tc>
              <w:tc>
                <w:tcPr>
                  <w:tcW w:w="669" w:type="pct"/>
                  <w:vMerge w:val="continue"/>
                  <w:tcBorders>
                    <w:tl2br w:val="nil"/>
                    <w:tr2bl w:val="nil"/>
                  </w:tcBorders>
                  <w:noWrap w:val="0"/>
                  <w:vAlign w:val="center"/>
                </w:tcPr>
                <w:p w14:paraId="3CD433BA">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p>
              </w:tc>
              <w:tc>
                <w:tcPr>
                  <w:tcW w:w="669" w:type="pct"/>
                  <w:vMerge w:val="continue"/>
                  <w:tcBorders>
                    <w:tl2br w:val="nil"/>
                    <w:tr2bl w:val="nil"/>
                  </w:tcBorders>
                  <w:noWrap w:val="0"/>
                  <w:vAlign w:val="center"/>
                </w:tcPr>
                <w:p w14:paraId="41249EE6">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p>
              </w:tc>
              <w:tc>
                <w:tcPr>
                  <w:tcW w:w="670" w:type="pct"/>
                  <w:vMerge w:val="continue"/>
                  <w:tcBorders>
                    <w:tl2br w:val="nil"/>
                    <w:tr2bl w:val="nil"/>
                  </w:tcBorders>
                  <w:noWrap w:val="0"/>
                  <w:vAlign w:val="center"/>
                </w:tcPr>
                <w:p w14:paraId="390E2EEC">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p>
              </w:tc>
            </w:tr>
            <w:tr w14:paraId="6C96F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24FD3BBC">
                  <w:pPr>
                    <w:pStyle w:val="11"/>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u w:val="none" w:color="auto"/>
                      <w:vertAlign w:val="baseline"/>
                      <w:lang w:val="en-US" w:eastAsia="zh-CN" w:bidi="ar-SA"/>
                    </w:rPr>
                  </w:pPr>
                  <w:bookmarkStart w:id="1206" w:name="OLE_LINK126" w:colFirst="3" w:colLast="5"/>
                  <w:r>
                    <w:rPr>
                      <w:rFonts w:hint="eastAsia"/>
                      <w:color w:val="auto"/>
                      <w:szCs w:val="24"/>
                      <w:u w:val="none"/>
                    </w:rPr>
                    <w:t>畜类</w:t>
                  </w:r>
                  <w:r>
                    <w:rPr>
                      <w:rFonts w:hint="default" w:ascii="Times New Roman" w:hAnsi="Times New Roman" w:eastAsia="宋体" w:cs="Times New Roman"/>
                      <w:bCs w:val="0"/>
                      <w:color w:val="auto"/>
                      <w:spacing w:val="0"/>
                      <w:kern w:val="0"/>
                      <w:sz w:val="21"/>
                      <w:szCs w:val="21"/>
                      <w:u w:val="none" w:color="auto"/>
                      <w:lang w:val="en-US" w:eastAsia="zh-CN" w:bidi="ar-SA"/>
                    </w:rPr>
                    <w:t>脱毛机</w:t>
                  </w:r>
                  <w:r>
                    <w:rPr>
                      <w:rFonts w:hint="eastAsia" w:cs="Times New Roman"/>
                      <w:bCs w:val="0"/>
                      <w:color w:val="auto"/>
                      <w:spacing w:val="0"/>
                      <w:kern w:val="0"/>
                      <w:sz w:val="21"/>
                      <w:szCs w:val="21"/>
                      <w:u w:val="none" w:color="auto"/>
                      <w:lang w:val="en-US" w:eastAsia="zh-CN" w:bidi="ar-SA"/>
                    </w:rPr>
                    <w:t>1</w:t>
                  </w:r>
                </w:p>
              </w:tc>
              <w:tc>
                <w:tcPr>
                  <w:tcW w:w="509" w:type="pct"/>
                  <w:tcBorders>
                    <w:tl2br w:val="nil"/>
                    <w:tr2bl w:val="nil"/>
                  </w:tcBorders>
                  <w:shd w:val="clear" w:color="auto" w:fill="auto"/>
                  <w:noWrap w:val="0"/>
                  <w:vAlign w:val="center"/>
                </w:tcPr>
                <w:p w14:paraId="70D01E2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44F62B6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32.96 </w:t>
                  </w:r>
                </w:p>
              </w:tc>
              <w:tc>
                <w:tcPr>
                  <w:tcW w:w="815" w:type="dxa"/>
                  <w:tcBorders>
                    <w:tl2br w:val="nil"/>
                    <w:tr2bl w:val="nil"/>
                  </w:tcBorders>
                  <w:noWrap w:val="0"/>
                  <w:vAlign w:val="center"/>
                </w:tcPr>
                <w:p w14:paraId="4135F29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36.06 </w:t>
                  </w:r>
                </w:p>
              </w:tc>
              <w:tc>
                <w:tcPr>
                  <w:tcW w:w="781" w:type="dxa"/>
                  <w:tcBorders>
                    <w:tl2br w:val="nil"/>
                    <w:tr2bl w:val="nil"/>
                  </w:tcBorders>
                  <w:noWrap w:val="0"/>
                  <w:vAlign w:val="center"/>
                </w:tcPr>
                <w:p w14:paraId="52C0DD8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31.94 </w:t>
                  </w:r>
                </w:p>
              </w:tc>
              <w:tc>
                <w:tcPr>
                  <w:tcW w:w="748" w:type="dxa"/>
                  <w:tcBorders>
                    <w:tl2br w:val="nil"/>
                    <w:tr2bl w:val="nil"/>
                  </w:tcBorders>
                  <w:noWrap w:val="0"/>
                  <w:vAlign w:val="center"/>
                </w:tcPr>
                <w:p w14:paraId="5C5C3E4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38.15 </w:t>
                  </w:r>
                </w:p>
              </w:tc>
              <w:tc>
                <w:tcPr>
                  <w:tcW w:w="1138" w:type="dxa"/>
                  <w:tcBorders>
                    <w:tl2br w:val="nil"/>
                    <w:tr2bl w:val="nil"/>
                  </w:tcBorders>
                  <w:noWrap w:val="0"/>
                  <w:vAlign w:val="center"/>
                </w:tcPr>
                <w:p w14:paraId="4E16993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27.50 </w:t>
                  </w:r>
                </w:p>
              </w:tc>
              <w:tc>
                <w:tcPr>
                  <w:tcW w:w="1138" w:type="dxa"/>
                  <w:tcBorders>
                    <w:tl2br w:val="nil"/>
                    <w:tr2bl w:val="nil"/>
                  </w:tcBorders>
                  <w:noWrap w:val="0"/>
                  <w:vAlign w:val="center"/>
                </w:tcPr>
                <w:p w14:paraId="02EE6A1C">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31.20 </w:t>
                  </w:r>
                </w:p>
              </w:tc>
              <w:tc>
                <w:tcPr>
                  <w:tcW w:w="1140" w:type="dxa"/>
                  <w:tcBorders>
                    <w:tl2br w:val="nil"/>
                    <w:tr2bl w:val="nil"/>
                  </w:tcBorders>
                  <w:noWrap w:val="0"/>
                  <w:vAlign w:val="center"/>
                </w:tcPr>
                <w:p w14:paraId="76F05058">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27.97 </w:t>
                  </w:r>
                </w:p>
              </w:tc>
            </w:tr>
            <w:tr w14:paraId="69F96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444155F0">
                  <w:pPr>
                    <w:pStyle w:val="11"/>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Cs w:val="24"/>
                      <w:u w:val="none"/>
                    </w:rPr>
                    <w:t>畜类</w:t>
                  </w:r>
                  <w:r>
                    <w:rPr>
                      <w:rFonts w:hint="default" w:ascii="Times New Roman" w:hAnsi="Times New Roman" w:eastAsia="宋体" w:cs="Times New Roman"/>
                      <w:bCs w:val="0"/>
                      <w:color w:val="auto"/>
                      <w:spacing w:val="0"/>
                      <w:kern w:val="0"/>
                      <w:sz w:val="21"/>
                      <w:szCs w:val="21"/>
                      <w:u w:val="none" w:color="auto"/>
                      <w:lang w:val="en-US" w:eastAsia="zh-CN" w:bidi="ar-SA"/>
                    </w:rPr>
                    <w:t>脱毛机</w:t>
                  </w:r>
                  <w:r>
                    <w:rPr>
                      <w:rFonts w:hint="eastAsia" w:cs="Times New Roman"/>
                      <w:bCs w:val="0"/>
                      <w:color w:val="auto"/>
                      <w:spacing w:val="0"/>
                      <w:kern w:val="0"/>
                      <w:sz w:val="21"/>
                      <w:szCs w:val="21"/>
                      <w:u w:val="none" w:color="auto"/>
                      <w:lang w:val="en-US" w:eastAsia="zh-CN" w:bidi="ar-SA"/>
                    </w:rPr>
                    <w:t>2</w:t>
                  </w:r>
                </w:p>
              </w:tc>
              <w:tc>
                <w:tcPr>
                  <w:tcW w:w="509" w:type="pct"/>
                  <w:tcBorders>
                    <w:tl2br w:val="nil"/>
                    <w:tr2bl w:val="nil"/>
                  </w:tcBorders>
                  <w:shd w:val="clear" w:color="auto" w:fill="auto"/>
                  <w:noWrap w:val="0"/>
                  <w:vAlign w:val="center"/>
                </w:tcPr>
                <w:p w14:paraId="14CF917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5EF6A922">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32.96 </w:t>
                  </w:r>
                </w:p>
              </w:tc>
              <w:tc>
                <w:tcPr>
                  <w:tcW w:w="815" w:type="dxa"/>
                  <w:tcBorders>
                    <w:tl2br w:val="nil"/>
                    <w:tr2bl w:val="nil"/>
                  </w:tcBorders>
                  <w:noWrap w:val="0"/>
                  <w:vAlign w:val="center"/>
                </w:tcPr>
                <w:p w14:paraId="0C098754">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37.40 </w:t>
                  </w:r>
                </w:p>
              </w:tc>
              <w:tc>
                <w:tcPr>
                  <w:tcW w:w="781" w:type="dxa"/>
                  <w:tcBorders>
                    <w:tl2br w:val="nil"/>
                    <w:tr2bl w:val="nil"/>
                  </w:tcBorders>
                  <w:noWrap w:val="0"/>
                  <w:vAlign w:val="center"/>
                </w:tcPr>
                <w:p w14:paraId="09F695A2">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31.94 </w:t>
                  </w:r>
                </w:p>
              </w:tc>
              <w:tc>
                <w:tcPr>
                  <w:tcW w:w="748" w:type="dxa"/>
                  <w:tcBorders>
                    <w:tl2br w:val="nil"/>
                    <w:tr2bl w:val="nil"/>
                  </w:tcBorders>
                  <w:noWrap w:val="0"/>
                  <w:vAlign w:val="center"/>
                </w:tcPr>
                <w:p w14:paraId="7CF28988">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36.70 </w:t>
                  </w:r>
                </w:p>
              </w:tc>
              <w:tc>
                <w:tcPr>
                  <w:tcW w:w="1138" w:type="dxa"/>
                  <w:tcBorders>
                    <w:tl2br w:val="nil"/>
                    <w:tr2bl w:val="nil"/>
                  </w:tcBorders>
                  <w:noWrap w:val="0"/>
                  <w:vAlign w:val="center"/>
                </w:tcPr>
                <w:p w14:paraId="0AABE1BB">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27.50 </w:t>
                  </w:r>
                </w:p>
              </w:tc>
              <w:tc>
                <w:tcPr>
                  <w:tcW w:w="1138" w:type="dxa"/>
                  <w:tcBorders>
                    <w:tl2br w:val="nil"/>
                    <w:tr2bl w:val="nil"/>
                  </w:tcBorders>
                  <w:noWrap w:val="0"/>
                  <w:vAlign w:val="center"/>
                </w:tcPr>
                <w:p w14:paraId="2E37D35D">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31.20 </w:t>
                  </w:r>
                </w:p>
              </w:tc>
              <w:tc>
                <w:tcPr>
                  <w:tcW w:w="1140" w:type="dxa"/>
                  <w:tcBorders>
                    <w:tl2br w:val="nil"/>
                    <w:tr2bl w:val="nil"/>
                  </w:tcBorders>
                  <w:noWrap w:val="0"/>
                  <w:vAlign w:val="center"/>
                </w:tcPr>
                <w:p w14:paraId="550A9472">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27.97 </w:t>
                  </w:r>
                </w:p>
              </w:tc>
            </w:tr>
            <w:tr w14:paraId="731C2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1F3D2A1D">
                  <w:pPr>
                    <w:pStyle w:val="11"/>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bCs w:val="0"/>
                      <w:color w:val="auto"/>
                      <w:spacing w:val="0"/>
                      <w:kern w:val="0"/>
                      <w:sz w:val="21"/>
                      <w:szCs w:val="21"/>
                      <w:u w:val="none" w:color="auto"/>
                      <w:lang w:val="en-US" w:eastAsia="zh-CN" w:bidi="ar-SA"/>
                    </w:rPr>
                    <w:t>高压清洗器</w:t>
                  </w:r>
                  <w:r>
                    <w:rPr>
                      <w:rFonts w:hint="eastAsia" w:cs="Times New Roman"/>
                      <w:bCs w:val="0"/>
                      <w:color w:val="auto"/>
                      <w:spacing w:val="0"/>
                      <w:kern w:val="0"/>
                      <w:sz w:val="21"/>
                      <w:szCs w:val="21"/>
                      <w:u w:val="none" w:color="auto"/>
                      <w:lang w:val="en-US" w:eastAsia="zh-CN" w:bidi="ar-SA"/>
                    </w:rPr>
                    <w:t>1</w:t>
                  </w:r>
                </w:p>
              </w:tc>
              <w:tc>
                <w:tcPr>
                  <w:tcW w:w="509" w:type="pct"/>
                  <w:tcBorders>
                    <w:tl2br w:val="nil"/>
                    <w:tr2bl w:val="nil"/>
                  </w:tcBorders>
                  <w:shd w:val="clear" w:color="auto" w:fill="auto"/>
                  <w:noWrap w:val="0"/>
                  <w:vAlign w:val="center"/>
                </w:tcPr>
                <w:p w14:paraId="5612380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60</w:t>
                  </w:r>
                </w:p>
              </w:tc>
              <w:tc>
                <w:tcPr>
                  <w:tcW w:w="783" w:type="dxa"/>
                  <w:tcBorders>
                    <w:tl2br w:val="nil"/>
                    <w:tr2bl w:val="nil"/>
                  </w:tcBorders>
                  <w:noWrap w:val="0"/>
                  <w:vAlign w:val="center"/>
                </w:tcPr>
                <w:p w14:paraId="0E75CC2B">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29.12 </w:t>
                  </w:r>
                </w:p>
              </w:tc>
              <w:tc>
                <w:tcPr>
                  <w:tcW w:w="815" w:type="dxa"/>
                  <w:tcBorders>
                    <w:tl2br w:val="nil"/>
                    <w:tr2bl w:val="nil"/>
                  </w:tcBorders>
                  <w:noWrap w:val="0"/>
                  <w:vAlign w:val="center"/>
                </w:tcPr>
                <w:p w14:paraId="0D62DC7E">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31.06 </w:t>
                  </w:r>
                </w:p>
              </w:tc>
              <w:tc>
                <w:tcPr>
                  <w:tcW w:w="781" w:type="dxa"/>
                  <w:tcBorders>
                    <w:tl2br w:val="nil"/>
                    <w:tr2bl w:val="nil"/>
                  </w:tcBorders>
                  <w:noWrap w:val="0"/>
                  <w:vAlign w:val="center"/>
                </w:tcPr>
                <w:p w14:paraId="3770B674">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26.02 </w:t>
                  </w:r>
                </w:p>
              </w:tc>
              <w:tc>
                <w:tcPr>
                  <w:tcW w:w="748" w:type="dxa"/>
                  <w:tcBorders>
                    <w:tl2br w:val="nil"/>
                    <w:tr2bl w:val="nil"/>
                  </w:tcBorders>
                  <w:noWrap w:val="0"/>
                  <w:vAlign w:val="center"/>
                </w:tcPr>
                <w:p w14:paraId="71FF7463">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33.15 </w:t>
                  </w:r>
                </w:p>
              </w:tc>
              <w:tc>
                <w:tcPr>
                  <w:tcW w:w="1138" w:type="dxa"/>
                  <w:tcBorders>
                    <w:tl2br w:val="nil"/>
                    <w:tr2bl w:val="nil"/>
                  </w:tcBorders>
                  <w:noWrap w:val="0"/>
                  <w:vAlign w:val="center"/>
                </w:tcPr>
                <w:p w14:paraId="059C797F">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23.10 </w:t>
                  </w:r>
                </w:p>
              </w:tc>
              <w:tc>
                <w:tcPr>
                  <w:tcW w:w="1138" w:type="dxa"/>
                  <w:tcBorders>
                    <w:tl2br w:val="nil"/>
                    <w:tr2bl w:val="nil"/>
                  </w:tcBorders>
                  <w:noWrap w:val="0"/>
                  <w:vAlign w:val="center"/>
                </w:tcPr>
                <w:p w14:paraId="0C366233">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25.35 </w:t>
                  </w:r>
                </w:p>
              </w:tc>
              <w:tc>
                <w:tcPr>
                  <w:tcW w:w="1140" w:type="dxa"/>
                  <w:tcBorders>
                    <w:tl2br w:val="nil"/>
                    <w:tr2bl w:val="nil"/>
                  </w:tcBorders>
                  <w:noWrap w:val="0"/>
                  <w:vAlign w:val="center"/>
                </w:tcPr>
                <w:p w14:paraId="1E81D5CB">
                  <w:pPr>
                    <w:pStyle w:val="37"/>
                    <w:widowControl w:val="0"/>
                    <w:spacing w:line="240" w:lineRule="auto"/>
                    <w:ind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
                    </w:rPr>
                  </w:pPr>
                  <w:r>
                    <w:rPr>
                      <w:rFonts w:hint="eastAsia" w:ascii="Times New Roman" w:hAnsi="Times New Roman" w:eastAsia="宋体" w:cs="Times New Roman"/>
                      <w:i w:val="0"/>
                      <w:iCs w:val="0"/>
                      <w:color w:val="auto"/>
                      <w:kern w:val="2"/>
                      <w:sz w:val="21"/>
                      <w:szCs w:val="21"/>
                      <w:u w:val="none" w:color="auto"/>
                      <w:lang w:val="en-US" w:eastAsia="zh-CN" w:bidi="ar"/>
                    </w:rPr>
                    <w:t xml:space="preserve">23.61 </w:t>
                  </w:r>
                </w:p>
              </w:tc>
            </w:tr>
            <w:tr w14:paraId="59A62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02B948E9">
                  <w:pPr>
                    <w:pStyle w:val="11"/>
                    <w:adjustRightInd/>
                    <w:snapToGrid/>
                    <w:spacing w:line="240" w:lineRule="auto"/>
                    <w:ind w:left="0" w:lef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bCs w:val="0"/>
                      <w:color w:val="auto"/>
                      <w:spacing w:val="0"/>
                      <w:kern w:val="0"/>
                      <w:sz w:val="21"/>
                      <w:szCs w:val="21"/>
                      <w:u w:val="none" w:color="auto"/>
                      <w:lang w:val="en-US" w:eastAsia="zh-CN" w:bidi="ar-SA"/>
                    </w:rPr>
                    <w:t>高压清洗器</w:t>
                  </w:r>
                  <w:r>
                    <w:rPr>
                      <w:rFonts w:hint="eastAsia" w:cs="Times New Roman"/>
                      <w:bCs w:val="0"/>
                      <w:color w:val="auto"/>
                      <w:spacing w:val="0"/>
                      <w:kern w:val="0"/>
                      <w:sz w:val="21"/>
                      <w:szCs w:val="21"/>
                      <w:u w:val="none" w:color="auto"/>
                      <w:lang w:val="en-US" w:eastAsia="zh-CN" w:bidi="ar-SA"/>
                    </w:rPr>
                    <w:t>2</w:t>
                  </w:r>
                </w:p>
              </w:tc>
              <w:tc>
                <w:tcPr>
                  <w:tcW w:w="509" w:type="pct"/>
                  <w:tcBorders>
                    <w:tl2br w:val="nil"/>
                    <w:tr2bl w:val="nil"/>
                  </w:tcBorders>
                  <w:shd w:val="clear" w:color="auto" w:fill="auto"/>
                  <w:noWrap w:val="0"/>
                  <w:vAlign w:val="center"/>
                </w:tcPr>
                <w:p w14:paraId="500BC94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60</w:t>
                  </w:r>
                </w:p>
              </w:tc>
              <w:tc>
                <w:tcPr>
                  <w:tcW w:w="783" w:type="dxa"/>
                  <w:tcBorders>
                    <w:tl2br w:val="nil"/>
                    <w:tr2bl w:val="nil"/>
                  </w:tcBorders>
                  <w:noWrap w:val="0"/>
                  <w:vAlign w:val="center"/>
                </w:tcPr>
                <w:p w14:paraId="71AFE52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29.12 </w:t>
                  </w:r>
                </w:p>
              </w:tc>
              <w:tc>
                <w:tcPr>
                  <w:tcW w:w="815" w:type="dxa"/>
                  <w:tcBorders>
                    <w:tl2br w:val="nil"/>
                    <w:tr2bl w:val="nil"/>
                  </w:tcBorders>
                  <w:noWrap w:val="0"/>
                  <w:vAlign w:val="center"/>
                </w:tcPr>
                <w:p w14:paraId="0DC4CFB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32.40 </w:t>
                  </w:r>
                </w:p>
              </w:tc>
              <w:tc>
                <w:tcPr>
                  <w:tcW w:w="781" w:type="dxa"/>
                  <w:tcBorders>
                    <w:tl2br w:val="nil"/>
                    <w:tr2bl w:val="nil"/>
                  </w:tcBorders>
                  <w:noWrap w:val="0"/>
                  <w:vAlign w:val="center"/>
                </w:tcPr>
                <w:p w14:paraId="6DE2F6F3">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26.02 </w:t>
                  </w:r>
                </w:p>
              </w:tc>
              <w:tc>
                <w:tcPr>
                  <w:tcW w:w="748" w:type="dxa"/>
                  <w:tcBorders>
                    <w:tl2br w:val="nil"/>
                    <w:tr2bl w:val="nil"/>
                  </w:tcBorders>
                  <w:noWrap w:val="0"/>
                  <w:vAlign w:val="center"/>
                </w:tcPr>
                <w:p w14:paraId="58067C8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31.70 </w:t>
                  </w:r>
                </w:p>
              </w:tc>
              <w:tc>
                <w:tcPr>
                  <w:tcW w:w="1138" w:type="dxa"/>
                  <w:tcBorders>
                    <w:tl2br w:val="nil"/>
                    <w:tr2bl w:val="nil"/>
                  </w:tcBorders>
                  <w:noWrap w:val="0"/>
                  <w:vAlign w:val="center"/>
                </w:tcPr>
                <w:p w14:paraId="689CB9C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23.10 </w:t>
                  </w:r>
                </w:p>
              </w:tc>
              <w:tc>
                <w:tcPr>
                  <w:tcW w:w="1138" w:type="dxa"/>
                  <w:tcBorders>
                    <w:tl2br w:val="nil"/>
                    <w:tr2bl w:val="nil"/>
                  </w:tcBorders>
                  <w:noWrap w:val="0"/>
                  <w:vAlign w:val="center"/>
                </w:tcPr>
                <w:p w14:paraId="04B35FA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25.35 </w:t>
                  </w:r>
                </w:p>
              </w:tc>
              <w:tc>
                <w:tcPr>
                  <w:tcW w:w="1140" w:type="dxa"/>
                  <w:tcBorders>
                    <w:tl2br w:val="nil"/>
                    <w:tr2bl w:val="nil"/>
                  </w:tcBorders>
                  <w:noWrap w:val="0"/>
                  <w:vAlign w:val="center"/>
                </w:tcPr>
                <w:p w14:paraId="7AB4DD6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23.61 </w:t>
                  </w:r>
                </w:p>
              </w:tc>
            </w:tr>
            <w:tr w14:paraId="5C12C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3EF442DE">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Cs w:val="24"/>
                      <w:u w:val="none"/>
                      <w:lang w:val="en-US" w:eastAsia="zh-CN"/>
                    </w:rPr>
                    <w:t>切割机1</w:t>
                  </w:r>
                </w:p>
              </w:tc>
              <w:tc>
                <w:tcPr>
                  <w:tcW w:w="509" w:type="pct"/>
                  <w:tcBorders>
                    <w:tl2br w:val="nil"/>
                    <w:tr2bl w:val="nil"/>
                  </w:tcBorders>
                  <w:shd w:val="clear" w:color="auto" w:fill="auto"/>
                  <w:noWrap w:val="0"/>
                  <w:vAlign w:val="center"/>
                </w:tcPr>
                <w:p w14:paraId="4135F06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07F5ED1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37.04 </w:t>
                  </w:r>
                </w:p>
              </w:tc>
              <w:tc>
                <w:tcPr>
                  <w:tcW w:w="815" w:type="dxa"/>
                  <w:tcBorders>
                    <w:tl2br w:val="nil"/>
                    <w:tr2bl w:val="nil"/>
                  </w:tcBorders>
                  <w:noWrap w:val="0"/>
                  <w:vAlign w:val="center"/>
                </w:tcPr>
                <w:p w14:paraId="1F6CEAA3">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36.06 </w:t>
                  </w:r>
                </w:p>
              </w:tc>
              <w:tc>
                <w:tcPr>
                  <w:tcW w:w="781" w:type="dxa"/>
                  <w:tcBorders>
                    <w:tl2br w:val="nil"/>
                    <w:tr2bl w:val="nil"/>
                  </w:tcBorders>
                  <w:noWrap w:val="0"/>
                  <w:vAlign w:val="center"/>
                </w:tcPr>
                <w:p w14:paraId="796982C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29.44 </w:t>
                  </w:r>
                </w:p>
              </w:tc>
              <w:tc>
                <w:tcPr>
                  <w:tcW w:w="748" w:type="dxa"/>
                  <w:tcBorders>
                    <w:tl2br w:val="nil"/>
                    <w:tr2bl w:val="nil"/>
                  </w:tcBorders>
                  <w:noWrap w:val="0"/>
                  <w:vAlign w:val="center"/>
                </w:tcPr>
                <w:p w14:paraId="3E38E46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38.15 </w:t>
                  </w:r>
                </w:p>
              </w:tc>
              <w:tc>
                <w:tcPr>
                  <w:tcW w:w="1138" w:type="dxa"/>
                  <w:tcBorders>
                    <w:tl2br w:val="nil"/>
                    <w:tr2bl w:val="nil"/>
                  </w:tcBorders>
                  <w:noWrap w:val="0"/>
                  <w:vAlign w:val="center"/>
                </w:tcPr>
                <w:p w14:paraId="5D7A11D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29.44 </w:t>
                  </w:r>
                </w:p>
              </w:tc>
              <w:tc>
                <w:tcPr>
                  <w:tcW w:w="1138" w:type="dxa"/>
                  <w:tcBorders>
                    <w:tl2br w:val="nil"/>
                    <w:tr2bl w:val="nil"/>
                  </w:tcBorders>
                  <w:noWrap w:val="0"/>
                  <w:vAlign w:val="center"/>
                </w:tcPr>
                <w:p w14:paraId="6EBBD0C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28.88 </w:t>
                  </w:r>
                </w:p>
              </w:tc>
              <w:tc>
                <w:tcPr>
                  <w:tcW w:w="1140" w:type="dxa"/>
                  <w:tcBorders>
                    <w:tl2br w:val="nil"/>
                    <w:tr2bl w:val="nil"/>
                  </w:tcBorders>
                  <w:noWrap w:val="0"/>
                  <w:vAlign w:val="center"/>
                </w:tcPr>
                <w:p w14:paraId="58B72BF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30.04 </w:t>
                  </w:r>
                </w:p>
              </w:tc>
            </w:tr>
            <w:tr w14:paraId="15236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1290983A">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Cs w:val="24"/>
                      <w:u w:val="none"/>
                      <w:lang w:val="en-US" w:eastAsia="zh-CN"/>
                    </w:rPr>
                    <w:t>切割机2</w:t>
                  </w:r>
                </w:p>
              </w:tc>
              <w:tc>
                <w:tcPr>
                  <w:tcW w:w="509" w:type="pct"/>
                  <w:tcBorders>
                    <w:tl2br w:val="nil"/>
                    <w:tr2bl w:val="nil"/>
                  </w:tcBorders>
                  <w:shd w:val="clear" w:color="auto" w:fill="auto"/>
                  <w:noWrap w:val="0"/>
                  <w:vAlign w:val="center"/>
                </w:tcPr>
                <w:p w14:paraId="2D8BD2B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71BC121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37.04 </w:t>
                  </w:r>
                </w:p>
              </w:tc>
              <w:tc>
                <w:tcPr>
                  <w:tcW w:w="815" w:type="dxa"/>
                  <w:tcBorders>
                    <w:tl2br w:val="nil"/>
                    <w:tr2bl w:val="nil"/>
                  </w:tcBorders>
                  <w:noWrap w:val="0"/>
                  <w:vAlign w:val="center"/>
                </w:tcPr>
                <w:p w14:paraId="3635850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37.40 </w:t>
                  </w:r>
                </w:p>
              </w:tc>
              <w:tc>
                <w:tcPr>
                  <w:tcW w:w="781" w:type="dxa"/>
                  <w:tcBorders>
                    <w:tl2br w:val="nil"/>
                    <w:tr2bl w:val="nil"/>
                  </w:tcBorders>
                  <w:noWrap w:val="0"/>
                  <w:vAlign w:val="center"/>
                </w:tcPr>
                <w:p w14:paraId="2B5FB46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29.44 </w:t>
                  </w:r>
                </w:p>
              </w:tc>
              <w:tc>
                <w:tcPr>
                  <w:tcW w:w="748" w:type="dxa"/>
                  <w:tcBorders>
                    <w:tl2br w:val="nil"/>
                    <w:tr2bl w:val="nil"/>
                  </w:tcBorders>
                  <w:noWrap w:val="0"/>
                  <w:vAlign w:val="center"/>
                </w:tcPr>
                <w:p w14:paraId="06BE623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36.70 </w:t>
                  </w:r>
                </w:p>
              </w:tc>
              <w:tc>
                <w:tcPr>
                  <w:tcW w:w="1138" w:type="dxa"/>
                  <w:tcBorders>
                    <w:tl2br w:val="nil"/>
                    <w:tr2bl w:val="nil"/>
                  </w:tcBorders>
                  <w:noWrap w:val="0"/>
                  <w:vAlign w:val="center"/>
                </w:tcPr>
                <w:p w14:paraId="0EE5BFC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29.44 </w:t>
                  </w:r>
                </w:p>
              </w:tc>
              <w:tc>
                <w:tcPr>
                  <w:tcW w:w="1138" w:type="dxa"/>
                  <w:tcBorders>
                    <w:tl2br w:val="nil"/>
                    <w:tr2bl w:val="nil"/>
                  </w:tcBorders>
                  <w:noWrap w:val="0"/>
                  <w:vAlign w:val="center"/>
                </w:tcPr>
                <w:p w14:paraId="19314EB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28.88 </w:t>
                  </w:r>
                </w:p>
              </w:tc>
              <w:tc>
                <w:tcPr>
                  <w:tcW w:w="1140" w:type="dxa"/>
                  <w:tcBorders>
                    <w:tl2br w:val="nil"/>
                    <w:tr2bl w:val="nil"/>
                  </w:tcBorders>
                  <w:noWrap w:val="0"/>
                  <w:vAlign w:val="center"/>
                </w:tcPr>
                <w:p w14:paraId="2C81308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30.04 </w:t>
                  </w:r>
                </w:p>
              </w:tc>
            </w:tr>
            <w:tr w14:paraId="78B5E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1CD17D11">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Cs w:val="24"/>
                      <w:u w:val="none"/>
                      <w:lang w:val="en-US" w:eastAsia="zh-CN"/>
                    </w:rPr>
                    <w:t>输送机1</w:t>
                  </w:r>
                </w:p>
              </w:tc>
              <w:tc>
                <w:tcPr>
                  <w:tcW w:w="509" w:type="pct"/>
                  <w:tcBorders>
                    <w:tl2br w:val="nil"/>
                    <w:tr2bl w:val="nil"/>
                  </w:tcBorders>
                  <w:shd w:val="clear" w:color="auto" w:fill="auto"/>
                  <w:noWrap w:val="0"/>
                  <w:vAlign w:val="center"/>
                </w:tcPr>
                <w:p w14:paraId="7D93511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659DEE4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32.54 </w:t>
                  </w:r>
                </w:p>
              </w:tc>
              <w:tc>
                <w:tcPr>
                  <w:tcW w:w="815" w:type="dxa"/>
                  <w:tcBorders>
                    <w:tl2br w:val="nil"/>
                    <w:tr2bl w:val="nil"/>
                  </w:tcBorders>
                  <w:noWrap w:val="0"/>
                  <w:vAlign w:val="center"/>
                </w:tcPr>
                <w:p w14:paraId="4D1EFC5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36.06 </w:t>
                  </w:r>
                </w:p>
              </w:tc>
              <w:tc>
                <w:tcPr>
                  <w:tcW w:w="781" w:type="dxa"/>
                  <w:tcBorders>
                    <w:tl2br w:val="nil"/>
                    <w:tr2bl w:val="nil"/>
                  </w:tcBorders>
                  <w:noWrap w:val="0"/>
                  <w:vAlign w:val="center"/>
                </w:tcPr>
                <w:p w14:paraId="3C69BA5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32.33 </w:t>
                  </w:r>
                </w:p>
              </w:tc>
              <w:tc>
                <w:tcPr>
                  <w:tcW w:w="748" w:type="dxa"/>
                  <w:tcBorders>
                    <w:tl2br w:val="nil"/>
                    <w:tr2bl w:val="nil"/>
                  </w:tcBorders>
                  <w:noWrap w:val="0"/>
                  <w:vAlign w:val="center"/>
                </w:tcPr>
                <w:p w14:paraId="5C5356B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38.15 </w:t>
                  </w:r>
                </w:p>
              </w:tc>
              <w:tc>
                <w:tcPr>
                  <w:tcW w:w="1138" w:type="dxa"/>
                  <w:tcBorders>
                    <w:tl2br w:val="nil"/>
                    <w:tr2bl w:val="nil"/>
                  </w:tcBorders>
                  <w:noWrap w:val="0"/>
                  <w:vAlign w:val="center"/>
                </w:tcPr>
                <w:p w14:paraId="1B6FDD2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27.27 </w:t>
                  </w:r>
                </w:p>
              </w:tc>
              <w:tc>
                <w:tcPr>
                  <w:tcW w:w="1138" w:type="dxa"/>
                  <w:tcBorders>
                    <w:tl2br w:val="nil"/>
                    <w:tr2bl w:val="nil"/>
                  </w:tcBorders>
                  <w:noWrap w:val="0"/>
                  <w:vAlign w:val="center"/>
                </w:tcPr>
                <w:p w14:paraId="45DEA79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31.56 </w:t>
                  </w:r>
                </w:p>
              </w:tc>
              <w:tc>
                <w:tcPr>
                  <w:tcW w:w="1140" w:type="dxa"/>
                  <w:tcBorders>
                    <w:tl2br w:val="nil"/>
                    <w:tr2bl w:val="nil"/>
                  </w:tcBorders>
                  <w:noWrap w:val="0"/>
                  <w:vAlign w:val="center"/>
                </w:tcPr>
                <w:p w14:paraId="20C3B6F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27.73 </w:t>
                  </w:r>
                </w:p>
              </w:tc>
            </w:tr>
            <w:tr w14:paraId="6D837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347414F1">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none" w:color="auto"/>
                      <w:lang w:val="en-US" w:eastAsia="zh-CN" w:bidi="ar-SA"/>
                    </w:rPr>
                  </w:pPr>
                  <w:r>
                    <w:rPr>
                      <w:rFonts w:hint="eastAsia"/>
                      <w:color w:val="auto"/>
                      <w:szCs w:val="24"/>
                      <w:u w:val="none"/>
                      <w:lang w:val="en-US" w:eastAsia="zh-CN"/>
                    </w:rPr>
                    <w:t>输送机2</w:t>
                  </w:r>
                </w:p>
              </w:tc>
              <w:tc>
                <w:tcPr>
                  <w:tcW w:w="509" w:type="pct"/>
                  <w:tcBorders>
                    <w:tl2br w:val="nil"/>
                    <w:tr2bl w:val="nil"/>
                  </w:tcBorders>
                  <w:shd w:val="clear" w:color="auto" w:fill="auto"/>
                  <w:noWrap w:val="0"/>
                  <w:vAlign w:val="center"/>
                </w:tcPr>
                <w:p w14:paraId="4412CA4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7ACCC4A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32.54 </w:t>
                  </w:r>
                </w:p>
              </w:tc>
              <w:tc>
                <w:tcPr>
                  <w:tcW w:w="815" w:type="dxa"/>
                  <w:tcBorders>
                    <w:tl2br w:val="nil"/>
                    <w:tr2bl w:val="nil"/>
                  </w:tcBorders>
                  <w:noWrap w:val="0"/>
                  <w:vAlign w:val="center"/>
                </w:tcPr>
                <w:p w14:paraId="08D8299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37.40 </w:t>
                  </w:r>
                </w:p>
              </w:tc>
              <w:tc>
                <w:tcPr>
                  <w:tcW w:w="781" w:type="dxa"/>
                  <w:tcBorders>
                    <w:tl2br w:val="nil"/>
                    <w:tr2bl w:val="nil"/>
                  </w:tcBorders>
                  <w:noWrap w:val="0"/>
                  <w:vAlign w:val="center"/>
                </w:tcPr>
                <w:p w14:paraId="663C437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32.33 </w:t>
                  </w:r>
                </w:p>
              </w:tc>
              <w:tc>
                <w:tcPr>
                  <w:tcW w:w="748" w:type="dxa"/>
                  <w:tcBorders>
                    <w:tl2br w:val="nil"/>
                    <w:tr2bl w:val="nil"/>
                  </w:tcBorders>
                  <w:noWrap w:val="0"/>
                  <w:vAlign w:val="center"/>
                </w:tcPr>
                <w:p w14:paraId="07C271B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36.70 </w:t>
                  </w:r>
                </w:p>
              </w:tc>
              <w:tc>
                <w:tcPr>
                  <w:tcW w:w="1138" w:type="dxa"/>
                  <w:tcBorders>
                    <w:tl2br w:val="nil"/>
                    <w:tr2bl w:val="nil"/>
                  </w:tcBorders>
                  <w:noWrap w:val="0"/>
                  <w:vAlign w:val="center"/>
                </w:tcPr>
                <w:p w14:paraId="2361955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27.27 </w:t>
                  </w:r>
                </w:p>
              </w:tc>
              <w:tc>
                <w:tcPr>
                  <w:tcW w:w="1138" w:type="dxa"/>
                  <w:tcBorders>
                    <w:tl2br w:val="nil"/>
                    <w:tr2bl w:val="nil"/>
                  </w:tcBorders>
                  <w:noWrap w:val="0"/>
                  <w:vAlign w:val="center"/>
                </w:tcPr>
                <w:p w14:paraId="3707571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31.56 </w:t>
                  </w:r>
                </w:p>
              </w:tc>
              <w:tc>
                <w:tcPr>
                  <w:tcW w:w="1140" w:type="dxa"/>
                  <w:tcBorders>
                    <w:tl2br w:val="nil"/>
                    <w:tr2bl w:val="nil"/>
                  </w:tcBorders>
                  <w:noWrap w:val="0"/>
                  <w:vAlign w:val="center"/>
                </w:tcPr>
                <w:p w14:paraId="19E67E1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27.73 </w:t>
                  </w:r>
                </w:p>
              </w:tc>
            </w:tr>
            <w:tr w14:paraId="0011D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3A364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kern w:val="0"/>
                      <w:sz w:val="21"/>
                      <w:szCs w:val="24"/>
                      <w:u w:val="none"/>
                      <w:lang w:val="en-US" w:eastAsia="zh-CN"/>
                    </w:rPr>
                    <w:t>提升机1</w:t>
                  </w:r>
                </w:p>
              </w:tc>
              <w:tc>
                <w:tcPr>
                  <w:tcW w:w="509" w:type="pct"/>
                  <w:tcBorders>
                    <w:tl2br w:val="nil"/>
                    <w:tr2bl w:val="nil"/>
                  </w:tcBorders>
                  <w:shd w:val="clear" w:color="auto" w:fill="auto"/>
                  <w:noWrap w:val="0"/>
                  <w:vAlign w:val="center"/>
                </w:tcPr>
                <w:p w14:paraId="5150F65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55C2AA6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32.33 </w:t>
                  </w:r>
                </w:p>
              </w:tc>
              <w:tc>
                <w:tcPr>
                  <w:tcW w:w="815" w:type="dxa"/>
                  <w:tcBorders>
                    <w:tl2br w:val="nil"/>
                    <w:tr2bl w:val="nil"/>
                  </w:tcBorders>
                  <w:noWrap w:val="0"/>
                  <w:vAlign w:val="center"/>
                </w:tcPr>
                <w:p w14:paraId="59BD696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36.06 </w:t>
                  </w:r>
                </w:p>
              </w:tc>
              <w:tc>
                <w:tcPr>
                  <w:tcW w:w="781" w:type="dxa"/>
                  <w:tcBorders>
                    <w:tl2br w:val="nil"/>
                    <w:tr2bl w:val="nil"/>
                  </w:tcBorders>
                  <w:noWrap w:val="0"/>
                  <w:vAlign w:val="center"/>
                </w:tcPr>
                <w:p w14:paraId="6CA8D89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32.54 </w:t>
                  </w:r>
                </w:p>
              </w:tc>
              <w:tc>
                <w:tcPr>
                  <w:tcW w:w="748" w:type="dxa"/>
                  <w:tcBorders>
                    <w:tl2br w:val="nil"/>
                    <w:tr2bl w:val="nil"/>
                  </w:tcBorders>
                  <w:noWrap w:val="0"/>
                  <w:vAlign w:val="center"/>
                </w:tcPr>
                <w:p w14:paraId="3E7ACAB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38.15 </w:t>
                  </w:r>
                </w:p>
              </w:tc>
              <w:tc>
                <w:tcPr>
                  <w:tcW w:w="1138" w:type="dxa"/>
                  <w:tcBorders>
                    <w:tl2br w:val="nil"/>
                    <w:tr2bl w:val="nil"/>
                  </w:tcBorders>
                  <w:noWrap w:val="0"/>
                  <w:vAlign w:val="center"/>
                </w:tcPr>
                <w:p w14:paraId="0A38BA6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27.16 </w:t>
                  </w:r>
                </w:p>
              </w:tc>
              <w:tc>
                <w:tcPr>
                  <w:tcW w:w="1138" w:type="dxa"/>
                  <w:tcBorders>
                    <w:tl2br w:val="nil"/>
                    <w:tr2bl w:val="nil"/>
                  </w:tcBorders>
                  <w:noWrap w:val="0"/>
                  <w:vAlign w:val="center"/>
                </w:tcPr>
                <w:p w14:paraId="36564A5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31.74 </w:t>
                  </w:r>
                </w:p>
              </w:tc>
              <w:tc>
                <w:tcPr>
                  <w:tcW w:w="1140" w:type="dxa"/>
                  <w:tcBorders>
                    <w:tl2br w:val="nil"/>
                    <w:tr2bl w:val="nil"/>
                  </w:tcBorders>
                  <w:noWrap w:val="0"/>
                  <w:vAlign w:val="center"/>
                </w:tcPr>
                <w:p w14:paraId="2DDCD77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27.62 </w:t>
                  </w:r>
                </w:p>
              </w:tc>
            </w:tr>
            <w:tr w14:paraId="230E6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45796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kern w:val="0"/>
                      <w:sz w:val="21"/>
                      <w:szCs w:val="24"/>
                      <w:u w:val="none"/>
                      <w:lang w:val="en-US" w:eastAsia="zh-CN"/>
                    </w:rPr>
                    <w:t>提升机2</w:t>
                  </w:r>
                </w:p>
              </w:tc>
              <w:tc>
                <w:tcPr>
                  <w:tcW w:w="509" w:type="pct"/>
                  <w:tcBorders>
                    <w:tl2br w:val="nil"/>
                    <w:tr2bl w:val="nil"/>
                  </w:tcBorders>
                  <w:shd w:val="clear" w:color="auto" w:fill="auto"/>
                  <w:noWrap w:val="0"/>
                  <w:vAlign w:val="center"/>
                </w:tcPr>
                <w:p w14:paraId="097C5E5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5</w:t>
                  </w:r>
                </w:p>
              </w:tc>
              <w:tc>
                <w:tcPr>
                  <w:tcW w:w="783" w:type="dxa"/>
                  <w:tcBorders>
                    <w:tl2br w:val="nil"/>
                    <w:tr2bl w:val="nil"/>
                  </w:tcBorders>
                  <w:noWrap w:val="0"/>
                  <w:vAlign w:val="center"/>
                </w:tcPr>
                <w:p w14:paraId="7917D7E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32.33 </w:t>
                  </w:r>
                </w:p>
              </w:tc>
              <w:tc>
                <w:tcPr>
                  <w:tcW w:w="815" w:type="dxa"/>
                  <w:tcBorders>
                    <w:tl2br w:val="nil"/>
                    <w:tr2bl w:val="nil"/>
                  </w:tcBorders>
                  <w:noWrap w:val="0"/>
                  <w:vAlign w:val="center"/>
                </w:tcPr>
                <w:p w14:paraId="5EA3051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37.40 </w:t>
                  </w:r>
                </w:p>
              </w:tc>
              <w:tc>
                <w:tcPr>
                  <w:tcW w:w="781" w:type="dxa"/>
                  <w:tcBorders>
                    <w:tl2br w:val="nil"/>
                    <w:tr2bl w:val="nil"/>
                  </w:tcBorders>
                  <w:noWrap w:val="0"/>
                  <w:vAlign w:val="center"/>
                </w:tcPr>
                <w:p w14:paraId="767F272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32.54 </w:t>
                  </w:r>
                </w:p>
              </w:tc>
              <w:tc>
                <w:tcPr>
                  <w:tcW w:w="748" w:type="dxa"/>
                  <w:tcBorders>
                    <w:tl2br w:val="nil"/>
                    <w:tr2bl w:val="nil"/>
                  </w:tcBorders>
                  <w:noWrap w:val="0"/>
                  <w:vAlign w:val="center"/>
                </w:tcPr>
                <w:p w14:paraId="04BFAE8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36.70 </w:t>
                  </w:r>
                </w:p>
              </w:tc>
              <w:tc>
                <w:tcPr>
                  <w:tcW w:w="1138" w:type="dxa"/>
                  <w:tcBorders>
                    <w:tl2br w:val="nil"/>
                    <w:tr2bl w:val="nil"/>
                  </w:tcBorders>
                  <w:noWrap w:val="0"/>
                  <w:vAlign w:val="center"/>
                </w:tcPr>
                <w:p w14:paraId="0C60715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27.16 </w:t>
                  </w:r>
                </w:p>
              </w:tc>
              <w:tc>
                <w:tcPr>
                  <w:tcW w:w="1138" w:type="dxa"/>
                  <w:tcBorders>
                    <w:tl2br w:val="nil"/>
                    <w:tr2bl w:val="nil"/>
                  </w:tcBorders>
                  <w:noWrap w:val="0"/>
                  <w:vAlign w:val="center"/>
                </w:tcPr>
                <w:p w14:paraId="785C138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31.74 </w:t>
                  </w:r>
                </w:p>
              </w:tc>
              <w:tc>
                <w:tcPr>
                  <w:tcW w:w="1140" w:type="dxa"/>
                  <w:tcBorders>
                    <w:tl2br w:val="nil"/>
                    <w:tr2bl w:val="nil"/>
                  </w:tcBorders>
                  <w:noWrap w:val="0"/>
                  <w:vAlign w:val="center"/>
                </w:tcPr>
                <w:p w14:paraId="3DD6643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27.62 </w:t>
                  </w:r>
                </w:p>
              </w:tc>
            </w:tr>
            <w:tr w14:paraId="29A9A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79C3D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kern w:val="0"/>
                      <w:sz w:val="21"/>
                      <w:szCs w:val="24"/>
                      <w:u w:val="none"/>
                      <w:lang w:val="en-US" w:eastAsia="zh-CN"/>
                    </w:rPr>
                    <w:t>压滤机</w:t>
                  </w:r>
                </w:p>
              </w:tc>
              <w:tc>
                <w:tcPr>
                  <w:tcW w:w="509" w:type="pct"/>
                  <w:tcBorders>
                    <w:tl2br w:val="nil"/>
                    <w:tr2bl w:val="nil"/>
                  </w:tcBorders>
                  <w:shd w:val="clear" w:color="auto" w:fill="auto"/>
                  <w:noWrap w:val="0"/>
                  <w:vAlign w:val="center"/>
                </w:tcPr>
                <w:p w14:paraId="2C55637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60</w:t>
                  </w:r>
                </w:p>
              </w:tc>
              <w:tc>
                <w:tcPr>
                  <w:tcW w:w="783" w:type="dxa"/>
                  <w:tcBorders>
                    <w:tl2br w:val="nil"/>
                    <w:tr2bl w:val="nil"/>
                  </w:tcBorders>
                  <w:noWrap w:val="0"/>
                  <w:vAlign w:val="center"/>
                </w:tcPr>
                <w:p w14:paraId="3DE6917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32.04 </w:t>
                  </w:r>
                </w:p>
              </w:tc>
              <w:tc>
                <w:tcPr>
                  <w:tcW w:w="815" w:type="dxa"/>
                  <w:tcBorders>
                    <w:tl2br w:val="nil"/>
                    <w:tr2bl w:val="nil"/>
                  </w:tcBorders>
                  <w:noWrap w:val="0"/>
                  <w:vAlign w:val="center"/>
                </w:tcPr>
                <w:p w14:paraId="765898B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781" w:type="dxa"/>
                  <w:tcBorders>
                    <w:tl2br w:val="nil"/>
                    <w:tr2bl w:val="nil"/>
                  </w:tcBorders>
                  <w:noWrap w:val="0"/>
                  <w:vAlign w:val="center"/>
                </w:tcPr>
                <w:p w14:paraId="676DF05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31.37 </w:t>
                  </w:r>
                </w:p>
              </w:tc>
              <w:tc>
                <w:tcPr>
                  <w:tcW w:w="748" w:type="dxa"/>
                  <w:tcBorders>
                    <w:tl2br w:val="nil"/>
                    <w:tr2bl w:val="nil"/>
                  </w:tcBorders>
                  <w:noWrap w:val="0"/>
                  <w:vAlign w:val="center"/>
                </w:tcPr>
                <w:p w14:paraId="18530E4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38.42 </w:t>
                  </w:r>
                </w:p>
              </w:tc>
              <w:tc>
                <w:tcPr>
                  <w:tcW w:w="1138" w:type="dxa"/>
                  <w:tcBorders>
                    <w:tl2br w:val="nil"/>
                    <w:tr2bl w:val="nil"/>
                  </w:tcBorders>
                  <w:noWrap w:val="0"/>
                  <w:vAlign w:val="center"/>
                </w:tcPr>
                <w:p w14:paraId="59FC70F3">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18.79 </w:t>
                  </w:r>
                </w:p>
              </w:tc>
              <w:tc>
                <w:tcPr>
                  <w:tcW w:w="1138" w:type="dxa"/>
                  <w:tcBorders>
                    <w:tl2br w:val="nil"/>
                    <w:tr2bl w:val="nil"/>
                  </w:tcBorders>
                  <w:noWrap w:val="0"/>
                  <w:vAlign w:val="center"/>
                </w:tcPr>
                <w:p w14:paraId="7FDDE67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33.15 </w:t>
                  </w:r>
                </w:p>
              </w:tc>
              <w:tc>
                <w:tcPr>
                  <w:tcW w:w="1140" w:type="dxa"/>
                  <w:tcBorders>
                    <w:tl2br w:val="nil"/>
                    <w:tr2bl w:val="nil"/>
                  </w:tcBorders>
                  <w:noWrap w:val="0"/>
                  <w:vAlign w:val="center"/>
                </w:tcPr>
                <w:p w14:paraId="75E2134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18.06 </w:t>
                  </w:r>
                </w:p>
              </w:tc>
            </w:tr>
            <w:tr w14:paraId="46D64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1310C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kern w:val="0"/>
                      <w:sz w:val="21"/>
                      <w:szCs w:val="24"/>
                      <w:u w:val="none"/>
                      <w:lang w:val="en-US" w:eastAsia="zh-CN"/>
                    </w:rPr>
                    <w:t>水泵</w:t>
                  </w:r>
                </w:p>
              </w:tc>
              <w:tc>
                <w:tcPr>
                  <w:tcW w:w="509" w:type="pct"/>
                  <w:tcBorders>
                    <w:tl2br w:val="nil"/>
                    <w:tr2bl w:val="nil"/>
                  </w:tcBorders>
                  <w:shd w:val="clear" w:color="auto" w:fill="auto"/>
                  <w:noWrap w:val="0"/>
                  <w:vAlign w:val="center"/>
                </w:tcPr>
                <w:p w14:paraId="5CEF031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60</w:t>
                  </w:r>
                </w:p>
              </w:tc>
              <w:tc>
                <w:tcPr>
                  <w:tcW w:w="783" w:type="dxa"/>
                  <w:tcBorders>
                    <w:tl2br w:val="nil"/>
                    <w:tr2bl w:val="nil"/>
                  </w:tcBorders>
                  <w:noWrap w:val="0"/>
                  <w:vAlign w:val="center"/>
                </w:tcPr>
                <w:p w14:paraId="3F357B50">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32.04 </w:t>
                  </w:r>
                </w:p>
              </w:tc>
              <w:tc>
                <w:tcPr>
                  <w:tcW w:w="815" w:type="dxa"/>
                  <w:tcBorders>
                    <w:tl2br w:val="nil"/>
                    <w:tr2bl w:val="nil"/>
                  </w:tcBorders>
                  <w:noWrap w:val="0"/>
                  <w:vAlign w:val="center"/>
                </w:tcPr>
                <w:p w14:paraId="7574A21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781" w:type="dxa"/>
                  <w:tcBorders>
                    <w:tl2br w:val="nil"/>
                    <w:tr2bl w:val="nil"/>
                  </w:tcBorders>
                  <w:noWrap w:val="0"/>
                  <w:vAlign w:val="center"/>
                </w:tcPr>
                <w:p w14:paraId="5439D82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31.37 </w:t>
                  </w:r>
                </w:p>
              </w:tc>
              <w:tc>
                <w:tcPr>
                  <w:tcW w:w="748" w:type="dxa"/>
                  <w:tcBorders>
                    <w:tl2br w:val="nil"/>
                    <w:tr2bl w:val="nil"/>
                  </w:tcBorders>
                  <w:noWrap w:val="0"/>
                  <w:vAlign w:val="center"/>
                </w:tcPr>
                <w:p w14:paraId="00DA44D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35.39 </w:t>
                  </w:r>
                </w:p>
              </w:tc>
              <w:tc>
                <w:tcPr>
                  <w:tcW w:w="1138" w:type="dxa"/>
                  <w:tcBorders>
                    <w:tl2br w:val="nil"/>
                    <w:tr2bl w:val="nil"/>
                  </w:tcBorders>
                  <w:noWrap w:val="0"/>
                  <w:vAlign w:val="center"/>
                </w:tcPr>
                <w:p w14:paraId="60F51F9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18.79 </w:t>
                  </w:r>
                </w:p>
              </w:tc>
              <w:tc>
                <w:tcPr>
                  <w:tcW w:w="1138" w:type="dxa"/>
                  <w:tcBorders>
                    <w:tl2br w:val="nil"/>
                    <w:tr2bl w:val="nil"/>
                  </w:tcBorders>
                  <w:noWrap w:val="0"/>
                  <w:vAlign w:val="center"/>
                </w:tcPr>
                <w:p w14:paraId="7CF8625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31.37 </w:t>
                  </w:r>
                </w:p>
              </w:tc>
              <w:tc>
                <w:tcPr>
                  <w:tcW w:w="1140" w:type="dxa"/>
                  <w:tcBorders>
                    <w:tl2br w:val="nil"/>
                    <w:tr2bl w:val="nil"/>
                  </w:tcBorders>
                  <w:noWrap w:val="0"/>
                  <w:vAlign w:val="center"/>
                </w:tcPr>
                <w:p w14:paraId="74E0D5E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18.06 </w:t>
                  </w:r>
                </w:p>
              </w:tc>
            </w:tr>
            <w:tr w14:paraId="0B318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1118CC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猪叫</w:t>
                  </w:r>
                </w:p>
              </w:tc>
              <w:tc>
                <w:tcPr>
                  <w:tcW w:w="509" w:type="pct"/>
                  <w:tcBorders>
                    <w:tl2br w:val="nil"/>
                    <w:tr2bl w:val="nil"/>
                  </w:tcBorders>
                  <w:shd w:val="clear" w:color="auto" w:fill="auto"/>
                  <w:noWrap w:val="0"/>
                  <w:vAlign w:val="center"/>
                </w:tcPr>
                <w:p w14:paraId="52B92AE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60</w:t>
                  </w:r>
                </w:p>
              </w:tc>
              <w:tc>
                <w:tcPr>
                  <w:tcW w:w="783" w:type="dxa"/>
                  <w:tcBorders>
                    <w:tl2br w:val="nil"/>
                    <w:tr2bl w:val="nil"/>
                  </w:tcBorders>
                  <w:noWrap w:val="0"/>
                  <w:vAlign w:val="center"/>
                </w:tcPr>
                <w:p w14:paraId="6FA32D35">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23.74 </w:t>
                  </w:r>
                </w:p>
              </w:tc>
              <w:tc>
                <w:tcPr>
                  <w:tcW w:w="815" w:type="dxa"/>
                  <w:tcBorders>
                    <w:tl2br w:val="nil"/>
                    <w:tr2bl w:val="nil"/>
                  </w:tcBorders>
                  <w:noWrap w:val="0"/>
                  <w:vAlign w:val="center"/>
                </w:tcPr>
                <w:p w14:paraId="79D238C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28.87 </w:t>
                  </w:r>
                </w:p>
              </w:tc>
              <w:tc>
                <w:tcPr>
                  <w:tcW w:w="781" w:type="dxa"/>
                  <w:tcBorders>
                    <w:tl2br w:val="nil"/>
                    <w:tr2bl w:val="nil"/>
                  </w:tcBorders>
                  <w:noWrap w:val="0"/>
                  <w:vAlign w:val="center"/>
                </w:tcPr>
                <w:p w14:paraId="6060FD2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33.98 </w:t>
                  </w:r>
                </w:p>
              </w:tc>
              <w:tc>
                <w:tcPr>
                  <w:tcW w:w="748" w:type="dxa"/>
                  <w:tcBorders>
                    <w:tl2br w:val="nil"/>
                    <w:tr2bl w:val="nil"/>
                  </w:tcBorders>
                  <w:noWrap w:val="0"/>
                  <w:vAlign w:val="center"/>
                </w:tcPr>
                <w:p w14:paraId="5A08A16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32.40 </w:t>
                  </w:r>
                </w:p>
              </w:tc>
              <w:tc>
                <w:tcPr>
                  <w:tcW w:w="1138" w:type="dxa"/>
                  <w:tcBorders>
                    <w:tl2br w:val="nil"/>
                    <w:tr2bl w:val="nil"/>
                  </w:tcBorders>
                  <w:noWrap w:val="0"/>
                  <w:vAlign w:val="center"/>
                </w:tcPr>
                <w:p w14:paraId="426F2FE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20.00 </w:t>
                  </w:r>
                </w:p>
              </w:tc>
              <w:tc>
                <w:tcPr>
                  <w:tcW w:w="1138" w:type="dxa"/>
                  <w:tcBorders>
                    <w:tl2br w:val="nil"/>
                    <w:tr2bl w:val="nil"/>
                  </w:tcBorders>
                  <w:noWrap w:val="0"/>
                  <w:vAlign w:val="center"/>
                </w:tcPr>
                <w:p w14:paraId="75BB1C11">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32.40 </w:t>
                  </w:r>
                </w:p>
              </w:tc>
              <w:tc>
                <w:tcPr>
                  <w:tcW w:w="1140" w:type="dxa"/>
                  <w:tcBorders>
                    <w:tl2br w:val="nil"/>
                    <w:tr2bl w:val="nil"/>
                  </w:tcBorders>
                  <w:noWrap w:val="0"/>
                  <w:vAlign w:val="center"/>
                </w:tcPr>
                <w:p w14:paraId="48DA21E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20.35 </w:t>
                  </w:r>
                </w:p>
              </w:tc>
            </w:tr>
            <w:tr w14:paraId="46CDC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72F9D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牛叫</w:t>
                  </w:r>
                </w:p>
              </w:tc>
              <w:tc>
                <w:tcPr>
                  <w:tcW w:w="509" w:type="pct"/>
                  <w:tcBorders>
                    <w:tl2br w:val="nil"/>
                    <w:tr2bl w:val="nil"/>
                  </w:tcBorders>
                  <w:shd w:val="clear" w:color="auto" w:fill="auto"/>
                  <w:noWrap w:val="0"/>
                  <w:vAlign w:val="center"/>
                </w:tcPr>
                <w:p w14:paraId="622893B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60</w:t>
                  </w:r>
                </w:p>
              </w:tc>
              <w:tc>
                <w:tcPr>
                  <w:tcW w:w="783" w:type="dxa"/>
                  <w:tcBorders>
                    <w:tl2br w:val="nil"/>
                    <w:tr2bl w:val="nil"/>
                  </w:tcBorders>
                  <w:noWrap w:val="0"/>
                  <w:vAlign w:val="center"/>
                </w:tcPr>
                <w:p w14:paraId="71FC2E2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23.74 </w:t>
                  </w:r>
                </w:p>
              </w:tc>
              <w:tc>
                <w:tcPr>
                  <w:tcW w:w="815" w:type="dxa"/>
                  <w:tcBorders>
                    <w:tl2br w:val="nil"/>
                    <w:tr2bl w:val="nil"/>
                  </w:tcBorders>
                  <w:noWrap w:val="0"/>
                  <w:vAlign w:val="center"/>
                </w:tcPr>
                <w:p w14:paraId="04408B1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28.40 </w:t>
                  </w:r>
                </w:p>
              </w:tc>
              <w:tc>
                <w:tcPr>
                  <w:tcW w:w="781" w:type="dxa"/>
                  <w:tcBorders>
                    <w:tl2br w:val="nil"/>
                    <w:tr2bl w:val="nil"/>
                  </w:tcBorders>
                  <w:noWrap w:val="0"/>
                  <w:vAlign w:val="center"/>
                </w:tcPr>
                <w:p w14:paraId="6E286E64">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33.98 </w:t>
                  </w:r>
                </w:p>
              </w:tc>
              <w:tc>
                <w:tcPr>
                  <w:tcW w:w="748" w:type="dxa"/>
                  <w:tcBorders>
                    <w:tl2br w:val="nil"/>
                    <w:tr2bl w:val="nil"/>
                  </w:tcBorders>
                  <w:noWrap w:val="0"/>
                  <w:vAlign w:val="center"/>
                </w:tcPr>
                <w:p w14:paraId="247D387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33.15 </w:t>
                  </w:r>
                </w:p>
              </w:tc>
              <w:tc>
                <w:tcPr>
                  <w:tcW w:w="1138" w:type="dxa"/>
                  <w:tcBorders>
                    <w:tl2br w:val="nil"/>
                    <w:tr2bl w:val="nil"/>
                  </w:tcBorders>
                  <w:noWrap w:val="0"/>
                  <w:vAlign w:val="center"/>
                </w:tcPr>
                <w:p w14:paraId="5CF7B94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20.00 </w:t>
                  </w:r>
                </w:p>
              </w:tc>
              <w:tc>
                <w:tcPr>
                  <w:tcW w:w="1138" w:type="dxa"/>
                  <w:tcBorders>
                    <w:tl2br w:val="nil"/>
                    <w:tr2bl w:val="nil"/>
                  </w:tcBorders>
                  <w:noWrap w:val="0"/>
                  <w:vAlign w:val="center"/>
                </w:tcPr>
                <w:p w14:paraId="07923DE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32.40 </w:t>
                  </w:r>
                </w:p>
              </w:tc>
              <w:tc>
                <w:tcPr>
                  <w:tcW w:w="1140" w:type="dxa"/>
                  <w:tcBorders>
                    <w:tl2br w:val="nil"/>
                    <w:tr2bl w:val="nil"/>
                  </w:tcBorders>
                  <w:noWrap w:val="0"/>
                  <w:vAlign w:val="center"/>
                </w:tcPr>
                <w:p w14:paraId="1A1F4D9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20.35 </w:t>
                  </w:r>
                </w:p>
              </w:tc>
            </w:tr>
            <w:tr w14:paraId="6AA10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49160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鸡叫</w:t>
                  </w:r>
                </w:p>
              </w:tc>
              <w:tc>
                <w:tcPr>
                  <w:tcW w:w="509" w:type="pct"/>
                  <w:tcBorders>
                    <w:tl2br w:val="nil"/>
                    <w:tr2bl w:val="nil"/>
                  </w:tcBorders>
                  <w:shd w:val="clear" w:color="auto" w:fill="auto"/>
                  <w:noWrap w:val="0"/>
                  <w:vAlign w:val="center"/>
                </w:tcPr>
                <w:p w14:paraId="3EEA62D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45</w:t>
                  </w:r>
                </w:p>
              </w:tc>
              <w:tc>
                <w:tcPr>
                  <w:tcW w:w="783" w:type="dxa"/>
                  <w:tcBorders>
                    <w:tl2br w:val="nil"/>
                    <w:tr2bl w:val="nil"/>
                  </w:tcBorders>
                  <w:noWrap w:val="0"/>
                  <w:vAlign w:val="center"/>
                </w:tcPr>
                <w:p w14:paraId="7AE8719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8.74 </w:t>
                  </w:r>
                </w:p>
              </w:tc>
              <w:tc>
                <w:tcPr>
                  <w:tcW w:w="815" w:type="dxa"/>
                  <w:tcBorders>
                    <w:tl2br w:val="nil"/>
                    <w:tr2bl w:val="nil"/>
                  </w:tcBorders>
                  <w:noWrap w:val="0"/>
                  <w:vAlign w:val="center"/>
                </w:tcPr>
                <w:p w14:paraId="59055AB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12.96 </w:t>
                  </w:r>
                </w:p>
              </w:tc>
              <w:tc>
                <w:tcPr>
                  <w:tcW w:w="781" w:type="dxa"/>
                  <w:tcBorders>
                    <w:tl2br w:val="nil"/>
                    <w:tr2bl w:val="nil"/>
                  </w:tcBorders>
                  <w:noWrap w:val="0"/>
                  <w:vAlign w:val="center"/>
                </w:tcPr>
                <w:p w14:paraId="01CA7F0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18.98 </w:t>
                  </w:r>
                </w:p>
              </w:tc>
              <w:tc>
                <w:tcPr>
                  <w:tcW w:w="748" w:type="dxa"/>
                  <w:tcBorders>
                    <w:tl2br w:val="nil"/>
                    <w:tr2bl w:val="nil"/>
                  </w:tcBorders>
                  <w:noWrap w:val="0"/>
                  <w:vAlign w:val="center"/>
                </w:tcPr>
                <w:p w14:paraId="43A006B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18.98 </w:t>
                  </w:r>
                </w:p>
              </w:tc>
              <w:tc>
                <w:tcPr>
                  <w:tcW w:w="1138" w:type="dxa"/>
                  <w:tcBorders>
                    <w:tl2br w:val="nil"/>
                    <w:tr2bl w:val="nil"/>
                  </w:tcBorders>
                  <w:noWrap w:val="0"/>
                  <w:vAlign w:val="center"/>
                </w:tcPr>
                <w:p w14:paraId="608DAB8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5.00 </w:t>
                  </w:r>
                </w:p>
              </w:tc>
              <w:tc>
                <w:tcPr>
                  <w:tcW w:w="1138" w:type="dxa"/>
                  <w:tcBorders>
                    <w:tl2br w:val="nil"/>
                    <w:tr2bl w:val="nil"/>
                  </w:tcBorders>
                  <w:noWrap w:val="0"/>
                  <w:vAlign w:val="center"/>
                </w:tcPr>
                <w:p w14:paraId="0B9C720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17.40 </w:t>
                  </w:r>
                </w:p>
              </w:tc>
              <w:tc>
                <w:tcPr>
                  <w:tcW w:w="1140" w:type="dxa"/>
                  <w:tcBorders>
                    <w:tl2br w:val="nil"/>
                    <w:tr2bl w:val="nil"/>
                  </w:tcBorders>
                  <w:noWrap w:val="0"/>
                  <w:vAlign w:val="center"/>
                </w:tcPr>
                <w:p w14:paraId="73295F2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5.35 </w:t>
                  </w:r>
                </w:p>
              </w:tc>
            </w:tr>
            <w:tr w14:paraId="5B56F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791C05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鸭叫</w:t>
                  </w:r>
                </w:p>
              </w:tc>
              <w:tc>
                <w:tcPr>
                  <w:tcW w:w="509" w:type="pct"/>
                  <w:tcBorders>
                    <w:tl2br w:val="nil"/>
                    <w:tr2bl w:val="nil"/>
                  </w:tcBorders>
                  <w:shd w:val="clear" w:color="auto" w:fill="auto"/>
                  <w:noWrap w:val="0"/>
                  <w:vAlign w:val="center"/>
                </w:tcPr>
                <w:p w14:paraId="07CAC82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45</w:t>
                  </w:r>
                </w:p>
              </w:tc>
              <w:tc>
                <w:tcPr>
                  <w:tcW w:w="783" w:type="dxa"/>
                  <w:tcBorders>
                    <w:tl2br w:val="nil"/>
                    <w:tr2bl w:val="nil"/>
                  </w:tcBorders>
                  <w:noWrap w:val="0"/>
                  <w:vAlign w:val="center"/>
                </w:tcPr>
                <w:p w14:paraId="623B842D">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8.74 </w:t>
                  </w:r>
                </w:p>
              </w:tc>
              <w:tc>
                <w:tcPr>
                  <w:tcW w:w="815" w:type="dxa"/>
                  <w:tcBorders>
                    <w:tl2br w:val="nil"/>
                    <w:tr2bl w:val="nil"/>
                  </w:tcBorders>
                  <w:noWrap w:val="0"/>
                  <w:vAlign w:val="center"/>
                </w:tcPr>
                <w:p w14:paraId="021C13C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12.54 </w:t>
                  </w:r>
                </w:p>
              </w:tc>
              <w:tc>
                <w:tcPr>
                  <w:tcW w:w="781" w:type="dxa"/>
                  <w:tcBorders>
                    <w:tl2br w:val="nil"/>
                    <w:tr2bl w:val="nil"/>
                  </w:tcBorders>
                  <w:noWrap w:val="0"/>
                  <w:vAlign w:val="center"/>
                </w:tcPr>
                <w:p w14:paraId="6D3CF869">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18.98 </w:t>
                  </w:r>
                </w:p>
              </w:tc>
              <w:tc>
                <w:tcPr>
                  <w:tcW w:w="748" w:type="dxa"/>
                  <w:tcBorders>
                    <w:tl2br w:val="nil"/>
                    <w:tr2bl w:val="nil"/>
                  </w:tcBorders>
                  <w:noWrap w:val="0"/>
                  <w:vAlign w:val="center"/>
                </w:tcPr>
                <w:p w14:paraId="5EFD2EEF">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19.89 </w:t>
                  </w:r>
                </w:p>
              </w:tc>
              <w:tc>
                <w:tcPr>
                  <w:tcW w:w="1138" w:type="dxa"/>
                  <w:tcBorders>
                    <w:tl2br w:val="nil"/>
                    <w:tr2bl w:val="nil"/>
                  </w:tcBorders>
                  <w:noWrap w:val="0"/>
                  <w:vAlign w:val="center"/>
                </w:tcPr>
                <w:p w14:paraId="32DA8908">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5.00 </w:t>
                  </w:r>
                </w:p>
              </w:tc>
              <w:tc>
                <w:tcPr>
                  <w:tcW w:w="1138" w:type="dxa"/>
                  <w:tcBorders>
                    <w:tl2br w:val="nil"/>
                    <w:tr2bl w:val="nil"/>
                  </w:tcBorders>
                  <w:noWrap w:val="0"/>
                  <w:vAlign w:val="center"/>
                </w:tcPr>
                <w:p w14:paraId="35EAA6DC">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17.40 </w:t>
                  </w:r>
                </w:p>
              </w:tc>
              <w:tc>
                <w:tcPr>
                  <w:tcW w:w="1140" w:type="dxa"/>
                  <w:tcBorders>
                    <w:tl2br w:val="nil"/>
                    <w:tr2bl w:val="nil"/>
                  </w:tcBorders>
                  <w:noWrap w:val="0"/>
                  <w:vAlign w:val="center"/>
                </w:tcPr>
                <w:p w14:paraId="0629BAD6">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5.35 </w:t>
                  </w:r>
                </w:p>
              </w:tc>
            </w:tr>
            <w:tr w14:paraId="57CD6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642" w:type="pct"/>
                  <w:tcBorders>
                    <w:tl2br w:val="nil"/>
                    <w:tr2bl w:val="nil"/>
                  </w:tcBorders>
                  <w:shd w:val="clear" w:color="auto" w:fill="auto"/>
                  <w:noWrap w:val="0"/>
                  <w:vAlign w:val="center"/>
                </w:tcPr>
                <w:p w14:paraId="559EBE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鹅叫</w:t>
                  </w:r>
                </w:p>
              </w:tc>
              <w:tc>
                <w:tcPr>
                  <w:tcW w:w="509" w:type="pct"/>
                  <w:tcBorders>
                    <w:tl2br w:val="nil"/>
                    <w:tr2bl w:val="nil"/>
                  </w:tcBorders>
                  <w:shd w:val="clear" w:color="auto" w:fill="auto"/>
                  <w:noWrap w:val="0"/>
                  <w:vAlign w:val="center"/>
                </w:tcPr>
                <w:p w14:paraId="08A7B49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45</w:t>
                  </w:r>
                </w:p>
              </w:tc>
              <w:tc>
                <w:tcPr>
                  <w:tcW w:w="783" w:type="dxa"/>
                  <w:tcBorders>
                    <w:tl2br w:val="nil"/>
                    <w:tr2bl w:val="nil"/>
                  </w:tcBorders>
                  <w:noWrap w:val="0"/>
                  <w:vAlign w:val="center"/>
                </w:tcPr>
                <w:p w14:paraId="7F582C3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8.74 </w:t>
                  </w:r>
                </w:p>
              </w:tc>
              <w:tc>
                <w:tcPr>
                  <w:tcW w:w="815" w:type="dxa"/>
                  <w:tcBorders>
                    <w:tl2br w:val="nil"/>
                    <w:tr2bl w:val="nil"/>
                  </w:tcBorders>
                  <w:noWrap w:val="0"/>
                  <w:vAlign w:val="center"/>
                </w:tcPr>
                <w:p w14:paraId="116A8557">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12.13 </w:t>
                  </w:r>
                </w:p>
              </w:tc>
              <w:tc>
                <w:tcPr>
                  <w:tcW w:w="781" w:type="dxa"/>
                  <w:tcBorders>
                    <w:tl2br w:val="nil"/>
                    <w:tr2bl w:val="nil"/>
                  </w:tcBorders>
                  <w:noWrap w:val="0"/>
                  <w:vAlign w:val="center"/>
                </w:tcPr>
                <w:p w14:paraId="7B22757B">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18.98 </w:t>
                  </w:r>
                </w:p>
              </w:tc>
              <w:tc>
                <w:tcPr>
                  <w:tcW w:w="748" w:type="dxa"/>
                  <w:tcBorders>
                    <w:tl2br w:val="nil"/>
                    <w:tr2bl w:val="nil"/>
                  </w:tcBorders>
                  <w:noWrap w:val="0"/>
                  <w:vAlign w:val="center"/>
                </w:tcPr>
                <w:p w14:paraId="5F0B87EE">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20.92 </w:t>
                  </w:r>
                </w:p>
              </w:tc>
              <w:tc>
                <w:tcPr>
                  <w:tcW w:w="1138" w:type="dxa"/>
                  <w:tcBorders>
                    <w:tl2br w:val="nil"/>
                    <w:tr2bl w:val="nil"/>
                  </w:tcBorders>
                  <w:noWrap w:val="0"/>
                  <w:vAlign w:val="center"/>
                </w:tcPr>
                <w:p w14:paraId="4BE4A72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5.00 </w:t>
                  </w:r>
                </w:p>
              </w:tc>
              <w:tc>
                <w:tcPr>
                  <w:tcW w:w="1138" w:type="dxa"/>
                  <w:tcBorders>
                    <w:tl2br w:val="nil"/>
                    <w:tr2bl w:val="nil"/>
                  </w:tcBorders>
                  <w:noWrap w:val="0"/>
                  <w:vAlign w:val="center"/>
                </w:tcPr>
                <w:p w14:paraId="1B31449A">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17.40 </w:t>
                  </w:r>
                </w:p>
              </w:tc>
              <w:tc>
                <w:tcPr>
                  <w:tcW w:w="1140" w:type="dxa"/>
                  <w:tcBorders>
                    <w:tl2br w:val="nil"/>
                    <w:tr2bl w:val="nil"/>
                  </w:tcBorders>
                  <w:noWrap w:val="0"/>
                  <w:vAlign w:val="center"/>
                </w:tcPr>
                <w:p w14:paraId="74225E32">
                  <w:pPr>
                    <w:pStyle w:val="37"/>
                    <w:widowControl w:val="0"/>
                    <w:spacing w:line="240" w:lineRule="auto"/>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5.35 </w:t>
                  </w:r>
                </w:p>
              </w:tc>
            </w:tr>
            <w:bookmarkEnd w:id="1206"/>
            <w:tr w14:paraId="2B21A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2" w:type="pct"/>
                  <w:gridSpan w:val="2"/>
                  <w:tcBorders>
                    <w:tl2br w:val="nil"/>
                    <w:tr2bl w:val="nil"/>
                  </w:tcBorders>
                  <w:noWrap w:val="0"/>
                  <w:vAlign w:val="center"/>
                </w:tcPr>
                <w:p w14:paraId="5C31EF18">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207" w:name="_Toc2742"/>
                  <w:bookmarkStart w:id="1208" w:name="_Toc4466"/>
                  <w:bookmarkStart w:id="1209" w:name="_Toc17305"/>
                  <w:bookmarkStart w:id="1210" w:name="_Toc29215"/>
                  <w:bookmarkStart w:id="1211" w:name="_Toc16832"/>
                  <w:bookmarkStart w:id="1212" w:name="_Toc4949"/>
                  <w:bookmarkStart w:id="1213" w:name="_Toc12873"/>
                  <w:bookmarkStart w:id="1214" w:name="_Toc30242"/>
                  <w:bookmarkStart w:id="1215" w:name="_Toc17902"/>
                  <w:bookmarkStart w:id="1216" w:name="_Toc8606"/>
                  <w:bookmarkStart w:id="1217" w:name="_Toc1283"/>
                  <w:bookmarkStart w:id="1218" w:name="_Toc23216"/>
                  <w:bookmarkStart w:id="1219" w:name="_Toc27685"/>
                  <w:bookmarkStart w:id="1220" w:name="_Toc20209"/>
                  <w:bookmarkStart w:id="1221" w:name="_Toc30545"/>
                  <w:bookmarkStart w:id="1222" w:name="_Toc17899"/>
                  <w:bookmarkStart w:id="1223" w:name="_Toc31757"/>
                  <w:bookmarkStart w:id="1224" w:name="_Toc12716"/>
                  <w:bookmarkStart w:id="1225" w:name="_Toc21720"/>
                  <w:bookmarkStart w:id="1226" w:name="_Toc16573"/>
                  <w:bookmarkStart w:id="1227" w:name="_Toc17562"/>
                  <w:bookmarkStart w:id="1228" w:name="_Toc3496"/>
                  <w:bookmarkStart w:id="1229" w:name="_Toc297"/>
                  <w:r>
                    <w:rPr>
                      <w:rFonts w:hint="default" w:ascii="Times New Roman" w:hAnsi="Times New Roman" w:cs="Times New Roman"/>
                      <w:color w:val="auto"/>
                      <w:u w:val="none" w:color="auto"/>
                      <w:lang w:val="en-US" w:eastAsia="zh-CN"/>
                    </w:rPr>
                    <w:t>贡献值</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tc>
              <w:tc>
                <w:tcPr>
                  <w:tcW w:w="783" w:type="dxa"/>
                  <w:tcBorders>
                    <w:tl2br w:val="nil"/>
                    <w:tr2bl w:val="nil"/>
                  </w:tcBorders>
                  <w:shd w:val="clear" w:color="auto" w:fill="auto"/>
                  <w:noWrap w:val="0"/>
                  <w:vAlign w:val="center"/>
                </w:tcPr>
                <w:p w14:paraId="5F5441DA">
                  <w:pPr>
                    <w:pStyle w:val="44"/>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bookmarkStart w:id="1230" w:name="_Toc11860"/>
                  <w:bookmarkStart w:id="1231" w:name="_Toc9782"/>
                  <w:bookmarkStart w:id="1232" w:name="_Toc20914"/>
                  <w:bookmarkStart w:id="1233" w:name="_Toc6108"/>
                  <w:bookmarkStart w:id="1234" w:name="_Toc18067"/>
                  <w:bookmarkStart w:id="1235" w:name="_Toc23473"/>
                  <w:r>
                    <w:rPr>
                      <w:rFonts w:hint="eastAsia" w:ascii="Times New Roman" w:hAnsi="Times New Roman" w:eastAsia="宋体" w:cs="Times New Roman"/>
                      <w:i w:val="0"/>
                      <w:iCs w:val="0"/>
                      <w:color w:val="auto"/>
                      <w:kern w:val="2"/>
                      <w:sz w:val="21"/>
                      <w:szCs w:val="21"/>
                      <w:u w:val="none" w:color="auto"/>
                      <w:lang w:val="en-US" w:eastAsia="zh-CN" w:bidi="ar"/>
                    </w:rPr>
                    <w:t>44.22</w:t>
                  </w:r>
                  <w:bookmarkEnd w:id="1230"/>
                  <w:bookmarkEnd w:id="1231"/>
                  <w:bookmarkEnd w:id="1232"/>
                  <w:bookmarkEnd w:id="1233"/>
                  <w:bookmarkEnd w:id="1234"/>
                  <w:bookmarkEnd w:id="123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815" w:type="dxa"/>
                  <w:tcBorders>
                    <w:tl2br w:val="nil"/>
                    <w:tr2bl w:val="nil"/>
                  </w:tcBorders>
                  <w:shd w:val="clear" w:color="auto" w:fill="auto"/>
                  <w:noWrap w:val="0"/>
                  <w:vAlign w:val="center"/>
                </w:tcPr>
                <w:p w14:paraId="00B965FB">
                  <w:pPr>
                    <w:pStyle w:val="44"/>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bookmarkStart w:id="1236" w:name="_Toc15185"/>
                  <w:bookmarkStart w:id="1237" w:name="_Toc13931"/>
                  <w:bookmarkStart w:id="1238" w:name="_Toc5270"/>
                  <w:bookmarkStart w:id="1239" w:name="_Toc3292"/>
                  <w:bookmarkStart w:id="1240" w:name="_Toc9359"/>
                  <w:bookmarkStart w:id="1241" w:name="_Toc8624"/>
                  <w:r>
                    <w:rPr>
                      <w:rFonts w:hint="eastAsia" w:ascii="Times New Roman" w:hAnsi="Times New Roman" w:eastAsia="宋体" w:cs="Times New Roman"/>
                      <w:i w:val="0"/>
                      <w:iCs w:val="0"/>
                      <w:color w:val="auto"/>
                      <w:kern w:val="2"/>
                      <w:sz w:val="21"/>
                      <w:szCs w:val="21"/>
                      <w:u w:val="none" w:color="auto"/>
                      <w:lang w:val="en-US" w:eastAsia="zh-CN" w:bidi="ar"/>
                    </w:rPr>
                    <w:t>47.56</w:t>
                  </w:r>
                  <w:bookmarkEnd w:id="1236"/>
                  <w:bookmarkEnd w:id="1237"/>
                  <w:bookmarkEnd w:id="1238"/>
                  <w:bookmarkEnd w:id="1239"/>
                  <w:bookmarkEnd w:id="1240"/>
                  <w:bookmarkEnd w:id="124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81" w:type="dxa"/>
                  <w:tcBorders>
                    <w:tl2br w:val="nil"/>
                    <w:tr2bl w:val="nil"/>
                  </w:tcBorders>
                  <w:shd w:val="clear" w:color="auto" w:fill="auto"/>
                  <w:noWrap w:val="0"/>
                  <w:vAlign w:val="center"/>
                </w:tcPr>
                <w:p w14:paraId="2FFB575F">
                  <w:pPr>
                    <w:pStyle w:val="44"/>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bookmarkStart w:id="1242" w:name="_Toc23906"/>
                  <w:bookmarkStart w:id="1243" w:name="_Toc27800"/>
                  <w:bookmarkStart w:id="1244" w:name="_Toc19064"/>
                  <w:bookmarkStart w:id="1245" w:name="_Toc27095"/>
                  <w:bookmarkStart w:id="1246" w:name="_Toc21737"/>
                  <w:bookmarkStart w:id="1247" w:name="_Toc26936"/>
                  <w:r>
                    <w:rPr>
                      <w:rFonts w:hint="eastAsia" w:ascii="Times New Roman" w:hAnsi="Times New Roman" w:eastAsia="宋体" w:cs="Times New Roman"/>
                      <w:i w:val="0"/>
                      <w:iCs w:val="0"/>
                      <w:color w:val="auto"/>
                      <w:kern w:val="2"/>
                      <w:sz w:val="21"/>
                      <w:szCs w:val="21"/>
                      <w:u w:val="none" w:color="auto"/>
                      <w:lang w:val="en-US" w:eastAsia="zh-CN" w:bidi="ar"/>
                    </w:rPr>
                    <w:t>43.15</w:t>
                  </w:r>
                  <w:bookmarkEnd w:id="1242"/>
                  <w:bookmarkEnd w:id="1243"/>
                  <w:bookmarkEnd w:id="1244"/>
                  <w:bookmarkEnd w:id="1245"/>
                  <w:bookmarkEnd w:id="1246"/>
                  <w:bookmarkEnd w:id="124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48" w:type="dxa"/>
                  <w:tcBorders>
                    <w:tl2br w:val="nil"/>
                    <w:tr2bl w:val="nil"/>
                  </w:tcBorders>
                  <w:shd w:val="clear" w:color="auto" w:fill="auto"/>
                  <w:noWrap w:val="0"/>
                  <w:vAlign w:val="center"/>
                </w:tcPr>
                <w:p w14:paraId="6066D60C">
                  <w:pPr>
                    <w:pStyle w:val="44"/>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bookmarkStart w:id="1248" w:name="_Toc25903"/>
                  <w:bookmarkStart w:id="1249" w:name="_Toc11005"/>
                  <w:bookmarkStart w:id="1250" w:name="_Toc9464"/>
                  <w:bookmarkStart w:id="1251" w:name="_Toc12427"/>
                  <w:bookmarkStart w:id="1252" w:name="_Toc6232"/>
                  <w:bookmarkStart w:id="1253" w:name="_Toc13198"/>
                  <w:r>
                    <w:rPr>
                      <w:rFonts w:hint="eastAsia" w:ascii="Times New Roman" w:hAnsi="Times New Roman" w:eastAsia="宋体" w:cs="Times New Roman"/>
                      <w:i w:val="0"/>
                      <w:iCs w:val="0"/>
                      <w:color w:val="auto"/>
                      <w:kern w:val="2"/>
                      <w:sz w:val="21"/>
                      <w:szCs w:val="21"/>
                      <w:u w:val="none" w:color="auto"/>
                      <w:lang w:val="en-US" w:eastAsia="zh-CN" w:bidi="ar"/>
                    </w:rPr>
                    <w:t>47.99</w:t>
                  </w:r>
                  <w:bookmarkEnd w:id="1248"/>
                  <w:bookmarkEnd w:id="1249"/>
                  <w:bookmarkEnd w:id="1250"/>
                  <w:bookmarkEnd w:id="1251"/>
                  <w:bookmarkEnd w:id="1252"/>
                  <w:bookmarkEnd w:id="125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138" w:type="dxa"/>
                  <w:tcBorders>
                    <w:tl2br w:val="nil"/>
                    <w:tr2bl w:val="nil"/>
                  </w:tcBorders>
                  <w:shd w:val="clear" w:color="auto" w:fill="auto"/>
                  <w:noWrap w:val="0"/>
                  <w:vAlign w:val="center"/>
                </w:tcPr>
                <w:p w14:paraId="77CE4D2E">
                  <w:pPr>
                    <w:pStyle w:val="44"/>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
                    </w:rPr>
                  </w:pPr>
                  <w:bookmarkStart w:id="1254" w:name="_Toc13583"/>
                  <w:bookmarkStart w:id="1255" w:name="_Toc22124"/>
                  <w:bookmarkStart w:id="1256" w:name="_Toc8874"/>
                  <w:bookmarkStart w:id="1257" w:name="_Toc24886"/>
                  <w:bookmarkStart w:id="1258" w:name="_Toc31189"/>
                  <w:bookmarkStart w:id="1259" w:name="_Toc25047"/>
                  <w:r>
                    <w:rPr>
                      <w:rFonts w:hint="eastAsia" w:ascii="Times New Roman" w:hAnsi="Times New Roman" w:eastAsia="宋体" w:cs="Times New Roman"/>
                      <w:i w:val="0"/>
                      <w:iCs w:val="0"/>
                      <w:color w:val="auto"/>
                      <w:kern w:val="2"/>
                      <w:sz w:val="21"/>
                      <w:szCs w:val="21"/>
                      <w:u w:val="none" w:color="auto"/>
                      <w:lang w:val="en-US" w:eastAsia="zh-CN" w:bidi="ar"/>
                    </w:rPr>
                    <w:t>37.60</w:t>
                  </w:r>
                  <w:bookmarkEnd w:id="1254"/>
                  <w:bookmarkEnd w:id="1255"/>
                  <w:bookmarkEnd w:id="1256"/>
                  <w:bookmarkEnd w:id="1257"/>
                  <w:bookmarkEnd w:id="1258"/>
                  <w:bookmarkEnd w:id="125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138" w:type="dxa"/>
                  <w:tcBorders>
                    <w:tl2br w:val="nil"/>
                    <w:tr2bl w:val="nil"/>
                  </w:tcBorders>
                  <w:shd w:val="clear" w:color="auto" w:fill="auto"/>
                  <w:noWrap w:val="0"/>
                  <w:vAlign w:val="center"/>
                </w:tcPr>
                <w:p w14:paraId="430EE4DB">
                  <w:pPr>
                    <w:pStyle w:val="44"/>
                    <w:widowControl w:val="0"/>
                    <w:spacing w:line="360" w:lineRule="exact"/>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bookmarkStart w:id="1260" w:name="_Toc15900"/>
                  <w:bookmarkStart w:id="1261" w:name="_Toc25703"/>
                  <w:bookmarkStart w:id="1262" w:name="_Toc19548"/>
                  <w:bookmarkStart w:id="1263" w:name="_Toc7829"/>
                  <w:bookmarkStart w:id="1264" w:name="_Toc948"/>
                  <w:bookmarkStart w:id="1265" w:name="_Toc16481"/>
                  <w:r>
                    <w:rPr>
                      <w:rFonts w:hint="eastAsia" w:ascii="Times New Roman" w:hAnsi="Times New Roman" w:eastAsia="宋体" w:cs="Times New Roman"/>
                      <w:i w:val="0"/>
                      <w:iCs w:val="0"/>
                      <w:color w:val="auto"/>
                      <w:kern w:val="2"/>
                      <w:sz w:val="21"/>
                      <w:szCs w:val="21"/>
                      <w:u w:val="none" w:color="auto"/>
                      <w:lang w:val="en-US" w:eastAsia="zh-CN" w:bidi="ar"/>
                    </w:rPr>
                    <w:t>42.50</w:t>
                  </w:r>
                  <w:bookmarkEnd w:id="1260"/>
                  <w:bookmarkEnd w:id="1261"/>
                  <w:bookmarkEnd w:id="1262"/>
                  <w:bookmarkEnd w:id="1263"/>
                  <w:bookmarkEnd w:id="1264"/>
                  <w:bookmarkEnd w:id="126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140" w:type="dxa"/>
                  <w:tcBorders>
                    <w:tl2br w:val="nil"/>
                    <w:tr2bl w:val="nil"/>
                  </w:tcBorders>
                  <w:shd w:val="clear" w:color="auto" w:fill="auto"/>
                  <w:noWrap w:val="0"/>
                  <w:vAlign w:val="center"/>
                </w:tcPr>
                <w:p w14:paraId="7D53C39E">
                  <w:pPr>
                    <w:pStyle w:val="44"/>
                    <w:widowControl w:val="0"/>
                    <w:spacing w:line="360" w:lineRule="exact"/>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bookmarkStart w:id="1266" w:name="_Toc1378"/>
                  <w:bookmarkStart w:id="1267" w:name="_Toc10545"/>
                  <w:bookmarkStart w:id="1268" w:name="_Toc28140"/>
                  <w:bookmarkStart w:id="1269" w:name="_Toc6254"/>
                  <w:bookmarkStart w:id="1270" w:name="_Toc25233"/>
                  <w:bookmarkStart w:id="1271" w:name="_Toc12562"/>
                  <w:r>
                    <w:rPr>
                      <w:rFonts w:hint="eastAsia" w:ascii="Times New Roman" w:hAnsi="Times New Roman" w:eastAsia="宋体" w:cs="Times New Roman"/>
                      <w:i w:val="0"/>
                      <w:iCs w:val="0"/>
                      <w:color w:val="auto"/>
                      <w:kern w:val="2"/>
                      <w:sz w:val="21"/>
                      <w:szCs w:val="21"/>
                      <w:u w:val="none" w:color="auto"/>
                      <w:lang w:val="en-US" w:eastAsia="zh-CN" w:bidi="ar"/>
                    </w:rPr>
                    <w:t>38.08</w:t>
                  </w:r>
                  <w:bookmarkEnd w:id="1266"/>
                  <w:bookmarkEnd w:id="1267"/>
                  <w:bookmarkEnd w:id="1268"/>
                  <w:bookmarkEnd w:id="1269"/>
                  <w:bookmarkEnd w:id="1270"/>
                  <w:bookmarkEnd w:id="127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14:paraId="0E9C2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642" w:type="pct"/>
                  <w:vMerge w:val="restart"/>
                  <w:tcBorders>
                    <w:tl2br w:val="nil"/>
                    <w:tr2bl w:val="nil"/>
                  </w:tcBorders>
                  <w:noWrap w:val="0"/>
                  <w:vAlign w:val="center"/>
                </w:tcPr>
                <w:p w14:paraId="24DC79FD">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272" w:name="_Toc27045"/>
                  <w:bookmarkStart w:id="1273" w:name="_Toc10992"/>
                  <w:bookmarkStart w:id="1274" w:name="_Toc2126"/>
                  <w:bookmarkStart w:id="1275" w:name="_Toc8088"/>
                  <w:bookmarkStart w:id="1276" w:name="_Toc26956"/>
                  <w:bookmarkStart w:id="1277" w:name="_Toc24901"/>
                  <w:bookmarkStart w:id="1278" w:name="_Toc14434"/>
                  <w:bookmarkStart w:id="1279" w:name="_Toc24476"/>
                  <w:bookmarkStart w:id="1280" w:name="_Toc7929"/>
                  <w:bookmarkStart w:id="1281" w:name="_Toc24650"/>
                  <w:bookmarkStart w:id="1282" w:name="_Toc18284"/>
                  <w:bookmarkStart w:id="1283" w:name="_Toc29024"/>
                  <w:bookmarkStart w:id="1284" w:name="_Toc15095"/>
                  <w:bookmarkStart w:id="1285" w:name="_Toc2318"/>
                  <w:bookmarkStart w:id="1286" w:name="_Toc19327"/>
                  <w:bookmarkStart w:id="1287" w:name="_Toc15793"/>
                  <w:bookmarkStart w:id="1288" w:name="_Toc24831"/>
                  <w:bookmarkStart w:id="1289" w:name="_Toc15561"/>
                  <w:bookmarkStart w:id="1290" w:name="_Toc9045"/>
                  <w:bookmarkStart w:id="1291" w:name="_Toc31590"/>
                  <w:bookmarkStart w:id="1292" w:name="_Toc5579"/>
                  <w:bookmarkStart w:id="1293" w:name="_Toc20070"/>
                  <w:bookmarkStart w:id="1294" w:name="_Toc13631"/>
                  <w:r>
                    <w:rPr>
                      <w:rFonts w:hint="eastAsia" w:cs="Times New Roman"/>
                      <w:color w:val="auto"/>
                      <w:u w:val="none" w:color="auto"/>
                      <w:lang w:val="en-US" w:eastAsia="zh-CN"/>
                    </w:rPr>
                    <w:t>现状值</w:t>
                  </w:r>
                  <w:bookmarkEnd w:id="1272"/>
                  <w:bookmarkEnd w:id="1273"/>
                  <w:bookmarkEnd w:id="1274"/>
                  <w:bookmarkEnd w:id="1275"/>
                  <w:bookmarkEnd w:id="1276"/>
                  <w:r>
                    <w:rPr>
                      <w:rFonts w:hint="default" w:ascii="Times New Roman" w:hAnsi="Times New Roman" w:eastAsia="宋体" w:cs="Times New Roman"/>
                      <w:color w:val="auto"/>
                      <w:sz w:val="21"/>
                      <w:szCs w:val="21"/>
                      <w:u w:val="none" w:color="auto"/>
                      <w:lang w:val="en-US" w:eastAsia="zh-CN"/>
                    </w:rPr>
                    <w:t>dB（A）</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tc>
              <w:tc>
                <w:tcPr>
                  <w:tcW w:w="509" w:type="pct"/>
                  <w:tcBorders>
                    <w:tl2br w:val="nil"/>
                    <w:tr2bl w:val="nil"/>
                  </w:tcBorders>
                  <w:noWrap w:val="0"/>
                  <w:vAlign w:val="center"/>
                </w:tcPr>
                <w:p w14:paraId="1BBB068A">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u w:val="none" w:color="auto"/>
                      <w:lang w:val="en-US" w:eastAsia="zh-CN"/>
                    </w:rPr>
                  </w:pPr>
                  <w:bookmarkStart w:id="1295" w:name="_Toc7690"/>
                  <w:bookmarkStart w:id="1296" w:name="_Toc24680"/>
                  <w:bookmarkStart w:id="1297" w:name="_Toc17082"/>
                  <w:bookmarkStart w:id="1298" w:name="_Toc28272"/>
                  <w:bookmarkStart w:id="1299" w:name="_Toc17078"/>
                  <w:bookmarkStart w:id="1300" w:name="_Toc6886"/>
                  <w:bookmarkStart w:id="1301" w:name="_Toc28879"/>
                  <w:bookmarkStart w:id="1302" w:name="_Toc22050"/>
                  <w:bookmarkStart w:id="1303" w:name="_Toc21128"/>
                  <w:bookmarkStart w:id="1304" w:name="_Toc21838"/>
                  <w:bookmarkStart w:id="1305" w:name="_Toc1460"/>
                  <w:bookmarkStart w:id="1306" w:name="_Toc27364"/>
                  <w:bookmarkStart w:id="1307" w:name="_Toc15477"/>
                  <w:bookmarkStart w:id="1308" w:name="_Toc10398"/>
                  <w:bookmarkStart w:id="1309" w:name="_Toc4074"/>
                  <w:bookmarkStart w:id="1310" w:name="_Toc7114"/>
                  <w:bookmarkStart w:id="1311" w:name="_Toc18270"/>
                  <w:bookmarkStart w:id="1312" w:name="_Toc30069"/>
                  <w:bookmarkStart w:id="1313" w:name="_Toc26875"/>
                  <w:bookmarkStart w:id="1314" w:name="_Toc25517"/>
                  <w:bookmarkStart w:id="1315" w:name="_Toc13592"/>
                  <w:bookmarkStart w:id="1316" w:name="_Toc6023"/>
                  <w:r>
                    <w:rPr>
                      <w:rFonts w:hint="default" w:ascii="Times New Roman" w:hAnsi="Times New Roman" w:cs="Times New Roman"/>
                      <w:color w:val="auto"/>
                      <w:sz w:val="21"/>
                      <w:szCs w:val="21"/>
                      <w:u w:val="none" w:color="auto"/>
                      <w:lang w:val="en-US" w:eastAsia="zh-CN"/>
                    </w:rPr>
                    <w:t>昼间</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tc>
              <w:tc>
                <w:tcPr>
                  <w:tcW w:w="460" w:type="pct"/>
                  <w:tcBorders>
                    <w:tl2br w:val="nil"/>
                    <w:tr2bl w:val="nil"/>
                  </w:tcBorders>
                  <w:noWrap w:val="0"/>
                  <w:vAlign w:val="center"/>
                </w:tcPr>
                <w:p w14:paraId="0A828304">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317" w:name="_Toc3138"/>
                  <w:bookmarkStart w:id="1318" w:name="_Toc22275"/>
                  <w:bookmarkStart w:id="1319" w:name="_Toc16414"/>
                  <w:bookmarkStart w:id="1320" w:name="_Toc30018"/>
                  <w:bookmarkStart w:id="1321" w:name="_Toc18582"/>
                  <w:bookmarkStart w:id="1322" w:name="_Toc21872"/>
                  <w:bookmarkStart w:id="1323" w:name="_Toc372"/>
                  <w:bookmarkStart w:id="1324" w:name="_Toc23286"/>
                  <w:r>
                    <w:rPr>
                      <w:rFonts w:hint="eastAsia" w:cs="Times New Roman"/>
                      <w:color w:val="auto"/>
                      <w:u w:val="none" w:color="auto"/>
                      <w:lang w:val="en-US" w:eastAsia="zh-CN"/>
                    </w:rPr>
                    <w:t>58</w:t>
                  </w:r>
                  <w:bookmarkEnd w:id="1317"/>
                  <w:bookmarkEnd w:id="1318"/>
                  <w:bookmarkEnd w:id="1319"/>
                  <w:bookmarkEnd w:id="1320"/>
                  <w:bookmarkEnd w:id="1321"/>
                  <w:bookmarkEnd w:id="1322"/>
                  <w:bookmarkEnd w:id="1323"/>
                  <w:bookmarkEnd w:id="1324"/>
                </w:p>
              </w:tc>
              <w:tc>
                <w:tcPr>
                  <w:tcW w:w="479" w:type="pct"/>
                  <w:tcBorders>
                    <w:tl2br w:val="nil"/>
                    <w:tr2bl w:val="nil"/>
                  </w:tcBorders>
                  <w:noWrap w:val="0"/>
                  <w:vAlign w:val="center"/>
                </w:tcPr>
                <w:p w14:paraId="2526250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325" w:name="_Toc28105"/>
                  <w:bookmarkStart w:id="1326" w:name="_Toc15187"/>
                  <w:bookmarkStart w:id="1327" w:name="_Toc21436"/>
                  <w:bookmarkStart w:id="1328" w:name="_Toc24291"/>
                  <w:bookmarkStart w:id="1329" w:name="_Toc3885"/>
                  <w:bookmarkStart w:id="1330" w:name="_Toc28127"/>
                  <w:bookmarkStart w:id="1331" w:name="_Toc13520"/>
                  <w:bookmarkStart w:id="1332" w:name="_Toc896"/>
                  <w:r>
                    <w:rPr>
                      <w:rFonts w:hint="eastAsia" w:cs="Times New Roman"/>
                      <w:color w:val="auto"/>
                      <w:u w:val="none" w:color="auto"/>
                      <w:lang w:val="en-US" w:eastAsia="zh-CN"/>
                    </w:rPr>
                    <w:t>5</w:t>
                  </w:r>
                  <w:bookmarkEnd w:id="1325"/>
                  <w:bookmarkEnd w:id="1326"/>
                  <w:r>
                    <w:rPr>
                      <w:rFonts w:hint="eastAsia" w:cs="Times New Roman"/>
                      <w:color w:val="auto"/>
                      <w:u w:val="none" w:color="auto"/>
                      <w:lang w:val="en-US" w:eastAsia="zh-CN"/>
                    </w:rPr>
                    <w:t>6</w:t>
                  </w:r>
                  <w:bookmarkEnd w:id="1327"/>
                  <w:bookmarkEnd w:id="1328"/>
                  <w:bookmarkEnd w:id="1329"/>
                  <w:bookmarkEnd w:id="1330"/>
                  <w:bookmarkEnd w:id="1331"/>
                  <w:bookmarkEnd w:id="1332"/>
                </w:p>
              </w:tc>
              <w:tc>
                <w:tcPr>
                  <w:tcW w:w="459" w:type="pct"/>
                  <w:tcBorders>
                    <w:tl2br w:val="nil"/>
                    <w:tr2bl w:val="nil"/>
                  </w:tcBorders>
                  <w:noWrap w:val="0"/>
                  <w:vAlign w:val="center"/>
                </w:tcPr>
                <w:p w14:paraId="4538982D">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333" w:name="_Toc7189"/>
                  <w:bookmarkStart w:id="1334" w:name="_Toc10180"/>
                  <w:bookmarkStart w:id="1335" w:name="_Toc9715"/>
                  <w:bookmarkStart w:id="1336" w:name="_Toc7032"/>
                  <w:bookmarkStart w:id="1337" w:name="_Toc943"/>
                  <w:bookmarkStart w:id="1338" w:name="_Toc32273"/>
                  <w:bookmarkStart w:id="1339" w:name="_Toc12239"/>
                  <w:bookmarkStart w:id="1340" w:name="_Toc31798"/>
                  <w:r>
                    <w:rPr>
                      <w:rFonts w:hint="eastAsia" w:cs="Times New Roman"/>
                      <w:color w:val="auto"/>
                      <w:u w:val="none" w:color="auto"/>
                      <w:lang w:val="en-US" w:eastAsia="zh-CN"/>
                    </w:rPr>
                    <w:t>5</w:t>
                  </w:r>
                  <w:bookmarkEnd w:id="1333"/>
                  <w:bookmarkEnd w:id="1334"/>
                  <w:r>
                    <w:rPr>
                      <w:rFonts w:hint="eastAsia" w:cs="Times New Roman"/>
                      <w:color w:val="auto"/>
                      <w:u w:val="none" w:color="auto"/>
                      <w:lang w:val="en-US" w:eastAsia="zh-CN"/>
                    </w:rPr>
                    <w:t>5</w:t>
                  </w:r>
                  <w:bookmarkEnd w:id="1335"/>
                  <w:bookmarkEnd w:id="1336"/>
                  <w:bookmarkEnd w:id="1337"/>
                  <w:bookmarkEnd w:id="1338"/>
                  <w:bookmarkEnd w:id="1339"/>
                  <w:bookmarkEnd w:id="1340"/>
                </w:p>
              </w:tc>
              <w:tc>
                <w:tcPr>
                  <w:tcW w:w="439" w:type="pct"/>
                  <w:tcBorders>
                    <w:tl2br w:val="nil"/>
                    <w:tr2bl w:val="nil"/>
                  </w:tcBorders>
                  <w:noWrap w:val="0"/>
                  <w:vAlign w:val="center"/>
                </w:tcPr>
                <w:p w14:paraId="7F921867">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341" w:name="_Toc21051"/>
                  <w:bookmarkStart w:id="1342" w:name="_Toc15316"/>
                  <w:bookmarkStart w:id="1343" w:name="_Toc1520"/>
                  <w:bookmarkStart w:id="1344" w:name="_Toc22093"/>
                  <w:bookmarkStart w:id="1345" w:name="_Toc696"/>
                  <w:bookmarkStart w:id="1346" w:name="_Toc30313"/>
                  <w:bookmarkStart w:id="1347" w:name="_Toc30442"/>
                  <w:bookmarkStart w:id="1348" w:name="_Toc31801"/>
                  <w:r>
                    <w:rPr>
                      <w:rFonts w:hint="eastAsia" w:cs="Times New Roman"/>
                      <w:color w:val="auto"/>
                      <w:u w:val="none" w:color="auto"/>
                      <w:lang w:val="en-US" w:eastAsia="zh-CN"/>
                    </w:rPr>
                    <w:t>6</w:t>
                  </w:r>
                  <w:bookmarkEnd w:id="1341"/>
                  <w:bookmarkEnd w:id="1342"/>
                  <w:r>
                    <w:rPr>
                      <w:rFonts w:hint="eastAsia" w:cs="Times New Roman"/>
                      <w:color w:val="auto"/>
                      <w:u w:val="none" w:color="auto"/>
                      <w:lang w:val="en-US" w:eastAsia="zh-CN"/>
                    </w:rPr>
                    <w:t>3</w:t>
                  </w:r>
                  <w:bookmarkEnd w:id="1343"/>
                  <w:bookmarkEnd w:id="1344"/>
                  <w:bookmarkEnd w:id="1345"/>
                  <w:bookmarkEnd w:id="1346"/>
                  <w:bookmarkEnd w:id="1347"/>
                  <w:bookmarkEnd w:id="1348"/>
                </w:p>
              </w:tc>
              <w:tc>
                <w:tcPr>
                  <w:tcW w:w="669" w:type="pct"/>
                  <w:tcBorders>
                    <w:tl2br w:val="nil"/>
                    <w:tr2bl w:val="nil"/>
                  </w:tcBorders>
                  <w:noWrap w:val="0"/>
                  <w:vAlign w:val="center"/>
                </w:tcPr>
                <w:p w14:paraId="2112ED3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u w:val="none" w:color="auto"/>
                      <w:lang w:val="en-US" w:eastAsia="zh-CN"/>
                    </w:rPr>
                  </w:pPr>
                  <w:bookmarkStart w:id="1349" w:name="_Toc6248"/>
                  <w:bookmarkStart w:id="1350" w:name="_Toc30686"/>
                  <w:bookmarkStart w:id="1351" w:name="_Toc30078"/>
                  <w:bookmarkStart w:id="1352" w:name="_Toc31564"/>
                  <w:bookmarkStart w:id="1353" w:name="_Toc31620"/>
                  <w:bookmarkStart w:id="1354" w:name="_Toc5559"/>
                  <w:bookmarkStart w:id="1355" w:name="_Toc22542"/>
                  <w:bookmarkStart w:id="1356" w:name="_Toc19915"/>
                  <w:r>
                    <w:rPr>
                      <w:rFonts w:hint="eastAsia" w:cs="Times New Roman"/>
                      <w:color w:val="auto"/>
                      <w:u w:val="none" w:color="auto"/>
                      <w:lang w:val="en-US" w:eastAsia="zh-CN"/>
                    </w:rPr>
                    <w:t>5</w:t>
                  </w:r>
                  <w:bookmarkEnd w:id="1349"/>
                  <w:bookmarkEnd w:id="1350"/>
                  <w:r>
                    <w:rPr>
                      <w:rFonts w:hint="eastAsia" w:cs="Times New Roman"/>
                      <w:color w:val="auto"/>
                      <w:u w:val="none" w:color="auto"/>
                      <w:lang w:val="en-US" w:eastAsia="zh-CN"/>
                    </w:rPr>
                    <w:t>8</w:t>
                  </w:r>
                  <w:bookmarkEnd w:id="1351"/>
                  <w:bookmarkEnd w:id="1352"/>
                  <w:bookmarkEnd w:id="1353"/>
                  <w:bookmarkEnd w:id="1354"/>
                  <w:bookmarkEnd w:id="1355"/>
                  <w:bookmarkEnd w:id="1356"/>
                </w:p>
              </w:tc>
              <w:tc>
                <w:tcPr>
                  <w:tcW w:w="669" w:type="pct"/>
                  <w:tcBorders>
                    <w:tl2br w:val="nil"/>
                    <w:tr2bl w:val="nil"/>
                  </w:tcBorders>
                  <w:noWrap w:val="0"/>
                  <w:vAlign w:val="center"/>
                </w:tcPr>
                <w:p w14:paraId="4146ED4C">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u w:val="none" w:color="auto"/>
                      <w:lang w:val="en-US" w:eastAsia="zh-CN"/>
                    </w:rPr>
                  </w:pPr>
                  <w:bookmarkStart w:id="1357" w:name="_Toc2801"/>
                  <w:bookmarkStart w:id="1358" w:name="_Toc27267"/>
                  <w:bookmarkStart w:id="1359" w:name="_Toc16343"/>
                  <w:bookmarkStart w:id="1360" w:name="_Toc27303"/>
                  <w:bookmarkStart w:id="1361" w:name="_Toc14732"/>
                  <w:bookmarkStart w:id="1362" w:name="_Toc17908"/>
                  <w:r>
                    <w:rPr>
                      <w:rFonts w:hint="eastAsia" w:cs="Times New Roman"/>
                      <w:color w:val="auto"/>
                      <w:u w:val="none" w:color="auto"/>
                      <w:lang w:val="en-US" w:eastAsia="zh-CN"/>
                    </w:rPr>
                    <w:t>58</w:t>
                  </w:r>
                  <w:bookmarkEnd w:id="1357"/>
                  <w:bookmarkEnd w:id="1358"/>
                  <w:bookmarkEnd w:id="1359"/>
                  <w:bookmarkEnd w:id="1360"/>
                  <w:bookmarkEnd w:id="1361"/>
                  <w:bookmarkEnd w:id="1362"/>
                </w:p>
              </w:tc>
              <w:tc>
                <w:tcPr>
                  <w:tcW w:w="670" w:type="pct"/>
                  <w:tcBorders>
                    <w:tl2br w:val="nil"/>
                    <w:tr2bl w:val="nil"/>
                  </w:tcBorders>
                  <w:noWrap w:val="0"/>
                  <w:vAlign w:val="center"/>
                </w:tcPr>
                <w:p w14:paraId="30A43BBF">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u w:val="none" w:color="auto"/>
                      <w:lang w:val="en-US" w:eastAsia="zh-CN"/>
                    </w:rPr>
                  </w:pPr>
                  <w:bookmarkStart w:id="1363" w:name="_Toc27182"/>
                  <w:bookmarkStart w:id="1364" w:name="_Toc7324"/>
                  <w:bookmarkStart w:id="1365" w:name="_Toc12658"/>
                  <w:bookmarkStart w:id="1366" w:name="_Toc2881"/>
                  <w:bookmarkStart w:id="1367" w:name="_Toc22853"/>
                  <w:bookmarkStart w:id="1368" w:name="_Toc21516"/>
                  <w:r>
                    <w:rPr>
                      <w:rFonts w:hint="eastAsia" w:cs="Times New Roman"/>
                      <w:color w:val="auto"/>
                      <w:u w:val="none" w:color="auto"/>
                      <w:lang w:val="en-US" w:eastAsia="zh-CN"/>
                    </w:rPr>
                    <w:t>58</w:t>
                  </w:r>
                  <w:bookmarkEnd w:id="1363"/>
                  <w:bookmarkEnd w:id="1364"/>
                  <w:bookmarkEnd w:id="1365"/>
                  <w:bookmarkEnd w:id="1366"/>
                  <w:bookmarkEnd w:id="1367"/>
                  <w:bookmarkEnd w:id="1368"/>
                </w:p>
              </w:tc>
            </w:tr>
            <w:tr w14:paraId="135A6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2" w:type="pct"/>
                  <w:vMerge w:val="continue"/>
                  <w:tcBorders>
                    <w:tl2br w:val="nil"/>
                    <w:tr2bl w:val="nil"/>
                  </w:tcBorders>
                  <w:noWrap w:val="0"/>
                  <w:vAlign w:val="center"/>
                </w:tcPr>
                <w:p w14:paraId="0BEDB1B8">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u w:val="none" w:color="auto"/>
                      <w:lang w:val="en-US" w:eastAsia="zh-CN"/>
                    </w:rPr>
                  </w:pPr>
                </w:p>
              </w:tc>
              <w:tc>
                <w:tcPr>
                  <w:tcW w:w="509" w:type="pct"/>
                  <w:tcBorders>
                    <w:tl2br w:val="nil"/>
                    <w:tr2bl w:val="nil"/>
                  </w:tcBorders>
                  <w:noWrap w:val="0"/>
                  <w:vAlign w:val="center"/>
                </w:tcPr>
                <w:p w14:paraId="69A97F5E">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u w:val="none" w:color="auto"/>
                      <w:lang w:val="en-US" w:eastAsia="zh-CN"/>
                    </w:rPr>
                  </w:pPr>
                  <w:bookmarkStart w:id="1369" w:name="_Toc2451"/>
                  <w:bookmarkStart w:id="1370" w:name="_Toc1542"/>
                  <w:bookmarkStart w:id="1371" w:name="_Toc13116"/>
                  <w:bookmarkStart w:id="1372" w:name="_Toc24786"/>
                  <w:bookmarkStart w:id="1373" w:name="_Toc110"/>
                  <w:bookmarkStart w:id="1374" w:name="_Toc12622"/>
                  <w:bookmarkStart w:id="1375" w:name="_Toc24104"/>
                  <w:bookmarkStart w:id="1376" w:name="_Toc3543"/>
                  <w:bookmarkStart w:id="1377" w:name="_Toc6507"/>
                  <w:bookmarkStart w:id="1378" w:name="_Toc29013"/>
                  <w:bookmarkStart w:id="1379" w:name="_Toc527"/>
                  <w:bookmarkStart w:id="1380" w:name="_Toc29422"/>
                  <w:bookmarkStart w:id="1381" w:name="_Toc25031"/>
                  <w:bookmarkStart w:id="1382" w:name="_Toc96"/>
                  <w:bookmarkStart w:id="1383" w:name="_Toc4784"/>
                  <w:bookmarkStart w:id="1384" w:name="_Toc30402"/>
                  <w:bookmarkStart w:id="1385" w:name="_Toc19750"/>
                  <w:bookmarkStart w:id="1386" w:name="_Toc5589"/>
                  <w:bookmarkStart w:id="1387" w:name="_Toc27614"/>
                  <w:bookmarkStart w:id="1388" w:name="_Toc7987"/>
                  <w:bookmarkStart w:id="1389" w:name="_Toc4182"/>
                  <w:bookmarkStart w:id="1390" w:name="_Toc24196"/>
                  <w:r>
                    <w:rPr>
                      <w:rFonts w:hint="default" w:ascii="Times New Roman" w:hAnsi="Times New Roman" w:cs="Times New Roman"/>
                      <w:color w:val="auto"/>
                      <w:sz w:val="21"/>
                      <w:szCs w:val="21"/>
                      <w:u w:val="none" w:color="auto"/>
                      <w:lang w:val="en-US" w:eastAsia="zh-CN"/>
                    </w:rPr>
                    <w:t>夜间</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tc>
              <w:tc>
                <w:tcPr>
                  <w:tcW w:w="460" w:type="pct"/>
                  <w:tcBorders>
                    <w:tl2br w:val="nil"/>
                    <w:tr2bl w:val="nil"/>
                  </w:tcBorders>
                  <w:noWrap w:val="0"/>
                  <w:vAlign w:val="center"/>
                </w:tcPr>
                <w:p w14:paraId="0DE3A97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391" w:name="_Toc24425"/>
                  <w:bookmarkStart w:id="1392" w:name="_Toc28106"/>
                  <w:bookmarkStart w:id="1393" w:name="_Toc29552"/>
                  <w:bookmarkStart w:id="1394" w:name="_Toc4190"/>
                  <w:bookmarkStart w:id="1395" w:name="_Toc6777"/>
                  <w:bookmarkStart w:id="1396" w:name="_Toc17032"/>
                  <w:bookmarkStart w:id="1397" w:name="_Toc6156"/>
                  <w:bookmarkStart w:id="1398" w:name="_Toc3798"/>
                  <w:r>
                    <w:rPr>
                      <w:rFonts w:hint="eastAsia" w:cs="Times New Roman"/>
                      <w:color w:val="auto"/>
                      <w:u w:val="none" w:color="auto"/>
                      <w:lang w:val="en-US" w:eastAsia="zh-CN"/>
                    </w:rPr>
                    <w:t>4</w:t>
                  </w:r>
                  <w:bookmarkEnd w:id="1391"/>
                  <w:bookmarkEnd w:id="1392"/>
                  <w:r>
                    <w:rPr>
                      <w:rFonts w:hint="eastAsia" w:cs="Times New Roman"/>
                      <w:color w:val="auto"/>
                      <w:u w:val="none" w:color="auto"/>
                      <w:lang w:val="en-US" w:eastAsia="zh-CN"/>
                    </w:rPr>
                    <w:t>6</w:t>
                  </w:r>
                  <w:bookmarkEnd w:id="1393"/>
                  <w:bookmarkEnd w:id="1394"/>
                  <w:bookmarkEnd w:id="1395"/>
                  <w:bookmarkEnd w:id="1396"/>
                  <w:bookmarkEnd w:id="1397"/>
                  <w:bookmarkEnd w:id="1398"/>
                </w:p>
              </w:tc>
              <w:tc>
                <w:tcPr>
                  <w:tcW w:w="479" w:type="pct"/>
                  <w:tcBorders>
                    <w:tl2br w:val="nil"/>
                    <w:tr2bl w:val="nil"/>
                  </w:tcBorders>
                  <w:noWrap w:val="0"/>
                  <w:vAlign w:val="center"/>
                </w:tcPr>
                <w:p w14:paraId="08C37622">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399" w:name="_Toc1083"/>
                  <w:bookmarkStart w:id="1400" w:name="_Toc29873"/>
                  <w:bookmarkStart w:id="1401" w:name="_Toc27407"/>
                  <w:bookmarkStart w:id="1402" w:name="_Toc13482"/>
                  <w:bookmarkStart w:id="1403" w:name="_Toc23916"/>
                  <w:bookmarkStart w:id="1404" w:name="_Toc20954"/>
                  <w:bookmarkStart w:id="1405" w:name="_Toc8794"/>
                  <w:bookmarkStart w:id="1406" w:name="_Toc1016"/>
                  <w:r>
                    <w:rPr>
                      <w:rFonts w:hint="eastAsia" w:cs="Times New Roman"/>
                      <w:color w:val="auto"/>
                      <w:u w:val="none" w:color="auto"/>
                      <w:lang w:val="en-US" w:eastAsia="zh-CN"/>
                    </w:rPr>
                    <w:t>4</w:t>
                  </w:r>
                  <w:bookmarkEnd w:id="1399"/>
                  <w:bookmarkEnd w:id="1400"/>
                  <w:r>
                    <w:rPr>
                      <w:rFonts w:hint="eastAsia" w:cs="Times New Roman"/>
                      <w:color w:val="auto"/>
                      <w:u w:val="none" w:color="auto"/>
                      <w:lang w:val="en-US" w:eastAsia="zh-CN"/>
                    </w:rPr>
                    <w:t>5</w:t>
                  </w:r>
                  <w:bookmarkEnd w:id="1401"/>
                  <w:bookmarkEnd w:id="1402"/>
                  <w:bookmarkEnd w:id="1403"/>
                  <w:bookmarkEnd w:id="1404"/>
                  <w:bookmarkEnd w:id="1405"/>
                  <w:bookmarkEnd w:id="1406"/>
                </w:p>
              </w:tc>
              <w:tc>
                <w:tcPr>
                  <w:tcW w:w="459" w:type="pct"/>
                  <w:tcBorders>
                    <w:tl2br w:val="nil"/>
                    <w:tr2bl w:val="nil"/>
                  </w:tcBorders>
                  <w:noWrap w:val="0"/>
                  <w:vAlign w:val="center"/>
                </w:tcPr>
                <w:p w14:paraId="2959AE83">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407" w:name="_Toc30025"/>
                  <w:bookmarkStart w:id="1408" w:name="_Toc3360"/>
                  <w:bookmarkStart w:id="1409" w:name="_Toc24801"/>
                  <w:bookmarkStart w:id="1410" w:name="_Toc8429"/>
                  <w:bookmarkStart w:id="1411" w:name="_Toc26275"/>
                  <w:bookmarkStart w:id="1412" w:name="_Toc6766"/>
                  <w:bookmarkStart w:id="1413" w:name="_Toc32437"/>
                  <w:bookmarkStart w:id="1414" w:name="_Toc21771"/>
                  <w:r>
                    <w:rPr>
                      <w:rFonts w:hint="eastAsia" w:cs="Times New Roman"/>
                      <w:color w:val="auto"/>
                      <w:u w:val="none" w:color="auto"/>
                      <w:lang w:val="en-US" w:eastAsia="zh-CN"/>
                    </w:rPr>
                    <w:t>4</w:t>
                  </w:r>
                  <w:bookmarkEnd w:id="1407"/>
                  <w:bookmarkEnd w:id="1408"/>
                  <w:r>
                    <w:rPr>
                      <w:rFonts w:hint="eastAsia" w:cs="Times New Roman"/>
                      <w:color w:val="auto"/>
                      <w:u w:val="none" w:color="auto"/>
                      <w:lang w:val="en-US" w:eastAsia="zh-CN"/>
                    </w:rPr>
                    <w:t>7</w:t>
                  </w:r>
                  <w:bookmarkEnd w:id="1409"/>
                  <w:bookmarkEnd w:id="1410"/>
                  <w:bookmarkEnd w:id="1411"/>
                  <w:bookmarkEnd w:id="1412"/>
                  <w:bookmarkEnd w:id="1413"/>
                  <w:bookmarkEnd w:id="1414"/>
                </w:p>
              </w:tc>
              <w:tc>
                <w:tcPr>
                  <w:tcW w:w="439" w:type="pct"/>
                  <w:tcBorders>
                    <w:tl2br w:val="nil"/>
                    <w:tr2bl w:val="nil"/>
                  </w:tcBorders>
                  <w:noWrap w:val="0"/>
                  <w:vAlign w:val="center"/>
                </w:tcPr>
                <w:p w14:paraId="317F670A">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u w:val="none" w:color="auto"/>
                      <w:lang w:val="en-US" w:eastAsia="zh-CN"/>
                    </w:rPr>
                  </w:pPr>
                  <w:bookmarkStart w:id="1415" w:name="_Toc25543"/>
                  <w:bookmarkStart w:id="1416" w:name="_Toc11732"/>
                  <w:bookmarkStart w:id="1417" w:name="_Toc10765"/>
                  <w:bookmarkStart w:id="1418" w:name="_Toc15359"/>
                  <w:bookmarkStart w:id="1419" w:name="_Toc14575"/>
                  <w:bookmarkStart w:id="1420" w:name="_Toc878"/>
                  <w:bookmarkStart w:id="1421" w:name="_Toc7789"/>
                  <w:bookmarkStart w:id="1422" w:name="_Toc22534"/>
                  <w:r>
                    <w:rPr>
                      <w:rFonts w:hint="eastAsia" w:cs="Times New Roman"/>
                      <w:color w:val="auto"/>
                      <w:u w:val="none" w:color="auto"/>
                      <w:lang w:val="en-US" w:eastAsia="zh-CN"/>
                    </w:rPr>
                    <w:t>5</w:t>
                  </w:r>
                  <w:bookmarkEnd w:id="1415"/>
                  <w:bookmarkEnd w:id="1416"/>
                  <w:r>
                    <w:rPr>
                      <w:rFonts w:hint="eastAsia" w:cs="Times New Roman"/>
                      <w:color w:val="auto"/>
                      <w:u w:val="none" w:color="auto"/>
                      <w:lang w:val="en-US" w:eastAsia="zh-CN"/>
                    </w:rPr>
                    <w:t>4</w:t>
                  </w:r>
                  <w:bookmarkEnd w:id="1417"/>
                  <w:bookmarkEnd w:id="1418"/>
                  <w:bookmarkEnd w:id="1419"/>
                  <w:bookmarkEnd w:id="1420"/>
                  <w:bookmarkEnd w:id="1421"/>
                  <w:bookmarkEnd w:id="1422"/>
                </w:p>
              </w:tc>
              <w:tc>
                <w:tcPr>
                  <w:tcW w:w="669" w:type="pct"/>
                  <w:tcBorders>
                    <w:tl2br w:val="nil"/>
                    <w:tr2bl w:val="nil"/>
                  </w:tcBorders>
                  <w:noWrap w:val="0"/>
                  <w:vAlign w:val="center"/>
                </w:tcPr>
                <w:p w14:paraId="1B1F0388">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u w:val="none" w:color="auto"/>
                      <w:lang w:val="en-US" w:eastAsia="zh-CN"/>
                    </w:rPr>
                  </w:pPr>
                  <w:bookmarkStart w:id="1423" w:name="_Toc16916"/>
                  <w:bookmarkStart w:id="1424" w:name="_Toc3656"/>
                  <w:bookmarkStart w:id="1425" w:name="_Toc13404"/>
                  <w:bookmarkStart w:id="1426" w:name="_Toc32457"/>
                  <w:bookmarkStart w:id="1427" w:name="_Toc10285"/>
                  <w:bookmarkStart w:id="1428" w:name="_Toc3390"/>
                  <w:r>
                    <w:rPr>
                      <w:rFonts w:hint="eastAsia" w:cs="Times New Roman"/>
                      <w:color w:val="auto"/>
                      <w:u w:val="none" w:color="auto"/>
                      <w:lang w:val="en-US" w:eastAsia="zh-CN"/>
                    </w:rPr>
                    <w:t>48</w:t>
                  </w:r>
                  <w:bookmarkEnd w:id="1423"/>
                  <w:bookmarkEnd w:id="1424"/>
                  <w:bookmarkEnd w:id="1425"/>
                  <w:bookmarkEnd w:id="1426"/>
                  <w:bookmarkEnd w:id="1427"/>
                  <w:bookmarkEnd w:id="1428"/>
                </w:p>
              </w:tc>
              <w:tc>
                <w:tcPr>
                  <w:tcW w:w="669" w:type="pct"/>
                  <w:tcBorders>
                    <w:tl2br w:val="nil"/>
                    <w:tr2bl w:val="nil"/>
                  </w:tcBorders>
                  <w:noWrap w:val="0"/>
                  <w:vAlign w:val="center"/>
                </w:tcPr>
                <w:p w14:paraId="673793F0">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u w:val="none" w:color="auto"/>
                      <w:lang w:val="en-US" w:eastAsia="zh-CN"/>
                    </w:rPr>
                  </w:pPr>
                  <w:bookmarkStart w:id="1429" w:name="_Toc12830"/>
                  <w:bookmarkStart w:id="1430" w:name="_Toc25259"/>
                  <w:bookmarkStart w:id="1431" w:name="_Toc21566"/>
                  <w:bookmarkStart w:id="1432" w:name="_Toc22161"/>
                  <w:bookmarkStart w:id="1433" w:name="_Toc3769"/>
                  <w:bookmarkStart w:id="1434" w:name="_Toc27738"/>
                  <w:r>
                    <w:rPr>
                      <w:rFonts w:hint="eastAsia" w:cs="Times New Roman"/>
                      <w:color w:val="auto"/>
                      <w:u w:val="none" w:color="auto"/>
                      <w:lang w:val="en-US" w:eastAsia="zh-CN"/>
                    </w:rPr>
                    <w:t>47</w:t>
                  </w:r>
                  <w:bookmarkEnd w:id="1429"/>
                  <w:bookmarkEnd w:id="1430"/>
                  <w:bookmarkEnd w:id="1431"/>
                  <w:bookmarkEnd w:id="1432"/>
                  <w:bookmarkEnd w:id="1433"/>
                  <w:bookmarkEnd w:id="1434"/>
                </w:p>
              </w:tc>
              <w:tc>
                <w:tcPr>
                  <w:tcW w:w="670" w:type="pct"/>
                  <w:tcBorders>
                    <w:tl2br w:val="nil"/>
                    <w:tr2bl w:val="nil"/>
                  </w:tcBorders>
                  <w:noWrap w:val="0"/>
                  <w:vAlign w:val="center"/>
                </w:tcPr>
                <w:p w14:paraId="6D2DDE0E">
                  <w:pPr>
                    <w:pStyle w:val="44"/>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u w:val="none" w:color="auto"/>
                      <w:lang w:val="en-US" w:eastAsia="zh-CN"/>
                    </w:rPr>
                  </w:pPr>
                  <w:bookmarkStart w:id="1435" w:name="_Toc6167"/>
                  <w:bookmarkStart w:id="1436" w:name="_Toc25172"/>
                  <w:bookmarkStart w:id="1437" w:name="_Toc17388"/>
                  <w:bookmarkStart w:id="1438" w:name="_Toc21365"/>
                  <w:bookmarkStart w:id="1439" w:name="_Toc21567"/>
                  <w:bookmarkStart w:id="1440" w:name="_Toc3730"/>
                  <w:r>
                    <w:rPr>
                      <w:rFonts w:hint="eastAsia" w:cs="Times New Roman"/>
                      <w:color w:val="auto"/>
                      <w:u w:val="none" w:color="auto"/>
                      <w:lang w:val="en-US" w:eastAsia="zh-CN"/>
                    </w:rPr>
                    <w:t>48</w:t>
                  </w:r>
                  <w:bookmarkEnd w:id="1435"/>
                  <w:bookmarkEnd w:id="1436"/>
                  <w:bookmarkEnd w:id="1437"/>
                  <w:bookmarkEnd w:id="1438"/>
                  <w:bookmarkEnd w:id="1439"/>
                  <w:bookmarkEnd w:id="1440"/>
                </w:p>
              </w:tc>
            </w:tr>
            <w:tr w14:paraId="3021D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2" w:type="pct"/>
                  <w:vMerge w:val="restart"/>
                  <w:tcBorders>
                    <w:tl2br w:val="nil"/>
                    <w:tr2bl w:val="nil"/>
                  </w:tcBorders>
                  <w:noWrap w:val="0"/>
                  <w:vAlign w:val="center"/>
                </w:tcPr>
                <w:p w14:paraId="0A2A204E">
                  <w:pPr>
                    <w:pStyle w:val="44"/>
                    <w:rPr>
                      <w:rFonts w:hint="default" w:cs="Times New Roman"/>
                      <w:color w:val="auto"/>
                      <w:u w:val="none" w:color="auto"/>
                      <w:lang w:val="en-US" w:eastAsia="zh-CN"/>
                    </w:rPr>
                  </w:pPr>
                  <w:bookmarkStart w:id="1441" w:name="_Toc20311"/>
                  <w:bookmarkStart w:id="1442" w:name="_Toc5655"/>
                  <w:bookmarkStart w:id="1443" w:name="_Toc21319"/>
                  <w:bookmarkStart w:id="1444" w:name="_Toc5308"/>
                  <w:bookmarkStart w:id="1445" w:name="_Toc16379"/>
                  <w:bookmarkStart w:id="1446" w:name="_Toc19419"/>
                  <w:bookmarkStart w:id="1447" w:name="_Toc24349"/>
                  <w:bookmarkStart w:id="1448" w:name="_Toc31434"/>
                  <w:bookmarkStart w:id="1449" w:name="_Toc10825"/>
                  <w:bookmarkStart w:id="1450" w:name="_Toc4814"/>
                  <w:bookmarkStart w:id="1451" w:name="_Toc22002"/>
                  <w:bookmarkStart w:id="1452" w:name="_Toc5960"/>
                  <w:bookmarkStart w:id="1453" w:name="_Toc25598"/>
                  <w:bookmarkStart w:id="1454" w:name="_Toc6915"/>
                  <w:bookmarkStart w:id="1455" w:name="_Toc5612"/>
                  <w:bookmarkStart w:id="1456" w:name="_Toc4411"/>
                  <w:bookmarkStart w:id="1457" w:name="_Toc9137"/>
                  <w:bookmarkStart w:id="1458" w:name="_Toc19770"/>
                  <w:bookmarkStart w:id="1459" w:name="_Toc4109"/>
                  <w:bookmarkStart w:id="1460" w:name="_Toc6291"/>
                  <w:bookmarkStart w:id="1461" w:name="_Toc240"/>
                  <w:bookmarkStart w:id="1462" w:name="_Toc6425"/>
                  <w:r>
                    <w:rPr>
                      <w:rFonts w:hint="eastAsia" w:cs="Times New Roman"/>
                      <w:color w:val="auto"/>
                      <w:u w:val="none" w:color="auto"/>
                      <w:lang w:val="en-US" w:eastAsia="zh-CN"/>
                    </w:rPr>
                    <w:t>预测值</w:t>
                  </w:r>
                  <w:r>
                    <w:rPr>
                      <w:rFonts w:hint="eastAsia" w:ascii="Times New Roman" w:hAnsi="Times New Roman" w:eastAsia="宋体" w:cs="Times New Roman"/>
                      <w:color w:val="auto"/>
                      <w:sz w:val="21"/>
                      <w:szCs w:val="24"/>
                      <w:u w:val="none" w:color="auto"/>
                      <w:lang w:val="en-US" w:eastAsia="zh-CN"/>
                    </w:rPr>
                    <w:t>dB（A）</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tc>
              <w:tc>
                <w:tcPr>
                  <w:tcW w:w="509" w:type="pct"/>
                  <w:tcBorders>
                    <w:tl2br w:val="nil"/>
                    <w:tr2bl w:val="nil"/>
                  </w:tcBorders>
                  <w:noWrap w:val="0"/>
                  <w:vAlign w:val="center"/>
                </w:tcPr>
                <w:p w14:paraId="70680624">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u w:val="none" w:color="auto"/>
                      <w:lang w:val="en-US" w:eastAsia="zh-CN"/>
                    </w:rPr>
                  </w:pPr>
                  <w:bookmarkStart w:id="1463" w:name="_Toc19887"/>
                  <w:bookmarkStart w:id="1464" w:name="_Toc11480"/>
                  <w:bookmarkStart w:id="1465" w:name="_Toc18328"/>
                  <w:bookmarkStart w:id="1466" w:name="_Toc6307"/>
                  <w:bookmarkStart w:id="1467" w:name="_Toc17049"/>
                  <w:bookmarkStart w:id="1468" w:name="_Toc10176"/>
                  <w:bookmarkStart w:id="1469" w:name="_Toc29052"/>
                  <w:bookmarkStart w:id="1470" w:name="_Toc25331"/>
                  <w:bookmarkStart w:id="1471" w:name="_Toc24990"/>
                  <w:bookmarkStart w:id="1472" w:name="_Toc24373"/>
                  <w:bookmarkStart w:id="1473" w:name="_Toc17484"/>
                  <w:bookmarkStart w:id="1474" w:name="_Toc29"/>
                  <w:bookmarkStart w:id="1475" w:name="_Toc184"/>
                  <w:bookmarkStart w:id="1476" w:name="_Toc30473"/>
                  <w:bookmarkStart w:id="1477" w:name="_Toc26924"/>
                  <w:bookmarkStart w:id="1478" w:name="_Toc1070"/>
                  <w:bookmarkStart w:id="1479" w:name="_Toc16909"/>
                  <w:bookmarkStart w:id="1480" w:name="_Toc3810"/>
                  <w:bookmarkStart w:id="1481" w:name="_Toc7061"/>
                  <w:bookmarkStart w:id="1482" w:name="_Toc4107"/>
                  <w:bookmarkStart w:id="1483" w:name="_Toc1943"/>
                  <w:bookmarkStart w:id="1484" w:name="_Toc23291"/>
                  <w:r>
                    <w:rPr>
                      <w:rFonts w:hint="default" w:ascii="Times New Roman" w:hAnsi="Times New Roman" w:cs="Times New Roman"/>
                      <w:color w:val="auto"/>
                      <w:sz w:val="21"/>
                      <w:szCs w:val="21"/>
                      <w:u w:val="none" w:color="auto"/>
                      <w:lang w:val="en-US" w:eastAsia="zh-CN"/>
                    </w:rPr>
                    <w:t>昼间</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tc>
              <w:tc>
                <w:tcPr>
                  <w:tcW w:w="783" w:type="dxa"/>
                  <w:tcBorders>
                    <w:tl2br w:val="nil"/>
                    <w:tr2bl w:val="nil"/>
                  </w:tcBorders>
                  <w:noWrap w:val="0"/>
                  <w:vAlign w:val="center"/>
                </w:tcPr>
                <w:p w14:paraId="2F38552C">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485" w:name="_Toc21045"/>
                  <w:bookmarkStart w:id="1486" w:name="_Toc23296"/>
                  <w:bookmarkStart w:id="1487" w:name="_Toc2646"/>
                  <w:bookmarkStart w:id="1488" w:name="_Toc20347"/>
                  <w:bookmarkStart w:id="1489" w:name="_Toc28780"/>
                  <w:bookmarkStart w:id="1490" w:name="_Toc2260"/>
                  <w:r>
                    <w:rPr>
                      <w:rFonts w:hint="eastAsia" w:ascii="Times New Roman" w:hAnsi="Times New Roman" w:eastAsia="宋体" w:cs="Times New Roman"/>
                      <w:i w:val="0"/>
                      <w:iCs w:val="0"/>
                      <w:color w:val="auto"/>
                      <w:kern w:val="2"/>
                      <w:sz w:val="21"/>
                      <w:szCs w:val="24"/>
                      <w:u w:val="none" w:color="auto"/>
                      <w:lang w:val="en-US" w:eastAsia="zh-CN" w:bidi="ar"/>
                    </w:rPr>
                    <w:t>58.18</w:t>
                  </w:r>
                  <w:bookmarkEnd w:id="1485"/>
                  <w:bookmarkEnd w:id="1486"/>
                  <w:bookmarkEnd w:id="1487"/>
                  <w:bookmarkEnd w:id="1488"/>
                  <w:bookmarkEnd w:id="1489"/>
                  <w:bookmarkEnd w:id="1490"/>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815" w:type="dxa"/>
                  <w:tcBorders>
                    <w:tl2br w:val="nil"/>
                    <w:tr2bl w:val="nil"/>
                  </w:tcBorders>
                  <w:noWrap w:val="0"/>
                  <w:vAlign w:val="center"/>
                </w:tcPr>
                <w:p w14:paraId="3512D97C">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491" w:name="_Toc30122"/>
                  <w:bookmarkStart w:id="1492" w:name="_Toc21947"/>
                  <w:bookmarkStart w:id="1493" w:name="_Toc22629"/>
                  <w:bookmarkStart w:id="1494" w:name="_Toc2300"/>
                  <w:bookmarkStart w:id="1495" w:name="_Toc22141"/>
                  <w:bookmarkStart w:id="1496" w:name="_Toc15857"/>
                  <w:r>
                    <w:rPr>
                      <w:rFonts w:hint="eastAsia" w:ascii="Times New Roman" w:hAnsi="Times New Roman" w:eastAsia="宋体" w:cs="Times New Roman"/>
                      <w:i w:val="0"/>
                      <w:iCs w:val="0"/>
                      <w:color w:val="auto"/>
                      <w:kern w:val="2"/>
                      <w:sz w:val="21"/>
                      <w:szCs w:val="24"/>
                      <w:u w:val="none" w:color="auto"/>
                      <w:lang w:val="en-US" w:eastAsia="zh-CN" w:bidi="ar"/>
                    </w:rPr>
                    <w:t>56.58</w:t>
                  </w:r>
                  <w:bookmarkEnd w:id="1491"/>
                  <w:bookmarkEnd w:id="1492"/>
                  <w:bookmarkEnd w:id="1493"/>
                  <w:bookmarkEnd w:id="1494"/>
                  <w:bookmarkEnd w:id="1495"/>
                  <w:bookmarkEnd w:id="1496"/>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781" w:type="dxa"/>
                  <w:tcBorders>
                    <w:tl2br w:val="nil"/>
                    <w:tr2bl w:val="nil"/>
                  </w:tcBorders>
                  <w:noWrap w:val="0"/>
                  <w:vAlign w:val="center"/>
                </w:tcPr>
                <w:p w14:paraId="1DBD1412">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497" w:name="_Toc27063"/>
                  <w:bookmarkStart w:id="1498" w:name="_Toc26917"/>
                  <w:bookmarkStart w:id="1499" w:name="_Toc19649"/>
                  <w:bookmarkStart w:id="1500" w:name="_Toc3789"/>
                  <w:bookmarkStart w:id="1501" w:name="_Toc1876"/>
                  <w:bookmarkStart w:id="1502" w:name="_Toc9155"/>
                  <w:r>
                    <w:rPr>
                      <w:rFonts w:hint="eastAsia" w:ascii="Times New Roman" w:hAnsi="Times New Roman" w:eastAsia="宋体" w:cs="Times New Roman"/>
                      <w:i w:val="0"/>
                      <w:iCs w:val="0"/>
                      <w:color w:val="auto"/>
                      <w:kern w:val="2"/>
                      <w:sz w:val="21"/>
                      <w:szCs w:val="24"/>
                      <w:u w:val="none" w:color="auto"/>
                      <w:lang w:val="en-US" w:eastAsia="zh-CN" w:bidi="ar"/>
                    </w:rPr>
                    <w:t>55.27</w:t>
                  </w:r>
                  <w:bookmarkEnd w:id="1497"/>
                  <w:bookmarkEnd w:id="1498"/>
                  <w:bookmarkEnd w:id="1499"/>
                  <w:bookmarkEnd w:id="1500"/>
                  <w:bookmarkEnd w:id="1501"/>
                  <w:bookmarkEnd w:id="1502"/>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748" w:type="dxa"/>
                  <w:tcBorders>
                    <w:tl2br w:val="nil"/>
                    <w:tr2bl w:val="nil"/>
                  </w:tcBorders>
                  <w:noWrap w:val="0"/>
                  <w:vAlign w:val="center"/>
                </w:tcPr>
                <w:p w14:paraId="5B5B4967">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03" w:name="_Toc30372"/>
                  <w:bookmarkStart w:id="1504" w:name="_Toc1746"/>
                  <w:bookmarkStart w:id="1505" w:name="_Toc9078"/>
                  <w:bookmarkStart w:id="1506" w:name="_Toc29453"/>
                  <w:bookmarkStart w:id="1507" w:name="_Toc13315"/>
                  <w:bookmarkStart w:id="1508" w:name="_Toc1603"/>
                  <w:r>
                    <w:rPr>
                      <w:rFonts w:hint="eastAsia" w:ascii="Times New Roman" w:hAnsi="Times New Roman" w:eastAsia="宋体" w:cs="Times New Roman"/>
                      <w:i w:val="0"/>
                      <w:iCs w:val="0"/>
                      <w:color w:val="auto"/>
                      <w:kern w:val="2"/>
                      <w:sz w:val="21"/>
                      <w:szCs w:val="24"/>
                      <w:u w:val="none" w:color="auto"/>
                      <w:lang w:val="en-US" w:eastAsia="zh-CN" w:bidi="ar"/>
                    </w:rPr>
                    <w:t>63.13</w:t>
                  </w:r>
                  <w:bookmarkEnd w:id="1503"/>
                  <w:bookmarkEnd w:id="1504"/>
                  <w:bookmarkEnd w:id="1505"/>
                  <w:bookmarkEnd w:id="1506"/>
                  <w:bookmarkEnd w:id="1507"/>
                  <w:bookmarkEnd w:id="1508"/>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1138" w:type="dxa"/>
                  <w:tcBorders>
                    <w:tl2br w:val="nil"/>
                    <w:tr2bl w:val="nil"/>
                  </w:tcBorders>
                  <w:noWrap w:val="0"/>
                  <w:vAlign w:val="center"/>
                </w:tcPr>
                <w:p w14:paraId="7E7C473E">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09" w:name="_Toc13749"/>
                  <w:bookmarkStart w:id="1510" w:name="_Toc10445"/>
                  <w:bookmarkStart w:id="1511" w:name="_Toc21098"/>
                  <w:bookmarkStart w:id="1512" w:name="_Toc13569"/>
                  <w:bookmarkStart w:id="1513" w:name="_Toc1508"/>
                  <w:bookmarkStart w:id="1514" w:name="_Toc30863"/>
                  <w:r>
                    <w:rPr>
                      <w:rFonts w:hint="eastAsia" w:ascii="Times New Roman" w:hAnsi="Times New Roman" w:eastAsia="宋体" w:cs="Times New Roman"/>
                      <w:i w:val="0"/>
                      <w:iCs w:val="0"/>
                      <w:color w:val="auto"/>
                      <w:kern w:val="2"/>
                      <w:sz w:val="21"/>
                      <w:szCs w:val="24"/>
                      <w:u w:val="none" w:color="auto"/>
                      <w:lang w:val="en-US" w:eastAsia="zh-CN" w:bidi="ar"/>
                    </w:rPr>
                    <w:t>58.04</w:t>
                  </w:r>
                  <w:bookmarkEnd w:id="1509"/>
                  <w:bookmarkEnd w:id="1510"/>
                  <w:bookmarkEnd w:id="1511"/>
                  <w:bookmarkEnd w:id="1512"/>
                  <w:bookmarkEnd w:id="1513"/>
                  <w:bookmarkEnd w:id="1514"/>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1138" w:type="dxa"/>
                  <w:tcBorders>
                    <w:tl2br w:val="nil"/>
                    <w:tr2bl w:val="nil"/>
                  </w:tcBorders>
                  <w:noWrap w:val="0"/>
                  <w:vAlign w:val="center"/>
                </w:tcPr>
                <w:p w14:paraId="2F01891D">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15" w:name="_Toc8393"/>
                  <w:bookmarkStart w:id="1516" w:name="_Toc27998"/>
                  <w:bookmarkStart w:id="1517" w:name="_Toc14136"/>
                  <w:bookmarkStart w:id="1518" w:name="_Toc24496"/>
                  <w:bookmarkStart w:id="1519" w:name="_Toc29635"/>
                  <w:bookmarkStart w:id="1520" w:name="_Toc5183"/>
                  <w:r>
                    <w:rPr>
                      <w:rFonts w:hint="eastAsia" w:ascii="Times New Roman" w:hAnsi="Times New Roman" w:eastAsia="宋体" w:cs="Times New Roman"/>
                      <w:i w:val="0"/>
                      <w:iCs w:val="0"/>
                      <w:color w:val="auto"/>
                      <w:kern w:val="2"/>
                      <w:sz w:val="21"/>
                      <w:szCs w:val="24"/>
                      <w:u w:val="none" w:color="auto"/>
                      <w:lang w:val="en-US" w:eastAsia="zh-CN" w:bidi="ar"/>
                    </w:rPr>
                    <w:t>58.12</w:t>
                  </w:r>
                  <w:bookmarkEnd w:id="1515"/>
                  <w:bookmarkEnd w:id="1516"/>
                  <w:bookmarkEnd w:id="1517"/>
                  <w:bookmarkEnd w:id="1518"/>
                  <w:bookmarkEnd w:id="1519"/>
                  <w:bookmarkEnd w:id="1520"/>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1140" w:type="dxa"/>
                  <w:tcBorders>
                    <w:tl2br w:val="nil"/>
                    <w:tr2bl w:val="nil"/>
                  </w:tcBorders>
                  <w:noWrap w:val="0"/>
                  <w:vAlign w:val="center"/>
                </w:tcPr>
                <w:p w14:paraId="6556A759">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21" w:name="_Toc7414"/>
                  <w:bookmarkStart w:id="1522" w:name="_Toc26619"/>
                  <w:bookmarkStart w:id="1523" w:name="_Toc8317"/>
                  <w:bookmarkStart w:id="1524" w:name="_Toc11969"/>
                  <w:bookmarkStart w:id="1525" w:name="_Toc7139"/>
                  <w:bookmarkStart w:id="1526" w:name="_Toc2399"/>
                  <w:r>
                    <w:rPr>
                      <w:rFonts w:hint="eastAsia" w:ascii="Times New Roman" w:hAnsi="Times New Roman" w:eastAsia="宋体" w:cs="Times New Roman"/>
                      <w:i w:val="0"/>
                      <w:iCs w:val="0"/>
                      <w:color w:val="auto"/>
                      <w:kern w:val="2"/>
                      <w:sz w:val="21"/>
                      <w:szCs w:val="24"/>
                      <w:u w:val="none" w:color="auto"/>
                      <w:lang w:val="en-US" w:eastAsia="zh-CN" w:bidi="ar"/>
                    </w:rPr>
                    <w:t>58.04</w:t>
                  </w:r>
                  <w:bookmarkEnd w:id="1521"/>
                  <w:bookmarkEnd w:id="1522"/>
                  <w:bookmarkEnd w:id="1523"/>
                  <w:bookmarkEnd w:id="1524"/>
                  <w:bookmarkEnd w:id="1525"/>
                  <w:bookmarkEnd w:id="1526"/>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r>
            <w:tr w14:paraId="5F7F6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2" w:type="pct"/>
                  <w:vMerge w:val="continue"/>
                  <w:tcBorders>
                    <w:tl2br w:val="nil"/>
                    <w:tr2bl w:val="nil"/>
                  </w:tcBorders>
                  <w:noWrap w:val="0"/>
                  <w:vAlign w:val="center"/>
                </w:tcPr>
                <w:p w14:paraId="4E125C29">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u w:val="none" w:color="auto"/>
                      <w:lang w:val="en-US" w:eastAsia="zh-CN"/>
                    </w:rPr>
                  </w:pPr>
                </w:p>
              </w:tc>
              <w:tc>
                <w:tcPr>
                  <w:tcW w:w="509" w:type="pct"/>
                  <w:tcBorders>
                    <w:tl2br w:val="nil"/>
                    <w:tr2bl w:val="nil"/>
                  </w:tcBorders>
                  <w:noWrap w:val="0"/>
                  <w:vAlign w:val="center"/>
                </w:tcPr>
                <w:p w14:paraId="7DF66E6E">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u w:val="none" w:color="auto"/>
                      <w:lang w:val="en-US" w:eastAsia="zh-CN"/>
                    </w:rPr>
                  </w:pPr>
                  <w:bookmarkStart w:id="1527" w:name="_Toc20751"/>
                  <w:bookmarkStart w:id="1528" w:name="_Toc27690"/>
                  <w:bookmarkStart w:id="1529" w:name="_Toc23795"/>
                  <w:bookmarkStart w:id="1530" w:name="_Toc5373"/>
                  <w:bookmarkStart w:id="1531" w:name="_Toc31845"/>
                  <w:bookmarkStart w:id="1532" w:name="_Toc13426"/>
                  <w:bookmarkStart w:id="1533" w:name="_Toc510"/>
                  <w:bookmarkStart w:id="1534" w:name="_Toc16435"/>
                  <w:bookmarkStart w:id="1535" w:name="_Toc27083"/>
                  <w:bookmarkStart w:id="1536" w:name="_Toc13934"/>
                  <w:bookmarkStart w:id="1537" w:name="_Toc10954"/>
                  <w:bookmarkStart w:id="1538" w:name="_Toc19177"/>
                  <w:bookmarkStart w:id="1539" w:name="_Toc4830"/>
                  <w:bookmarkStart w:id="1540" w:name="_Toc23158"/>
                  <w:bookmarkStart w:id="1541" w:name="_Toc8543"/>
                  <w:bookmarkStart w:id="1542" w:name="_Toc22847"/>
                  <w:bookmarkStart w:id="1543" w:name="_Toc3776"/>
                  <w:bookmarkStart w:id="1544" w:name="_Toc2691"/>
                  <w:bookmarkStart w:id="1545" w:name="_Toc30104"/>
                  <w:bookmarkStart w:id="1546" w:name="_Toc4476"/>
                  <w:bookmarkStart w:id="1547" w:name="_Toc27185"/>
                  <w:bookmarkStart w:id="1548" w:name="_Toc2013"/>
                  <w:r>
                    <w:rPr>
                      <w:rFonts w:hint="default" w:ascii="Times New Roman" w:hAnsi="Times New Roman" w:cs="Times New Roman"/>
                      <w:color w:val="auto"/>
                      <w:sz w:val="21"/>
                      <w:szCs w:val="21"/>
                      <w:u w:val="none" w:color="auto"/>
                      <w:lang w:val="en-US" w:eastAsia="zh-CN"/>
                    </w:rPr>
                    <w:t>夜间</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tc>
              <w:tc>
                <w:tcPr>
                  <w:tcW w:w="783" w:type="dxa"/>
                  <w:tcBorders>
                    <w:tl2br w:val="nil"/>
                    <w:tr2bl w:val="nil"/>
                  </w:tcBorders>
                  <w:noWrap w:val="0"/>
                  <w:vAlign w:val="center"/>
                </w:tcPr>
                <w:p w14:paraId="25ED36CB">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49" w:name="_Toc15834"/>
                  <w:bookmarkStart w:id="1550" w:name="_Toc14543"/>
                  <w:bookmarkStart w:id="1551" w:name="_Toc28401"/>
                  <w:bookmarkStart w:id="1552" w:name="_Toc2322"/>
                  <w:bookmarkStart w:id="1553" w:name="_Toc26996"/>
                  <w:bookmarkStart w:id="1554" w:name="_Toc30344"/>
                  <w:r>
                    <w:rPr>
                      <w:rFonts w:hint="eastAsia" w:ascii="Times New Roman" w:hAnsi="Times New Roman" w:eastAsia="宋体" w:cs="Times New Roman"/>
                      <w:i w:val="0"/>
                      <w:iCs w:val="0"/>
                      <w:color w:val="auto"/>
                      <w:kern w:val="2"/>
                      <w:sz w:val="21"/>
                      <w:szCs w:val="24"/>
                      <w:u w:val="none" w:color="auto"/>
                      <w:lang w:val="en-US" w:eastAsia="zh-CN" w:bidi="ar"/>
                    </w:rPr>
                    <w:t>48.21</w:t>
                  </w:r>
                  <w:bookmarkEnd w:id="1549"/>
                  <w:bookmarkEnd w:id="1550"/>
                  <w:bookmarkEnd w:id="1551"/>
                  <w:bookmarkEnd w:id="1552"/>
                  <w:bookmarkEnd w:id="1553"/>
                  <w:bookmarkEnd w:id="1554"/>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815" w:type="dxa"/>
                  <w:tcBorders>
                    <w:tl2br w:val="nil"/>
                    <w:tr2bl w:val="nil"/>
                  </w:tcBorders>
                  <w:noWrap w:val="0"/>
                  <w:vAlign w:val="center"/>
                </w:tcPr>
                <w:p w14:paraId="19F3515D">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55" w:name="_Toc20412"/>
                  <w:bookmarkStart w:id="1556" w:name="_Toc17714"/>
                  <w:bookmarkStart w:id="1557" w:name="_Toc29842"/>
                  <w:bookmarkStart w:id="1558" w:name="_Toc26277"/>
                  <w:bookmarkStart w:id="1559" w:name="_Toc6592"/>
                  <w:bookmarkStart w:id="1560" w:name="_Toc8792"/>
                  <w:r>
                    <w:rPr>
                      <w:rFonts w:hint="eastAsia" w:ascii="Times New Roman" w:hAnsi="Times New Roman" w:eastAsia="宋体" w:cs="Times New Roman"/>
                      <w:i w:val="0"/>
                      <w:iCs w:val="0"/>
                      <w:color w:val="auto"/>
                      <w:kern w:val="2"/>
                      <w:sz w:val="21"/>
                      <w:szCs w:val="24"/>
                      <w:u w:val="none" w:color="auto"/>
                      <w:lang w:val="en-US" w:eastAsia="zh-CN" w:bidi="ar"/>
                    </w:rPr>
                    <w:t>49.48</w:t>
                  </w:r>
                  <w:bookmarkEnd w:id="1555"/>
                  <w:bookmarkEnd w:id="1556"/>
                  <w:bookmarkEnd w:id="1557"/>
                  <w:bookmarkEnd w:id="1558"/>
                  <w:bookmarkEnd w:id="1559"/>
                  <w:bookmarkEnd w:id="1560"/>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781" w:type="dxa"/>
                  <w:tcBorders>
                    <w:tl2br w:val="nil"/>
                    <w:tr2bl w:val="nil"/>
                  </w:tcBorders>
                  <w:noWrap w:val="0"/>
                  <w:vAlign w:val="center"/>
                </w:tcPr>
                <w:p w14:paraId="794B2792">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61" w:name="_Toc12556"/>
                  <w:bookmarkStart w:id="1562" w:name="_Toc21441"/>
                  <w:bookmarkStart w:id="1563" w:name="_Toc19331"/>
                  <w:bookmarkStart w:id="1564" w:name="_Toc3990"/>
                  <w:bookmarkStart w:id="1565" w:name="_Toc23288"/>
                  <w:bookmarkStart w:id="1566" w:name="_Toc15542"/>
                  <w:r>
                    <w:rPr>
                      <w:rFonts w:hint="eastAsia" w:ascii="Times New Roman" w:hAnsi="Times New Roman" w:eastAsia="宋体" w:cs="Times New Roman"/>
                      <w:i w:val="0"/>
                      <w:iCs w:val="0"/>
                      <w:color w:val="auto"/>
                      <w:kern w:val="2"/>
                      <w:sz w:val="21"/>
                      <w:szCs w:val="24"/>
                      <w:u w:val="none" w:color="auto"/>
                      <w:lang w:val="en-US" w:eastAsia="zh-CN" w:bidi="ar"/>
                    </w:rPr>
                    <w:t>48.50</w:t>
                  </w:r>
                  <w:bookmarkEnd w:id="1561"/>
                  <w:bookmarkEnd w:id="1562"/>
                  <w:bookmarkEnd w:id="1563"/>
                  <w:bookmarkEnd w:id="1564"/>
                  <w:bookmarkEnd w:id="1565"/>
                  <w:bookmarkEnd w:id="1566"/>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748" w:type="dxa"/>
                  <w:tcBorders>
                    <w:tl2br w:val="nil"/>
                    <w:tr2bl w:val="nil"/>
                  </w:tcBorders>
                  <w:noWrap w:val="0"/>
                  <w:vAlign w:val="center"/>
                </w:tcPr>
                <w:p w14:paraId="3277B085">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67" w:name="_Toc9949"/>
                  <w:bookmarkStart w:id="1568" w:name="_Toc16355"/>
                  <w:bookmarkStart w:id="1569" w:name="_Toc18513"/>
                  <w:bookmarkStart w:id="1570" w:name="_Toc1280"/>
                  <w:bookmarkStart w:id="1571" w:name="_Toc1536"/>
                  <w:bookmarkStart w:id="1572" w:name="_Toc19048"/>
                  <w:r>
                    <w:rPr>
                      <w:rFonts w:hint="eastAsia" w:ascii="Times New Roman" w:hAnsi="Times New Roman" w:eastAsia="宋体" w:cs="Times New Roman"/>
                      <w:i w:val="0"/>
                      <w:iCs w:val="0"/>
                      <w:color w:val="auto"/>
                      <w:kern w:val="2"/>
                      <w:sz w:val="21"/>
                      <w:szCs w:val="24"/>
                      <w:u w:val="none" w:color="auto"/>
                      <w:lang w:val="en-US" w:eastAsia="zh-CN" w:bidi="ar"/>
                    </w:rPr>
                    <w:t>54.97</w:t>
                  </w:r>
                  <w:bookmarkEnd w:id="1567"/>
                  <w:bookmarkEnd w:id="1568"/>
                  <w:bookmarkEnd w:id="1569"/>
                  <w:bookmarkEnd w:id="1570"/>
                  <w:bookmarkEnd w:id="1571"/>
                  <w:bookmarkEnd w:id="1572"/>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1138" w:type="dxa"/>
                  <w:tcBorders>
                    <w:tl2br w:val="nil"/>
                    <w:tr2bl w:val="nil"/>
                  </w:tcBorders>
                  <w:noWrap w:val="0"/>
                  <w:vAlign w:val="center"/>
                </w:tcPr>
                <w:p w14:paraId="0DEF48F3">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73" w:name="_Toc3802"/>
                  <w:bookmarkStart w:id="1574" w:name="_Toc18479"/>
                  <w:bookmarkStart w:id="1575" w:name="_Toc9498"/>
                  <w:bookmarkStart w:id="1576" w:name="_Toc1951"/>
                  <w:bookmarkStart w:id="1577" w:name="_Toc28827"/>
                  <w:bookmarkStart w:id="1578" w:name="_Toc16914"/>
                  <w:r>
                    <w:rPr>
                      <w:rFonts w:hint="eastAsia" w:ascii="Times New Roman" w:hAnsi="Times New Roman" w:eastAsia="宋体" w:cs="Times New Roman"/>
                      <w:i w:val="0"/>
                      <w:iCs w:val="0"/>
                      <w:color w:val="auto"/>
                      <w:kern w:val="2"/>
                      <w:sz w:val="21"/>
                      <w:szCs w:val="24"/>
                      <w:u w:val="none" w:color="auto"/>
                      <w:lang w:val="en-US" w:eastAsia="zh-CN" w:bidi="ar"/>
                    </w:rPr>
                    <w:t>48.38</w:t>
                  </w:r>
                  <w:bookmarkEnd w:id="1573"/>
                  <w:bookmarkEnd w:id="1574"/>
                  <w:bookmarkEnd w:id="1575"/>
                  <w:bookmarkEnd w:id="1576"/>
                  <w:bookmarkEnd w:id="1577"/>
                  <w:bookmarkEnd w:id="1578"/>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1138" w:type="dxa"/>
                  <w:tcBorders>
                    <w:tl2br w:val="nil"/>
                    <w:tr2bl w:val="nil"/>
                  </w:tcBorders>
                  <w:noWrap w:val="0"/>
                  <w:vAlign w:val="center"/>
                </w:tcPr>
                <w:p w14:paraId="4632204F">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79" w:name="_Toc12438"/>
                  <w:bookmarkStart w:id="1580" w:name="_Toc8855"/>
                  <w:bookmarkStart w:id="1581" w:name="_Toc27332"/>
                  <w:bookmarkStart w:id="1582" w:name="_Toc28877"/>
                  <w:bookmarkStart w:id="1583" w:name="_Toc4904"/>
                  <w:bookmarkStart w:id="1584" w:name="_Toc25758"/>
                  <w:r>
                    <w:rPr>
                      <w:rFonts w:hint="eastAsia" w:ascii="Times New Roman" w:hAnsi="Times New Roman" w:eastAsia="宋体" w:cs="Times New Roman"/>
                      <w:i w:val="0"/>
                      <w:iCs w:val="0"/>
                      <w:color w:val="auto"/>
                      <w:kern w:val="2"/>
                      <w:sz w:val="21"/>
                      <w:szCs w:val="24"/>
                      <w:u w:val="none" w:color="auto"/>
                      <w:lang w:val="en-US" w:eastAsia="zh-CN" w:bidi="ar"/>
                    </w:rPr>
                    <w:t>48.32</w:t>
                  </w:r>
                  <w:bookmarkEnd w:id="1579"/>
                  <w:bookmarkEnd w:id="1580"/>
                  <w:bookmarkEnd w:id="1581"/>
                  <w:bookmarkEnd w:id="1582"/>
                  <w:bookmarkEnd w:id="1583"/>
                  <w:bookmarkEnd w:id="1584"/>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c>
                <w:tcPr>
                  <w:tcW w:w="1140" w:type="dxa"/>
                  <w:tcBorders>
                    <w:tl2br w:val="nil"/>
                    <w:tr2bl w:val="nil"/>
                  </w:tcBorders>
                  <w:noWrap w:val="0"/>
                  <w:vAlign w:val="center"/>
                </w:tcPr>
                <w:p w14:paraId="59F82A59">
                  <w:pPr>
                    <w:pStyle w:val="44"/>
                    <w:widowControl w:val="0"/>
                    <w:spacing w:line="360" w:lineRule="exact"/>
                    <w:ind w:firstLine="0" w:firstLineChars="0"/>
                    <w:jc w:val="center"/>
                    <w:textAlignment w:val="auto"/>
                    <w:rPr>
                      <w:rFonts w:hint="eastAsia" w:ascii="Times New Roman" w:hAnsi="Times New Roman" w:eastAsia="宋体" w:cs="Times New Roman"/>
                      <w:color w:val="auto"/>
                      <w:szCs w:val="24"/>
                      <w:u w:val="none" w:color="auto"/>
                      <w:lang w:val="en-US" w:eastAsia="zh-CN" w:bidi="ar"/>
                    </w:rPr>
                  </w:pPr>
                  <w:bookmarkStart w:id="1585" w:name="_Toc19022"/>
                  <w:bookmarkStart w:id="1586" w:name="_Toc27815"/>
                  <w:bookmarkStart w:id="1587" w:name="_Toc19233"/>
                  <w:bookmarkStart w:id="1588" w:name="_Toc26801"/>
                  <w:bookmarkStart w:id="1589" w:name="_Toc13288"/>
                  <w:bookmarkStart w:id="1590" w:name="_Toc30218"/>
                  <w:r>
                    <w:rPr>
                      <w:rFonts w:hint="eastAsia" w:ascii="Times New Roman" w:hAnsi="Times New Roman" w:eastAsia="宋体" w:cs="Times New Roman"/>
                      <w:i w:val="0"/>
                      <w:iCs w:val="0"/>
                      <w:color w:val="auto"/>
                      <w:kern w:val="2"/>
                      <w:sz w:val="21"/>
                      <w:szCs w:val="24"/>
                      <w:u w:val="none" w:color="auto"/>
                      <w:lang w:val="en-US" w:eastAsia="zh-CN" w:bidi="ar"/>
                    </w:rPr>
                    <w:t>48.42</w:t>
                  </w:r>
                  <w:bookmarkEnd w:id="1585"/>
                  <w:bookmarkEnd w:id="1586"/>
                  <w:bookmarkEnd w:id="1587"/>
                  <w:bookmarkEnd w:id="1588"/>
                  <w:bookmarkEnd w:id="1589"/>
                  <w:bookmarkEnd w:id="1590"/>
                  <w:r>
                    <w:rPr>
                      <w:rFonts w:hint="eastAsia" w:ascii="Times New Roman" w:hAnsi="Times New Roman" w:eastAsia="宋体" w:cs="Times New Roman"/>
                      <w:i w:val="0"/>
                      <w:iCs w:val="0"/>
                      <w:color w:val="auto"/>
                      <w:kern w:val="2"/>
                      <w:sz w:val="21"/>
                      <w:szCs w:val="24"/>
                      <w:u w:val="none" w:color="auto"/>
                      <w:lang w:val="en-US" w:eastAsia="zh-CN" w:bidi="ar"/>
                    </w:rPr>
                    <w:t xml:space="preserve"> </w:t>
                  </w:r>
                </w:p>
              </w:tc>
            </w:tr>
            <w:tr w14:paraId="682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2" w:type="pct"/>
                  <w:vMerge w:val="restart"/>
                  <w:tcBorders>
                    <w:tl2br w:val="nil"/>
                    <w:tr2bl w:val="nil"/>
                  </w:tcBorders>
                  <w:noWrap w:val="0"/>
                  <w:vAlign w:val="center"/>
                </w:tcPr>
                <w:p w14:paraId="51E443A1">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u w:val="none" w:color="auto"/>
                      <w:lang w:val="en-US" w:eastAsia="zh-CN"/>
                    </w:rPr>
                  </w:pPr>
                  <w:bookmarkStart w:id="1591" w:name="_Toc15082"/>
                  <w:bookmarkStart w:id="1592" w:name="_Toc23834"/>
                  <w:bookmarkStart w:id="1593" w:name="_Toc28129"/>
                  <w:bookmarkStart w:id="1594" w:name="_Toc16258"/>
                  <w:bookmarkStart w:id="1595" w:name="_Toc14739"/>
                  <w:bookmarkStart w:id="1596" w:name="_Toc6574"/>
                  <w:bookmarkStart w:id="1597" w:name="_Toc16775"/>
                  <w:bookmarkStart w:id="1598" w:name="_Toc23545"/>
                  <w:bookmarkStart w:id="1599" w:name="_Toc917"/>
                  <w:bookmarkStart w:id="1600" w:name="_Toc32658"/>
                  <w:bookmarkStart w:id="1601" w:name="_Toc31541"/>
                  <w:bookmarkStart w:id="1602" w:name="_Toc16540"/>
                  <w:bookmarkStart w:id="1603" w:name="_Toc1734"/>
                  <w:bookmarkStart w:id="1604" w:name="_Toc9955"/>
                  <w:bookmarkStart w:id="1605" w:name="_Toc19595"/>
                  <w:bookmarkStart w:id="1606" w:name="_Toc22759"/>
                  <w:bookmarkStart w:id="1607" w:name="_Toc3610"/>
                  <w:bookmarkStart w:id="1608" w:name="_Toc28603"/>
                  <w:bookmarkStart w:id="1609" w:name="_Toc32648"/>
                  <w:bookmarkStart w:id="1610" w:name="_Toc14389"/>
                  <w:bookmarkStart w:id="1611" w:name="_Toc6018"/>
                  <w:bookmarkStart w:id="1612" w:name="_Toc30042"/>
                  <w:r>
                    <w:rPr>
                      <w:rFonts w:hint="default" w:ascii="Times New Roman" w:hAnsi="Times New Roman" w:eastAsia="宋体" w:cs="Times New Roman"/>
                      <w:color w:val="auto"/>
                      <w:sz w:val="21"/>
                      <w:szCs w:val="21"/>
                      <w:u w:val="none" w:color="auto"/>
                      <w:lang w:val="en-US" w:eastAsia="zh-CN"/>
                    </w:rPr>
                    <w:t>标准限值dB（A）</w:t>
                  </w:r>
                  <w:bookmarkEnd w:id="1294"/>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tc>
              <w:tc>
                <w:tcPr>
                  <w:tcW w:w="509" w:type="pct"/>
                  <w:tcBorders>
                    <w:tl2br w:val="nil"/>
                    <w:tr2bl w:val="nil"/>
                  </w:tcBorders>
                  <w:noWrap w:val="0"/>
                  <w:vAlign w:val="center"/>
                </w:tcPr>
                <w:p w14:paraId="6D6B4822">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613" w:name="_Toc6508"/>
                  <w:bookmarkStart w:id="1614" w:name="_Toc1075"/>
                  <w:bookmarkStart w:id="1615" w:name="_Toc18792"/>
                  <w:bookmarkStart w:id="1616" w:name="_Toc32058"/>
                  <w:bookmarkStart w:id="1617" w:name="_Toc16407"/>
                  <w:bookmarkStart w:id="1618" w:name="_Toc26472"/>
                  <w:bookmarkStart w:id="1619" w:name="_Toc20313"/>
                  <w:bookmarkStart w:id="1620" w:name="_Toc6238"/>
                  <w:bookmarkStart w:id="1621" w:name="_Toc3539"/>
                  <w:bookmarkStart w:id="1622" w:name="_Toc5499"/>
                  <w:bookmarkStart w:id="1623" w:name="_Toc25436"/>
                  <w:bookmarkStart w:id="1624" w:name="_Toc3015"/>
                  <w:bookmarkStart w:id="1625" w:name="_Toc30084"/>
                  <w:bookmarkStart w:id="1626" w:name="_Toc4224"/>
                  <w:bookmarkStart w:id="1627" w:name="_Toc29812"/>
                  <w:bookmarkStart w:id="1628" w:name="_Toc6072"/>
                  <w:bookmarkStart w:id="1629" w:name="_Toc24653"/>
                  <w:bookmarkStart w:id="1630" w:name="_Toc27513"/>
                  <w:bookmarkStart w:id="1631" w:name="_Toc14754"/>
                  <w:bookmarkStart w:id="1632" w:name="_Toc11925"/>
                  <w:bookmarkStart w:id="1633" w:name="_Toc24102"/>
                  <w:bookmarkStart w:id="1634" w:name="_Toc1100"/>
                  <w:bookmarkStart w:id="1635" w:name="_Toc20507"/>
                  <w:r>
                    <w:rPr>
                      <w:rFonts w:hint="default" w:ascii="Times New Roman" w:hAnsi="Times New Roman" w:cs="Times New Roman"/>
                      <w:color w:val="auto"/>
                      <w:sz w:val="21"/>
                      <w:szCs w:val="21"/>
                      <w:u w:val="none" w:color="auto"/>
                      <w:lang w:val="en-US" w:eastAsia="zh-CN"/>
                    </w:rPr>
                    <w:t>昼间</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tc>
              <w:tc>
                <w:tcPr>
                  <w:tcW w:w="783" w:type="dxa"/>
                  <w:tcBorders>
                    <w:tl2br w:val="nil"/>
                    <w:tr2bl w:val="nil"/>
                  </w:tcBorders>
                  <w:noWrap w:val="0"/>
                  <w:vAlign w:val="center"/>
                </w:tcPr>
                <w:p w14:paraId="0613A439">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636" w:name="_Toc27440"/>
                  <w:bookmarkStart w:id="1637" w:name="_Toc2527"/>
                  <w:bookmarkStart w:id="1638" w:name="_Toc32552"/>
                  <w:bookmarkStart w:id="1639" w:name="_Toc19537"/>
                  <w:bookmarkStart w:id="1640" w:name="_Toc17603"/>
                  <w:bookmarkStart w:id="1641" w:name="_Toc5865"/>
                  <w:r>
                    <w:rPr>
                      <w:rFonts w:hint="eastAsia" w:cs="Times New Roman"/>
                      <w:color w:val="auto"/>
                      <w:u w:val="none" w:color="auto"/>
                      <w:lang w:val="en-US" w:eastAsia="zh-CN"/>
                    </w:rPr>
                    <w:t>60</w:t>
                  </w:r>
                  <w:bookmarkEnd w:id="1636"/>
                  <w:bookmarkEnd w:id="1637"/>
                  <w:bookmarkEnd w:id="1638"/>
                  <w:bookmarkEnd w:id="1639"/>
                  <w:bookmarkEnd w:id="1640"/>
                  <w:bookmarkEnd w:id="1641"/>
                </w:p>
              </w:tc>
              <w:tc>
                <w:tcPr>
                  <w:tcW w:w="815" w:type="dxa"/>
                  <w:tcBorders>
                    <w:tl2br w:val="nil"/>
                    <w:tr2bl w:val="nil"/>
                  </w:tcBorders>
                  <w:noWrap w:val="0"/>
                  <w:vAlign w:val="center"/>
                </w:tcPr>
                <w:p w14:paraId="07D8C3DE">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642" w:name="_Toc7275"/>
                  <w:bookmarkStart w:id="1643" w:name="_Toc16391"/>
                  <w:bookmarkStart w:id="1644" w:name="_Toc10112"/>
                  <w:bookmarkStart w:id="1645" w:name="_Toc15286"/>
                  <w:bookmarkStart w:id="1646" w:name="_Toc1487"/>
                  <w:bookmarkStart w:id="1647" w:name="_Toc4778"/>
                  <w:r>
                    <w:rPr>
                      <w:rFonts w:hint="eastAsia" w:cs="Times New Roman"/>
                      <w:color w:val="auto"/>
                      <w:u w:val="none" w:color="auto"/>
                      <w:lang w:val="en-US" w:eastAsia="zh-CN"/>
                    </w:rPr>
                    <w:t>60</w:t>
                  </w:r>
                  <w:bookmarkEnd w:id="1642"/>
                  <w:bookmarkEnd w:id="1643"/>
                  <w:bookmarkEnd w:id="1644"/>
                  <w:bookmarkEnd w:id="1645"/>
                  <w:bookmarkEnd w:id="1646"/>
                  <w:bookmarkEnd w:id="1647"/>
                </w:p>
              </w:tc>
              <w:tc>
                <w:tcPr>
                  <w:tcW w:w="781" w:type="dxa"/>
                  <w:tcBorders>
                    <w:tl2br w:val="nil"/>
                    <w:tr2bl w:val="nil"/>
                  </w:tcBorders>
                  <w:noWrap w:val="0"/>
                  <w:vAlign w:val="center"/>
                </w:tcPr>
                <w:p w14:paraId="0A146F04">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648" w:name="_Toc22393"/>
                  <w:bookmarkStart w:id="1649" w:name="_Toc30149"/>
                  <w:bookmarkStart w:id="1650" w:name="_Toc30883"/>
                  <w:bookmarkStart w:id="1651" w:name="_Toc7512"/>
                  <w:bookmarkStart w:id="1652" w:name="_Toc14520"/>
                  <w:bookmarkStart w:id="1653" w:name="_Toc18069"/>
                  <w:r>
                    <w:rPr>
                      <w:rFonts w:hint="eastAsia" w:cs="Times New Roman"/>
                      <w:color w:val="auto"/>
                      <w:u w:val="none" w:color="auto"/>
                      <w:lang w:val="en-US" w:eastAsia="zh-CN"/>
                    </w:rPr>
                    <w:t>60</w:t>
                  </w:r>
                  <w:bookmarkEnd w:id="1648"/>
                  <w:bookmarkEnd w:id="1649"/>
                  <w:bookmarkEnd w:id="1650"/>
                  <w:bookmarkEnd w:id="1651"/>
                  <w:bookmarkEnd w:id="1652"/>
                  <w:bookmarkEnd w:id="1653"/>
                </w:p>
              </w:tc>
              <w:tc>
                <w:tcPr>
                  <w:tcW w:w="439" w:type="pct"/>
                  <w:tcBorders>
                    <w:tl2br w:val="nil"/>
                    <w:tr2bl w:val="nil"/>
                  </w:tcBorders>
                  <w:noWrap w:val="0"/>
                  <w:vAlign w:val="center"/>
                </w:tcPr>
                <w:p w14:paraId="4D1E219B">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654" w:name="_Toc7423"/>
                  <w:bookmarkStart w:id="1655" w:name="_Toc3338"/>
                  <w:bookmarkStart w:id="1656" w:name="_Toc12753"/>
                  <w:bookmarkStart w:id="1657" w:name="_Toc28854"/>
                  <w:bookmarkStart w:id="1658" w:name="_Toc32756"/>
                  <w:bookmarkStart w:id="1659" w:name="_Toc7609"/>
                  <w:r>
                    <w:rPr>
                      <w:rFonts w:hint="eastAsia" w:cs="Times New Roman"/>
                      <w:color w:val="auto"/>
                      <w:u w:val="none" w:color="auto"/>
                      <w:lang w:val="en-US" w:eastAsia="zh-CN"/>
                    </w:rPr>
                    <w:t>70</w:t>
                  </w:r>
                  <w:bookmarkEnd w:id="1654"/>
                  <w:bookmarkEnd w:id="1655"/>
                  <w:bookmarkEnd w:id="1656"/>
                  <w:bookmarkEnd w:id="1657"/>
                  <w:bookmarkEnd w:id="1658"/>
                  <w:bookmarkEnd w:id="1659"/>
                </w:p>
              </w:tc>
              <w:tc>
                <w:tcPr>
                  <w:tcW w:w="1138" w:type="dxa"/>
                  <w:tcBorders>
                    <w:tl2br w:val="nil"/>
                    <w:tr2bl w:val="nil"/>
                  </w:tcBorders>
                  <w:noWrap w:val="0"/>
                  <w:vAlign w:val="center"/>
                </w:tcPr>
                <w:p w14:paraId="3B781884">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u w:val="none" w:color="auto"/>
                      <w:lang w:val="en-US" w:eastAsia="zh-CN"/>
                    </w:rPr>
                  </w:pPr>
                  <w:bookmarkStart w:id="1660" w:name="_Toc6744"/>
                  <w:bookmarkStart w:id="1661" w:name="_Toc18946"/>
                  <w:bookmarkStart w:id="1662" w:name="_Toc10711"/>
                  <w:bookmarkStart w:id="1663" w:name="_Toc787"/>
                  <w:bookmarkStart w:id="1664" w:name="_Toc2154"/>
                  <w:bookmarkStart w:id="1665" w:name="_Toc8345"/>
                  <w:r>
                    <w:rPr>
                      <w:rFonts w:hint="eastAsia" w:cs="Times New Roman"/>
                      <w:color w:val="auto"/>
                      <w:u w:val="none" w:color="auto"/>
                      <w:lang w:val="en-US" w:eastAsia="zh-CN"/>
                    </w:rPr>
                    <w:t>60</w:t>
                  </w:r>
                  <w:bookmarkEnd w:id="1660"/>
                  <w:bookmarkEnd w:id="1661"/>
                  <w:bookmarkEnd w:id="1662"/>
                  <w:bookmarkEnd w:id="1663"/>
                  <w:bookmarkEnd w:id="1664"/>
                  <w:bookmarkEnd w:id="1665"/>
                </w:p>
              </w:tc>
              <w:tc>
                <w:tcPr>
                  <w:tcW w:w="1138" w:type="dxa"/>
                  <w:tcBorders>
                    <w:tl2br w:val="nil"/>
                    <w:tr2bl w:val="nil"/>
                  </w:tcBorders>
                  <w:noWrap w:val="0"/>
                  <w:vAlign w:val="center"/>
                </w:tcPr>
                <w:p w14:paraId="17FD91C6">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666" w:name="_Toc8225"/>
                  <w:bookmarkStart w:id="1667" w:name="_Toc11707"/>
                  <w:bookmarkStart w:id="1668" w:name="_Toc22926"/>
                  <w:bookmarkStart w:id="1669" w:name="_Toc1724"/>
                  <w:bookmarkStart w:id="1670" w:name="_Toc13175"/>
                  <w:bookmarkStart w:id="1671" w:name="_Toc8029"/>
                  <w:r>
                    <w:rPr>
                      <w:rFonts w:hint="eastAsia" w:cs="Times New Roman"/>
                      <w:color w:val="auto"/>
                      <w:u w:val="none" w:color="auto"/>
                      <w:lang w:val="en-US" w:eastAsia="zh-CN"/>
                    </w:rPr>
                    <w:t>60</w:t>
                  </w:r>
                  <w:bookmarkEnd w:id="1666"/>
                  <w:bookmarkEnd w:id="1667"/>
                  <w:bookmarkEnd w:id="1668"/>
                  <w:bookmarkEnd w:id="1669"/>
                  <w:bookmarkEnd w:id="1670"/>
                  <w:bookmarkEnd w:id="1671"/>
                </w:p>
              </w:tc>
              <w:tc>
                <w:tcPr>
                  <w:tcW w:w="1140" w:type="dxa"/>
                  <w:tcBorders>
                    <w:tl2br w:val="nil"/>
                    <w:tr2bl w:val="nil"/>
                  </w:tcBorders>
                  <w:noWrap w:val="0"/>
                  <w:vAlign w:val="center"/>
                </w:tcPr>
                <w:p w14:paraId="171F0B2A">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672" w:name="_Toc9399"/>
                  <w:bookmarkStart w:id="1673" w:name="_Toc29542"/>
                  <w:bookmarkStart w:id="1674" w:name="_Toc29735"/>
                  <w:bookmarkStart w:id="1675" w:name="_Toc30866"/>
                  <w:bookmarkStart w:id="1676" w:name="_Toc9491"/>
                  <w:bookmarkStart w:id="1677" w:name="_Toc8401"/>
                  <w:r>
                    <w:rPr>
                      <w:rFonts w:hint="eastAsia" w:cs="Times New Roman"/>
                      <w:color w:val="auto"/>
                      <w:u w:val="none" w:color="auto"/>
                      <w:lang w:val="en-US" w:eastAsia="zh-CN"/>
                    </w:rPr>
                    <w:t>60</w:t>
                  </w:r>
                  <w:bookmarkEnd w:id="1672"/>
                  <w:bookmarkEnd w:id="1673"/>
                  <w:bookmarkEnd w:id="1674"/>
                  <w:bookmarkEnd w:id="1675"/>
                  <w:bookmarkEnd w:id="1676"/>
                  <w:bookmarkEnd w:id="1677"/>
                </w:p>
              </w:tc>
            </w:tr>
            <w:tr w14:paraId="00C3B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2" w:type="pct"/>
                  <w:vMerge w:val="continue"/>
                  <w:tcBorders>
                    <w:tl2br w:val="nil"/>
                    <w:tr2bl w:val="nil"/>
                  </w:tcBorders>
                  <w:noWrap w:val="0"/>
                  <w:vAlign w:val="center"/>
                </w:tcPr>
                <w:p w14:paraId="02D8EDC4">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u w:val="none" w:color="auto"/>
                      <w:lang w:val="en-US" w:eastAsia="zh-CN"/>
                    </w:rPr>
                  </w:pPr>
                </w:p>
              </w:tc>
              <w:tc>
                <w:tcPr>
                  <w:tcW w:w="509" w:type="pct"/>
                  <w:tcBorders>
                    <w:tl2br w:val="nil"/>
                    <w:tr2bl w:val="nil"/>
                  </w:tcBorders>
                  <w:noWrap w:val="0"/>
                  <w:vAlign w:val="center"/>
                </w:tcPr>
                <w:p w14:paraId="2887C9DE">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sz w:val="21"/>
                      <w:szCs w:val="21"/>
                      <w:u w:val="none" w:color="auto"/>
                      <w:lang w:val="en-US" w:eastAsia="zh-CN"/>
                    </w:rPr>
                  </w:pPr>
                  <w:bookmarkStart w:id="1678" w:name="_Toc24896"/>
                  <w:bookmarkStart w:id="1679" w:name="_Toc31192"/>
                  <w:bookmarkStart w:id="1680" w:name="_Toc11103"/>
                  <w:bookmarkStart w:id="1681" w:name="_Toc23069"/>
                  <w:bookmarkStart w:id="1682" w:name="_Toc18429"/>
                  <w:bookmarkStart w:id="1683" w:name="_Toc2021"/>
                  <w:bookmarkStart w:id="1684" w:name="_Toc23382"/>
                  <w:bookmarkStart w:id="1685" w:name="_Toc30034"/>
                  <w:bookmarkStart w:id="1686" w:name="_Toc17886"/>
                  <w:bookmarkStart w:id="1687" w:name="_Toc19271"/>
                  <w:bookmarkStart w:id="1688" w:name="_Toc15998"/>
                  <w:bookmarkStart w:id="1689" w:name="_Toc28750"/>
                  <w:bookmarkStart w:id="1690" w:name="_Toc6577"/>
                  <w:bookmarkStart w:id="1691" w:name="_Toc2867"/>
                  <w:bookmarkStart w:id="1692" w:name="_Toc12747"/>
                  <w:bookmarkStart w:id="1693" w:name="_Toc2862"/>
                  <w:bookmarkStart w:id="1694" w:name="_Toc7152"/>
                  <w:bookmarkStart w:id="1695" w:name="_Toc30552"/>
                  <w:bookmarkStart w:id="1696" w:name="_Toc13668"/>
                  <w:bookmarkStart w:id="1697" w:name="_Toc26131"/>
                  <w:bookmarkStart w:id="1698" w:name="_Toc20032"/>
                  <w:bookmarkStart w:id="1699" w:name="_Toc17219"/>
                  <w:bookmarkStart w:id="1700" w:name="_Toc4716"/>
                  <w:r>
                    <w:rPr>
                      <w:rFonts w:hint="default" w:ascii="Times New Roman" w:hAnsi="Times New Roman" w:cs="Times New Roman"/>
                      <w:color w:val="auto"/>
                      <w:sz w:val="21"/>
                      <w:szCs w:val="21"/>
                      <w:u w:val="none" w:color="auto"/>
                      <w:lang w:val="en-US" w:eastAsia="zh-CN"/>
                    </w:rPr>
                    <w:t>夜间</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tc>
              <w:tc>
                <w:tcPr>
                  <w:tcW w:w="783" w:type="dxa"/>
                  <w:tcBorders>
                    <w:tl2br w:val="nil"/>
                    <w:tr2bl w:val="nil"/>
                  </w:tcBorders>
                  <w:noWrap w:val="0"/>
                  <w:vAlign w:val="center"/>
                </w:tcPr>
                <w:p w14:paraId="65BB648A">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01" w:name="_Toc18605"/>
                  <w:bookmarkStart w:id="1702" w:name="_Toc27622"/>
                  <w:bookmarkStart w:id="1703" w:name="_Toc20505"/>
                  <w:bookmarkStart w:id="1704" w:name="_Toc2410"/>
                  <w:bookmarkStart w:id="1705" w:name="_Toc7107"/>
                  <w:bookmarkStart w:id="1706" w:name="_Toc21597"/>
                  <w:r>
                    <w:rPr>
                      <w:rFonts w:hint="eastAsia" w:cs="Times New Roman"/>
                      <w:color w:val="auto"/>
                      <w:u w:val="none" w:color="auto"/>
                      <w:lang w:val="en-US" w:eastAsia="zh-CN"/>
                    </w:rPr>
                    <w:t>50</w:t>
                  </w:r>
                  <w:bookmarkEnd w:id="1701"/>
                  <w:bookmarkEnd w:id="1702"/>
                  <w:bookmarkEnd w:id="1703"/>
                  <w:bookmarkEnd w:id="1704"/>
                  <w:bookmarkEnd w:id="1705"/>
                  <w:bookmarkEnd w:id="1706"/>
                </w:p>
              </w:tc>
              <w:tc>
                <w:tcPr>
                  <w:tcW w:w="815" w:type="dxa"/>
                  <w:tcBorders>
                    <w:tl2br w:val="nil"/>
                    <w:tr2bl w:val="nil"/>
                  </w:tcBorders>
                  <w:noWrap w:val="0"/>
                  <w:vAlign w:val="center"/>
                </w:tcPr>
                <w:p w14:paraId="564228AE">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07" w:name="_Toc5506"/>
                  <w:bookmarkStart w:id="1708" w:name="_Toc28102"/>
                  <w:bookmarkStart w:id="1709" w:name="_Toc23053"/>
                  <w:bookmarkStart w:id="1710" w:name="_Toc2063"/>
                  <w:bookmarkStart w:id="1711" w:name="_Toc23805"/>
                  <w:bookmarkStart w:id="1712" w:name="_Toc20295"/>
                  <w:r>
                    <w:rPr>
                      <w:rFonts w:hint="eastAsia" w:cs="Times New Roman"/>
                      <w:color w:val="auto"/>
                      <w:u w:val="none" w:color="auto"/>
                      <w:lang w:val="en-US" w:eastAsia="zh-CN"/>
                    </w:rPr>
                    <w:t>50</w:t>
                  </w:r>
                  <w:bookmarkEnd w:id="1707"/>
                  <w:bookmarkEnd w:id="1708"/>
                  <w:bookmarkEnd w:id="1709"/>
                  <w:bookmarkEnd w:id="1710"/>
                  <w:bookmarkEnd w:id="1711"/>
                  <w:bookmarkEnd w:id="1712"/>
                </w:p>
              </w:tc>
              <w:tc>
                <w:tcPr>
                  <w:tcW w:w="781" w:type="dxa"/>
                  <w:tcBorders>
                    <w:tl2br w:val="nil"/>
                    <w:tr2bl w:val="nil"/>
                  </w:tcBorders>
                  <w:noWrap w:val="0"/>
                  <w:vAlign w:val="center"/>
                </w:tcPr>
                <w:p w14:paraId="22FC739A">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13" w:name="_Toc28591"/>
                  <w:bookmarkStart w:id="1714" w:name="_Toc26464"/>
                  <w:bookmarkStart w:id="1715" w:name="_Toc15476"/>
                  <w:bookmarkStart w:id="1716" w:name="_Toc18658"/>
                  <w:bookmarkStart w:id="1717" w:name="_Toc21452"/>
                  <w:bookmarkStart w:id="1718" w:name="_Toc5975"/>
                  <w:r>
                    <w:rPr>
                      <w:rFonts w:hint="eastAsia" w:cs="Times New Roman"/>
                      <w:color w:val="auto"/>
                      <w:u w:val="none" w:color="auto"/>
                      <w:lang w:val="en-US" w:eastAsia="zh-CN"/>
                    </w:rPr>
                    <w:t>50</w:t>
                  </w:r>
                  <w:bookmarkEnd w:id="1713"/>
                  <w:bookmarkEnd w:id="1714"/>
                  <w:bookmarkEnd w:id="1715"/>
                  <w:bookmarkEnd w:id="1716"/>
                  <w:bookmarkEnd w:id="1717"/>
                  <w:bookmarkEnd w:id="1718"/>
                </w:p>
              </w:tc>
              <w:tc>
                <w:tcPr>
                  <w:tcW w:w="439" w:type="pct"/>
                  <w:tcBorders>
                    <w:tl2br w:val="nil"/>
                    <w:tr2bl w:val="nil"/>
                  </w:tcBorders>
                  <w:noWrap w:val="0"/>
                  <w:vAlign w:val="center"/>
                </w:tcPr>
                <w:p w14:paraId="0DFC591D">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19" w:name="_Toc20974"/>
                  <w:bookmarkStart w:id="1720" w:name="_Toc10216"/>
                  <w:bookmarkStart w:id="1721" w:name="_Toc3792"/>
                  <w:bookmarkStart w:id="1722" w:name="_Toc15149"/>
                  <w:bookmarkStart w:id="1723" w:name="_Toc4987"/>
                  <w:bookmarkStart w:id="1724" w:name="_Toc23708"/>
                  <w:r>
                    <w:rPr>
                      <w:rFonts w:hint="eastAsia" w:cs="Times New Roman"/>
                      <w:color w:val="auto"/>
                      <w:u w:val="none" w:color="auto"/>
                      <w:lang w:val="en-US" w:eastAsia="zh-CN"/>
                    </w:rPr>
                    <w:t>55</w:t>
                  </w:r>
                  <w:bookmarkEnd w:id="1719"/>
                  <w:bookmarkEnd w:id="1720"/>
                  <w:bookmarkEnd w:id="1721"/>
                  <w:bookmarkEnd w:id="1722"/>
                  <w:bookmarkEnd w:id="1723"/>
                  <w:bookmarkEnd w:id="1724"/>
                </w:p>
              </w:tc>
              <w:tc>
                <w:tcPr>
                  <w:tcW w:w="1138" w:type="dxa"/>
                  <w:tcBorders>
                    <w:tl2br w:val="nil"/>
                    <w:tr2bl w:val="nil"/>
                  </w:tcBorders>
                  <w:noWrap w:val="0"/>
                  <w:vAlign w:val="center"/>
                </w:tcPr>
                <w:p w14:paraId="77AB9741">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25" w:name="_Toc26104"/>
                  <w:bookmarkStart w:id="1726" w:name="_Toc23284"/>
                  <w:bookmarkStart w:id="1727" w:name="_Toc3849"/>
                  <w:bookmarkStart w:id="1728" w:name="_Toc17721"/>
                  <w:bookmarkStart w:id="1729" w:name="_Toc29250"/>
                  <w:bookmarkStart w:id="1730" w:name="_Toc625"/>
                  <w:r>
                    <w:rPr>
                      <w:rFonts w:hint="eastAsia" w:cs="Times New Roman"/>
                      <w:color w:val="auto"/>
                      <w:u w:val="none" w:color="auto"/>
                      <w:lang w:val="en-US" w:eastAsia="zh-CN"/>
                    </w:rPr>
                    <w:t>50</w:t>
                  </w:r>
                  <w:bookmarkEnd w:id="1725"/>
                  <w:bookmarkEnd w:id="1726"/>
                  <w:bookmarkEnd w:id="1727"/>
                  <w:bookmarkEnd w:id="1728"/>
                  <w:bookmarkEnd w:id="1729"/>
                  <w:bookmarkEnd w:id="1730"/>
                </w:p>
              </w:tc>
              <w:tc>
                <w:tcPr>
                  <w:tcW w:w="1138" w:type="dxa"/>
                  <w:tcBorders>
                    <w:tl2br w:val="nil"/>
                    <w:tr2bl w:val="nil"/>
                  </w:tcBorders>
                  <w:noWrap w:val="0"/>
                  <w:vAlign w:val="center"/>
                </w:tcPr>
                <w:p w14:paraId="22463E2A">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31" w:name="_Toc11911"/>
                  <w:bookmarkStart w:id="1732" w:name="_Toc18346"/>
                  <w:bookmarkStart w:id="1733" w:name="_Toc21239"/>
                  <w:bookmarkStart w:id="1734" w:name="_Toc4752"/>
                  <w:bookmarkStart w:id="1735" w:name="_Toc6531"/>
                  <w:bookmarkStart w:id="1736" w:name="_Toc4733"/>
                  <w:r>
                    <w:rPr>
                      <w:rFonts w:hint="eastAsia" w:cs="Times New Roman"/>
                      <w:color w:val="auto"/>
                      <w:u w:val="none" w:color="auto"/>
                      <w:lang w:val="en-US" w:eastAsia="zh-CN"/>
                    </w:rPr>
                    <w:t>50</w:t>
                  </w:r>
                  <w:bookmarkEnd w:id="1731"/>
                  <w:bookmarkEnd w:id="1732"/>
                  <w:bookmarkEnd w:id="1733"/>
                  <w:bookmarkEnd w:id="1734"/>
                  <w:bookmarkEnd w:id="1735"/>
                  <w:bookmarkEnd w:id="1736"/>
                </w:p>
              </w:tc>
              <w:tc>
                <w:tcPr>
                  <w:tcW w:w="1140" w:type="dxa"/>
                  <w:tcBorders>
                    <w:tl2br w:val="nil"/>
                    <w:tr2bl w:val="nil"/>
                  </w:tcBorders>
                  <w:noWrap w:val="0"/>
                  <w:vAlign w:val="center"/>
                </w:tcPr>
                <w:p w14:paraId="3C2023DE">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37" w:name="_Toc28715"/>
                  <w:bookmarkStart w:id="1738" w:name="_Toc12287"/>
                  <w:bookmarkStart w:id="1739" w:name="_Toc11697"/>
                  <w:bookmarkStart w:id="1740" w:name="_Toc28731"/>
                  <w:bookmarkStart w:id="1741" w:name="_Toc11784"/>
                  <w:bookmarkStart w:id="1742" w:name="_Toc12170"/>
                  <w:r>
                    <w:rPr>
                      <w:rFonts w:hint="eastAsia" w:cs="Times New Roman"/>
                      <w:color w:val="auto"/>
                      <w:u w:val="none" w:color="auto"/>
                      <w:lang w:val="en-US" w:eastAsia="zh-CN"/>
                    </w:rPr>
                    <w:t>50</w:t>
                  </w:r>
                  <w:bookmarkEnd w:id="1737"/>
                  <w:bookmarkEnd w:id="1738"/>
                  <w:bookmarkEnd w:id="1739"/>
                  <w:bookmarkEnd w:id="1740"/>
                  <w:bookmarkEnd w:id="1741"/>
                  <w:bookmarkEnd w:id="1742"/>
                </w:p>
              </w:tc>
            </w:tr>
            <w:tr w14:paraId="29213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52" w:type="pct"/>
                  <w:gridSpan w:val="2"/>
                  <w:tcBorders>
                    <w:tl2br w:val="nil"/>
                    <w:tr2bl w:val="nil"/>
                  </w:tcBorders>
                  <w:noWrap w:val="0"/>
                  <w:vAlign w:val="center"/>
                </w:tcPr>
                <w:p w14:paraId="13709C21">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743" w:name="_Toc15624"/>
                  <w:bookmarkStart w:id="1744" w:name="_Toc26356"/>
                  <w:bookmarkStart w:id="1745" w:name="_Toc12675"/>
                  <w:bookmarkStart w:id="1746" w:name="_Toc1613"/>
                  <w:bookmarkStart w:id="1747" w:name="_Toc19117"/>
                  <w:bookmarkStart w:id="1748" w:name="_Toc24038"/>
                  <w:bookmarkStart w:id="1749" w:name="_Toc1473"/>
                  <w:bookmarkStart w:id="1750" w:name="_Toc21551"/>
                  <w:bookmarkStart w:id="1751" w:name="_Toc22620"/>
                  <w:bookmarkStart w:id="1752" w:name="_Toc9346"/>
                  <w:bookmarkStart w:id="1753" w:name="_Toc23544"/>
                  <w:bookmarkStart w:id="1754" w:name="_Toc19648"/>
                  <w:bookmarkStart w:id="1755" w:name="_Toc18444"/>
                  <w:bookmarkStart w:id="1756" w:name="_Toc2162"/>
                  <w:bookmarkStart w:id="1757" w:name="_Toc7876"/>
                  <w:bookmarkStart w:id="1758" w:name="_Toc313"/>
                  <w:bookmarkStart w:id="1759" w:name="_Toc9697"/>
                  <w:bookmarkStart w:id="1760" w:name="_Toc15644"/>
                  <w:bookmarkStart w:id="1761" w:name="_Toc24744"/>
                  <w:bookmarkStart w:id="1762" w:name="_Toc18640"/>
                  <w:bookmarkStart w:id="1763" w:name="_Toc27952"/>
                  <w:bookmarkStart w:id="1764" w:name="_Toc629"/>
                  <w:bookmarkStart w:id="1765" w:name="_Toc26447"/>
                  <w:r>
                    <w:rPr>
                      <w:rFonts w:hint="default" w:ascii="Times New Roman" w:hAnsi="Times New Roman" w:cs="Times New Roman"/>
                      <w:color w:val="auto"/>
                      <w:u w:val="none" w:color="auto"/>
                      <w:lang w:val="en-US" w:eastAsia="zh-CN"/>
                    </w:rPr>
                    <w:t>达标性判定</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tc>
              <w:tc>
                <w:tcPr>
                  <w:tcW w:w="460" w:type="pct"/>
                  <w:tcBorders>
                    <w:tl2br w:val="nil"/>
                    <w:tr2bl w:val="nil"/>
                  </w:tcBorders>
                  <w:noWrap w:val="0"/>
                  <w:vAlign w:val="center"/>
                </w:tcPr>
                <w:p w14:paraId="3E204E05">
                  <w:pPr>
                    <w:pStyle w:val="44"/>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766" w:name="_Toc4200"/>
                  <w:bookmarkStart w:id="1767" w:name="_Toc21010"/>
                  <w:bookmarkStart w:id="1768" w:name="_Toc4989"/>
                  <w:bookmarkStart w:id="1769" w:name="_Toc29809"/>
                  <w:bookmarkStart w:id="1770" w:name="_Toc13012"/>
                  <w:bookmarkStart w:id="1771" w:name="_Toc18258"/>
                  <w:bookmarkStart w:id="1772" w:name="_Toc29686"/>
                  <w:bookmarkStart w:id="1773" w:name="_Toc3611"/>
                  <w:bookmarkStart w:id="1774" w:name="_Toc7685"/>
                  <w:bookmarkStart w:id="1775" w:name="_Toc20276"/>
                  <w:bookmarkStart w:id="1776" w:name="_Toc19618"/>
                  <w:bookmarkStart w:id="1777" w:name="_Toc20989"/>
                  <w:bookmarkStart w:id="1778" w:name="_Toc31335"/>
                  <w:bookmarkStart w:id="1779" w:name="_Toc4124"/>
                  <w:bookmarkStart w:id="1780" w:name="_Toc24079"/>
                  <w:bookmarkStart w:id="1781" w:name="_Toc6201"/>
                  <w:bookmarkStart w:id="1782" w:name="_Toc31949"/>
                  <w:bookmarkStart w:id="1783" w:name="_Toc23257"/>
                  <w:bookmarkStart w:id="1784" w:name="_Toc26099"/>
                  <w:bookmarkStart w:id="1785" w:name="_Toc2227"/>
                  <w:bookmarkStart w:id="1786" w:name="_Toc19088"/>
                  <w:bookmarkStart w:id="1787" w:name="_Toc9707"/>
                  <w:bookmarkStart w:id="1788" w:name="_Toc6542"/>
                  <w:r>
                    <w:rPr>
                      <w:rFonts w:hint="default" w:ascii="Times New Roman" w:hAnsi="Times New Roman" w:cs="Times New Roman"/>
                      <w:color w:val="auto"/>
                      <w:u w:val="none" w:color="auto"/>
                      <w:lang w:val="en-US" w:eastAsia="zh-CN"/>
                    </w:rPr>
                    <w:t>达标</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tc>
              <w:tc>
                <w:tcPr>
                  <w:tcW w:w="479" w:type="pct"/>
                  <w:tcBorders>
                    <w:tl2br w:val="nil"/>
                    <w:tr2bl w:val="nil"/>
                  </w:tcBorders>
                  <w:noWrap w:val="0"/>
                  <w:vAlign w:val="center"/>
                </w:tcPr>
                <w:p w14:paraId="34DCEB59">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89" w:name="_Toc5545"/>
                  <w:bookmarkStart w:id="1790" w:name="_Toc26900"/>
                  <w:bookmarkStart w:id="1791" w:name="_Toc2383"/>
                  <w:bookmarkStart w:id="1792" w:name="_Toc23395"/>
                  <w:bookmarkStart w:id="1793" w:name="_Toc31052"/>
                  <w:bookmarkStart w:id="1794" w:name="_Toc16535"/>
                  <w:bookmarkStart w:id="1795" w:name="_Toc28649"/>
                  <w:bookmarkStart w:id="1796" w:name="_Toc20192"/>
                  <w:r>
                    <w:rPr>
                      <w:rFonts w:hint="default" w:ascii="Times New Roman" w:hAnsi="Times New Roman" w:cs="Times New Roman"/>
                      <w:color w:val="auto"/>
                      <w:u w:val="none" w:color="auto"/>
                      <w:lang w:val="en-US" w:eastAsia="zh-CN"/>
                    </w:rPr>
                    <w:t>达标</w:t>
                  </w:r>
                  <w:bookmarkEnd w:id="1789"/>
                  <w:bookmarkEnd w:id="1790"/>
                  <w:bookmarkEnd w:id="1791"/>
                  <w:bookmarkEnd w:id="1792"/>
                  <w:bookmarkEnd w:id="1793"/>
                  <w:bookmarkEnd w:id="1794"/>
                  <w:bookmarkEnd w:id="1795"/>
                  <w:bookmarkEnd w:id="1796"/>
                </w:p>
              </w:tc>
              <w:tc>
                <w:tcPr>
                  <w:tcW w:w="459" w:type="pct"/>
                  <w:tcBorders>
                    <w:tl2br w:val="nil"/>
                    <w:tr2bl w:val="nil"/>
                  </w:tcBorders>
                  <w:noWrap w:val="0"/>
                  <w:vAlign w:val="center"/>
                </w:tcPr>
                <w:p w14:paraId="185D26FE">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797" w:name="_Toc15413"/>
                  <w:bookmarkStart w:id="1798" w:name="_Toc18305"/>
                  <w:bookmarkStart w:id="1799" w:name="_Toc8970"/>
                  <w:bookmarkStart w:id="1800" w:name="_Toc16995"/>
                  <w:bookmarkStart w:id="1801" w:name="_Toc16596"/>
                  <w:bookmarkStart w:id="1802" w:name="_Toc20191"/>
                  <w:bookmarkStart w:id="1803" w:name="_Toc13017"/>
                  <w:bookmarkStart w:id="1804" w:name="_Toc19199"/>
                  <w:r>
                    <w:rPr>
                      <w:rFonts w:hint="default" w:ascii="Times New Roman" w:hAnsi="Times New Roman" w:cs="Times New Roman"/>
                      <w:color w:val="auto"/>
                      <w:u w:val="none" w:color="auto"/>
                      <w:lang w:val="en-US" w:eastAsia="zh-CN"/>
                    </w:rPr>
                    <w:t>达标</w:t>
                  </w:r>
                  <w:bookmarkEnd w:id="1797"/>
                  <w:bookmarkEnd w:id="1798"/>
                  <w:bookmarkEnd w:id="1799"/>
                  <w:bookmarkEnd w:id="1800"/>
                  <w:bookmarkEnd w:id="1801"/>
                  <w:bookmarkEnd w:id="1802"/>
                  <w:bookmarkEnd w:id="1803"/>
                  <w:bookmarkEnd w:id="1804"/>
                </w:p>
              </w:tc>
              <w:tc>
                <w:tcPr>
                  <w:tcW w:w="439" w:type="pct"/>
                  <w:tcBorders>
                    <w:tl2br w:val="nil"/>
                    <w:tr2bl w:val="nil"/>
                  </w:tcBorders>
                  <w:noWrap w:val="0"/>
                  <w:vAlign w:val="center"/>
                </w:tcPr>
                <w:p w14:paraId="7432F279">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u w:val="none" w:color="auto"/>
                      <w:lang w:val="en-US" w:eastAsia="zh-CN"/>
                    </w:rPr>
                  </w:pPr>
                  <w:bookmarkStart w:id="1805" w:name="_Toc28004"/>
                  <w:bookmarkStart w:id="1806" w:name="_Toc14290"/>
                  <w:bookmarkStart w:id="1807" w:name="_Toc21026"/>
                  <w:bookmarkStart w:id="1808" w:name="_Toc21766"/>
                  <w:bookmarkStart w:id="1809" w:name="_Toc5638"/>
                  <w:bookmarkStart w:id="1810" w:name="_Toc14547"/>
                  <w:bookmarkStart w:id="1811" w:name="_Toc10574"/>
                  <w:bookmarkStart w:id="1812" w:name="_Toc21169"/>
                  <w:r>
                    <w:rPr>
                      <w:rFonts w:hint="default" w:ascii="Times New Roman" w:hAnsi="Times New Roman" w:cs="Times New Roman"/>
                      <w:color w:val="auto"/>
                      <w:u w:val="none" w:color="auto"/>
                      <w:lang w:val="en-US" w:eastAsia="zh-CN"/>
                    </w:rPr>
                    <w:t>达标</w:t>
                  </w:r>
                  <w:bookmarkEnd w:id="1805"/>
                  <w:bookmarkEnd w:id="1806"/>
                  <w:bookmarkEnd w:id="1807"/>
                  <w:bookmarkEnd w:id="1808"/>
                  <w:bookmarkEnd w:id="1809"/>
                  <w:bookmarkEnd w:id="1810"/>
                  <w:bookmarkEnd w:id="1811"/>
                  <w:bookmarkEnd w:id="1812"/>
                </w:p>
              </w:tc>
              <w:tc>
                <w:tcPr>
                  <w:tcW w:w="669" w:type="pct"/>
                  <w:tcBorders>
                    <w:tl2br w:val="nil"/>
                    <w:tr2bl w:val="nil"/>
                  </w:tcBorders>
                  <w:noWrap w:val="0"/>
                  <w:vAlign w:val="center"/>
                </w:tcPr>
                <w:p w14:paraId="5346FB4D">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813" w:name="_Toc19113"/>
                  <w:bookmarkStart w:id="1814" w:name="_Toc4990"/>
                  <w:bookmarkStart w:id="1815" w:name="_Toc4002"/>
                  <w:bookmarkStart w:id="1816" w:name="_Toc801"/>
                  <w:bookmarkStart w:id="1817" w:name="_Toc892"/>
                  <w:bookmarkStart w:id="1818" w:name="_Toc6378"/>
                  <w:bookmarkStart w:id="1819" w:name="_Toc2597"/>
                  <w:bookmarkStart w:id="1820" w:name="_Toc21498"/>
                  <w:r>
                    <w:rPr>
                      <w:rFonts w:hint="default" w:ascii="Times New Roman" w:hAnsi="Times New Roman" w:cs="Times New Roman"/>
                      <w:color w:val="auto"/>
                      <w:u w:val="none" w:color="auto"/>
                      <w:lang w:val="en-US" w:eastAsia="zh-CN"/>
                    </w:rPr>
                    <w:t>达标</w:t>
                  </w:r>
                  <w:bookmarkEnd w:id="1813"/>
                  <w:bookmarkEnd w:id="1814"/>
                  <w:bookmarkEnd w:id="1815"/>
                  <w:bookmarkEnd w:id="1816"/>
                  <w:bookmarkEnd w:id="1817"/>
                  <w:bookmarkEnd w:id="1818"/>
                  <w:bookmarkEnd w:id="1819"/>
                  <w:bookmarkEnd w:id="1820"/>
                </w:p>
              </w:tc>
              <w:tc>
                <w:tcPr>
                  <w:tcW w:w="1138" w:type="dxa"/>
                  <w:tcBorders>
                    <w:tl2br w:val="nil"/>
                    <w:tr2bl w:val="nil"/>
                  </w:tcBorders>
                  <w:noWrap w:val="0"/>
                  <w:vAlign w:val="center"/>
                </w:tcPr>
                <w:p w14:paraId="6998F23D">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821" w:name="_Toc354"/>
                  <w:bookmarkStart w:id="1822" w:name="_Toc1593"/>
                  <w:bookmarkStart w:id="1823" w:name="_Toc4763"/>
                  <w:bookmarkStart w:id="1824" w:name="_Toc15736"/>
                  <w:bookmarkStart w:id="1825" w:name="_Toc2601"/>
                  <w:bookmarkStart w:id="1826" w:name="_Toc2613"/>
                  <w:r>
                    <w:rPr>
                      <w:rFonts w:hint="default" w:ascii="Times New Roman" w:hAnsi="Times New Roman" w:cs="Times New Roman"/>
                      <w:color w:val="auto"/>
                      <w:u w:val="none" w:color="auto"/>
                      <w:lang w:val="en-US" w:eastAsia="zh-CN"/>
                    </w:rPr>
                    <w:t>达标</w:t>
                  </w:r>
                  <w:bookmarkEnd w:id="1821"/>
                  <w:bookmarkEnd w:id="1822"/>
                  <w:bookmarkEnd w:id="1823"/>
                  <w:bookmarkEnd w:id="1824"/>
                  <w:bookmarkEnd w:id="1825"/>
                  <w:bookmarkEnd w:id="1826"/>
                </w:p>
              </w:tc>
              <w:tc>
                <w:tcPr>
                  <w:tcW w:w="1140" w:type="dxa"/>
                  <w:tcBorders>
                    <w:tl2br w:val="nil"/>
                    <w:tr2bl w:val="nil"/>
                  </w:tcBorders>
                  <w:noWrap w:val="0"/>
                  <w:vAlign w:val="center"/>
                </w:tcPr>
                <w:p w14:paraId="06163772">
                  <w:pPr>
                    <w:pStyle w:val="44"/>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827" w:name="_Toc6652"/>
                  <w:bookmarkStart w:id="1828" w:name="_Toc7946"/>
                  <w:bookmarkStart w:id="1829" w:name="_Toc4835"/>
                  <w:bookmarkStart w:id="1830" w:name="_Toc24938"/>
                  <w:bookmarkStart w:id="1831" w:name="_Toc9856"/>
                  <w:bookmarkStart w:id="1832" w:name="_Toc27776"/>
                  <w:r>
                    <w:rPr>
                      <w:rFonts w:hint="default" w:ascii="Times New Roman" w:hAnsi="Times New Roman" w:cs="Times New Roman"/>
                      <w:color w:val="auto"/>
                      <w:u w:val="none" w:color="auto"/>
                      <w:lang w:val="en-US" w:eastAsia="zh-CN"/>
                    </w:rPr>
                    <w:t>达标</w:t>
                  </w:r>
                  <w:bookmarkEnd w:id="1827"/>
                  <w:bookmarkEnd w:id="1828"/>
                  <w:bookmarkEnd w:id="1829"/>
                  <w:bookmarkEnd w:id="1830"/>
                  <w:bookmarkEnd w:id="1831"/>
                  <w:bookmarkEnd w:id="1832"/>
                </w:p>
              </w:tc>
            </w:tr>
          </w:tbl>
          <w:p w14:paraId="30C55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bCs/>
                <w:color w:val="auto"/>
                <w:sz w:val="24"/>
                <w:szCs w:val="24"/>
                <w:u w:val="none" w:color="auto"/>
              </w:rPr>
              <w:t>通过上述预测结果可得，项目建成投产后，厂界东、南</w:t>
            </w:r>
            <w:r>
              <w:rPr>
                <w:rFonts w:hint="default" w:ascii="Times New Roman" w:hAnsi="Times New Roman" w:eastAsia="宋体" w:cs="Times New Roman"/>
                <w:bCs/>
                <w:color w:val="auto"/>
                <w:sz w:val="24"/>
                <w:szCs w:val="24"/>
                <w:u w:val="none" w:color="auto"/>
                <w:lang w:eastAsia="zh-CN"/>
              </w:rPr>
              <w:t>、</w:t>
            </w:r>
            <w:r>
              <w:rPr>
                <w:rFonts w:hint="default" w:ascii="Times New Roman" w:hAnsi="Times New Roman" w:eastAsia="宋体" w:cs="Times New Roman"/>
                <w:bCs/>
                <w:color w:val="auto"/>
                <w:sz w:val="24"/>
                <w:szCs w:val="24"/>
                <w:u w:val="none" w:color="auto"/>
                <w:lang w:val="en-US" w:eastAsia="zh-CN"/>
              </w:rPr>
              <w:t>西</w:t>
            </w:r>
            <w:r>
              <w:rPr>
                <w:rFonts w:hint="eastAsia" w:cs="Times New Roman"/>
                <w:bCs/>
                <w:color w:val="auto"/>
                <w:sz w:val="24"/>
                <w:szCs w:val="24"/>
                <w:u w:val="none" w:color="auto"/>
                <w:lang w:val="en-US" w:eastAsia="zh-CN"/>
              </w:rPr>
              <w:t>三侧及附近声环境敏感目标</w:t>
            </w:r>
            <w:r>
              <w:rPr>
                <w:rFonts w:hint="default" w:ascii="Times New Roman" w:hAnsi="Times New Roman" w:eastAsia="宋体" w:cs="Times New Roman"/>
                <w:bCs/>
                <w:color w:val="auto"/>
                <w:sz w:val="24"/>
                <w:szCs w:val="24"/>
                <w:u w:val="none" w:color="auto"/>
              </w:rPr>
              <w:t>昼</w:t>
            </w:r>
            <w:r>
              <w:rPr>
                <w:rFonts w:hint="default" w:ascii="Times New Roman" w:hAnsi="Times New Roman" w:eastAsia="宋体" w:cs="Times New Roman"/>
                <w:bCs/>
                <w:color w:val="auto"/>
                <w:sz w:val="24"/>
                <w:szCs w:val="24"/>
                <w:u w:val="none" w:color="auto"/>
                <w:lang w:val="en-US" w:eastAsia="zh-CN"/>
              </w:rPr>
              <w:t>间和夜间</w:t>
            </w:r>
            <w:r>
              <w:rPr>
                <w:rFonts w:hint="default" w:ascii="Times New Roman" w:hAnsi="Times New Roman" w:eastAsia="宋体" w:cs="Times New Roman"/>
                <w:bCs/>
                <w:color w:val="auto"/>
                <w:sz w:val="24"/>
                <w:szCs w:val="24"/>
                <w:u w:val="none" w:color="auto"/>
              </w:rPr>
              <w:t>噪声均能满足《工业企业厂界环境噪声排放标准》（GB</w:t>
            </w:r>
            <w:r>
              <w:rPr>
                <w:rFonts w:hint="default" w:ascii="Times New Roman" w:hAnsi="Times New Roman" w:eastAsia="宋体" w:cs="Times New Roman"/>
                <w:bCs/>
                <w:color w:val="auto"/>
                <w:sz w:val="24"/>
                <w:szCs w:val="24"/>
                <w:u w:val="none" w:color="auto"/>
                <w:lang w:val="en-US" w:eastAsia="zh-CN"/>
              </w:rPr>
              <w:t xml:space="preserve"> </w:t>
            </w:r>
            <w:r>
              <w:rPr>
                <w:rFonts w:hint="default" w:ascii="Times New Roman" w:hAnsi="Times New Roman" w:eastAsia="宋体" w:cs="Times New Roman"/>
                <w:bCs/>
                <w:color w:val="auto"/>
                <w:sz w:val="24"/>
                <w:szCs w:val="24"/>
                <w:u w:val="none" w:color="auto"/>
              </w:rPr>
              <w:t>12348-2008）</w:t>
            </w:r>
            <w:r>
              <w:rPr>
                <w:rFonts w:hint="eastAsia" w:cs="Times New Roman"/>
                <w:bCs/>
                <w:color w:val="auto"/>
                <w:sz w:val="24"/>
                <w:szCs w:val="24"/>
                <w:u w:val="none" w:color="auto"/>
                <w:lang w:val="en-US" w:eastAsia="zh-CN"/>
              </w:rPr>
              <w:t>2</w:t>
            </w:r>
            <w:r>
              <w:rPr>
                <w:rFonts w:hint="default" w:ascii="Times New Roman" w:hAnsi="Times New Roman" w:eastAsia="宋体" w:cs="Times New Roman"/>
                <w:bCs/>
                <w:color w:val="auto"/>
                <w:sz w:val="24"/>
                <w:szCs w:val="24"/>
                <w:u w:val="none" w:color="auto"/>
              </w:rPr>
              <w:t>类标准限值</w:t>
            </w:r>
            <w:r>
              <w:rPr>
                <w:rFonts w:hint="eastAsia" w:cs="Times New Roman"/>
                <w:bCs/>
                <w:color w:val="auto"/>
                <w:sz w:val="24"/>
                <w:szCs w:val="24"/>
                <w:u w:val="none" w:color="auto"/>
                <w:lang w:eastAsia="zh-CN"/>
              </w:rPr>
              <w:t>；</w:t>
            </w:r>
            <w:r>
              <w:rPr>
                <w:rFonts w:hint="default" w:ascii="Times New Roman" w:hAnsi="Times New Roman" w:eastAsia="宋体" w:cs="Times New Roman"/>
                <w:bCs/>
                <w:color w:val="auto"/>
                <w:sz w:val="24"/>
                <w:szCs w:val="24"/>
                <w:u w:val="none" w:color="auto"/>
              </w:rPr>
              <w:t>厂界</w:t>
            </w:r>
            <w:r>
              <w:rPr>
                <w:rFonts w:hint="eastAsia" w:ascii="Times New Roman" w:hAnsi="Times New Roman" w:eastAsia="宋体" w:cs="Times New Roman"/>
                <w:bCs/>
                <w:color w:val="auto"/>
                <w:sz w:val="24"/>
                <w:szCs w:val="24"/>
                <w:u w:val="none" w:color="auto"/>
                <w:lang w:val="en-US" w:eastAsia="zh-CN"/>
              </w:rPr>
              <w:t>北侧</w:t>
            </w:r>
            <w:r>
              <w:rPr>
                <w:rFonts w:hint="default" w:ascii="Times New Roman" w:hAnsi="Times New Roman" w:eastAsia="宋体" w:cs="Times New Roman"/>
                <w:bCs/>
                <w:color w:val="auto"/>
                <w:sz w:val="24"/>
                <w:szCs w:val="24"/>
                <w:u w:val="none" w:color="auto"/>
              </w:rPr>
              <w:t>昼</w:t>
            </w:r>
            <w:r>
              <w:rPr>
                <w:rFonts w:hint="default" w:ascii="Times New Roman" w:hAnsi="Times New Roman" w:eastAsia="宋体" w:cs="Times New Roman"/>
                <w:bCs/>
                <w:color w:val="auto"/>
                <w:sz w:val="24"/>
                <w:szCs w:val="24"/>
                <w:u w:val="none" w:color="auto"/>
                <w:lang w:val="en-US" w:eastAsia="zh-CN"/>
              </w:rPr>
              <w:t>间和夜间</w:t>
            </w:r>
            <w:r>
              <w:rPr>
                <w:rFonts w:hint="default" w:ascii="Times New Roman" w:hAnsi="Times New Roman" w:eastAsia="宋体" w:cs="Times New Roman"/>
                <w:bCs/>
                <w:color w:val="auto"/>
                <w:sz w:val="24"/>
                <w:szCs w:val="24"/>
                <w:u w:val="none" w:color="auto"/>
              </w:rPr>
              <w:t>噪声能满足《工业企业厂界环境噪声排放标准》（GB</w:t>
            </w:r>
            <w:r>
              <w:rPr>
                <w:rFonts w:hint="default" w:ascii="Times New Roman" w:hAnsi="Times New Roman" w:eastAsia="宋体" w:cs="Times New Roman"/>
                <w:bCs/>
                <w:color w:val="auto"/>
                <w:sz w:val="24"/>
                <w:szCs w:val="24"/>
                <w:u w:val="none" w:color="auto"/>
                <w:lang w:val="en-US" w:eastAsia="zh-CN"/>
              </w:rPr>
              <w:t xml:space="preserve"> </w:t>
            </w:r>
            <w:r>
              <w:rPr>
                <w:rFonts w:hint="default" w:ascii="Times New Roman" w:hAnsi="Times New Roman" w:eastAsia="宋体" w:cs="Times New Roman"/>
                <w:bCs/>
                <w:color w:val="auto"/>
                <w:sz w:val="24"/>
                <w:szCs w:val="24"/>
                <w:u w:val="none" w:color="auto"/>
              </w:rPr>
              <w:t>12348-2008）</w:t>
            </w:r>
            <w:r>
              <w:rPr>
                <w:rFonts w:hint="eastAsia" w:cs="Times New Roman"/>
                <w:bCs/>
                <w:color w:val="auto"/>
                <w:sz w:val="24"/>
                <w:szCs w:val="24"/>
                <w:u w:val="none" w:color="auto"/>
                <w:lang w:val="en-US" w:eastAsia="zh-CN"/>
              </w:rPr>
              <w:t>4</w:t>
            </w:r>
            <w:r>
              <w:rPr>
                <w:rFonts w:hint="default" w:ascii="Times New Roman" w:hAnsi="Times New Roman" w:eastAsia="宋体" w:cs="Times New Roman"/>
                <w:bCs/>
                <w:color w:val="auto"/>
                <w:sz w:val="24"/>
                <w:szCs w:val="24"/>
                <w:u w:val="none" w:color="auto"/>
              </w:rPr>
              <w:t>类标准限值</w:t>
            </w:r>
            <w:r>
              <w:rPr>
                <w:rFonts w:hint="default" w:ascii="Times New Roman" w:hAnsi="Times New Roman" w:eastAsia="宋体" w:cs="Times New Roman"/>
                <w:bCs/>
                <w:color w:val="auto"/>
                <w:sz w:val="24"/>
                <w:szCs w:val="24"/>
                <w:u w:val="none" w:color="auto"/>
                <w:lang w:eastAsia="zh-CN"/>
              </w:rPr>
              <w:t>。</w:t>
            </w:r>
          </w:p>
          <w:p w14:paraId="120E7449">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8</w:t>
            </w:r>
            <w:r>
              <w:rPr>
                <w:rFonts w:hint="default" w:ascii="Times New Roman" w:hAnsi="Times New Roman" w:cs="Times New Roman"/>
                <w:b/>
                <w:bCs/>
                <w:color w:val="auto"/>
                <w:u w:val="none" w:color="auto"/>
                <w:lang w:val="en-US" w:eastAsia="zh-CN"/>
              </w:rPr>
              <w:t xml:space="preserve">.4 </w:t>
            </w:r>
            <w:r>
              <w:rPr>
                <w:rFonts w:hint="default" w:ascii="Times New Roman" w:hAnsi="Times New Roman" w:eastAsia="黑体" w:cs="Times New Roman"/>
                <w:b/>
                <w:bCs/>
                <w:color w:val="auto"/>
                <w:u w:val="none" w:color="auto"/>
                <w:lang w:val="en-US" w:eastAsia="zh-CN"/>
              </w:rPr>
              <w:t>噪声监测计划</w:t>
            </w:r>
          </w:p>
          <w:p w14:paraId="6E238C80">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根</w:t>
            </w:r>
            <w:r>
              <w:rPr>
                <w:rFonts w:hint="default" w:ascii="Times New Roman" w:hAnsi="Times New Roman" w:cs="Times New Roman"/>
                <w:color w:val="auto"/>
                <w:u w:val="none" w:color="auto"/>
                <w:lang w:val="en-US" w:eastAsia="zh-CN"/>
              </w:rPr>
              <w:t>据《排污单位自行监测技术指南</w:t>
            </w:r>
            <w:r>
              <w:rPr>
                <w:rFonts w:hint="eastAsia" w:cs="Times New Roman"/>
                <w:color w:val="auto"/>
                <w:u w:val="none" w:color="auto"/>
                <w:lang w:val="en-US" w:eastAsia="zh-CN"/>
              </w:rPr>
              <w:t xml:space="preserve"> </w:t>
            </w:r>
            <w:r>
              <w:rPr>
                <w:rFonts w:hint="default" w:ascii="Times New Roman" w:hAnsi="Times New Roman" w:cs="Times New Roman"/>
                <w:color w:val="auto"/>
                <w:u w:val="none" w:color="auto"/>
                <w:lang w:val="en-US" w:eastAsia="zh-CN"/>
              </w:rPr>
              <w:t>总则》（HJ 819-2017）</w:t>
            </w:r>
            <w:r>
              <w:rPr>
                <w:rFonts w:hint="eastAsia" w:cs="Times New Roman"/>
                <w:color w:val="auto"/>
                <w:u w:val="none" w:color="auto"/>
                <w:lang w:val="en-US" w:eastAsia="zh-CN"/>
              </w:rPr>
              <w:t>、《</w:t>
            </w:r>
            <w:r>
              <w:rPr>
                <w:rFonts w:hint="default" w:ascii="Times New Roman" w:hAnsi="Times New Roman" w:cs="Times New Roman"/>
                <w:color w:val="auto"/>
                <w:u w:val="none" w:color="auto"/>
                <w:lang w:val="en-US" w:eastAsia="zh-CN"/>
              </w:rPr>
              <w:t>排污单位自行监测技术指南</w:t>
            </w:r>
            <w:r>
              <w:rPr>
                <w:rFonts w:hint="eastAsia" w:cs="Times New Roman"/>
                <w:color w:val="auto"/>
                <w:u w:val="none" w:color="auto"/>
                <w:lang w:val="en-US" w:eastAsia="zh-CN"/>
              </w:rPr>
              <w:t xml:space="preserve"> 印刷工业》（HJ 1246-2022）</w:t>
            </w:r>
            <w:r>
              <w:rPr>
                <w:rFonts w:hint="default" w:ascii="Times New Roman" w:hAnsi="Times New Roman" w:cs="Times New Roman"/>
                <w:color w:val="auto"/>
                <w:u w:val="none" w:color="auto"/>
                <w:lang w:val="en-US" w:eastAsia="zh-CN"/>
              </w:rPr>
              <w:t>、《</w:t>
            </w:r>
            <w:bookmarkStart w:id="1833" w:name="OLE_LINK130"/>
            <w:r>
              <w:rPr>
                <w:rFonts w:hint="default" w:ascii="Times New Roman" w:hAnsi="Times New Roman" w:cs="Times New Roman"/>
                <w:color w:val="auto"/>
                <w:u w:val="none" w:color="auto"/>
                <w:lang w:val="en-US" w:eastAsia="zh-CN"/>
              </w:rPr>
              <w:t xml:space="preserve">排污许可证申请与核发技术规范 </w:t>
            </w:r>
            <w:r>
              <w:rPr>
                <w:rFonts w:hint="eastAsia" w:cs="Times New Roman"/>
                <w:color w:val="auto"/>
                <w:u w:val="none" w:color="auto"/>
                <w:lang w:val="en-US" w:eastAsia="zh-CN"/>
              </w:rPr>
              <w:t>工业噪声</w:t>
            </w:r>
            <w:bookmarkEnd w:id="1833"/>
            <w:r>
              <w:rPr>
                <w:rFonts w:hint="default" w:ascii="Times New Roman" w:hAnsi="Times New Roman" w:cs="Times New Roman"/>
                <w:color w:val="auto"/>
                <w:u w:val="none" w:color="auto"/>
                <w:lang w:val="en-US" w:eastAsia="zh-CN"/>
              </w:rPr>
              <w:t>》（HJ 1</w:t>
            </w:r>
            <w:r>
              <w:rPr>
                <w:rFonts w:hint="eastAsia" w:cs="Times New Roman"/>
                <w:color w:val="auto"/>
                <w:u w:val="none" w:color="auto"/>
                <w:lang w:val="en-US" w:eastAsia="zh-CN"/>
              </w:rPr>
              <w:t>301</w:t>
            </w:r>
            <w:r>
              <w:rPr>
                <w:rFonts w:hint="default" w:ascii="Times New Roman" w:hAnsi="Times New Roman" w:cs="Times New Roman"/>
                <w:color w:val="auto"/>
                <w:u w:val="none" w:color="auto"/>
                <w:lang w:val="en-US" w:eastAsia="zh-CN"/>
              </w:rPr>
              <w:t>-20</w:t>
            </w:r>
            <w:r>
              <w:rPr>
                <w:rFonts w:hint="eastAsia" w:cs="Times New Roman"/>
                <w:color w:val="auto"/>
                <w:u w:val="none" w:color="auto"/>
                <w:lang w:val="en-US" w:eastAsia="zh-CN"/>
              </w:rPr>
              <w:t>23</w:t>
            </w:r>
            <w:r>
              <w:rPr>
                <w:rFonts w:hint="default" w:ascii="Times New Roman" w:hAnsi="Times New Roman" w:cs="Times New Roman"/>
                <w:color w:val="auto"/>
                <w:u w:val="none" w:color="auto"/>
                <w:lang w:val="en-US" w:eastAsia="zh-CN"/>
              </w:rPr>
              <w:t>），结合项目所在地环境特征，本项目运营期噪声监测计划见表4.</w:t>
            </w:r>
            <w:r>
              <w:rPr>
                <w:rFonts w:hint="eastAsia" w:cs="Times New Roman"/>
                <w:color w:val="auto"/>
                <w:u w:val="none" w:color="auto"/>
                <w:lang w:val="en-US" w:eastAsia="zh-CN"/>
              </w:rPr>
              <w:t>8</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w:t>
            </w:r>
          </w:p>
          <w:p w14:paraId="302C63AE">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8</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 xml:space="preserve"> 项目噪声监测计划一览表</w:t>
            </w:r>
          </w:p>
          <w:tbl>
            <w:tblPr>
              <w:tblStyle w:val="23"/>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3204"/>
              <w:gridCol w:w="2000"/>
              <w:gridCol w:w="1306"/>
            </w:tblGrid>
            <w:tr w14:paraId="489D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49" w:type="pct"/>
                  <w:noWrap w:val="0"/>
                  <w:vAlign w:val="center"/>
                </w:tcPr>
                <w:p w14:paraId="4FEA3C1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类别</w:t>
                  </w:r>
                </w:p>
              </w:tc>
              <w:tc>
                <w:tcPr>
                  <w:tcW w:w="1845" w:type="pct"/>
                  <w:noWrap w:val="0"/>
                  <w:vAlign w:val="center"/>
                </w:tcPr>
                <w:p w14:paraId="61E3364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监测点位</w:t>
                  </w:r>
                </w:p>
              </w:tc>
              <w:tc>
                <w:tcPr>
                  <w:tcW w:w="1152" w:type="pct"/>
                  <w:noWrap w:val="0"/>
                  <w:vAlign w:val="center"/>
                </w:tcPr>
                <w:p w14:paraId="762EEF12">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监测因子</w:t>
                  </w:r>
                </w:p>
              </w:tc>
              <w:tc>
                <w:tcPr>
                  <w:tcW w:w="752" w:type="pct"/>
                  <w:noWrap w:val="0"/>
                  <w:vAlign w:val="center"/>
                </w:tcPr>
                <w:p w14:paraId="2F54F30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监测频次</w:t>
                  </w:r>
                </w:p>
              </w:tc>
            </w:tr>
            <w:tr w14:paraId="3F9B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9" w:type="pct"/>
                  <w:noWrap w:val="0"/>
                  <w:vAlign w:val="center"/>
                </w:tcPr>
                <w:p w14:paraId="2B013ED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厂界环境噪声监测</w:t>
                  </w:r>
                </w:p>
              </w:tc>
              <w:tc>
                <w:tcPr>
                  <w:tcW w:w="1845" w:type="pct"/>
                  <w:noWrap w:val="0"/>
                  <w:vAlign w:val="center"/>
                </w:tcPr>
                <w:p w14:paraId="7A7AC0D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各厂界1 m处</w:t>
                  </w:r>
                  <w:r>
                    <w:rPr>
                      <w:rFonts w:hint="eastAsia" w:cs="Times New Roman"/>
                      <w:color w:val="auto"/>
                      <w:u w:val="none" w:color="auto"/>
                      <w:lang w:val="en-US" w:eastAsia="zh-CN"/>
                    </w:rPr>
                    <w:t>及厂界东侧、西侧50 m范围内居民点</w:t>
                  </w:r>
                </w:p>
              </w:tc>
              <w:tc>
                <w:tcPr>
                  <w:tcW w:w="1152" w:type="pct"/>
                  <w:noWrap w:val="0"/>
                  <w:vAlign w:val="center"/>
                </w:tcPr>
                <w:p w14:paraId="26C158D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等效连续A声级</w:t>
                  </w:r>
                </w:p>
              </w:tc>
              <w:tc>
                <w:tcPr>
                  <w:tcW w:w="752" w:type="pct"/>
                  <w:noWrap w:val="0"/>
                  <w:vAlign w:val="center"/>
                </w:tcPr>
                <w:p w14:paraId="210A07A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1次/季度</w:t>
                  </w:r>
                </w:p>
              </w:tc>
            </w:tr>
          </w:tbl>
          <w:p w14:paraId="35F6663E">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9</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运营期固废</w:t>
            </w:r>
          </w:p>
          <w:p w14:paraId="0169FA66">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9</w:t>
            </w:r>
            <w:r>
              <w:rPr>
                <w:rFonts w:hint="default" w:ascii="Times New Roman" w:hAnsi="Times New Roman" w:cs="Times New Roman"/>
                <w:b/>
                <w:bCs/>
                <w:color w:val="auto"/>
                <w:u w:val="none" w:color="auto"/>
                <w:lang w:val="en-US" w:eastAsia="zh-CN"/>
              </w:rPr>
              <w:t xml:space="preserve">.1 </w:t>
            </w:r>
            <w:r>
              <w:rPr>
                <w:rFonts w:hint="default" w:ascii="Times New Roman" w:hAnsi="Times New Roman" w:eastAsia="黑体" w:cs="Times New Roman"/>
                <w:b/>
                <w:bCs/>
                <w:color w:val="auto"/>
                <w:u w:val="none" w:color="auto"/>
                <w:lang w:val="en-US" w:eastAsia="zh-CN"/>
              </w:rPr>
              <w:t>固体废物产生情况</w:t>
            </w:r>
          </w:p>
          <w:p w14:paraId="418B0AAE">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本项目生产过程中产生的主要</w:t>
            </w:r>
            <w:r>
              <w:rPr>
                <w:rFonts w:hint="eastAsia" w:cs="Times New Roman"/>
                <w:color w:val="auto"/>
                <w:u w:val="none" w:color="auto"/>
                <w:lang w:val="en-US" w:eastAsia="zh-CN"/>
              </w:rPr>
              <w:t>固体</w:t>
            </w:r>
            <w:r>
              <w:rPr>
                <w:rFonts w:hint="default" w:ascii="Times New Roman" w:hAnsi="Times New Roman" w:eastAsia="宋体" w:cs="Times New Roman"/>
                <w:color w:val="auto"/>
                <w:u w:val="none" w:color="auto"/>
                <w:lang w:val="en-US" w:eastAsia="zh-CN"/>
              </w:rPr>
              <w:t>废物有</w:t>
            </w:r>
            <w:r>
              <w:rPr>
                <w:rFonts w:hint="default" w:cs="Times New Roman"/>
                <w:color w:val="auto"/>
                <w:kern w:val="2"/>
                <w:sz w:val="24"/>
                <w:szCs w:val="24"/>
                <w:u w:val="none" w:color="auto"/>
                <w:vertAlign w:val="baseline"/>
                <w:lang w:val="en-US" w:eastAsia="zh-CN"/>
              </w:rPr>
              <w:t>猪牛</w:t>
            </w:r>
            <w:r>
              <w:rPr>
                <w:rFonts w:hint="eastAsia" w:cs="Times New Roman"/>
                <w:color w:val="auto"/>
                <w:kern w:val="2"/>
                <w:sz w:val="24"/>
                <w:szCs w:val="24"/>
                <w:u w:val="none" w:color="auto"/>
                <w:vertAlign w:val="baseline"/>
                <w:lang w:val="en-US" w:eastAsia="zh-CN"/>
              </w:rPr>
              <w:t>鸡鸭鹅</w:t>
            </w:r>
            <w:r>
              <w:rPr>
                <w:rFonts w:hint="default" w:cs="Times New Roman"/>
                <w:color w:val="auto"/>
                <w:kern w:val="2"/>
                <w:sz w:val="24"/>
                <w:szCs w:val="24"/>
                <w:u w:val="none" w:color="auto"/>
                <w:vertAlign w:val="baseline"/>
                <w:lang w:val="en-US" w:eastAsia="zh-CN"/>
              </w:rPr>
              <w:t>胃内容物、碎肉渣</w:t>
            </w:r>
            <w:r>
              <w:rPr>
                <w:rFonts w:hint="default" w:cs="Times New Roman"/>
                <w:color w:val="auto"/>
                <w:spacing w:val="0"/>
                <w:kern w:val="2"/>
                <w:sz w:val="24"/>
                <w:szCs w:val="24"/>
                <w:u w:val="none" w:color="auto"/>
                <w:lang w:val="en-US" w:eastAsia="zh-CN"/>
              </w:rPr>
              <w:t>、</w:t>
            </w:r>
            <w:r>
              <w:rPr>
                <w:rFonts w:hint="default" w:cs="Times New Roman"/>
                <w:color w:val="auto"/>
                <w:kern w:val="2"/>
                <w:sz w:val="24"/>
                <w:szCs w:val="24"/>
                <w:u w:val="none" w:color="auto"/>
                <w:vertAlign w:val="baseline"/>
                <w:lang w:val="en-US" w:eastAsia="zh-CN"/>
              </w:rPr>
              <w:t>猪牛</w:t>
            </w:r>
            <w:r>
              <w:rPr>
                <w:rFonts w:hint="eastAsia" w:cs="Times New Roman"/>
                <w:color w:val="auto"/>
                <w:kern w:val="2"/>
                <w:sz w:val="24"/>
                <w:szCs w:val="24"/>
                <w:u w:val="none" w:color="auto"/>
                <w:vertAlign w:val="baseline"/>
                <w:lang w:val="en-US" w:eastAsia="zh-CN"/>
              </w:rPr>
              <w:t>鸡鸭鹅待宰期间产生的</w:t>
            </w:r>
            <w:r>
              <w:rPr>
                <w:rFonts w:hint="default" w:cs="Times New Roman"/>
                <w:color w:val="auto"/>
                <w:kern w:val="2"/>
                <w:sz w:val="24"/>
                <w:szCs w:val="24"/>
                <w:u w:val="none" w:color="auto"/>
                <w:vertAlign w:val="baseline"/>
                <w:lang w:val="en-US" w:eastAsia="zh-CN"/>
              </w:rPr>
              <w:t>粪便、污水处理站污泥、不合格品、不可食用部分（除胃内容物外）、格栅处理的废物</w:t>
            </w:r>
            <w:r>
              <w:rPr>
                <w:rFonts w:hint="eastAsia" w:cs="Times New Roman"/>
                <w:color w:val="auto"/>
                <w:kern w:val="2"/>
                <w:sz w:val="24"/>
                <w:szCs w:val="24"/>
                <w:u w:val="none" w:color="auto"/>
                <w:vertAlign w:val="baseline"/>
                <w:lang w:val="en-US" w:eastAsia="zh-CN"/>
              </w:rPr>
              <w:t>等一般固废以及</w:t>
            </w:r>
            <w:r>
              <w:rPr>
                <w:rFonts w:hint="default" w:cs="Times New Roman"/>
                <w:color w:val="auto"/>
                <w:kern w:val="2"/>
                <w:sz w:val="24"/>
                <w:szCs w:val="24"/>
                <w:u w:val="none" w:color="auto"/>
                <w:vertAlign w:val="baseline"/>
                <w:lang w:val="en-US" w:eastAsia="zh-CN"/>
              </w:rPr>
              <w:t>实验室、检疫室废弃物、</w:t>
            </w:r>
            <w:r>
              <w:rPr>
                <w:rFonts w:hint="eastAsia" w:cs="Times New Roman"/>
                <w:color w:val="auto"/>
                <w:kern w:val="2"/>
                <w:sz w:val="24"/>
                <w:szCs w:val="24"/>
                <w:u w:val="none" w:color="auto"/>
                <w:vertAlign w:val="baseline"/>
                <w:lang w:val="en-US" w:eastAsia="zh-CN"/>
              </w:rPr>
              <w:t>沾染有毒有害物质的废包装材料等危险废物</w:t>
            </w:r>
            <w:r>
              <w:rPr>
                <w:rFonts w:hint="default" w:ascii="Times New Roman" w:hAnsi="Times New Roman" w:eastAsia="宋体" w:cs="Times New Roman"/>
                <w:color w:val="auto"/>
                <w:u w:val="none" w:color="auto"/>
                <w:lang w:val="en-US" w:eastAsia="zh-CN"/>
              </w:rPr>
              <w:t>。</w:t>
            </w:r>
          </w:p>
          <w:p w14:paraId="32AD8298">
            <w:pPr>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1、一般固废</w:t>
            </w:r>
          </w:p>
          <w:p w14:paraId="512ED869">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①</w:t>
            </w:r>
            <w:r>
              <w:rPr>
                <w:rFonts w:hint="default" w:cs="Times New Roman"/>
                <w:color w:val="auto"/>
                <w:kern w:val="2"/>
                <w:sz w:val="24"/>
                <w:szCs w:val="24"/>
                <w:u w:val="none" w:color="auto"/>
                <w:vertAlign w:val="baseline"/>
                <w:lang w:val="en-US" w:eastAsia="zh-CN"/>
              </w:rPr>
              <w:t>猪牛</w:t>
            </w:r>
            <w:r>
              <w:rPr>
                <w:rFonts w:hint="eastAsia" w:cs="Times New Roman"/>
                <w:color w:val="auto"/>
                <w:kern w:val="2"/>
                <w:sz w:val="24"/>
                <w:szCs w:val="24"/>
                <w:u w:val="none" w:color="auto"/>
                <w:vertAlign w:val="baseline"/>
                <w:lang w:val="en-US" w:eastAsia="zh-CN"/>
              </w:rPr>
              <w:t>鸡鸭鹅</w:t>
            </w:r>
            <w:r>
              <w:rPr>
                <w:rFonts w:hint="default" w:cs="Times New Roman"/>
                <w:color w:val="auto"/>
                <w:kern w:val="2"/>
                <w:sz w:val="24"/>
                <w:szCs w:val="24"/>
                <w:u w:val="none" w:color="auto"/>
                <w:vertAlign w:val="baseline"/>
                <w:lang w:val="en-US" w:eastAsia="zh-CN"/>
              </w:rPr>
              <w:t>胃内容物、不可食用部分（除胃内容物外）</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本项目</w:t>
            </w:r>
            <w:r>
              <w:rPr>
                <w:rFonts w:hint="default" w:cs="Times New Roman"/>
                <w:color w:val="auto"/>
                <w:kern w:val="2"/>
                <w:sz w:val="24"/>
                <w:szCs w:val="24"/>
                <w:u w:val="none" w:color="auto"/>
                <w:vertAlign w:val="baseline"/>
                <w:lang w:val="en-US" w:eastAsia="zh-CN"/>
              </w:rPr>
              <w:t>猪牛</w:t>
            </w:r>
            <w:r>
              <w:rPr>
                <w:rFonts w:hint="eastAsia" w:cs="Times New Roman"/>
                <w:color w:val="auto"/>
                <w:kern w:val="2"/>
                <w:sz w:val="24"/>
                <w:szCs w:val="24"/>
                <w:u w:val="none" w:color="auto"/>
                <w:vertAlign w:val="baseline"/>
                <w:lang w:val="en-US" w:eastAsia="zh-CN"/>
              </w:rPr>
              <w:t>鸡鸭鹅</w:t>
            </w:r>
            <w:r>
              <w:rPr>
                <w:rFonts w:hint="default" w:cs="Times New Roman"/>
                <w:color w:val="auto"/>
                <w:kern w:val="2"/>
                <w:sz w:val="24"/>
                <w:szCs w:val="24"/>
                <w:u w:val="none" w:color="auto"/>
                <w:vertAlign w:val="baseline"/>
                <w:lang w:val="en-US" w:eastAsia="zh-CN"/>
              </w:rPr>
              <w:t>胃内容物、不可食用部分（除胃内容物外）</w:t>
            </w:r>
            <w:r>
              <w:rPr>
                <w:rFonts w:hint="eastAsia" w:cs="Times New Roman"/>
                <w:color w:val="auto"/>
                <w:kern w:val="0"/>
                <w:sz w:val="24"/>
                <w:szCs w:val="24"/>
                <w:lang w:val="en-US" w:eastAsia="zh-CN" w:bidi="ar"/>
              </w:rPr>
              <w:t>年产生量约为187 t</w:t>
            </w:r>
            <w:r>
              <w:rPr>
                <w:rFonts w:hint="default" w:ascii="Times New Roman" w:hAnsi="Times New Roman" w:eastAsia="宋体" w:cs="Times New Roman"/>
                <w:color w:val="auto"/>
                <w:kern w:val="0"/>
                <w:sz w:val="24"/>
                <w:szCs w:val="24"/>
                <w:lang w:val="en-US" w:eastAsia="zh-CN" w:bidi="ar"/>
              </w:rPr>
              <w:t>，属于一般固体废物。</w:t>
            </w:r>
            <w:r>
              <w:rPr>
                <w:rFonts w:hint="default" w:cs="Times New Roman"/>
                <w:color w:val="auto"/>
                <w:kern w:val="2"/>
                <w:sz w:val="24"/>
                <w:szCs w:val="24"/>
                <w:u w:val="none" w:color="auto"/>
                <w:vertAlign w:val="baseline"/>
                <w:lang w:val="en-US" w:eastAsia="zh-CN"/>
              </w:rPr>
              <w:t>猪牛胃内容物</w:t>
            </w:r>
            <w:r>
              <w:rPr>
                <w:rFonts w:hint="default" w:ascii="Times New Roman" w:hAnsi="Times New Roman" w:eastAsia="宋体" w:cs="Times New Roman"/>
                <w:color w:val="auto"/>
                <w:kern w:val="0"/>
                <w:sz w:val="24"/>
                <w:szCs w:val="24"/>
                <w:lang w:val="en-US" w:eastAsia="zh-CN" w:bidi="ar"/>
              </w:rPr>
              <w:t>，收集后外售给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r>
              <w:rPr>
                <w:rFonts w:hint="default" w:cs="Times New Roman"/>
                <w:color w:val="auto"/>
                <w:kern w:val="2"/>
                <w:sz w:val="24"/>
                <w:szCs w:val="24"/>
                <w:u w:val="none" w:color="auto"/>
                <w:vertAlign w:val="baseline"/>
                <w:lang w:val="en-US" w:eastAsia="zh-CN"/>
              </w:rPr>
              <w:t>不可食用部分（除胃内容物外）</w:t>
            </w:r>
            <w:r>
              <w:rPr>
                <w:rFonts w:hint="eastAsia" w:cs="Times New Roman"/>
                <w:color w:val="auto"/>
                <w:kern w:val="2"/>
                <w:sz w:val="24"/>
                <w:szCs w:val="24"/>
                <w:u w:val="none" w:color="auto"/>
                <w:vertAlign w:val="baseline"/>
                <w:lang w:val="en-US" w:eastAsia="zh-CN"/>
              </w:rPr>
              <w:t>交由有资质的单位进行无害化处理</w:t>
            </w:r>
            <w:r>
              <w:rPr>
                <w:rFonts w:hint="default" w:ascii="Times New Roman" w:hAnsi="Times New Roman" w:eastAsia="宋体" w:cs="Times New Roman"/>
                <w:color w:val="auto"/>
                <w:kern w:val="0"/>
                <w:sz w:val="24"/>
                <w:szCs w:val="24"/>
                <w:lang w:val="en-US" w:eastAsia="zh-CN" w:bidi="ar"/>
              </w:rPr>
              <w:t>。</w:t>
            </w:r>
          </w:p>
          <w:p w14:paraId="54CAF3AA">
            <w:pPr>
              <w:keepNext w:val="0"/>
              <w:keepLines w:val="0"/>
              <w:widowControl/>
              <w:suppressLineNumbers w:val="0"/>
              <w:jc w:val="left"/>
              <w:rPr>
                <w:rFonts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②</w:t>
            </w:r>
            <w:r>
              <w:rPr>
                <w:rFonts w:hint="default" w:cs="Times New Roman"/>
                <w:color w:val="auto"/>
                <w:kern w:val="2"/>
                <w:sz w:val="24"/>
                <w:szCs w:val="24"/>
                <w:u w:val="none" w:color="auto"/>
                <w:vertAlign w:val="baseline"/>
                <w:lang w:val="en-US" w:eastAsia="zh-CN"/>
              </w:rPr>
              <w:t>碎肉渣</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本项目</w:t>
            </w:r>
            <w:r>
              <w:rPr>
                <w:rFonts w:hint="eastAsia" w:cs="Times New Roman"/>
                <w:color w:val="auto"/>
                <w:kern w:val="2"/>
                <w:sz w:val="24"/>
                <w:szCs w:val="24"/>
                <w:u w:val="none" w:color="auto"/>
                <w:vertAlign w:val="baseline"/>
                <w:lang w:val="en-US" w:eastAsia="zh-CN"/>
              </w:rPr>
              <w:t>碎肉渣</w:t>
            </w:r>
            <w:r>
              <w:rPr>
                <w:rFonts w:hint="eastAsia" w:cs="Times New Roman"/>
                <w:color w:val="auto"/>
                <w:kern w:val="0"/>
                <w:sz w:val="24"/>
                <w:szCs w:val="24"/>
                <w:lang w:val="en-US" w:eastAsia="zh-CN" w:bidi="ar"/>
              </w:rPr>
              <w:t>年产生量约为1.1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w:t>
            </w:r>
            <w:r>
              <w:rPr>
                <w:rFonts w:hint="default" w:ascii="Times New Roman" w:hAnsi="Times New Roman" w:eastAsia="宋体" w:cs="Times New Roman"/>
                <w:color w:val="auto"/>
                <w:kern w:val="0"/>
                <w:sz w:val="24"/>
                <w:szCs w:val="24"/>
                <w:lang w:val="en-US" w:eastAsia="zh-CN" w:bidi="ar"/>
              </w:rPr>
              <w:t>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p>
          <w:p w14:paraId="356F137E">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③</w:t>
            </w:r>
            <w:r>
              <w:rPr>
                <w:rFonts w:hint="eastAsia" w:cs="Times New Roman"/>
                <w:color w:val="auto"/>
                <w:kern w:val="0"/>
                <w:sz w:val="24"/>
                <w:szCs w:val="24"/>
                <w:lang w:val="en-US" w:eastAsia="zh-CN" w:bidi="ar"/>
              </w:rPr>
              <w:t>不合格品</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本项目</w:t>
            </w:r>
            <w:r>
              <w:rPr>
                <w:rFonts w:hint="eastAsia" w:cs="Times New Roman"/>
                <w:color w:val="auto"/>
                <w:kern w:val="2"/>
                <w:sz w:val="24"/>
                <w:szCs w:val="24"/>
                <w:u w:val="none" w:color="auto"/>
                <w:vertAlign w:val="baseline"/>
                <w:lang w:val="en-US" w:eastAsia="zh-CN"/>
              </w:rPr>
              <w:t>不合格品</w:t>
            </w:r>
            <w:r>
              <w:rPr>
                <w:rFonts w:hint="eastAsia" w:cs="Times New Roman"/>
                <w:color w:val="auto"/>
                <w:kern w:val="0"/>
                <w:sz w:val="24"/>
                <w:szCs w:val="24"/>
                <w:lang w:val="en-US" w:eastAsia="zh-CN" w:bidi="ar"/>
              </w:rPr>
              <w:t>年产生量约为15.1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产生后交由有资质的单位进行无害化处理</w:t>
            </w:r>
            <w:r>
              <w:rPr>
                <w:rFonts w:hint="eastAsia" w:cs="Times New Roman"/>
                <w:color w:val="auto"/>
                <w:kern w:val="0"/>
                <w:sz w:val="24"/>
                <w:szCs w:val="24"/>
                <w:lang w:val="en-US" w:eastAsia="zh-CN" w:bidi="ar"/>
              </w:rPr>
              <w:t>。</w:t>
            </w:r>
          </w:p>
          <w:p w14:paraId="46FF1B9B">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eastAsia"/>
                <w:color w:val="auto"/>
                <w:lang w:val="en-US" w:eastAsia="zh-CN"/>
              </w:rPr>
              <w:t>④</w:t>
            </w:r>
            <w:r>
              <w:rPr>
                <w:rFonts w:hint="default" w:ascii="Times New Roman" w:hAnsi="Times New Roman" w:eastAsia="宋体" w:cs="Times New Roman"/>
                <w:color w:val="auto"/>
                <w:kern w:val="0"/>
                <w:sz w:val="24"/>
                <w:szCs w:val="24"/>
                <w:lang w:val="en-US" w:eastAsia="zh-CN" w:bidi="ar"/>
              </w:rPr>
              <w:t>污水处理站污泥：根据企业实际情况，污水处理站污泥产生量约</w:t>
            </w:r>
            <w:r>
              <w:rPr>
                <w:rFonts w:hint="eastAsia"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 xml:space="preserve"> t/a。</w:t>
            </w:r>
            <w:r>
              <w:rPr>
                <w:rFonts w:hint="eastAsia" w:cs="Times New Roman"/>
                <w:color w:val="auto"/>
                <w:kern w:val="2"/>
                <w:sz w:val="24"/>
                <w:szCs w:val="24"/>
                <w:u w:val="none" w:color="auto"/>
                <w:vertAlign w:val="baseline"/>
                <w:lang w:val="en-US" w:eastAsia="zh-CN"/>
              </w:rPr>
              <w:t>产生后</w:t>
            </w:r>
            <w:r>
              <w:rPr>
                <w:rFonts w:hint="default" w:ascii="Times New Roman" w:hAnsi="Times New Roman" w:eastAsia="宋体" w:cs="Times New Roman"/>
                <w:color w:val="auto"/>
                <w:kern w:val="0"/>
                <w:sz w:val="24"/>
                <w:szCs w:val="24"/>
                <w:lang w:val="en-US" w:eastAsia="zh-CN" w:bidi="ar"/>
              </w:rPr>
              <w:t>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p>
          <w:p w14:paraId="1340C8F5">
            <w:pPr>
              <w:keepNext w:val="0"/>
              <w:keepLines w:val="0"/>
              <w:widowControl/>
              <w:suppressLineNumbers w:val="0"/>
              <w:jc w:val="left"/>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⑤</w:t>
            </w:r>
            <w:r>
              <w:rPr>
                <w:rFonts w:hint="default" w:cs="Times New Roman"/>
                <w:color w:val="auto"/>
                <w:kern w:val="2"/>
                <w:sz w:val="24"/>
                <w:szCs w:val="24"/>
                <w:u w:val="none" w:color="auto"/>
                <w:vertAlign w:val="baseline"/>
                <w:lang w:val="en-US" w:eastAsia="zh-CN"/>
              </w:rPr>
              <w:t>猪牛</w:t>
            </w:r>
            <w:r>
              <w:rPr>
                <w:rFonts w:hint="eastAsia" w:cs="Times New Roman"/>
                <w:color w:val="auto"/>
                <w:kern w:val="2"/>
                <w:sz w:val="24"/>
                <w:szCs w:val="24"/>
                <w:u w:val="none" w:color="auto"/>
                <w:vertAlign w:val="baseline"/>
                <w:lang w:val="en-US" w:eastAsia="zh-CN"/>
              </w:rPr>
              <w:t>鸡鸭鹅待宰期间产生的</w:t>
            </w:r>
            <w:r>
              <w:rPr>
                <w:rFonts w:hint="default" w:cs="Times New Roman"/>
                <w:color w:val="auto"/>
                <w:kern w:val="2"/>
                <w:sz w:val="24"/>
                <w:szCs w:val="24"/>
                <w:u w:val="none" w:color="auto"/>
                <w:vertAlign w:val="baseline"/>
                <w:lang w:val="en-US" w:eastAsia="zh-CN"/>
              </w:rPr>
              <w:t>粪便</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spacing w:val="18"/>
                <w:sz w:val="24"/>
                <w:szCs w:val="24"/>
              </w:rPr>
              <w:t>根据</w:t>
            </w:r>
            <w:r>
              <w:rPr>
                <w:rFonts w:hint="default" w:ascii="Times New Roman" w:hAnsi="Times New Roman" w:eastAsia="宋体" w:cs="Times New Roman"/>
                <w:color w:val="auto"/>
                <w:spacing w:val="15"/>
                <w:sz w:val="24"/>
                <w:szCs w:val="24"/>
              </w:rPr>
              <w:t>《</w:t>
            </w:r>
            <w:r>
              <w:rPr>
                <w:rFonts w:hint="default" w:ascii="Times New Roman" w:hAnsi="Times New Roman" w:eastAsia="宋体" w:cs="Times New Roman"/>
                <w:color w:val="auto"/>
                <w:spacing w:val="9"/>
                <w:sz w:val="24"/>
                <w:szCs w:val="24"/>
              </w:rPr>
              <w:t>农业环境影响评价技术手册》中“每只猪的日排粪量为1~2</w:t>
            </w:r>
            <w:r>
              <w:rPr>
                <w:rFonts w:hint="eastAsia" w:ascii="Times New Roman" w:hAnsi="Times New Roman" w:eastAsia="宋体" w:cs="Times New Roman"/>
                <w:color w:val="auto"/>
                <w:spacing w:val="9"/>
                <w:sz w:val="24"/>
                <w:szCs w:val="24"/>
                <w:lang w:val="en-US" w:eastAsia="zh-CN"/>
              </w:rPr>
              <w:t xml:space="preserve"> </w:t>
            </w:r>
            <w:r>
              <w:rPr>
                <w:rFonts w:hint="default" w:ascii="Times New Roman" w:hAnsi="Times New Roman" w:eastAsia="宋体" w:cs="Times New Roman"/>
                <w:color w:val="auto"/>
                <w:sz w:val="24"/>
                <w:szCs w:val="24"/>
              </w:rPr>
              <w:t>kg</w:t>
            </w:r>
            <w:r>
              <w:rPr>
                <w:rFonts w:hint="default" w:ascii="Times New Roman" w:hAnsi="Times New Roman" w:eastAsia="宋体" w:cs="Times New Roman"/>
                <w:color w:val="auto"/>
                <w:spacing w:val="9"/>
                <w:sz w:val="24"/>
                <w:szCs w:val="24"/>
              </w:rPr>
              <w:t>”，生猪屠宰</w:t>
            </w:r>
            <w:r>
              <w:rPr>
                <w:rFonts w:hint="default" w:ascii="Times New Roman" w:hAnsi="Times New Roman" w:eastAsia="宋体" w:cs="Times New Roman"/>
                <w:color w:val="auto"/>
                <w:spacing w:val="16"/>
                <w:sz w:val="24"/>
                <w:szCs w:val="24"/>
              </w:rPr>
              <w:t>前</w:t>
            </w:r>
            <w:r>
              <w:rPr>
                <w:rFonts w:hint="default" w:ascii="Times New Roman" w:hAnsi="Times New Roman" w:eastAsia="宋体" w:cs="Times New Roman"/>
                <w:color w:val="auto"/>
                <w:spacing w:val="15"/>
                <w:sz w:val="24"/>
                <w:szCs w:val="24"/>
              </w:rPr>
              <w:t>1</w:t>
            </w:r>
            <w:r>
              <w:rPr>
                <w:rFonts w:hint="default" w:ascii="Times New Roman" w:hAnsi="Times New Roman" w:eastAsia="宋体" w:cs="Times New Roman"/>
                <w:color w:val="auto"/>
                <w:spacing w:val="8"/>
                <w:sz w:val="24"/>
                <w:szCs w:val="24"/>
              </w:rPr>
              <w:t>2~24</w:t>
            </w:r>
            <w:r>
              <w:rPr>
                <w:rFonts w:hint="eastAsia" w:ascii="Times New Roman" w:hAnsi="Times New Roman" w:eastAsia="宋体" w:cs="Times New Roman"/>
                <w:color w:val="auto"/>
                <w:spacing w:val="8"/>
                <w:sz w:val="24"/>
                <w:szCs w:val="24"/>
                <w:lang w:val="en-US" w:eastAsia="zh-CN"/>
              </w:rPr>
              <w:t xml:space="preserve"> </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pacing w:val="8"/>
                <w:sz w:val="24"/>
                <w:szCs w:val="24"/>
              </w:rPr>
              <w:t>不进行喂食，本评价生猪每天粪便产生量按2</w:t>
            </w:r>
            <w:r>
              <w:rPr>
                <w:rFonts w:hint="eastAsia" w:ascii="Times New Roman" w:hAnsi="Times New Roman" w:eastAsia="宋体" w:cs="Times New Roman"/>
                <w:color w:val="auto"/>
                <w:spacing w:val="8"/>
                <w:sz w:val="24"/>
                <w:szCs w:val="24"/>
                <w:lang w:val="en-US" w:eastAsia="zh-CN"/>
              </w:rPr>
              <w:t xml:space="preserve"> </w:t>
            </w:r>
            <w:r>
              <w:rPr>
                <w:rFonts w:hint="default" w:ascii="Times New Roman" w:hAnsi="Times New Roman" w:eastAsia="宋体" w:cs="Times New Roman"/>
                <w:color w:val="auto"/>
                <w:sz w:val="24"/>
                <w:szCs w:val="24"/>
              </w:rPr>
              <w:t>kg</w:t>
            </w:r>
            <w:r>
              <w:rPr>
                <w:rFonts w:hint="default" w:ascii="Times New Roman" w:hAnsi="Times New Roman" w:eastAsia="宋体" w:cs="Times New Roman"/>
                <w:color w:val="auto"/>
                <w:spacing w:val="8"/>
                <w:sz w:val="24"/>
                <w:szCs w:val="24"/>
              </w:rPr>
              <w:t>/头计</w:t>
            </w:r>
            <w:r>
              <w:rPr>
                <w:rFonts w:hint="eastAsia" w:ascii="Times New Roman" w:hAnsi="Times New Roman" w:eastAsia="宋体" w:cs="Times New Roman"/>
                <w:color w:val="auto"/>
                <w:spacing w:val="8"/>
                <w:sz w:val="24"/>
                <w:szCs w:val="24"/>
                <w:lang w:eastAsia="zh-CN"/>
              </w:rPr>
              <w:t>，</w:t>
            </w:r>
            <w:r>
              <w:rPr>
                <w:rFonts w:hint="eastAsia" w:ascii="Times New Roman" w:hAnsi="Times New Roman" w:eastAsia="宋体" w:cs="Times New Roman"/>
                <w:color w:val="auto"/>
                <w:spacing w:val="8"/>
                <w:sz w:val="24"/>
                <w:szCs w:val="24"/>
                <w:lang w:val="en-US" w:eastAsia="zh-CN"/>
              </w:rPr>
              <w:t>根据4.6.1节可知，本项目折算约有</w:t>
            </w:r>
            <w:r>
              <w:rPr>
                <w:rFonts w:hint="eastAsia" w:cs="Times New Roman"/>
                <w:color w:val="auto"/>
                <w:spacing w:val="8"/>
                <w:sz w:val="24"/>
                <w:szCs w:val="24"/>
                <w:lang w:val="en-US" w:eastAsia="zh-CN"/>
              </w:rPr>
              <w:t>94800</w:t>
            </w:r>
            <w:r>
              <w:rPr>
                <w:rFonts w:hint="eastAsia" w:ascii="Times New Roman" w:hAnsi="Times New Roman" w:eastAsia="宋体" w:cs="Times New Roman"/>
                <w:color w:val="auto"/>
                <w:spacing w:val="8"/>
                <w:sz w:val="24"/>
                <w:szCs w:val="24"/>
                <w:lang w:val="en-US" w:eastAsia="zh-CN"/>
              </w:rPr>
              <w:t>头猪</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故</w:t>
            </w:r>
            <w:r>
              <w:rPr>
                <w:rFonts w:hint="default" w:cs="Times New Roman"/>
                <w:color w:val="auto"/>
                <w:kern w:val="2"/>
                <w:sz w:val="24"/>
                <w:szCs w:val="24"/>
                <w:u w:val="none" w:color="auto"/>
                <w:vertAlign w:val="baseline"/>
                <w:lang w:val="en-US" w:eastAsia="zh-CN"/>
              </w:rPr>
              <w:t>猪牛</w:t>
            </w:r>
            <w:r>
              <w:rPr>
                <w:rFonts w:hint="eastAsia" w:cs="Times New Roman"/>
                <w:color w:val="auto"/>
                <w:kern w:val="2"/>
                <w:sz w:val="24"/>
                <w:szCs w:val="24"/>
                <w:u w:val="none" w:color="auto"/>
                <w:vertAlign w:val="baseline"/>
                <w:lang w:val="en-US" w:eastAsia="zh-CN"/>
              </w:rPr>
              <w:t>鸡鸭鹅待宰期间产生的</w:t>
            </w:r>
            <w:r>
              <w:rPr>
                <w:rFonts w:hint="default" w:cs="Times New Roman"/>
                <w:color w:val="auto"/>
                <w:kern w:val="2"/>
                <w:sz w:val="24"/>
                <w:szCs w:val="24"/>
                <w:u w:val="none" w:color="auto"/>
                <w:vertAlign w:val="baseline"/>
                <w:lang w:val="en-US" w:eastAsia="zh-CN"/>
              </w:rPr>
              <w:t>粪便</w:t>
            </w:r>
            <w:r>
              <w:rPr>
                <w:rFonts w:hint="eastAsia" w:cs="Times New Roman"/>
                <w:color w:val="auto"/>
                <w:kern w:val="0"/>
                <w:sz w:val="24"/>
                <w:szCs w:val="24"/>
                <w:lang w:val="en-US" w:eastAsia="zh-CN" w:bidi="ar"/>
              </w:rPr>
              <w:t>年产生量约为189.6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w:t>
            </w:r>
            <w:r>
              <w:rPr>
                <w:rFonts w:hint="default" w:ascii="Times New Roman" w:hAnsi="Times New Roman" w:eastAsia="宋体" w:cs="Times New Roman"/>
                <w:color w:val="auto"/>
                <w:kern w:val="0"/>
                <w:sz w:val="24"/>
                <w:szCs w:val="24"/>
                <w:lang w:val="en-US" w:eastAsia="zh-CN" w:bidi="ar"/>
              </w:rPr>
              <w:t>外售给</w:t>
            </w:r>
            <w:r>
              <w:rPr>
                <w:rFonts w:hint="eastAsia" w:cs="Times New Roman"/>
                <w:color w:val="auto"/>
                <w:kern w:val="0"/>
                <w:sz w:val="24"/>
                <w:szCs w:val="24"/>
                <w:lang w:val="en-US" w:eastAsia="zh-CN" w:bidi="ar"/>
              </w:rPr>
              <w:t>化肥厂综合</w:t>
            </w:r>
            <w:r>
              <w:rPr>
                <w:rFonts w:hint="default" w:ascii="Times New Roman" w:hAnsi="Times New Roman" w:eastAsia="宋体" w:cs="Times New Roman"/>
                <w:color w:val="auto"/>
                <w:kern w:val="0"/>
                <w:sz w:val="24"/>
                <w:szCs w:val="24"/>
                <w:lang w:val="en-US" w:eastAsia="zh-CN" w:bidi="ar"/>
              </w:rPr>
              <w:t>利用</w:t>
            </w:r>
            <w:r>
              <w:rPr>
                <w:rFonts w:hint="eastAsia" w:cs="Times New Roman"/>
                <w:color w:val="auto"/>
                <w:kern w:val="0"/>
                <w:sz w:val="24"/>
                <w:szCs w:val="24"/>
                <w:lang w:val="en-US" w:eastAsia="zh-CN" w:bidi="ar"/>
              </w:rPr>
              <w:t>。</w:t>
            </w:r>
          </w:p>
          <w:p w14:paraId="21E97E81">
            <w:pPr>
              <w:widowControl/>
              <w:ind w:firstLine="600" w:firstLineChars="250"/>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⑥</w:t>
            </w:r>
            <w:r>
              <w:rPr>
                <w:rFonts w:hint="default" w:cs="Times New Roman"/>
                <w:color w:val="auto"/>
                <w:kern w:val="2"/>
                <w:sz w:val="24"/>
                <w:szCs w:val="24"/>
                <w:u w:val="none" w:color="auto"/>
                <w:vertAlign w:val="baseline"/>
                <w:lang w:val="en-US" w:eastAsia="zh-CN"/>
              </w:rPr>
              <w:t>格栅处理的废物</w:t>
            </w:r>
            <w:r>
              <w:rPr>
                <w:rFonts w:hint="eastAsia" w:cs="Times New Roman"/>
                <w:color w:val="auto"/>
                <w:kern w:val="2"/>
                <w:sz w:val="24"/>
                <w:szCs w:val="24"/>
                <w:u w:val="none" w:color="auto"/>
                <w:vertAlign w:val="baseline"/>
                <w:lang w:val="en-US" w:eastAsia="zh-CN"/>
              </w:rPr>
              <w:t>：</w:t>
            </w:r>
            <w:r>
              <w:rPr>
                <w:rFonts w:hint="eastAsia" w:cs="Times New Roman"/>
                <w:color w:val="auto"/>
                <w:kern w:val="0"/>
                <w:sz w:val="24"/>
                <w:szCs w:val="24"/>
                <w:lang w:val="en-US" w:eastAsia="zh-CN" w:bidi="ar"/>
              </w:rPr>
              <w:t>由表4.7-2～表4.7-9可知，SS的去除量为56 t/a，故</w:t>
            </w:r>
            <w:r>
              <w:rPr>
                <w:rFonts w:hint="default" w:cs="Times New Roman"/>
                <w:color w:val="auto"/>
                <w:kern w:val="2"/>
                <w:sz w:val="24"/>
                <w:szCs w:val="24"/>
                <w:u w:val="none" w:color="auto"/>
                <w:vertAlign w:val="baseline"/>
                <w:lang w:val="en-US" w:eastAsia="zh-CN"/>
              </w:rPr>
              <w:t>格栅处理的废物</w:t>
            </w:r>
            <w:r>
              <w:rPr>
                <w:rFonts w:hint="eastAsia" w:cs="Times New Roman"/>
                <w:color w:val="auto"/>
                <w:kern w:val="0"/>
                <w:sz w:val="24"/>
                <w:szCs w:val="24"/>
                <w:lang w:val="en-US" w:eastAsia="zh-CN" w:bidi="ar"/>
              </w:rPr>
              <w:t>年产生量约为56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产生后交由物资回收部门综合利用</w:t>
            </w:r>
            <w:r>
              <w:rPr>
                <w:rFonts w:hint="eastAsia" w:cs="Times New Roman"/>
                <w:color w:val="auto"/>
                <w:kern w:val="0"/>
                <w:sz w:val="24"/>
                <w:szCs w:val="24"/>
                <w:lang w:val="en-US" w:eastAsia="zh-CN" w:bidi="ar"/>
              </w:rPr>
              <w:t>。</w:t>
            </w:r>
          </w:p>
          <w:p w14:paraId="658F9B04">
            <w:pPr>
              <w:widowControl/>
              <w:jc w:val="left"/>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⑦</w:t>
            </w:r>
            <w:r>
              <w:rPr>
                <w:rFonts w:hint="eastAsia" w:cs="Times New Roman"/>
                <w:color w:val="auto"/>
                <w:u w:val="none" w:color="auto"/>
                <w:lang w:val="en-US" w:eastAsia="zh-CN"/>
              </w:rPr>
              <w:t>病死猪牛鸡鸭鹅：</w:t>
            </w:r>
            <w:r>
              <w:rPr>
                <w:rFonts w:hint="eastAsia" w:cs="Times New Roman"/>
                <w:color w:val="auto"/>
                <w:kern w:val="2"/>
                <w:sz w:val="24"/>
                <w:szCs w:val="24"/>
                <w:u w:val="none" w:color="auto"/>
                <w:lang w:val="en-US" w:eastAsia="zh-CN" w:bidi="ar"/>
              </w:rPr>
              <w:t>根据</w:t>
            </w:r>
            <w:r>
              <w:rPr>
                <w:rFonts w:hint="eastAsia" w:cs="Times New Roman"/>
                <w:color w:val="auto"/>
                <w:kern w:val="0"/>
                <w:sz w:val="24"/>
                <w:szCs w:val="24"/>
                <w:lang w:val="en-US" w:eastAsia="zh-CN" w:bidi="ar"/>
              </w:rPr>
              <w:t>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rPr>
              <w:t>病死</w:t>
            </w:r>
            <w:r>
              <w:rPr>
                <w:rFonts w:hint="eastAsia" w:cs="Times New Roman"/>
                <w:color w:val="auto"/>
                <w:u w:val="none" w:color="auto"/>
                <w:lang w:val="en-US" w:eastAsia="zh-CN"/>
              </w:rPr>
              <w:t>猪牛鸡鸭鹅</w:t>
            </w:r>
            <w:r>
              <w:rPr>
                <w:rFonts w:hint="eastAsia" w:cs="Times New Roman"/>
                <w:color w:val="auto"/>
                <w:kern w:val="0"/>
                <w:sz w:val="24"/>
                <w:szCs w:val="24"/>
                <w:lang w:val="en-US" w:eastAsia="zh-CN" w:bidi="ar"/>
              </w:rPr>
              <w:t>年产生量约为101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产生后交由有资质的单位进行无害化处理</w:t>
            </w:r>
            <w:r>
              <w:rPr>
                <w:rFonts w:hint="eastAsia" w:cs="Times New Roman"/>
                <w:color w:val="auto"/>
                <w:kern w:val="0"/>
                <w:sz w:val="24"/>
                <w:szCs w:val="24"/>
                <w:lang w:val="en-US" w:eastAsia="zh-CN" w:bidi="ar"/>
              </w:rPr>
              <w:t>。</w:t>
            </w:r>
          </w:p>
          <w:p w14:paraId="08561D13">
            <w:pPr>
              <w:pStyle w:val="11"/>
              <w:rPr>
                <w:rFonts w:hint="eastAsia" w:cs="Times New Roman"/>
                <w:color w:val="auto"/>
                <w:kern w:val="0"/>
                <w:sz w:val="24"/>
                <w:szCs w:val="24"/>
                <w:lang w:val="en-US" w:eastAsia="zh-CN" w:bidi="ar"/>
              </w:rPr>
            </w:pPr>
            <w:r>
              <w:rPr>
                <w:rFonts w:hint="eastAsia" w:cs="Times New Roman"/>
                <w:color w:val="auto"/>
                <w:u w:val="none" w:color="auto"/>
                <w:lang w:val="en-US" w:eastAsia="zh-CN"/>
              </w:rPr>
              <w:t>⑧</w:t>
            </w:r>
            <w:r>
              <w:rPr>
                <w:rFonts w:hint="eastAsia" w:cs="Times New Roman"/>
                <w:color w:val="auto"/>
                <w:kern w:val="2"/>
                <w:sz w:val="24"/>
                <w:szCs w:val="24"/>
                <w:u w:val="none" w:color="auto"/>
                <w:vertAlign w:val="baseline"/>
                <w:lang w:val="en-US" w:eastAsia="zh-CN" w:bidi="ar"/>
              </w:rPr>
              <w:t>未沾染有</w:t>
            </w:r>
            <w:r>
              <w:rPr>
                <w:rFonts w:hint="eastAsia" w:cs="Times New Roman"/>
                <w:color w:val="auto"/>
                <w:kern w:val="2"/>
                <w:sz w:val="24"/>
                <w:szCs w:val="24"/>
                <w:u w:val="none" w:color="auto"/>
                <w:vertAlign w:val="baseline"/>
                <w:lang w:val="en-US" w:eastAsia="zh-CN"/>
              </w:rPr>
              <w:t>毒有害物质的废包装材料：</w:t>
            </w:r>
            <w:r>
              <w:rPr>
                <w:rFonts w:hint="eastAsia" w:cs="Times New Roman"/>
                <w:color w:val="auto"/>
                <w:kern w:val="0"/>
                <w:sz w:val="24"/>
                <w:szCs w:val="24"/>
                <w:lang w:val="en-US" w:eastAsia="zh-CN" w:bidi="ar"/>
              </w:rPr>
              <w:t>根据建设单位多年屠宰经验</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2"/>
                <w:sz w:val="24"/>
                <w:szCs w:val="24"/>
                <w:u w:val="none" w:color="auto"/>
                <w:vertAlign w:val="baseline"/>
                <w:lang w:val="en-US" w:eastAsia="zh-CN" w:bidi="ar"/>
              </w:rPr>
              <w:t>未沾染有</w:t>
            </w:r>
            <w:r>
              <w:rPr>
                <w:rFonts w:hint="eastAsia" w:cs="Times New Roman"/>
                <w:color w:val="auto"/>
                <w:kern w:val="2"/>
                <w:sz w:val="24"/>
                <w:szCs w:val="24"/>
                <w:u w:val="none" w:color="auto"/>
                <w:vertAlign w:val="baseline"/>
                <w:lang w:val="en-US" w:eastAsia="zh-CN"/>
              </w:rPr>
              <w:t>毒有害物质的废包装材料</w:t>
            </w:r>
            <w:r>
              <w:rPr>
                <w:rFonts w:hint="eastAsia" w:cs="Times New Roman"/>
                <w:color w:val="auto"/>
                <w:kern w:val="0"/>
                <w:sz w:val="24"/>
                <w:szCs w:val="24"/>
                <w:lang w:val="en-US" w:eastAsia="zh-CN" w:bidi="ar"/>
              </w:rPr>
              <w:t>年产生量约为0.06 t</w:t>
            </w:r>
            <w:r>
              <w:rPr>
                <w:rFonts w:hint="default" w:ascii="Times New Roman" w:hAnsi="Times New Roman" w:eastAsia="宋体" w:cs="Times New Roman"/>
                <w:color w:val="auto"/>
                <w:kern w:val="0"/>
                <w:sz w:val="24"/>
                <w:szCs w:val="24"/>
                <w:lang w:val="en-US" w:eastAsia="zh-CN" w:bidi="ar"/>
              </w:rPr>
              <w:t>，属于一般固体废物。</w:t>
            </w:r>
            <w:r>
              <w:rPr>
                <w:rFonts w:hint="eastAsia" w:cs="Times New Roman"/>
                <w:color w:val="auto"/>
                <w:kern w:val="2"/>
                <w:sz w:val="24"/>
                <w:szCs w:val="24"/>
                <w:u w:val="none" w:color="auto"/>
                <w:vertAlign w:val="baseline"/>
                <w:lang w:val="en-US" w:eastAsia="zh-CN"/>
              </w:rPr>
              <w:t>产生后交由物资回收部门综合利用</w:t>
            </w:r>
            <w:r>
              <w:rPr>
                <w:rFonts w:hint="eastAsia" w:cs="Times New Roman"/>
                <w:color w:val="auto"/>
                <w:kern w:val="0"/>
                <w:sz w:val="24"/>
                <w:szCs w:val="24"/>
                <w:lang w:val="en-US" w:eastAsia="zh-CN" w:bidi="ar"/>
              </w:rPr>
              <w:t>。</w:t>
            </w:r>
          </w:p>
          <w:p w14:paraId="5417C311">
            <w:pPr>
              <w:widowControl/>
              <w:ind w:firstLine="600" w:firstLineChars="250"/>
              <w:rPr>
                <w:rFonts w:hint="default" w:cs="Times New Roman"/>
                <w:color w:val="auto"/>
                <w:u w:val="none" w:color="auto"/>
                <w:lang w:val="en-US" w:eastAsia="zh-CN"/>
              </w:rPr>
            </w:pPr>
            <w:r>
              <w:rPr>
                <w:rFonts w:hint="eastAsia" w:cs="Times New Roman"/>
                <w:color w:val="auto"/>
                <w:u w:val="none" w:color="auto"/>
                <w:lang w:val="en-US" w:eastAsia="zh-CN"/>
              </w:rPr>
              <w:t>2、危险废物</w:t>
            </w:r>
          </w:p>
          <w:p w14:paraId="030894C0">
            <w:pPr>
              <w:widowControl/>
              <w:bidi w:val="0"/>
              <w:ind w:firstLine="600" w:firstLineChars="250"/>
              <w:rPr>
                <w:rFonts w:hint="default" w:ascii="Times New Roman" w:hAnsi="Times New Roman" w:eastAsia="宋体" w:cs="Times New Roman"/>
                <w:color w:val="auto"/>
                <w:u w:val="none" w:color="auto"/>
                <w:lang w:val="en-US" w:eastAsia="zh-CN"/>
              </w:rPr>
            </w:pPr>
            <w:r>
              <w:rPr>
                <w:rFonts w:hint="eastAsia" w:ascii="宋体" w:hAnsi="宋体" w:eastAsia="宋体" w:cs="宋体"/>
                <w:color w:val="auto"/>
                <w:kern w:val="0"/>
                <w:sz w:val="24"/>
                <w:szCs w:val="24"/>
                <w:lang w:val="en-US" w:eastAsia="zh-CN" w:bidi="ar"/>
              </w:rPr>
              <w:t>①</w:t>
            </w:r>
            <w:r>
              <w:rPr>
                <w:rFonts w:hint="eastAsia" w:cs="Times New Roman"/>
                <w:color w:val="auto"/>
                <w:u w:val="none" w:color="auto"/>
                <w:lang w:val="en-US" w:eastAsia="zh-CN"/>
              </w:rPr>
              <w:t>沾染有毒有害物质的废包装材料</w:t>
            </w:r>
          </w:p>
          <w:p w14:paraId="2424657A">
            <w:pPr>
              <w:widowControl/>
              <w:bidi w:val="0"/>
              <w:ind w:firstLine="600" w:firstLineChars="250"/>
              <w:rPr>
                <w:rFonts w:hint="eastAsia" w:ascii="Times New Roman" w:hAnsi="Times New Roman" w:eastAsia="宋体" w:cs="Times New Roman"/>
                <w:color w:val="auto"/>
                <w:u w:val="none"/>
                <w:lang w:val="en-US" w:eastAsia="zh-CN"/>
              </w:rPr>
            </w:pPr>
            <w:bookmarkStart w:id="1834" w:name="OLE_LINK133"/>
            <w:r>
              <w:rPr>
                <w:rFonts w:hint="eastAsia" w:cs="Times New Roman"/>
                <w:color w:val="auto"/>
                <w:kern w:val="2"/>
                <w:sz w:val="24"/>
                <w:szCs w:val="24"/>
                <w:u w:val="none" w:color="auto"/>
                <w:vertAlign w:val="baseline"/>
                <w:lang w:val="en-US" w:eastAsia="zh-CN"/>
              </w:rPr>
              <w:t>企业使用氢氧化钠、PAC、PAM等原辅材料后会产生沾染有毒有害物质的废包装材料根据建设单位提供的资料，本项目沾染有毒有害物质的废包装材料</w:t>
            </w:r>
            <w:r>
              <w:rPr>
                <w:rFonts w:hint="eastAsia" w:cs="Times New Roman"/>
                <w:color w:val="auto"/>
                <w:kern w:val="0"/>
                <w:sz w:val="24"/>
                <w:szCs w:val="24"/>
                <w:lang w:val="en-US" w:eastAsia="zh-CN" w:bidi="ar"/>
              </w:rPr>
              <w:t>年产生量约为0.3 t。</w:t>
            </w:r>
            <w:r>
              <w:rPr>
                <w:rFonts w:eastAsia="宋体"/>
                <w:color w:val="auto"/>
                <w:kern w:val="2"/>
                <w:u w:val="none" w:color="auto"/>
                <w:lang w:val="en-US" w:eastAsia="zh-CN"/>
              </w:rPr>
              <w:t>根据《国家危险废物名录》（202</w:t>
            </w:r>
            <w:r>
              <w:rPr>
                <w:rFonts w:hint="eastAsia" w:eastAsia="宋体"/>
                <w:color w:val="auto"/>
                <w:kern w:val="2"/>
                <w:u w:val="none" w:color="auto"/>
                <w:lang w:val="en-US" w:eastAsia="zh-CN"/>
              </w:rPr>
              <w:t>5</w:t>
            </w:r>
            <w:r>
              <w:rPr>
                <w:rFonts w:eastAsia="宋体"/>
                <w:color w:val="auto"/>
                <w:kern w:val="2"/>
                <w:u w:val="none" w:color="auto"/>
                <w:lang w:val="en-US" w:eastAsia="zh-CN"/>
              </w:rPr>
              <w:t>年）</w:t>
            </w:r>
            <w:r>
              <w:rPr>
                <w:rFonts w:hint="eastAsia" w:eastAsia="宋体"/>
                <w:color w:val="auto"/>
                <w:kern w:val="2"/>
                <w:u w:val="none" w:color="auto"/>
                <w:lang w:val="en-US" w:eastAsia="zh-CN"/>
              </w:rPr>
              <w:t>，</w:t>
            </w:r>
            <w:r>
              <w:rPr>
                <w:rFonts w:hint="default" w:ascii="Times New Roman" w:hAnsi="Times New Roman" w:cs="Times New Roman"/>
                <w:color w:val="auto"/>
                <w:u w:val="none" w:color="auto"/>
                <w:lang w:val="en-US" w:eastAsia="zh-CN"/>
              </w:rPr>
              <w:t>其危险废物代码为HW49-900-04</w:t>
            </w:r>
            <w:r>
              <w:rPr>
                <w:rFonts w:hint="eastAsia" w:cs="Times New Roman"/>
                <w:color w:val="auto"/>
                <w:u w:val="none" w:color="auto"/>
                <w:lang w:val="en-US" w:eastAsia="zh-CN"/>
              </w:rPr>
              <w:t>1</w:t>
            </w:r>
            <w:r>
              <w:rPr>
                <w:rFonts w:hint="default" w:ascii="Times New Roman" w:hAnsi="Times New Roman" w:cs="Times New Roman"/>
                <w:color w:val="auto"/>
                <w:u w:val="none" w:color="auto"/>
                <w:lang w:val="en-US" w:eastAsia="zh-CN"/>
              </w:rPr>
              <w:t>-49。</w:t>
            </w:r>
            <w:r>
              <w:rPr>
                <w:rFonts w:hint="eastAsia" w:cs="Times New Roman"/>
                <w:color w:val="auto"/>
                <w:u w:val="none" w:color="auto"/>
                <w:lang w:val="en-US" w:eastAsia="zh-CN"/>
              </w:rPr>
              <w:t>沾染有毒有害物质的废包装材料</w:t>
            </w:r>
            <w:r>
              <w:rPr>
                <w:rFonts w:hint="default" w:ascii="Times New Roman" w:hAnsi="Times New Roman" w:cs="Times New Roman"/>
                <w:color w:val="auto"/>
                <w:u w:val="none" w:color="auto"/>
                <w:lang w:val="en-US" w:eastAsia="zh-CN"/>
              </w:rPr>
              <w:t>需暂存在危险废物暂存间</w:t>
            </w:r>
            <w:r>
              <w:rPr>
                <w:rFonts w:hint="eastAsia" w:ascii="Times New Roman" w:hAnsi="Times New Roman" w:eastAsia="宋体" w:cs="Times New Roman"/>
                <w:color w:val="auto"/>
                <w:u w:val="none"/>
                <w:lang w:val="en-US" w:eastAsia="zh-CN"/>
              </w:rPr>
              <w:t>，委托有资质单位处置。</w:t>
            </w:r>
            <w:bookmarkEnd w:id="1834"/>
          </w:p>
          <w:p w14:paraId="6DBF627D">
            <w:pPr>
              <w:widowControl/>
              <w:numPr>
                <w:ilvl w:val="-1"/>
                <w:numId w:val="0"/>
              </w:numPr>
              <w:bidi w:val="0"/>
              <w:ind w:left="0" w:leftChars="0" w:firstLine="600" w:firstLineChars="250"/>
              <w:rPr>
                <w:rFonts w:hint="default" w:ascii="Times New Roman" w:hAnsi="Times New Roman" w:cs="Times New Roman"/>
                <w:color w:val="auto"/>
                <w:highlight w:val="none"/>
                <w:u w:val="none" w:color="auto"/>
                <w:lang w:val="en-US" w:eastAsia="zh-CN"/>
              </w:rPr>
            </w:pPr>
            <w:r>
              <w:rPr>
                <w:rFonts w:hint="default" w:ascii="Times New Roman" w:hAnsi="Times New Roman" w:eastAsia="宋体" w:cs="Times New Roman"/>
                <w:color w:val="auto"/>
                <w:kern w:val="0"/>
                <w:sz w:val="24"/>
                <w:szCs w:val="24"/>
                <w:lang w:val="en-US" w:eastAsia="zh-CN" w:bidi="ar"/>
              </w:rPr>
              <w:t>②</w:t>
            </w:r>
            <w:r>
              <w:rPr>
                <w:rFonts w:hint="eastAsia" w:ascii="Times New Roman" w:hAnsi="Times New Roman" w:eastAsia="宋体" w:cs="Times New Roman"/>
                <w:color w:val="auto"/>
                <w:kern w:val="2"/>
                <w:sz w:val="24"/>
                <w:szCs w:val="24"/>
                <w:u w:val="none"/>
                <w:vertAlign w:val="baseline"/>
                <w:lang w:val="en-US" w:eastAsia="zh-CN"/>
              </w:rPr>
              <w:t>实验室、检疫室废弃物</w:t>
            </w:r>
          </w:p>
          <w:p w14:paraId="2F5F8247">
            <w:pPr>
              <w:widowControl/>
              <w:bidi w:val="0"/>
              <w:ind w:firstLine="600" w:firstLineChars="250"/>
              <w:jc w:val="left"/>
              <w:rPr>
                <w:rFonts w:hint="default" w:ascii="Times New Roman" w:hAnsi="Times New Roman" w:cs="Times New Roman"/>
                <w:color w:val="auto"/>
                <w:u w:val="none" w:color="auto"/>
                <w:lang w:val="en-US" w:eastAsia="zh-CN"/>
              </w:rPr>
            </w:pPr>
            <w:r>
              <w:rPr>
                <w:rFonts w:hint="eastAsia" w:cs="Times New Roman"/>
                <w:color w:val="auto"/>
                <w:kern w:val="0"/>
                <w:sz w:val="24"/>
                <w:szCs w:val="24"/>
                <w:lang w:val="en-US" w:eastAsia="zh-CN" w:bidi="ar"/>
              </w:rPr>
              <w:t>根据建设单位多年实验经验</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w:t>
            </w:r>
            <w:r>
              <w:rPr>
                <w:rFonts w:hint="default" w:cs="Times New Roman"/>
                <w:color w:val="auto"/>
                <w:kern w:val="2"/>
                <w:sz w:val="24"/>
                <w:szCs w:val="24"/>
                <w:u w:val="none" w:color="auto"/>
                <w:vertAlign w:val="baseline"/>
                <w:lang w:val="en-US" w:eastAsia="zh-CN"/>
              </w:rPr>
              <w:t>实验室、检疫室废弃物</w:t>
            </w:r>
            <w:r>
              <w:rPr>
                <w:rFonts w:hint="eastAsia" w:cs="Times New Roman"/>
                <w:color w:val="auto"/>
                <w:kern w:val="0"/>
                <w:sz w:val="24"/>
                <w:szCs w:val="24"/>
                <w:lang w:val="en-US" w:eastAsia="zh-CN" w:bidi="ar"/>
              </w:rPr>
              <w:t>年产生量约为8 t</w:t>
            </w:r>
            <w:r>
              <w:rPr>
                <w:rFonts w:hint="eastAsia" w:cs="Times New Roman"/>
                <w:color w:val="auto"/>
                <w:kern w:val="0"/>
                <w:highlight w:val="none"/>
                <w:u w:val="none" w:color="auto"/>
                <w:lang w:val="en-US" w:eastAsia="zh-CN"/>
              </w:rPr>
              <w:t>。</w:t>
            </w:r>
            <w:r>
              <w:rPr>
                <w:rFonts w:eastAsia="宋体"/>
                <w:color w:val="auto"/>
                <w:kern w:val="2"/>
                <w:u w:val="none" w:color="auto"/>
                <w:lang w:val="en-US" w:eastAsia="zh-CN"/>
              </w:rPr>
              <w:t>根据《国家危险废物名录》（202</w:t>
            </w:r>
            <w:r>
              <w:rPr>
                <w:rFonts w:hint="eastAsia" w:eastAsia="宋体"/>
                <w:color w:val="auto"/>
                <w:kern w:val="2"/>
                <w:u w:val="none" w:color="auto"/>
                <w:lang w:val="en-US" w:eastAsia="zh-CN"/>
              </w:rPr>
              <w:t>5</w:t>
            </w:r>
            <w:r>
              <w:rPr>
                <w:rFonts w:eastAsia="宋体"/>
                <w:color w:val="auto"/>
                <w:kern w:val="2"/>
                <w:u w:val="none" w:color="auto"/>
                <w:lang w:val="en-US" w:eastAsia="zh-CN"/>
              </w:rPr>
              <w:t>年）</w:t>
            </w:r>
            <w:r>
              <w:rPr>
                <w:rFonts w:hint="eastAsia" w:eastAsia="宋体"/>
                <w:color w:val="auto"/>
                <w:kern w:val="2"/>
                <w:u w:val="none" w:color="auto"/>
                <w:lang w:val="en-US" w:eastAsia="zh-CN"/>
              </w:rPr>
              <w:t>，</w:t>
            </w:r>
            <w:r>
              <w:rPr>
                <w:rFonts w:hint="default" w:ascii="Times New Roman" w:hAnsi="Times New Roman" w:cs="Times New Roman"/>
                <w:color w:val="auto"/>
                <w:u w:val="none" w:color="auto"/>
                <w:lang w:val="en-US" w:eastAsia="zh-CN"/>
              </w:rPr>
              <w:t>其危险废物代码为HW49-900-04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-49。</w:t>
            </w:r>
            <w:r>
              <w:rPr>
                <w:rFonts w:hint="eastAsia" w:ascii="Times New Roman" w:hAnsi="Times New Roman" w:eastAsia="宋体" w:cs="Times New Roman"/>
                <w:color w:val="auto"/>
                <w:kern w:val="2"/>
                <w:sz w:val="24"/>
                <w:szCs w:val="24"/>
                <w:u w:val="none"/>
                <w:vertAlign w:val="baseline"/>
                <w:lang w:val="en-US" w:eastAsia="zh-CN"/>
              </w:rPr>
              <w:t>实验室、检疫室废弃物</w:t>
            </w:r>
            <w:r>
              <w:rPr>
                <w:rFonts w:hint="default" w:ascii="Times New Roman" w:hAnsi="Times New Roman" w:cs="Times New Roman"/>
                <w:color w:val="auto"/>
                <w:u w:val="none" w:color="auto"/>
                <w:lang w:val="en-US" w:eastAsia="zh-CN"/>
              </w:rPr>
              <w:t>需暂存在危险废物暂存间，委托有资质单位处置。</w:t>
            </w:r>
          </w:p>
          <w:p w14:paraId="15B9685A">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9</w:t>
            </w:r>
            <w:r>
              <w:rPr>
                <w:rFonts w:hint="default" w:ascii="Times New Roman" w:hAnsi="Times New Roman" w:cs="Times New Roman"/>
                <w:color w:val="auto"/>
                <w:u w:val="none" w:color="auto"/>
                <w:lang w:val="en-US" w:eastAsia="zh-CN"/>
              </w:rPr>
              <w:t>-1 本项目固废污染源情况表</w:t>
            </w:r>
          </w:p>
          <w:tbl>
            <w:tblPr>
              <w:tblStyle w:val="23"/>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531"/>
              <w:gridCol w:w="1048"/>
              <w:gridCol w:w="850"/>
              <w:gridCol w:w="1171"/>
              <w:gridCol w:w="1237"/>
              <w:gridCol w:w="667"/>
              <w:gridCol w:w="733"/>
              <w:gridCol w:w="750"/>
              <w:gridCol w:w="1211"/>
            </w:tblGrid>
            <w:tr w14:paraId="7B73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Align w:val="center"/>
                </w:tcPr>
                <w:p w14:paraId="78A92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序号</w:t>
                  </w:r>
                </w:p>
              </w:tc>
              <w:tc>
                <w:tcPr>
                  <w:tcW w:w="531" w:type="dxa"/>
                  <w:vAlign w:val="center"/>
                </w:tcPr>
                <w:p w14:paraId="34591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属性</w:t>
                  </w:r>
                </w:p>
              </w:tc>
              <w:tc>
                <w:tcPr>
                  <w:tcW w:w="1048" w:type="dxa"/>
                  <w:vAlign w:val="center"/>
                </w:tcPr>
                <w:p w14:paraId="4266B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固废名称</w:t>
                  </w:r>
                </w:p>
              </w:tc>
              <w:tc>
                <w:tcPr>
                  <w:tcW w:w="850" w:type="dxa"/>
                  <w:vAlign w:val="center"/>
                </w:tcPr>
                <w:p w14:paraId="2E315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有毒有害物质名称</w:t>
                  </w:r>
                </w:p>
              </w:tc>
              <w:tc>
                <w:tcPr>
                  <w:tcW w:w="1171" w:type="dxa"/>
                  <w:vAlign w:val="center"/>
                </w:tcPr>
                <w:p w14:paraId="2939A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代码</w:t>
                  </w:r>
                </w:p>
              </w:tc>
              <w:tc>
                <w:tcPr>
                  <w:tcW w:w="1237" w:type="dxa"/>
                  <w:vAlign w:val="center"/>
                </w:tcPr>
                <w:p w14:paraId="75CC8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危险特性</w:t>
                  </w:r>
                </w:p>
              </w:tc>
              <w:tc>
                <w:tcPr>
                  <w:tcW w:w="667" w:type="dxa"/>
                  <w:vAlign w:val="center"/>
                </w:tcPr>
                <w:p w14:paraId="5CFE58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物理形状</w:t>
                  </w:r>
                </w:p>
              </w:tc>
              <w:tc>
                <w:tcPr>
                  <w:tcW w:w="733" w:type="dxa"/>
                  <w:vAlign w:val="center"/>
                </w:tcPr>
                <w:p w14:paraId="019F5E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产生量（t/a）</w:t>
                  </w:r>
                </w:p>
              </w:tc>
              <w:tc>
                <w:tcPr>
                  <w:tcW w:w="750" w:type="dxa"/>
                  <w:vAlign w:val="center"/>
                </w:tcPr>
                <w:p w14:paraId="356D5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贮存位置</w:t>
                  </w:r>
                </w:p>
              </w:tc>
              <w:tc>
                <w:tcPr>
                  <w:tcW w:w="1211" w:type="dxa"/>
                  <w:vAlign w:val="center"/>
                </w:tcPr>
                <w:p w14:paraId="72ED2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处置方式及去向</w:t>
                  </w:r>
                </w:p>
              </w:tc>
            </w:tr>
            <w:tr w14:paraId="20AD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1AD0C0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bookmarkStart w:id="1835" w:name="OLE_LINK163" w:colFirst="2" w:colLast="2"/>
                  <w:bookmarkStart w:id="1836" w:name="OLE_LINK164" w:colFirst="7" w:colLast="7"/>
                  <w:bookmarkStart w:id="1837" w:name="OLE_LINK165" w:colFirst="3" w:colLast="3"/>
                  <w:r>
                    <w:rPr>
                      <w:rFonts w:hint="eastAsia" w:cs="Times New Roman"/>
                      <w:color w:val="auto"/>
                      <w:sz w:val="21"/>
                      <w:szCs w:val="21"/>
                      <w:u w:val="single" w:color="auto"/>
                      <w:vertAlign w:val="baseline"/>
                      <w:lang w:val="en-US" w:eastAsia="zh-CN"/>
                    </w:rPr>
                    <w:t>1</w:t>
                  </w:r>
                </w:p>
              </w:tc>
              <w:tc>
                <w:tcPr>
                  <w:tcW w:w="531" w:type="dxa"/>
                  <w:vMerge w:val="restart"/>
                  <w:vAlign w:val="center"/>
                </w:tcPr>
                <w:p w14:paraId="09F30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一般固废</w:t>
                  </w:r>
                </w:p>
              </w:tc>
              <w:tc>
                <w:tcPr>
                  <w:tcW w:w="1048" w:type="dxa"/>
                  <w:vAlign w:val="center"/>
                </w:tcPr>
                <w:p w14:paraId="2B1BE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kern w:val="2"/>
                      <w:sz w:val="21"/>
                      <w:szCs w:val="21"/>
                      <w:u w:val="single" w:color="auto"/>
                      <w:vertAlign w:val="baseline"/>
                      <w:lang w:val="en-US" w:eastAsia="zh-CN"/>
                    </w:rPr>
                    <w:t>猪牛鸡鸭鹅胃内容物、不可食用部分（除胃内容物外）</w:t>
                  </w:r>
                </w:p>
              </w:tc>
              <w:tc>
                <w:tcPr>
                  <w:tcW w:w="850" w:type="dxa"/>
                  <w:vAlign w:val="center"/>
                </w:tcPr>
                <w:p w14:paraId="33BEE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vAlign w:val="center"/>
                </w:tcPr>
                <w:p w14:paraId="6E65C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SW82-030-003-S82</w:t>
                  </w:r>
                </w:p>
              </w:tc>
              <w:tc>
                <w:tcPr>
                  <w:tcW w:w="1237" w:type="dxa"/>
                  <w:vAlign w:val="center"/>
                </w:tcPr>
                <w:p w14:paraId="58E7D6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6898DB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固态</w:t>
                  </w:r>
                </w:p>
              </w:tc>
              <w:tc>
                <w:tcPr>
                  <w:tcW w:w="733" w:type="dxa"/>
                  <w:vAlign w:val="center"/>
                </w:tcPr>
                <w:p w14:paraId="7B5AE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187</w:t>
                  </w:r>
                </w:p>
              </w:tc>
              <w:tc>
                <w:tcPr>
                  <w:tcW w:w="750" w:type="dxa"/>
                  <w:vMerge w:val="restart"/>
                  <w:vAlign w:val="center"/>
                </w:tcPr>
                <w:p w14:paraId="4B194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一般固废暂存间</w:t>
                  </w:r>
                </w:p>
              </w:tc>
              <w:tc>
                <w:tcPr>
                  <w:tcW w:w="1211" w:type="dxa"/>
                  <w:vAlign w:val="center"/>
                </w:tcPr>
                <w:p w14:paraId="3CE6687B">
                  <w:pPr>
                    <w:pStyle w:val="49"/>
                    <w:snapToGrid/>
                    <w:spacing w:line="240" w:lineRule="auto"/>
                    <w:ind w:firstLine="0" w:firstLineChars="0"/>
                    <w:jc w:val="center"/>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
                    </w:rPr>
                    <w:t>猪牛胃内容物</w:t>
                  </w:r>
                  <w:r>
                    <w:rPr>
                      <w:rFonts w:hint="eastAsia" w:ascii="Times New Roman" w:hAnsi="Times New Roman" w:eastAsia="宋体" w:cs="Times New Roman"/>
                      <w:color w:val="auto"/>
                      <w:kern w:val="2"/>
                      <w:sz w:val="21"/>
                      <w:szCs w:val="21"/>
                      <w:u w:val="single" w:color="auto"/>
                      <w:lang w:val="en-US" w:eastAsia="zh-CN" w:bidi="ar"/>
                    </w:rPr>
                    <w:t>，收集后外售给</w:t>
                  </w:r>
                  <w:r>
                    <w:rPr>
                      <w:rFonts w:hint="default" w:cs="Times New Roman"/>
                      <w:color w:val="auto"/>
                      <w:kern w:val="2"/>
                      <w:sz w:val="21"/>
                      <w:szCs w:val="21"/>
                      <w:u w:val="single" w:color="auto"/>
                      <w:lang w:val="en-US" w:eastAsia="zh-CN" w:bidi="ar"/>
                    </w:rPr>
                    <w:t>化肥厂综合</w:t>
                  </w:r>
                  <w:r>
                    <w:rPr>
                      <w:rFonts w:hint="eastAsia" w:ascii="Times New Roman" w:hAnsi="Times New Roman" w:eastAsia="宋体" w:cs="Times New Roman"/>
                      <w:color w:val="auto"/>
                      <w:kern w:val="2"/>
                      <w:sz w:val="21"/>
                      <w:szCs w:val="21"/>
                      <w:u w:val="single" w:color="auto"/>
                      <w:lang w:val="en-US" w:eastAsia="zh-CN" w:bidi="ar"/>
                    </w:rPr>
                    <w:t>利用</w:t>
                  </w:r>
                  <w:r>
                    <w:rPr>
                      <w:rFonts w:hint="default" w:cs="Times New Roman"/>
                      <w:color w:val="auto"/>
                      <w:kern w:val="2"/>
                      <w:sz w:val="21"/>
                      <w:szCs w:val="21"/>
                      <w:u w:val="single" w:color="auto"/>
                      <w:lang w:val="en-US" w:eastAsia="zh-CN" w:bidi="ar"/>
                    </w:rPr>
                    <w:t>；</w:t>
                  </w:r>
                  <w:r>
                    <w:rPr>
                      <w:rFonts w:hint="eastAsia" w:cs="Times New Roman"/>
                      <w:color w:val="auto"/>
                      <w:kern w:val="2"/>
                      <w:sz w:val="21"/>
                      <w:szCs w:val="21"/>
                      <w:u w:val="single" w:color="auto"/>
                      <w:vertAlign w:val="baseline"/>
                      <w:lang w:val="en-US" w:eastAsia="zh-CN" w:bidi="ar"/>
                    </w:rPr>
                    <w:t>不可食用部分（除胃内容物外）</w:t>
                  </w:r>
                  <w:r>
                    <w:rPr>
                      <w:rFonts w:hint="default" w:cs="Times New Roman"/>
                      <w:color w:val="auto"/>
                      <w:kern w:val="2"/>
                      <w:sz w:val="21"/>
                      <w:szCs w:val="21"/>
                      <w:u w:val="single" w:color="auto"/>
                      <w:vertAlign w:val="baseline"/>
                      <w:lang w:val="en-US" w:eastAsia="zh-CN" w:bidi="ar"/>
                    </w:rPr>
                    <w:t>交由有资质的单位进行无害化处理</w:t>
                  </w:r>
                </w:p>
              </w:tc>
            </w:tr>
            <w:tr w14:paraId="684A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2BC73B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w:t>
                  </w:r>
                </w:p>
              </w:tc>
              <w:tc>
                <w:tcPr>
                  <w:tcW w:w="531" w:type="dxa"/>
                  <w:vMerge w:val="continue"/>
                  <w:vAlign w:val="center"/>
                </w:tcPr>
                <w:p w14:paraId="78E688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7ED1B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kern w:val="2"/>
                      <w:sz w:val="21"/>
                      <w:szCs w:val="21"/>
                      <w:u w:val="single" w:color="auto"/>
                      <w:vertAlign w:val="baseline"/>
                      <w:lang w:val="en-US" w:eastAsia="zh-CN"/>
                    </w:rPr>
                    <w:t>碎肉渣</w:t>
                  </w:r>
                </w:p>
              </w:tc>
              <w:tc>
                <w:tcPr>
                  <w:tcW w:w="850" w:type="dxa"/>
                  <w:vAlign w:val="center"/>
                </w:tcPr>
                <w:p w14:paraId="78090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shd w:val="clear" w:color="auto" w:fill="auto"/>
                  <w:vAlign w:val="center"/>
                </w:tcPr>
                <w:p w14:paraId="61C49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SW82-030-003-S82</w:t>
                  </w:r>
                </w:p>
              </w:tc>
              <w:tc>
                <w:tcPr>
                  <w:tcW w:w="1237" w:type="dxa"/>
                  <w:vAlign w:val="center"/>
                </w:tcPr>
                <w:p w14:paraId="4C7FC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43077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固态</w:t>
                  </w:r>
                </w:p>
              </w:tc>
              <w:tc>
                <w:tcPr>
                  <w:tcW w:w="733" w:type="dxa"/>
                  <w:vAlign w:val="center"/>
                </w:tcPr>
                <w:p w14:paraId="3D01D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1.1</w:t>
                  </w:r>
                </w:p>
              </w:tc>
              <w:tc>
                <w:tcPr>
                  <w:tcW w:w="750" w:type="dxa"/>
                  <w:vMerge w:val="continue"/>
                  <w:vAlign w:val="center"/>
                </w:tcPr>
                <w:p w14:paraId="2C487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vAlign w:val="center"/>
                </w:tcPr>
                <w:p w14:paraId="02A46961">
                  <w:pPr>
                    <w:pStyle w:val="49"/>
                    <w:spacing w:line="240" w:lineRule="auto"/>
                    <w:ind w:firstLine="0" w:firstLineChars="0"/>
                    <w:jc w:val="center"/>
                    <w:rPr>
                      <w:rFonts w:hint="default" w:ascii="Times New Roman" w:hAnsi="Times New Roman" w:cs="Times New Roman"/>
                      <w:color w:val="auto"/>
                      <w:sz w:val="21"/>
                      <w:szCs w:val="21"/>
                      <w:u w:val="single" w:color="auto"/>
                      <w:vertAlign w:val="baseline"/>
                      <w:lang w:val="en-US" w:eastAsia="zh-CN"/>
                    </w:rPr>
                  </w:pPr>
                  <w:r>
                    <w:rPr>
                      <w:rFonts w:hint="eastAsia" w:ascii="Times New Roman" w:hAnsi="Times New Roman" w:eastAsia="宋体" w:cs="Times New Roman"/>
                      <w:color w:val="auto"/>
                      <w:kern w:val="2"/>
                      <w:sz w:val="21"/>
                      <w:szCs w:val="21"/>
                      <w:u w:val="single" w:color="auto"/>
                      <w:lang w:val="en-US" w:eastAsia="zh-CN" w:bidi="ar"/>
                    </w:rPr>
                    <w:t>外售给</w:t>
                  </w:r>
                  <w:r>
                    <w:rPr>
                      <w:rFonts w:hint="eastAsia" w:cs="Times New Roman"/>
                      <w:color w:val="auto"/>
                      <w:kern w:val="2"/>
                      <w:sz w:val="21"/>
                      <w:szCs w:val="21"/>
                      <w:u w:val="single" w:color="auto"/>
                      <w:lang w:val="en-US" w:eastAsia="zh-CN" w:bidi="ar"/>
                    </w:rPr>
                    <w:t>化肥厂综合</w:t>
                  </w:r>
                  <w:r>
                    <w:rPr>
                      <w:rFonts w:hint="eastAsia" w:ascii="Times New Roman" w:hAnsi="Times New Roman" w:eastAsia="宋体" w:cs="Times New Roman"/>
                      <w:color w:val="auto"/>
                      <w:kern w:val="2"/>
                      <w:sz w:val="21"/>
                      <w:szCs w:val="21"/>
                      <w:u w:val="single" w:color="auto"/>
                      <w:lang w:val="en-US" w:eastAsia="zh-CN" w:bidi="ar"/>
                    </w:rPr>
                    <w:t>利用</w:t>
                  </w:r>
                </w:p>
              </w:tc>
            </w:tr>
            <w:tr w14:paraId="101A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3848F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3</w:t>
                  </w:r>
                </w:p>
              </w:tc>
              <w:tc>
                <w:tcPr>
                  <w:tcW w:w="531" w:type="dxa"/>
                  <w:vMerge w:val="continue"/>
                  <w:vAlign w:val="center"/>
                </w:tcPr>
                <w:p w14:paraId="33C39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3915B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不合格品</w:t>
                  </w:r>
                </w:p>
              </w:tc>
              <w:tc>
                <w:tcPr>
                  <w:tcW w:w="850" w:type="dxa"/>
                  <w:vAlign w:val="center"/>
                </w:tcPr>
                <w:p w14:paraId="0439A1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shd w:val="clear" w:color="auto" w:fill="auto"/>
                  <w:vAlign w:val="center"/>
                </w:tcPr>
                <w:p w14:paraId="7BE9E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SW82-030-002-S82</w:t>
                  </w:r>
                </w:p>
              </w:tc>
              <w:tc>
                <w:tcPr>
                  <w:tcW w:w="1237" w:type="dxa"/>
                  <w:vAlign w:val="center"/>
                </w:tcPr>
                <w:p w14:paraId="53746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508E5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固态</w:t>
                  </w:r>
                </w:p>
              </w:tc>
              <w:tc>
                <w:tcPr>
                  <w:tcW w:w="733" w:type="dxa"/>
                  <w:vAlign w:val="center"/>
                </w:tcPr>
                <w:p w14:paraId="5AE81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15.1</w:t>
                  </w:r>
                </w:p>
              </w:tc>
              <w:tc>
                <w:tcPr>
                  <w:tcW w:w="750" w:type="dxa"/>
                  <w:vMerge w:val="continue"/>
                  <w:vAlign w:val="center"/>
                </w:tcPr>
                <w:p w14:paraId="51CA2F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shd w:val="clear" w:color="auto" w:fill="auto"/>
                  <w:vAlign w:val="center"/>
                </w:tcPr>
                <w:p w14:paraId="0038C345">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kern w:val="2"/>
                      <w:sz w:val="21"/>
                      <w:szCs w:val="21"/>
                      <w:u w:val="single" w:color="auto"/>
                      <w:vertAlign w:val="baseline"/>
                      <w:lang w:val="en-US" w:eastAsia="zh-CN" w:bidi="ar"/>
                    </w:rPr>
                    <w:t>交由有资质的单位进行无害化处理</w:t>
                  </w:r>
                </w:p>
              </w:tc>
            </w:tr>
            <w:tr w14:paraId="3245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2023F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4</w:t>
                  </w:r>
                </w:p>
              </w:tc>
              <w:tc>
                <w:tcPr>
                  <w:tcW w:w="531" w:type="dxa"/>
                  <w:vMerge w:val="continue"/>
                  <w:vAlign w:val="center"/>
                </w:tcPr>
                <w:p w14:paraId="13576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39B360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污水处理站污泥</w:t>
                  </w:r>
                </w:p>
              </w:tc>
              <w:tc>
                <w:tcPr>
                  <w:tcW w:w="850" w:type="dxa"/>
                  <w:vAlign w:val="center"/>
                </w:tcPr>
                <w:p w14:paraId="5E5E1E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shd w:val="clear" w:color="auto" w:fill="auto"/>
                  <w:vAlign w:val="center"/>
                </w:tcPr>
                <w:p w14:paraId="0A284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SW82-030-003-S82</w:t>
                  </w:r>
                </w:p>
              </w:tc>
              <w:tc>
                <w:tcPr>
                  <w:tcW w:w="1237" w:type="dxa"/>
                  <w:vAlign w:val="center"/>
                </w:tcPr>
                <w:p w14:paraId="160CF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30A9A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固态</w:t>
                  </w:r>
                </w:p>
              </w:tc>
              <w:tc>
                <w:tcPr>
                  <w:tcW w:w="733" w:type="dxa"/>
                  <w:vAlign w:val="center"/>
                </w:tcPr>
                <w:p w14:paraId="01C724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6</w:t>
                  </w:r>
                </w:p>
              </w:tc>
              <w:tc>
                <w:tcPr>
                  <w:tcW w:w="750" w:type="dxa"/>
                  <w:vMerge w:val="continue"/>
                  <w:vAlign w:val="center"/>
                </w:tcPr>
                <w:p w14:paraId="15824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shd w:val="clear" w:color="auto" w:fill="auto"/>
                  <w:vAlign w:val="center"/>
                </w:tcPr>
                <w:p w14:paraId="7CAE35F9">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lang w:val="en-US" w:eastAsia="zh-CN" w:bidi="ar"/>
                    </w:rPr>
                    <w:t>外售给</w:t>
                  </w:r>
                  <w:r>
                    <w:rPr>
                      <w:rFonts w:hint="eastAsia" w:cs="Times New Roman"/>
                      <w:color w:val="auto"/>
                      <w:kern w:val="2"/>
                      <w:sz w:val="21"/>
                      <w:szCs w:val="21"/>
                      <w:u w:val="single" w:color="auto"/>
                      <w:lang w:val="en-US" w:eastAsia="zh-CN" w:bidi="ar"/>
                    </w:rPr>
                    <w:t>化肥厂综合</w:t>
                  </w:r>
                  <w:r>
                    <w:rPr>
                      <w:rFonts w:hint="eastAsia" w:ascii="Times New Roman" w:hAnsi="Times New Roman" w:eastAsia="宋体" w:cs="Times New Roman"/>
                      <w:color w:val="auto"/>
                      <w:kern w:val="2"/>
                      <w:sz w:val="21"/>
                      <w:szCs w:val="21"/>
                      <w:u w:val="single" w:color="auto"/>
                      <w:lang w:val="en-US" w:eastAsia="zh-CN" w:bidi="ar"/>
                    </w:rPr>
                    <w:t>利用</w:t>
                  </w:r>
                </w:p>
              </w:tc>
            </w:tr>
            <w:tr w14:paraId="4D99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767E87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5</w:t>
                  </w:r>
                </w:p>
              </w:tc>
              <w:tc>
                <w:tcPr>
                  <w:tcW w:w="531" w:type="dxa"/>
                  <w:vMerge w:val="continue"/>
                  <w:vAlign w:val="center"/>
                </w:tcPr>
                <w:p w14:paraId="1AF3D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7BC27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kern w:val="2"/>
                      <w:sz w:val="21"/>
                      <w:szCs w:val="21"/>
                      <w:u w:val="single" w:color="auto"/>
                      <w:vertAlign w:val="baseline"/>
                      <w:lang w:val="en-US" w:eastAsia="zh-CN"/>
                    </w:rPr>
                    <w:t>猪牛鸡鸭鹅待宰期间产生的粪便</w:t>
                  </w:r>
                </w:p>
              </w:tc>
              <w:tc>
                <w:tcPr>
                  <w:tcW w:w="850" w:type="dxa"/>
                  <w:vAlign w:val="center"/>
                </w:tcPr>
                <w:p w14:paraId="137DD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shd w:val="clear" w:color="auto" w:fill="auto"/>
                  <w:vAlign w:val="center"/>
                </w:tcPr>
                <w:p w14:paraId="76A98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SW82-030-001-S82</w:t>
                  </w:r>
                </w:p>
              </w:tc>
              <w:tc>
                <w:tcPr>
                  <w:tcW w:w="1237" w:type="dxa"/>
                  <w:vAlign w:val="center"/>
                </w:tcPr>
                <w:p w14:paraId="1FC0E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6DC19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固态</w:t>
                  </w:r>
                </w:p>
              </w:tc>
              <w:tc>
                <w:tcPr>
                  <w:tcW w:w="733" w:type="dxa"/>
                  <w:vAlign w:val="center"/>
                </w:tcPr>
                <w:p w14:paraId="7DD14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189.6</w:t>
                  </w:r>
                </w:p>
              </w:tc>
              <w:tc>
                <w:tcPr>
                  <w:tcW w:w="750" w:type="dxa"/>
                  <w:vMerge w:val="continue"/>
                  <w:vAlign w:val="center"/>
                </w:tcPr>
                <w:p w14:paraId="362B3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shd w:val="clear" w:color="auto" w:fill="auto"/>
                  <w:vAlign w:val="center"/>
                </w:tcPr>
                <w:p w14:paraId="0308082E">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kern w:val="2"/>
                      <w:sz w:val="21"/>
                      <w:szCs w:val="21"/>
                      <w:u w:val="single" w:color="auto"/>
                      <w:lang w:val="en-US" w:eastAsia="zh-CN" w:bidi="ar"/>
                    </w:rPr>
                    <w:t>外售给</w:t>
                  </w:r>
                  <w:r>
                    <w:rPr>
                      <w:rFonts w:hint="eastAsia" w:cs="Times New Roman"/>
                      <w:color w:val="auto"/>
                      <w:kern w:val="2"/>
                      <w:sz w:val="21"/>
                      <w:szCs w:val="21"/>
                      <w:u w:val="single" w:color="auto"/>
                      <w:lang w:val="en-US" w:eastAsia="zh-CN" w:bidi="ar"/>
                    </w:rPr>
                    <w:t>化肥厂综合</w:t>
                  </w:r>
                  <w:r>
                    <w:rPr>
                      <w:rFonts w:hint="eastAsia" w:ascii="Times New Roman" w:hAnsi="Times New Roman" w:eastAsia="宋体" w:cs="Times New Roman"/>
                      <w:color w:val="auto"/>
                      <w:kern w:val="2"/>
                      <w:sz w:val="21"/>
                      <w:szCs w:val="21"/>
                      <w:u w:val="single" w:color="auto"/>
                      <w:lang w:val="en-US" w:eastAsia="zh-CN" w:bidi="ar"/>
                    </w:rPr>
                    <w:t>利用</w:t>
                  </w:r>
                </w:p>
              </w:tc>
            </w:tr>
            <w:tr w14:paraId="024E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2F406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6</w:t>
                  </w:r>
                </w:p>
              </w:tc>
              <w:tc>
                <w:tcPr>
                  <w:tcW w:w="531" w:type="dxa"/>
                  <w:vMerge w:val="continue"/>
                  <w:vAlign w:val="center"/>
                </w:tcPr>
                <w:p w14:paraId="64A60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75A3F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kern w:val="2"/>
                      <w:sz w:val="21"/>
                      <w:szCs w:val="21"/>
                      <w:u w:val="single" w:color="auto"/>
                      <w:vertAlign w:val="baseline"/>
                      <w:lang w:val="en-US" w:eastAsia="zh-CN"/>
                    </w:rPr>
                    <w:t>格栅处理的废物</w:t>
                  </w:r>
                </w:p>
              </w:tc>
              <w:tc>
                <w:tcPr>
                  <w:tcW w:w="850" w:type="dxa"/>
                  <w:vAlign w:val="center"/>
                </w:tcPr>
                <w:p w14:paraId="01AF0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shd w:val="clear" w:color="auto" w:fill="auto"/>
                  <w:vAlign w:val="center"/>
                </w:tcPr>
                <w:p w14:paraId="456F9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SW82-030-003-S82</w:t>
                  </w:r>
                </w:p>
              </w:tc>
              <w:tc>
                <w:tcPr>
                  <w:tcW w:w="1237" w:type="dxa"/>
                  <w:vAlign w:val="center"/>
                </w:tcPr>
                <w:p w14:paraId="033F9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0401D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固态</w:t>
                  </w:r>
                </w:p>
              </w:tc>
              <w:tc>
                <w:tcPr>
                  <w:tcW w:w="733" w:type="dxa"/>
                  <w:vAlign w:val="center"/>
                </w:tcPr>
                <w:p w14:paraId="548F0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56</w:t>
                  </w:r>
                </w:p>
              </w:tc>
              <w:tc>
                <w:tcPr>
                  <w:tcW w:w="750" w:type="dxa"/>
                  <w:vMerge w:val="continue"/>
                  <w:vAlign w:val="center"/>
                </w:tcPr>
                <w:p w14:paraId="134886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shd w:val="clear" w:color="auto" w:fill="auto"/>
                  <w:vAlign w:val="center"/>
                </w:tcPr>
                <w:p w14:paraId="2F4952E7">
                  <w:pPr>
                    <w:pStyle w:val="49"/>
                    <w:snapToGrid/>
                    <w:spacing w:line="240" w:lineRule="auto"/>
                    <w:ind w:firstLine="0" w:firstLineChars="0"/>
                    <w:jc w:val="center"/>
                    <w:rPr>
                      <w:rFonts w:hint="default" w:ascii="Times New Roman" w:hAnsi="Times New Roman" w:eastAsia="宋体" w:cs="Times New Roman"/>
                      <w:color w:val="auto"/>
                      <w:kern w:val="2"/>
                      <w:sz w:val="24"/>
                      <w:szCs w:val="24"/>
                      <w:u w:val="single" w:color="auto"/>
                      <w:lang w:val="en-US" w:eastAsia="zh-CN" w:bidi="ar-SA"/>
                    </w:rPr>
                  </w:pPr>
                  <w:r>
                    <w:rPr>
                      <w:rFonts w:hint="eastAsia" w:cs="Times New Roman"/>
                      <w:color w:val="auto"/>
                      <w:spacing w:val="0"/>
                      <w:sz w:val="21"/>
                      <w:szCs w:val="21"/>
                      <w:u w:val="single" w:color="auto"/>
                      <w:lang w:val="en-US" w:eastAsia="zh-CN"/>
                    </w:rPr>
                    <w:t>交由物资回收部门综合利用</w:t>
                  </w:r>
                </w:p>
              </w:tc>
            </w:tr>
            <w:tr w14:paraId="4801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047BAE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7</w:t>
                  </w:r>
                </w:p>
              </w:tc>
              <w:tc>
                <w:tcPr>
                  <w:tcW w:w="531" w:type="dxa"/>
                  <w:vMerge w:val="continue"/>
                  <w:vAlign w:val="center"/>
                </w:tcPr>
                <w:p w14:paraId="3A1ED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1F404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rPr>
                  </w:pPr>
                  <w:r>
                    <w:rPr>
                      <w:rFonts w:hint="eastAsia" w:cs="Times New Roman"/>
                      <w:color w:val="auto"/>
                      <w:u w:val="single" w:color="auto"/>
                      <w:lang w:val="en-US" w:eastAsia="zh-CN"/>
                    </w:rPr>
                    <w:t>病死猪牛鸡鸭鹅</w:t>
                  </w:r>
                </w:p>
              </w:tc>
              <w:tc>
                <w:tcPr>
                  <w:tcW w:w="850" w:type="dxa"/>
                  <w:vAlign w:val="center"/>
                </w:tcPr>
                <w:p w14:paraId="1ECFE7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shd w:val="clear" w:color="auto" w:fill="auto"/>
                  <w:vAlign w:val="center"/>
                </w:tcPr>
                <w:p w14:paraId="2C2F3F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SW82-030-002-S82</w:t>
                  </w:r>
                </w:p>
              </w:tc>
              <w:tc>
                <w:tcPr>
                  <w:tcW w:w="1237" w:type="dxa"/>
                  <w:vAlign w:val="center"/>
                </w:tcPr>
                <w:p w14:paraId="02851E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70C54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固态</w:t>
                  </w:r>
                </w:p>
              </w:tc>
              <w:tc>
                <w:tcPr>
                  <w:tcW w:w="733" w:type="dxa"/>
                  <w:vAlign w:val="center"/>
                </w:tcPr>
                <w:p w14:paraId="3849E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101</w:t>
                  </w:r>
                </w:p>
              </w:tc>
              <w:tc>
                <w:tcPr>
                  <w:tcW w:w="750" w:type="dxa"/>
                  <w:vMerge w:val="continue"/>
                  <w:vAlign w:val="center"/>
                </w:tcPr>
                <w:p w14:paraId="3FC87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shd w:val="clear" w:color="auto" w:fill="auto"/>
                  <w:vAlign w:val="center"/>
                </w:tcPr>
                <w:p w14:paraId="2761A788">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kern w:val="2"/>
                      <w:sz w:val="21"/>
                      <w:szCs w:val="21"/>
                      <w:u w:val="single" w:color="auto"/>
                      <w:vertAlign w:val="baseline"/>
                      <w:lang w:val="en-US" w:eastAsia="zh-CN" w:bidi="ar"/>
                    </w:rPr>
                    <w:t>交由有资质的单位进行无害化处理</w:t>
                  </w:r>
                </w:p>
              </w:tc>
            </w:tr>
            <w:tr w14:paraId="3C54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55" w:type="dxa"/>
                  <w:vAlign w:val="center"/>
                </w:tcPr>
                <w:p w14:paraId="2D8E62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8</w:t>
                  </w:r>
                </w:p>
              </w:tc>
              <w:tc>
                <w:tcPr>
                  <w:tcW w:w="531" w:type="dxa"/>
                  <w:vMerge w:val="continue"/>
                  <w:vAlign w:val="center"/>
                </w:tcPr>
                <w:p w14:paraId="135521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15BAE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rPr>
                  </w:pPr>
                  <w:r>
                    <w:rPr>
                      <w:rFonts w:hint="eastAsia" w:cs="Times New Roman"/>
                      <w:color w:val="auto"/>
                      <w:kern w:val="2"/>
                      <w:sz w:val="24"/>
                      <w:szCs w:val="24"/>
                      <w:u w:val="single" w:color="auto"/>
                      <w:vertAlign w:val="baseline"/>
                      <w:lang w:val="en-US" w:eastAsia="zh-CN" w:bidi="ar"/>
                    </w:rPr>
                    <w:t>未沾染有</w:t>
                  </w:r>
                  <w:r>
                    <w:rPr>
                      <w:rFonts w:hint="eastAsia" w:cs="Times New Roman"/>
                      <w:color w:val="auto"/>
                      <w:kern w:val="2"/>
                      <w:sz w:val="24"/>
                      <w:szCs w:val="24"/>
                      <w:u w:val="single" w:color="auto"/>
                      <w:vertAlign w:val="baseline"/>
                      <w:lang w:val="en-US" w:eastAsia="zh-CN"/>
                    </w:rPr>
                    <w:t>毒有害物质的废包装材料</w:t>
                  </w:r>
                </w:p>
              </w:tc>
              <w:tc>
                <w:tcPr>
                  <w:tcW w:w="850" w:type="dxa"/>
                  <w:vAlign w:val="center"/>
                </w:tcPr>
                <w:p w14:paraId="03C9A1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71" w:type="dxa"/>
                  <w:shd w:val="clear" w:color="auto" w:fill="auto"/>
                  <w:vAlign w:val="center"/>
                </w:tcPr>
                <w:p w14:paraId="00BE4B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SW82-030-003-S82</w:t>
                  </w:r>
                </w:p>
              </w:tc>
              <w:tc>
                <w:tcPr>
                  <w:tcW w:w="1237" w:type="dxa"/>
                  <w:vAlign w:val="center"/>
                </w:tcPr>
                <w:p w14:paraId="2CCE8A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67" w:type="dxa"/>
                  <w:vAlign w:val="center"/>
                </w:tcPr>
                <w:p w14:paraId="23341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固态</w:t>
                  </w:r>
                </w:p>
              </w:tc>
              <w:tc>
                <w:tcPr>
                  <w:tcW w:w="733" w:type="dxa"/>
                  <w:vAlign w:val="center"/>
                </w:tcPr>
                <w:p w14:paraId="1FE4C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0.06</w:t>
                  </w:r>
                </w:p>
              </w:tc>
              <w:tc>
                <w:tcPr>
                  <w:tcW w:w="750" w:type="dxa"/>
                  <w:vMerge w:val="continue"/>
                  <w:vAlign w:val="center"/>
                </w:tcPr>
                <w:p w14:paraId="611FD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shd w:val="clear" w:color="auto" w:fill="auto"/>
                  <w:vAlign w:val="center"/>
                </w:tcPr>
                <w:p w14:paraId="5031F689">
                  <w:pPr>
                    <w:pStyle w:val="49"/>
                    <w:snapToGrid/>
                    <w:spacing w:line="240" w:lineRule="auto"/>
                    <w:ind w:firstLine="0" w:firstLineChars="0"/>
                    <w:jc w:val="center"/>
                    <w:rPr>
                      <w:rFonts w:hint="eastAsia" w:ascii="Times New Roman" w:hAnsi="Times New Roman" w:eastAsia="宋体" w:cs="Times New Roman"/>
                      <w:color w:val="auto"/>
                      <w:kern w:val="2"/>
                      <w:sz w:val="24"/>
                      <w:szCs w:val="24"/>
                      <w:u w:val="single" w:color="auto"/>
                      <w:lang w:val="en-US" w:eastAsia="zh-CN" w:bidi="ar-SA"/>
                    </w:rPr>
                  </w:pPr>
                  <w:r>
                    <w:rPr>
                      <w:rFonts w:hint="eastAsia" w:cs="Times New Roman"/>
                      <w:color w:val="auto"/>
                      <w:spacing w:val="0"/>
                      <w:sz w:val="21"/>
                      <w:szCs w:val="21"/>
                      <w:u w:val="single" w:color="auto"/>
                      <w:lang w:val="en-US" w:eastAsia="zh-CN"/>
                    </w:rPr>
                    <w:t>交由物资回收部门综合利用</w:t>
                  </w:r>
                </w:p>
              </w:tc>
            </w:tr>
            <w:tr w14:paraId="4E9E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55" w:type="dxa"/>
                  <w:vAlign w:val="center"/>
                </w:tcPr>
                <w:p w14:paraId="44A27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1</w:t>
                  </w:r>
                </w:p>
              </w:tc>
              <w:tc>
                <w:tcPr>
                  <w:tcW w:w="531" w:type="dxa"/>
                  <w:vMerge w:val="restart"/>
                  <w:vAlign w:val="center"/>
                </w:tcPr>
                <w:p w14:paraId="327AC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危险废物</w:t>
                  </w:r>
                </w:p>
              </w:tc>
              <w:tc>
                <w:tcPr>
                  <w:tcW w:w="1048" w:type="dxa"/>
                  <w:shd w:val="clear" w:color="auto" w:fill="auto"/>
                  <w:vAlign w:val="center"/>
                </w:tcPr>
                <w:p w14:paraId="476E5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沾染有毒有害物质的废包装材料</w:t>
                  </w:r>
                </w:p>
              </w:tc>
              <w:tc>
                <w:tcPr>
                  <w:tcW w:w="850" w:type="dxa"/>
                  <w:shd w:val="clear" w:color="auto" w:fill="auto"/>
                  <w:vAlign w:val="center"/>
                </w:tcPr>
                <w:p w14:paraId="34BD1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有毒有害物质</w:t>
                  </w:r>
                </w:p>
              </w:tc>
              <w:tc>
                <w:tcPr>
                  <w:tcW w:w="1171" w:type="dxa"/>
                  <w:shd w:val="clear" w:color="auto" w:fill="auto"/>
                  <w:vAlign w:val="center"/>
                </w:tcPr>
                <w:p w14:paraId="3B5973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HW</w:t>
                  </w:r>
                  <w:r>
                    <w:rPr>
                      <w:rFonts w:hint="eastAsia" w:cs="Times New Roman"/>
                      <w:color w:val="auto"/>
                      <w:sz w:val="21"/>
                      <w:szCs w:val="21"/>
                      <w:u w:val="single" w:color="auto"/>
                      <w:vertAlign w:val="baseline"/>
                      <w:lang w:val="en-US" w:eastAsia="zh-CN"/>
                    </w:rPr>
                    <w:t>49</w:t>
                  </w:r>
                  <w:r>
                    <w:rPr>
                      <w:rFonts w:hint="default" w:ascii="Times New Roman" w:hAnsi="Times New Roman" w:eastAsia="宋体" w:cs="Times New Roman"/>
                      <w:color w:val="auto"/>
                      <w:sz w:val="21"/>
                      <w:szCs w:val="21"/>
                      <w:u w:val="single" w:color="auto"/>
                      <w:vertAlign w:val="baseline"/>
                      <w:lang w:val="en-US" w:eastAsia="zh-CN"/>
                    </w:rPr>
                    <w:t>-900-</w:t>
                  </w:r>
                  <w:r>
                    <w:rPr>
                      <w:rFonts w:hint="eastAsia" w:cs="Times New Roman"/>
                      <w:color w:val="auto"/>
                      <w:sz w:val="21"/>
                      <w:szCs w:val="21"/>
                      <w:u w:val="single" w:color="auto"/>
                      <w:vertAlign w:val="baseline"/>
                      <w:lang w:val="en-US" w:eastAsia="zh-CN"/>
                    </w:rPr>
                    <w:t>041</w:t>
                  </w:r>
                  <w:r>
                    <w:rPr>
                      <w:rFonts w:hint="default" w:ascii="Times New Roman" w:hAnsi="Times New Roman" w:eastAsia="宋体" w:cs="Times New Roman"/>
                      <w:color w:val="auto"/>
                      <w:sz w:val="21"/>
                      <w:szCs w:val="21"/>
                      <w:u w:val="single" w:color="auto"/>
                      <w:vertAlign w:val="baseline"/>
                      <w:lang w:val="en-US" w:eastAsia="zh-CN"/>
                    </w:rPr>
                    <w:t>-</w:t>
                  </w:r>
                  <w:r>
                    <w:rPr>
                      <w:rFonts w:hint="eastAsia" w:cs="Times New Roman"/>
                      <w:color w:val="auto"/>
                      <w:sz w:val="21"/>
                      <w:szCs w:val="21"/>
                      <w:u w:val="single" w:color="auto"/>
                      <w:vertAlign w:val="baseline"/>
                      <w:lang w:val="en-US" w:eastAsia="zh-CN"/>
                    </w:rPr>
                    <w:t>49</w:t>
                  </w:r>
                </w:p>
              </w:tc>
              <w:tc>
                <w:tcPr>
                  <w:tcW w:w="1237" w:type="dxa"/>
                  <w:shd w:val="clear" w:color="auto" w:fill="auto"/>
                  <w:vAlign w:val="center"/>
                </w:tcPr>
                <w:p w14:paraId="43D6F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T/In</w:t>
                  </w:r>
                </w:p>
              </w:tc>
              <w:tc>
                <w:tcPr>
                  <w:tcW w:w="667" w:type="dxa"/>
                  <w:shd w:val="clear" w:color="auto" w:fill="auto"/>
                  <w:vAlign w:val="center"/>
                </w:tcPr>
                <w:p w14:paraId="18A542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固态</w:t>
                  </w:r>
                </w:p>
              </w:tc>
              <w:tc>
                <w:tcPr>
                  <w:tcW w:w="733" w:type="dxa"/>
                  <w:shd w:val="clear" w:color="auto" w:fill="auto"/>
                  <w:vAlign w:val="center"/>
                </w:tcPr>
                <w:p w14:paraId="216D19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0.3</w:t>
                  </w:r>
                </w:p>
              </w:tc>
              <w:tc>
                <w:tcPr>
                  <w:tcW w:w="750" w:type="dxa"/>
                  <w:vMerge w:val="restart"/>
                  <w:vAlign w:val="center"/>
                </w:tcPr>
                <w:p w14:paraId="5A740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危废暂存间</w:t>
                  </w:r>
                </w:p>
              </w:tc>
              <w:tc>
                <w:tcPr>
                  <w:tcW w:w="1211" w:type="dxa"/>
                  <w:vMerge w:val="restart"/>
                  <w:vAlign w:val="center"/>
                </w:tcPr>
                <w:p w14:paraId="3225E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暂存在危险废物暂存间，委托有资质单位处置</w:t>
                  </w:r>
                </w:p>
              </w:tc>
            </w:tr>
            <w:tr w14:paraId="73AF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55" w:type="dxa"/>
                  <w:vAlign w:val="center"/>
                </w:tcPr>
                <w:p w14:paraId="0C7682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w:t>
                  </w:r>
                </w:p>
              </w:tc>
              <w:tc>
                <w:tcPr>
                  <w:tcW w:w="531" w:type="dxa"/>
                  <w:vMerge w:val="continue"/>
                  <w:vAlign w:val="center"/>
                </w:tcPr>
                <w:p w14:paraId="3336C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48" w:type="dxa"/>
                  <w:vAlign w:val="center"/>
                </w:tcPr>
                <w:p w14:paraId="1CFC1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kern w:val="2"/>
                      <w:sz w:val="21"/>
                      <w:szCs w:val="21"/>
                      <w:u w:val="single" w:color="auto"/>
                      <w:vertAlign w:val="baseline"/>
                      <w:lang w:val="en-US" w:eastAsia="zh-CN"/>
                    </w:rPr>
                    <w:t>实验室、检疫室废弃物</w:t>
                  </w:r>
                </w:p>
              </w:tc>
              <w:tc>
                <w:tcPr>
                  <w:tcW w:w="850" w:type="dxa"/>
                  <w:shd w:val="clear" w:color="auto" w:fill="auto"/>
                  <w:vAlign w:val="center"/>
                </w:tcPr>
                <w:p w14:paraId="306D9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有毒有害物质</w:t>
                  </w:r>
                </w:p>
              </w:tc>
              <w:tc>
                <w:tcPr>
                  <w:tcW w:w="1171" w:type="dxa"/>
                  <w:vAlign w:val="center"/>
                </w:tcPr>
                <w:p w14:paraId="2DB2B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HW</w:t>
                  </w:r>
                  <w:r>
                    <w:rPr>
                      <w:rFonts w:hint="eastAsia" w:cs="Times New Roman"/>
                      <w:color w:val="auto"/>
                      <w:sz w:val="21"/>
                      <w:szCs w:val="21"/>
                      <w:u w:val="single" w:color="auto"/>
                      <w:vertAlign w:val="baseline"/>
                      <w:lang w:val="en-US" w:eastAsia="zh-CN"/>
                    </w:rPr>
                    <w:t>49</w:t>
                  </w:r>
                  <w:r>
                    <w:rPr>
                      <w:rFonts w:hint="default" w:ascii="Times New Roman" w:hAnsi="Times New Roman" w:eastAsia="宋体" w:cs="Times New Roman"/>
                      <w:color w:val="auto"/>
                      <w:sz w:val="21"/>
                      <w:szCs w:val="21"/>
                      <w:u w:val="single" w:color="auto"/>
                      <w:vertAlign w:val="baseline"/>
                      <w:lang w:val="en-US" w:eastAsia="zh-CN"/>
                    </w:rPr>
                    <w:t>-900-</w:t>
                  </w:r>
                  <w:r>
                    <w:rPr>
                      <w:rFonts w:hint="eastAsia" w:cs="Times New Roman"/>
                      <w:color w:val="auto"/>
                      <w:sz w:val="21"/>
                      <w:szCs w:val="21"/>
                      <w:u w:val="single" w:color="auto"/>
                      <w:vertAlign w:val="baseline"/>
                      <w:lang w:val="en-US" w:eastAsia="zh-CN"/>
                    </w:rPr>
                    <w:t>047</w:t>
                  </w:r>
                  <w:r>
                    <w:rPr>
                      <w:rFonts w:hint="default" w:ascii="Times New Roman" w:hAnsi="Times New Roman" w:eastAsia="宋体" w:cs="Times New Roman"/>
                      <w:color w:val="auto"/>
                      <w:sz w:val="21"/>
                      <w:szCs w:val="21"/>
                      <w:u w:val="single" w:color="auto"/>
                      <w:vertAlign w:val="baseline"/>
                      <w:lang w:val="en-US" w:eastAsia="zh-CN"/>
                    </w:rPr>
                    <w:t>-</w:t>
                  </w:r>
                  <w:r>
                    <w:rPr>
                      <w:rFonts w:hint="eastAsia" w:cs="Times New Roman"/>
                      <w:color w:val="auto"/>
                      <w:sz w:val="21"/>
                      <w:szCs w:val="21"/>
                      <w:u w:val="single" w:color="auto"/>
                      <w:vertAlign w:val="baseline"/>
                      <w:lang w:val="en-US" w:eastAsia="zh-CN"/>
                    </w:rPr>
                    <w:t>49</w:t>
                  </w:r>
                </w:p>
              </w:tc>
              <w:tc>
                <w:tcPr>
                  <w:tcW w:w="1237" w:type="dxa"/>
                  <w:vAlign w:val="center"/>
                </w:tcPr>
                <w:p w14:paraId="28F72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T/C/I/R</w:t>
                  </w:r>
                </w:p>
              </w:tc>
              <w:tc>
                <w:tcPr>
                  <w:tcW w:w="667" w:type="dxa"/>
                  <w:vAlign w:val="center"/>
                </w:tcPr>
                <w:p w14:paraId="10AAC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固</w:t>
                  </w:r>
                  <w:r>
                    <w:rPr>
                      <w:rFonts w:hint="eastAsia" w:cs="Times New Roman"/>
                      <w:color w:val="auto"/>
                      <w:kern w:val="2"/>
                      <w:sz w:val="21"/>
                      <w:szCs w:val="21"/>
                      <w:u w:val="single" w:color="auto"/>
                      <w:vertAlign w:val="baseline"/>
                      <w:lang w:val="en-US" w:eastAsia="zh-CN" w:bidi="ar-SA"/>
                    </w:rPr>
                    <w:t>/液</w:t>
                  </w:r>
                  <w:r>
                    <w:rPr>
                      <w:rFonts w:hint="default" w:ascii="Times New Roman" w:hAnsi="Times New Roman" w:cs="Times New Roman"/>
                      <w:color w:val="auto"/>
                      <w:kern w:val="2"/>
                      <w:sz w:val="21"/>
                      <w:szCs w:val="21"/>
                      <w:u w:val="single" w:color="auto"/>
                      <w:vertAlign w:val="baseline"/>
                      <w:lang w:val="en-US" w:eastAsia="zh-CN" w:bidi="ar-SA"/>
                    </w:rPr>
                    <w:t>态</w:t>
                  </w:r>
                </w:p>
              </w:tc>
              <w:tc>
                <w:tcPr>
                  <w:tcW w:w="733" w:type="dxa"/>
                  <w:vAlign w:val="center"/>
                </w:tcPr>
                <w:p w14:paraId="3B80F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8</w:t>
                  </w:r>
                </w:p>
              </w:tc>
              <w:tc>
                <w:tcPr>
                  <w:tcW w:w="750" w:type="dxa"/>
                  <w:vMerge w:val="continue"/>
                  <w:vAlign w:val="center"/>
                </w:tcPr>
                <w:p w14:paraId="6BD42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11" w:type="dxa"/>
                  <w:vMerge w:val="continue"/>
                  <w:vAlign w:val="center"/>
                </w:tcPr>
                <w:p w14:paraId="292C4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bookmarkEnd w:id="1835"/>
            <w:bookmarkEnd w:id="1836"/>
            <w:bookmarkEnd w:id="1837"/>
          </w:tbl>
          <w:p w14:paraId="203960C4">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.9</w:t>
            </w:r>
            <w:r>
              <w:rPr>
                <w:rFonts w:hint="default" w:ascii="Times New Roman" w:hAnsi="Times New Roman" w:cs="Times New Roman"/>
                <w:b/>
                <w:bCs/>
                <w:color w:val="auto"/>
                <w:u w:val="none" w:color="auto"/>
                <w:lang w:val="en-US" w:eastAsia="zh-CN"/>
              </w:rPr>
              <w:t>.2</w:t>
            </w:r>
            <w:r>
              <w:rPr>
                <w:rFonts w:hint="eastAsia"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固体废物污染防治措施</w:t>
            </w:r>
          </w:p>
          <w:p w14:paraId="6C2351BB">
            <w:pPr>
              <w:spacing w:line="360" w:lineRule="auto"/>
              <w:ind w:firstLine="480" w:firstLineChars="200"/>
              <w:jc w:val="left"/>
              <w:rPr>
                <w:color w:val="auto"/>
                <w:sz w:val="24"/>
                <w:u w:val="single" w:color="auto"/>
              </w:rPr>
            </w:pPr>
            <w:r>
              <w:rPr>
                <w:color w:val="auto"/>
                <w:sz w:val="24"/>
                <w:u w:val="single" w:color="auto"/>
              </w:rPr>
              <w:t>本环评建议项目一般固体废物与危险废物分别存放在独立的一般固废暂存处场所和危险废物暂存</w:t>
            </w:r>
            <w:r>
              <w:rPr>
                <w:rFonts w:hint="eastAsia"/>
                <w:color w:val="auto"/>
                <w:sz w:val="24"/>
                <w:u w:val="single" w:color="auto"/>
                <w:lang w:val="en-US" w:eastAsia="zh-CN"/>
              </w:rPr>
              <w:t>间</w:t>
            </w:r>
            <w:r>
              <w:rPr>
                <w:color w:val="auto"/>
                <w:sz w:val="24"/>
                <w:u w:val="single" w:color="auto"/>
              </w:rPr>
              <w:t>。其中危险废物堆放区域必须做到防风、防雨、防晒，分类堆放，设标识牌，并应按相关规定做好危险废物堆放区地面硬化、铺设防渗层。同时企业应按要求建立转运、处理台账制度。厂内严禁自行焚烧各类固废。</w:t>
            </w:r>
          </w:p>
          <w:p w14:paraId="2E339534">
            <w:pPr>
              <w:spacing w:line="360" w:lineRule="auto"/>
              <w:ind w:firstLine="480" w:firstLineChars="200"/>
              <w:jc w:val="left"/>
              <w:rPr>
                <w:color w:val="auto"/>
                <w:sz w:val="24"/>
                <w:u w:val="single" w:color="auto"/>
              </w:rPr>
            </w:pPr>
            <w:r>
              <w:rPr>
                <w:rFonts w:hint="eastAsia"/>
                <w:color w:val="auto"/>
                <w:sz w:val="24"/>
                <w:u w:val="single" w:color="auto"/>
              </w:rPr>
              <w:t>（1）企业</w:t>
            </w:r>
            <w:r>
              <w:rPr>
                <w:color w:val="auto"/>
                <w:sz w:val="24"/>
                <w:u w:val="single" w:color="auto"/>
              </w:rPr>
              <w:t>设置一般工业固体废物贮存场所，贮存场所要求如下：</w:t>
            </w:r>
          </w:p>
          <w:p w14:paraId="17566978">
            <w:pPr>
              <w:spacing w:line="360" w:lineRule="auto"/>
              <w:ind w:firstLine="480" w:firstLineChars="200"/>
              <w:jc w:val="left"/>
              <w:rPr>
                <w:color w:val="auto"/>
                <w:sz w:val="24"/>
                <w:u w:val="single" w:color="auto"/>
              </w:rPr>
            </w:pPr>
            <w:r>
              <w:rPr>
                <w:rFonts w:hint="eastAsia"/>
                <w:color w:val="auto"/>
                <w:sz w:val="24"/>
                <w:u w:val="single" w:color="auto"/>
              </w:rPr>
              <w:t>①</w:t>
            </w:r>
            <w:r>
              <w:rPr>
                <w:color w:val="auto"/>
                <w:sz w:val="24"/>
                <w:u w:val="single" w:color="auto"/>
              </w:rPr>
              <w:t>固体废物贮存场所要有防火、防扬散、防流失、防渗漏、防雨措施；并加强固体废弃物的分类存放管理，确保各类固废分类存放于固废暂存处，不散乱堆放。</w:t>
            </w:r>
          </w:p>
          <w:p w14:paraId="00F5631C">
            <w:pPr>
              <w:spacing w:line="360" w:lineRule="auto"/>
              <w:ind w:firstLine="480" w:firstLineChars="200"/>
              <w:jc w:val="left"/>
              <w:rPr>
                <w:color w:val="auto"/>
                <w:sz w:val="24"/>
                <w:u w:val="single" w:color="auto"/>
              </w:rPr>
            </w:pPr>
            <w:r>
              <w:rPr>
                <w:rFonts w:hint="eastAsia"/>
                <w:color w:val="auto"/>
                <w:sz w:val="24"/>
                <w:u w:val="single" w:color="auto"/>
              </w:rPr>
              <w:t>②</w:t>
            </w:r>
            <w:r>
              <w:rPr>
                <w:color w:val="auto"/>
                <w:sz w:val="24"/>
                <w:u w:val="single" w:color="auto"/>
              </w:rPr>
              <w:t>固体废物贮存场所在醒目处设置一个标志牌。固废环境保护图形标志牌按照《环境保护图形标志》（GB</w:t>
            </w:r>
            <w:r>
              <w:rPr>
                <w:rFonts w:hint="eastAsia"/>
                <w:color w:val="auto"/>
                <w:sz w:val="24"/>
                <w:u w:val="single" w:color="auto"/>
                <w:lang w:val="en-US" w:eastAsia="zh-CN"/>
              </w:rPr>
              <w:t xml:space="preserve"> </w:t>
            </w:r>
            <w:r>
              <w:rPr>
                <w:color w:val="auto"/>
                <w:sz w:val="24"/>
                <w:u w:val="single" w:color="auto"/>
              </w:rPr>
              <w:t>15562.2-1995）</w:t>
            </w:r>
            <w:r>
              <w:rPr>
                <w:rFonts w:hint="eastAsia"/>
                <w:color w:val="auto"/>
                <w:sz w:val="24"/>
                <w:u w:val="single" w:color="auto"/>
                <w:lang w:val="en-US" w:eastAsia="zh-CN"/>
              </w:rPr>
              <w:t>及2023年修改单</w:t>
            </w:r>
            <w:r>
              <w:rPr>
                <w:color w:val="auto"/>
                <w:sz w:val="24"/>
                <w:u w:val="single" w:color="auto"/>
              </w:rPr>
              <w:t>规定制作。</w:t>
            </w:r>
          </w:p>
          <w:p w14:paraId="3E3734F8">
            <w:pPr>
              <w:spacing w:line="360" w:lineRule="auto"/>
              <w:ind w:firstLine="480" w:firstLineChars="200"/>
              <w:jc w:val="left"/>
              <w:rPr>
                <w:color w:val="auto"/>
                <w:sz w:val="24"/>
                <w:u w:val="single" w:color="auto"/>
              </w:rPr>
            </w:pPr>
            <w:r>
              <w:rPr>
                <w:rFonts w:hint="eastAsia"/>
                <w:color w:val="auto"/>
                <w:sz w:val="24"/>
                <w:u w:val="single" w:color="auto"/>
              </w:rPr>
              <w:t>③</w:t>
            </w:r>
            <w:r>
              <w:rPr>
                <w:color w:val="auto"/>
                <w:sz w:val="24"/>
                <w:u w:val="single" w:color="auto"/>
              </w:rPr>
              <w:t>企业应设置专门人员负责将废弃物转移到暂存处，进行分类堆放。禁止一般工业固体废物和生活垃圾混入。</w:t>
            </w:r>
          </w:p>
          <w:p w14:paraId="745D14D8">
            <w:pPr>
              <w:spacing w:line="360" w:lineRule="auto"/>
              <w:ind w:firstLine="480" w:firstLineChars="200"/>
              <w:jc w:val="left"/>
              <w:rPr>
                <w:color w:val="auto"/>
                <w:sz w:val="24"/>
                <w:u w:val="single" w:color="auto"/>
              </w:rPr>
            </w:pPr>
            <w:r>
              <w:rPr>
                <w:rFonts w:hint="eastAsia"/>
                <w:color w:val="auto"/>
                <w:sz w:val="24"/>
                <w:u w:val="single" w:color="auto"/>
              </w:rPr>
              <w:t>④</w:t>
            </w:r>
            <w:r>
              <w:rPr>
                <w:color w:val="auto"/>
                <w:sz w:val="24"/>
                <w:u w:val="single" w:color="auto"/>
              </w:rPr>
              <w:t>建立档案制度：应将一般工业固体废物的种类和数量以及检查维护资料，详细记录在案，长期保存，供随时查阅。固废暂存处的固废应及时处置，不得停留较长时间。</w:t>
            </w:r>
          </w:p>
          <w:p w14:paraId="57B965BE">
            <w:pPr>
              <w:spacing w:line="360" w:lineRule="auto"/>
              <w:ind w:firstLine="480" w:firstLineChars="200"/>
              <w:jc w:val="left"/>
              <w:rPr>
                <w:color w:val="auto"/>
                <w:sz w:val="24"/>
                <w:u w:val="single" w:color="auto"/>
              </w:rPr>
            </w:pPr>
            <w:r>
              <w:rPr>
                <w:rFonts w:hint="eastAsia"/>
                <w:color w:val="auto"/>
                <w:sz w:val="24"/>
                <w:u w:val="single" w:color="auto"/>
              </w:rPr>
              <w:t>⑤生产车间</w:t>
            </w:r>
            <w:r>
              <w:rPr>
                <w:color w:val="auto"/>
                <w:sz w:val="24"/>
                <w:u w:val="single" w:color="auto"/>
              </w:rPr>
              <w:t>地面应</w:t>
            </w:r>
            <w:r>
              <w:rPr>
                <w:rFonts w:hint="eastAsia"/>
                <w:color w:val="auto"/>
                <w:sz w:val="24"/>
                <w:u w:val="single" w:color="auto"/>
              </w:rPr>
              <w:t>及时保持</w:t>
            </w:r>
            <w:r>
              <w:rPr>
                <w:color w:val="auto"/>
                <w:sz w:val="24"/>
                <w:u w:val="single" w:color="auto"/>
              </w:rPr>
              <w:t>干净，产生的废弃物应及时分类收集，及时转运。废弃物转运时，运输车辆需密闭，防止泄漏。</w:t>
            </w:r>
          </w:p>
          <w:p w14:paraId="53DD6B8A">
            <w:pPr>
              <w:spacing w:line="360" w:lineRule="auto"/>
              <w:ind w:firstLine="480" w:firstLineChars="200"/>
              <w:jc w:val="left"/>
              <w:rPr>
                <w:color w:val="auto"/>
                <w:sz w:val="24"/>
                <w:u w:val="single" w:color="auto"/>
              </w:rPr>
            </w:pPr>
            <w:r>
              <w:rPr>
                <w:rFonts w:hint="eastAsia"/>
                <w:color w:val="auto"/>
                <w:sz w:val="24"/>
                <w:u w:val="single" w:color="auto"/>
              </w:rPr>
              <w:t>（2）</w:t>
            </w:r>
            <w:r>
              <w:rPr>
                <w:color w:val="auto"/>
                <w:sz w:val="24"/>
                <w:u w:val="single" w:color="auto"/>
              </w:rPr>
              <w:t>企业设置专门的危废暂存</w:t>
            </w:r>
            <w:r>
              <w:rPr>
                <w:rFonts w:hint="eastAsia"/>
                <w:color w:val="auto"/>
                <w:sz w:val="24"/>
                <w:u w:val="single" w:color="auto"/>
              </w:rPr>
              <w:t>间</w:t>
            </w:r>
            <w:r>
              <w:rPr>
                <w:color w:val="auto"/>
                <w:sz w:val="24"/>
                <w:u w:val="single" w:color="auto"/>
              </w:rPr>
              <w:t>，并由专人负责危险废物的收集、暂存，避免二次污染</w:t>
            </w:r>
            <w:r>
              <w:rPr>
                <w:rFonts w:hint="eastAsia"/>
                <w:color w:val="auto"/>
                <w:sz w:val="24"/>
                <w:u w:val="single" w:color="auto"/>
                <w:lang w:eastAsia="zh-CN"/>
              </w:rPr>
              <w:t>，</w:t>
            </w:r>
            <w:r>
              <w:rPr>
                <w:rFonts w:hint="eastAsia"/>
                <w:color w:val="auto"/>
                <w:sz w:val="24"/>
                <w:u w:val="single" w:color="auto"/>
                <w:lang w:val="en-US" w:eastAsia="zh-CN"/>
              </w:rPr>
              <w:t>做好</w:t>
            </w:r>
            <w:r>
              <w:rPr>
                <w:color w:val="auto"/>
                <w:sz w:val="24"/>
                <w:u w:val="single" w:color="auto"/>
              </w:rPr>
              <w:t>防风、防雨、防晒、防渗漏。具体要求如下：</w:t>
            </w:r>
          </w:p>
          <w:p w14:paraId="02ABDCD4">
            <w:pPr>
              <w:spacing w:line="360" w:lineRule="auto"/>
              <w:ind w:firstLine="480" w:firstLineChars="200"/>
              <w:jc w:val="left"/>
              <w:rPr>
                <w:rFonts w:ascii="Times New Roman" w:hAnsi="Times New Roman" w:eastAsia="宋体" w:cs="Times New Roman"/>
                <w:color w:val="auto"/>
                <w:sz w:val="24"/>
                <w:u w:val="single" w:color="auto"/>
              </w:rPr>
            </w:pPr>
            <w:r>
              <w:rPr>
                <w:rFonts w:hint="eastAsia" w:ascii="Times New Roman" w:hAnsi="Times New Roman" w:eastAsia="宋体" w:cs="Times New Roman"/>
                <w:color w:val="auto"/>
                <w:sz w:val="24"/>
                <w:u w:val="single" w:color="auto"/>
              </w:rPr>
              <w:t>①</w:t>
            </w:r>
            <w:r>
              <w:rPr>
                <w:rFonts w:hint="eastAsia" w:ascii="Times New Roman" w:hAnsi="Times New Roman" w:eastAsia="宋体" w:cs="Times New Roman"/>
                <w:color w:val="auto"/>
                <w:sz w:val="24"/>
                <w:u w:val="single" w:color="auto"/>
                <w:lang w:val="en-US" w:eastAsia="zh-CN"/>
              </w:rPr>
              <w:t>贮存危险废物应根据危险废物的类别、形态、物理化学性质和污染防治要求进行分类贮存，且应避免危险废物与不相容的物质或材料接触</w:t>
            </w:r>
            <w:r>
              <w:rPr>
                <w:rFonts w:ascii="Times New Roman" w:hAnsi="Times New Roman" w:eastAsia="宋体" w:cs="Times New Roman"/>
                <w:color w:val="auto"/>
                <w:sz w:val="24"/>
                <w:u w:val="single" w:color="auto"/>
              </w:rPr>
              <w:t>。</w:t>
            </w:r>
          </w:p>
          <w:p w14:paraId="57BCABE2">
            <w:pPr>
              <w:spacing w:line="360" w:lineRule="auto"/>
              <w:ind w:firstLine="480" w:firstLineChars="200"/>
              <w:jc w:val="left"/>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②危险废物贮存过程产生的液态废物和固态废物应分类收集，按其环境管理要求妥善处理。</w:t>
            </w:r>
          </w:p>
          <w:p w14:paraId="0B9E6C8C">
            <w:pPr>
              <w:spacing w:line="360" w:lineRule="auto"/>
              <w:ind w:firstLine="480" w:firstLineChars="200"/>
              <w:jc w:val="left"/>
              <w:rPr>
                <w:rFonts w:ascii="Times New Roman" w:hAnsi="Times New Roman" w:eastAsia="宋体" w:cs="Times New Roman"/>
                <w:color w:val="auto"/>
                <w:sz w:val="24"/>
                <w:u w:val="single" w:color="auto"/>
              </w:rPr>
            </w:pPr>
            <w:r>
              <w:rPr>
                <w:rFonts w:hint="eastAsia" w:ascii="Times New Roman" w:hAnsi="Times New Roman" w:eastAsia="宋体" w:cs="Times New Roman"/>
                <w:color w:val="auto"/>
                <w:sz w:val="24"/>
                <w:u w:val="single" w:color="auto"/>
              </w:rPr>
              <w:t>③</w:t>
            </w:r>
            <w:r>
              <w:rPr>
                <w:rFonts w:hint="eastAsia" w:ascii="Times New Roman" w:hAnsi="Times New Roman" w:eastAsia="宋体" w:cs="Times New Roman"/>
                <w:color w:val="auto"/>
                <w:sz w:val="24"/>
                <w:u w:val="single" w:color="auto"/>
                <w:lang w:val="en-US" w:eastAsia="zh-CN"/>
              </w:rPr>
              <w:t>贮存设施或场所、容器和包装物应按《危险废物识别标志设置技术规范》（</w:t>
            </w:r>
            <w:r>
              <w:rPr>
                <w:rFonts w:hint="default" w:ascii="Times New Roman" w:hAnsi="Times New Roman" w:eastAsia="宋体" w:cs="Times New Roman"/>
                <w:color w:val="auto"/>
                <w:sz w:val="24"/>
                <w:u w:val="single" w:color="auto"/>
                <w:lang w:val="en-US" w:eastAsia="zh-CN"/>
              </w:rPr>
              <w:t>HJ 1276</w:t>
            </w:r>
            <w:r>
              <w:rPr>
                <w:rFonts w:hint="eastAsia" w:ascii="Times New Roman" w:hAnsi="Times New Roman" w:eastAsia="宋体" w:cs="Times New Roman"/>
                <w:color w:val="auto"/>
                <w:sz w:val="24"/>
                <w:u w:val="single" w:color="auto"/>
                <w:lang w:val="en-US" w:eastAsia="zh-CN"/>
              </w:rPr>
              <w:t>-2022）要求设置危险废物贮存设施或场所标志、危险废物贮存分区标志和危险废物标签等危险废物识别标志。</w:t>
            </w:r>
          </w:p>
          <w:p w14:paraId="4EB3852D">
            <w:pPr>
              <w:bidi w:val="0"/>
              <w:rPr>
                <w:rFonts w:hint="default" w:ascii="Times New Roman" w:hAnsi="Times New Roman" w:cs="Times New Roman"/>
                <w:color w:val="auto"/>
                <w:u w:val="single" w:color="auto"/>
                <w:lang w:val="en-US" w:eastAsia="zh-CN"/>
              </w:rPr>
            </w:pPr>
            <w:r>
              <w:rPr>
                <w:rFonts w:hint="eastAsia" w:ascii="Times New Roman" w:hAnsi="Times New Roman" w:eastAsia="宋体" w:cs="Times New Roman"/>
                <w:color w:val="auto"/>
                <w:sz w:val="24"/>
                <w:u w:val="single" w:color="auto"/>
              </w:rPr>
              <w:t>④</w:t>
            </w:r>
            <w:r>
              <w:rPr>
                <w:rFonts w:ascii="Times New Roman" w:hAnsi="Times New Roman" w:eastAsia="宋体" w:cs="Times New Roman"/>
                <w:color w:val="auto"/>
                <w:sz w:val="24"/>
                <w:u w:val="single" w:color="auto"/>
              </w:rPr>
              <w:t>作好危险废</w:t>
            </w:r>
            <w:r>
              <w:rPr>
                <w:color w:val="auto"/>
                <w:sz w:val="24"/>
                <w:u w:val="single" w:color="auto"/>
              </w:rPr>
              <w:t>物情况的记录。记录上须注明危险废物的名称、来源、数量、特性和包装容器的类别、入库日期、存放库位、废物出库日期及接收单位名称。危险废物的记录和货单在危险废物回取后应继续保留</w:t>
            </w:r>
            <w:r>
              <w:rPr>
                <w:rFonts w:hint="eastAsia"/>
                <w:color w:val="auto"/>
                <w:sz w:val="24"/>
                <w:u w:val="single" w:color="auto"/>
                <w:lang w:val="en-US" w:eastAsia="zh-CN"/>
              </w:rPr>
              <w:t>3</w:t>
            </w:r>
            <w:r>
              <w:rPr>
                <w:color w:val="auto"/>
                <w:sz w:val="24"/>
                <w:u w:val="single" w:color="auto"/>
              </w:rPr>
              <w:t>年。</w:t>
            </w:r>
          </w:p>
          <w:p w14:paraId="4A173018">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10</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本项目对地下水、土壤影响分析</w:t>
            </w:r>
          </w:p>
          <w:p w14:paraId="1D69EF19">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本项目不新增生活污</w:t>
            </w:r>
            <w:r>
              <w:rPr>
                <w:rFonts w:hint="eastAsia" w:ascii="Times New Roman" w:hAnsi="Times New Roman" w:eastAsia="宋体" w:cs="Times New Roman"/>
                <w:color w:val="auto"/>
                <w:u w:val="none" w:color="auto"/>
                <w:lang w:val="en-US" w:eastAsia="zh-CN"/>
              </w:rPr>
              <w:t>水，</w:t>
            </w:r>
            <w:r>
              <w:rPr>
                <w:rFonts w:hint="eastAsia" w:ascii="Times New Roman" w:hAnsi="Times New Roman" w:eastAsia="宋体" w:cs="Times New Roman"/>
                <w:color w:val="auto"/>
                <w:kern w:val="2"/>
                <w:sz w:val="24"/>
                <w:szCs w:val="24"/>
                <w:u w:val="none" w:color="auto"/>
                <w:lang w:val="en-US" w:eastAsia="zh-CN" w:bidi="ar"/>
              </w:rPr>
              <w:t>经污水处理站预处理后的屠宰生产废水及车辆清洗废水一起进入市政污水管网，排入卢峰镇污水处理厂处理</w:t>
            </w:r>
            <w:r>
              <w:rPr>
                <w:rFonts w:hint="eastAsia" w:ascii="Times New Roman" w:hAnsi="Times New Roman" w:eastAsia="宋体" w:cs="Times New Roman"/>
                <w:color w:val="auto"/>
                <w:u w:val="none" w:color="auto"/>
                <w:lang w:val="en-US" w:eastAsia="zh-CN"/>
              </w:rPr>
              <w:t>。本项</w:t>
            </w:r>
            <w:r>
              <w:rPr>
                <w:rFonts w:hint="eastAsia" w:cs="Times New Roman"/>
                <w:color w:val="auto"/>
                <w:u w:val="none" w:color="auto"/>
                <w:lang w:val="en-US" w:eastAsia="zh-CN"/>
              </w:rPr>
              <w:t>目危险废物均暂存于危废暂存间，危废暂存间按本评价要求建设后，不存在污染土壤及地下水</w:t>
            </w:r>
            <w:r>
              <w:rPr>
                <w:rFonts w:hint="default" w:ascii="Times New Roman" w:hAnsi="Times New Roman" w:eastAsia="宋体" w:cs="Times New Roman"/>
                <w:color w:val="auto"/>
                <w:kern w:val="2"/>
                <w:sz w:val="24"/>
                <w:szCs w:val="24"/>
                <w:u w:val="none" w:color="auto"/>
                <w:lang w:val="en-US" w:eastAsia="zh-CN" w:bidi="ar-SA"/>
              </w:rPr>
              <w:t>，不会对地下水及土壤环境造</w:t>
            </w:r>
            <w:r>
              <w:rPr>
                <w:rFonts w:hint="default" w:ascii="Times New Roman" w:hAnsi="Times New Roman" w:cs="Times New Roman"/>
                <w:color w:val="auto"/>
                <w:kern w:val="2"/>
                <w:sz w:val="24"/>
                <w:szCs w:val="24"/>
                <w:u w:val="none" w:color="auto"/>
                <w:lang w:val="en-US" w:eastAsia="zh-CN" w:bidi="ar-SA"/>
              </w:rPr>
              <w:t>成影响</w:t>
            </w:r>
            <w:r>
              <w:rPr>
                <w:rFonts w:hint="default" w:ascii="Times New Roman" w:hAnsi="Times New Roman" w:eastAsia="宋体" w:cs="Times New Roman"/>
                <w:color w:val="auto"/>
                <w:kern w:val="2"/>
                <w:sz w:val="24"/>
                <w:szCs w:val="24"/>
                <w:u w:val="none" w:color="auto"/>
                <w:lang w:val="en-US" w:eastAsia="zh-CN" w:bidi="ar-SA"/>
              </w:rPr>
              <w:t>。</w:t>
            </w:r>
            <w:r>
              <w:rPr>
                <w:rFonts w:hint="default" w:ascii="Times New Roman" w:hAnsi="Times New Roman" w:cs="Times New Roman"/>
                <w:color w:val="auto"/>
                <w:u w:val="none" w:color="auto"/>
                <w:lang w:val="en-US" w:eastAsia="zh-CN"/>
              </w:rPr>
              <w:t>项目不需要进行地下水、土壤跟踪监测。</w:t>
            </w:r>
          </w:p>
          <w:p w14:paraId="11AA89CC">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11</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环境风险</w:t>
            </w:r>
          </w:p>
          <w:p w14:paraId="7ED9C2D7">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11</w:t>
            </w:r>
            <w:r>
              <w:rPr>
                <w:rFonts w:hint="default" w:ascii="Times New Roman" w:hAnsi="Times New Roman" w:cs="Times New Roman"/>
                <w:b/>
                <w:bCs/>
                <w:color w:val="auto"/>
                <w:u w:val="none" w:color="auto"/>
                <w:lang w:val="en-US" w:eastAsia="zh-CN"/>
              </w:rPr>
              <w:t xml:space="preserve">.1 </w:t>
            </w:r>
            <w:r>
              <w:rPr>
                <w:rFonts w:hint="default" w:ascii="Times New Roman" w:hAnsi="Times New Roman" w:eastAsia="黑体" w:cs="Times New Roman"/>
                <w:b/>
                <w:bCs/>
                <w:color w:val="auto"/>
                <w:u w:val="none" w:color="auto"/>
                <w:lang w:val="en-US" w:eastAsia="zh-CN"/>
              </w:rPr>
              <w:t>风险物质识别</w:t>
            </w:r>
          </w:p>
          <w:p w14:paraId="03C928E0">
            <w:pPr>
              <w:bidi w:val="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根据生态环境部办公厅2020年12月24日印发的《建设项目环境影响报告表编制 技术指南（污染影响类）（试行）》中具体编制要求“明确有毒有害和易燃易爆等风险物质和风险源分布及可能影响途径，并提出相应环境风险防范措施”，本项目主要环境风险物质为</w:t>
            </w:r>
            <w:r>
              <w:rPr>
                <w:rFonts w:hint="default" w:ascii="Times New Roman" w:hAnsi="Times New Roman" w:eastAsia="宋体" w:cs="Times New Roman"/>
                <w:color w:val="auto"/>
                <w:sz w:val="24"/>
                <w:szCs w:val="24"/>
                <w:u w:val="none" w:color="auto"/>
                <w:vertAlign w:val="baseline"/>
                <w:lang w:val="en-US" w:eastAsia="zh-CN"/>
              </w:rPr>
              <w:t>项目</w:t>
            </w:r>
            <w:r>
              <w:rPr>
                <w:rFonts w:hint="eastAsia" w:cs="Times New Roman"/>
                <w:color w:val="auto"/>
                <w:sz w:val="24"/>
                <w:szCs w:val="24"/>
                <w:u w:val="none" w:color="auto"/>
                <w:vertAlign w:val="baseline"/>
                <w:lang w:val="en-US" w:eastAsia="zh-CN"/>
              </w:rPr>
              <w:t>生产</w:t>
            </w:r>
            <w:r>
              <w:rPr>
                <w:rFonts w:hint="default" w:ascii="Times New Roman" w:hAnsi="Times New Roman" w:eastAsia="宋体" w:cs="Times New Roman"/>
                <w:color w:val="auto"/>
                <w:sz w:val="24"/>
                <w:szCs w:val="24"/>
                <w:u w:val="none" w:color="auto"/>
                <w:vertAlign w:val="baseline"/>
                <w:lang w:val="en-US" w:eastAsia="zh-CN"/>
              </w:rPr>
              <w:t>原</w:t>
            </w:r>
            <w:r>
              <w:rPr>
                <w:rFonts w:hint="eastAsia" w:cs="Times New Roman"/>
                <w:color w:val="auto"/>
                <w:sz w:val="24"/>
                <w:szCs w:val="24"/>
                <w:u w:val="none" w:color="auto"/>
                <w:vertAlign w:val="baseline"/>
                <w:lang w:val="en-US" w:eastAsia="zh-CN"/>
              </w:rPr>
              <w:t>辅</w:t>
            </w:r>
            <w:r>
              <w:rPr>
                <w:rFonts w:hint="default" w:ascii="Times New Roman" w:hAnsi="Times New Roman" w:eastAsia="宋体" w:cs="Times New Roman"/>
                <w:color w:val="auto"/>
                <w:sz w:val="24"/>
                <w:szCs w:val="24"/>
                <w:u w:val="none" w:color="auto"/>
                <w:vertAlign w:val="baseline"/>
                <w:lang w:val="en-US" w:eastAsia="zh-CN"/>
              </w:rPr>
              <w:t>料（</w:t>
            </w:r>
            <w:r>
              <w:rPr>
                <w:rFonts w:hint="eastAsia" w:cs="Times New Roman"/>
                <w:color w:val="auto"/>
                <w:sz w:val="24"/>
                <w:szCs w:val="24"/>
                <w:u w:val="none" w:color="auto"/>
                <w:vertAlign w:val="baseline"/>
                <w:lang w:val="en-US" w:eastAsia="zh-CN"/>
              </w:rPr>
              <w:t>消毒剂</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PCR试剂</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、污水处理站原辅料（PA</w:t>
            </w:r>
            <w:r>
              <w:rPr>
                <w:rFonts w:hint="default" w:cs="Times New Roman"/>
                <w:color w:val="auto"/>
                <w:sz w:val="24"/>
                <w:szCs w:val="24"/>
                <w:u w:val="none" w:color="auto"/>
                <w:vertAlign w:val="baseline"/>
                <w:lang w:val="en-US" w:eastAsia="zh-CN"/>
              </w:rPr>
              <w:t>C、PAM、氢氧化钠、</w:t>
            </w:r>
            <w:r>
              <w:rPr>
                <w:rFonts w:ascii="Times New Roman" w:hAnsi="Times New Roman" w:eastAsia="宋体" w:cs="Times New Roman"/>
                <w:color w:val="auto"/>
                <w:spacing w:val="0"/>
                <w:sz w:val="24"/>
                <w:szCs w:val="24"/>
                <w:u w:val="none" w:color="auto"/>
              </w:rPr>
              <w:t>二氯异氰脲酸钠粉</w:t>
            </w:r>
            <w:r>
              <w:rPr>
                <w:rFonts w:hint="default" w:cs="Times New Roman"/>
                <w:color w:val="auto"/>
                <w:spacing w:val="0"/>
                <w:sz w:val="24"/>
                <w:szCs w:val="24"/>
                <w:u w:val="none" w:color="auto"/>
                <w:lang w:eastAsia="zh-CN"/>
              </w:rPr>
              <w:t>、</w:t>
            </w:r>
            <w:r>
              <w:rPr>
                <w:rFonts w:ascii="Times New Roman" w:hAnsi="Times New Roman" w:eastAsia="宋体" w:cs="Times New Roman"/>
                <w:color w:val="auto"/>
                <w:spacing w:val="0"/>
                <w:sz w:val="24"/>
                <w:szCs w:val="24"/>
                <w:u w:val="none" w:color="auto"/>
              </w:rPr>
              <w:t>月苄三甲氯铵溶液</w:t>
            </w:r>
            <w:r>
              <w:rPr>
                <w:rFonts w:hint="default" w:cs="Times New Roman"/>
                <w:color w:val="auto"/>
                <w:sz w:val="24"/>
                <w:szCs w:val="24"/>
                <w:u w:val="none" w:color="auto"/>
                <w:vertAlign w:val="baseline"/>
                <w:lang w:val="en-US" w:eastAsia="zh-CN"/>
              </w:rPr>
              <w:t>）</w:t>
            </w:r>
            <w:r>
              <w:rPr>
                <w:rFonts w:hint="default" w:ascii="Times New Roman" w:hAnsi="Times New Roman" w:eastAsia="宋体" w:cs="Times New Roman"/>
                <w:color w:val="auto"/>
                <w:sz w:val="24"/>
                <w:szCs w:val="24"/>
                <w:u w:val="none" w:color="auto"/>
                <w:vertAlign w:val="baseline"/>
                <w:lang w:val="en-US" w:eastAsia="zh-CN"/>
              </w:rPr>
              <w:t>以及危险废物（</w:t>
            </w:r>
            <w:r>
              <w:rPr>
                <w:rFonts w:hint="eastAsia" w:cs="Times New Roman"/>
                <w:color w:val="auto"/>
                <w:sz w:val="24"/>
                <w:szCs w:val="24"/>
                <w:u w:val="none" w:color="auto"/>
                <w:vertAlign w:val="baseline"/>
                <w:lang w:val="en-US" w:eastAsia="zh-CN"/>
              </w:rPr>
              <w:t>沾染有毒有害物质的废包装材料及</w:t>
            </w:r>
            <w:r>
              <w:rPr>
                <w:rFonts w:hint="default" w:ascii="Times New Roman" w:hAnsi="Times New Roman" w:eastAsia="宋体" w:cs="Times New Roman"/>
                <w:color w:val="auto"/>
                <w:kern w:val="2"/>
                <w:sz w:val="24"/>
                <w:szCs w:val="24"/>
                <w:u w:val="none" w:color="auto"/>
                <w:vertAlign w:val="baseline"/>
                <w:lang w:val="en-US" w:eastAsia="zh-CN"/>
              </w:rPr>
              <w:t>实验室、检疫室废弃物</w:t>
            </w:r>
            <w:r>
              <w:rPr>
                <w:rFonts w:hint="eastAsia" w:cs="Times New Roman"/>
                <w:color w:val="auto"/>
                <w:sz w:val="24"/>
                <w:szCs w:val="24"/>
                <w:u w:val="none" w:color="auto"/>
                <w:vertAlign w:val="baseline"/>
                <w:lang w:val="en-US" w:eastAsia="zh-CN"/>
              </w:rPr>
              <w:t>等</w:t>
            </w:r>
            <w:r>
              <w:rPr>
                <w:rFonts w:hint="default" w:ascii="Times New Roman" w:hAnsi="Times New Roman" w:eastAsia="宋体" w:cs="Times New Roman"/>
                <w:color w:val="auto"/>
                <w:sz w:val="24"/>
                <w:szCs w:val="24"/>
                <w:u w:val="none" w:color="auto"/>
                <w:vertAlign w:val="baseline"/>
                <w:lang w:val="en-US" w:eastAsia="zh-CN"/>
              </w:rPr>
              <w:t>）</w:t>
            </w:r>
            <w:r>
              <w:rPr>
                <w:rFonts w:hint="default" w:ascii="Times New Roman" w:hAnsi="Times New Roman" w:eastAsia="宋体" w:cs="Times New Roman"/>
                <w:color w:val="auto"/>
                <w:u w:val="none" w:color="auto"/>
                <w:lang w:val="en-US" w:eastAsia="zh-CN"/>
              </w:rPr>
              <w:t>。</w:t>
            </w:r>
            <w:r>
              <w:rPr>
                <w:rFonts w:hint="default" w:cs="Times New Roman"/>
                <w:color w:val="auto"/>
                <w:u w:val="none" w:color="auto"/>
                <w:lang w:val="en-US" w:eastAsia="zh-CN"/>
              </w:rPr>
              <w:t>本项目</w:t>
            </w:r>
            <w:r>
              <w:rPr>
                <w:rFonts w:hint="default" w:ascii="Times New Roman" w:hAnsi="Times New Roman" w:eastAsia="宋体" w:cs="Times New Roman"/>
                <w:color w:val="auto"/>
                <w:u w:val="none" w:color="auto"/>
                <w:lang w:val="en-US" w:eastAsia="zh-CN"/>
              </w:rPr>
              <w:t>环境风险物质储存情况详见下表。</w:t>
            </w:r>
          </w:p>
          <w:p w14:paraId="03294D96">
            <w:pPr>
              <w:bidi w:val="0"/>
              <w:ind w:left="0" w:leftChars="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11</w:t>
            </w:r>
            <w:r>
              <w:rPr>
                <w:rFonts w:hint="default" w:ascii="Times New Roman" w:hAnsi="Times New Roman" w:cs="Times New Roman"/>
                <w:color w:val="auto"/>
                <w:u w:val="none" w:color="auto"/>
                <w:lang w:val="en-US" w:eastAsia="zh-CN"/>
              </w:rPr>
              <w:t>-1 本项目风险物质一览表</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238"/>
              <w:gridCol w:w="1625"/>
              <w:gridCol w:w="1753"/>
              <w:gridCol w:w="2029"/>
            </w:tblGrid>
            <w:tr w14:paraId="41D2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572" w:type="pct"/>
                  <w:noWrap w:val="0"/>
                  <w:vAlign w:val="center"/>
                </w:tcPr>
                <w:p w14:paraId="2C289C3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1296" w:type="pct"/>
                  <w:noWrap w:val="0"/>
                  <w:vAlign w:val="center"/>
                </w:tcPr>
                <w:p w14:paraId="080E354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t>名称</w:t>
                  </w:r>
                </w:p>
              </w:tc>
              <w:tc>
                <w:tcPr>
                  <w:tcW w:w="941" w:type="pct"/>
                  <w:noWrap w:val="0"/>
                  <w:vAlign w:val="center"/>
                </w:tcPr>
                <w:p w14:paraId="159584F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rPr>
                    <w:t>最大暂存量</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t</w:t>
                  </w:r>
                  <w:r>
                    <w:rPr>
                      <w:rFonts w:hint="default" w:ascii="Times New Roman" w:hAnsi="Times New Roman" w:cs="Times New Roman"/>
                      <w:color w:val="auto"/>
                      <w:u w:val="none" w:color="auto"/>
                      <w:lang w:eastAsia="zh-CN"/>
                    </w:rPr>
                    <w:t>）</w:t>
                  </w:r>
                </w:p>
              </w:tc>
              <w:tc>
                <w:tcPr>
                  <w:tcW w:w="1015" w:type="pct"/>
                  <w:noWrap w:val="0"/>
                  <w:vAlign w:val="center"/>
                </w:tcPr>
                <w:p w14:paraId="62074C1D">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有害成分</w:t>
                  </w:r>
                </w:p>
              </w:tc>
              <w:tc>
                <w:tcPr>
                  <w:tcW w:w="1175" w:type="pct"/>
                  <w:noWrap w:val="0"/>
                  <w:vAlign w:val="center"/>
                </w:tcPr>
                <w:p w14:paraId="2D234F2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分布情况</w:t>
                  </w:r>
                </w:p>
              </w:tc>
            </w:tr>
            <w:tr w14:paraId="4083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2" w:type="pct"/>
                  <w:noWrap w:val="0"/>
                  <w:vAlign w:val="center"/>
                </w:tcPr>
                <w:p w14:paraId="3C9B6F7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bookmarkStart w:id="1838" w:name="OLE_LINK166" w:colFirst="2" w:colLast="2"/>
                  <w:r>
                    <w:rPr>
                      <w:rFonts w:hint="default" w:ascii="Times New Roman" w:hAnsi="Times New Roman" w:cs="Times New Roman"/>
                      <w:color w:val="auto"/>
                      <w:u w:val="none" w:color="auto"/>
                      <w:lang w:val="en-US" w:eastAsia="zh-CN"/>
                    </w:rPr>
                    <w:t>1</w:t>
                  </w:r>
                </w:p>
              </w:tc>
              <w:tc>
                <w:tcPr>
                  <w:tcW w:w="1296" w:type="pct"/>
                  <w:noWrap w:val="0"/>
                  <w:vAlign w:val="center"/>
                </w:tcPr>
                <w:p w14:paraId="6F045BE0">
                  <w:pPr>
                    <w:adjustRightInd/>
                    <w:snapToGrid/>
                    <w:spacing w:line="240" w:lineRule="auto"/>
                    <w:ind w:firstLine="0" w:firstLineChars="0"/>
                    <w:jc w:val="center"/>
                    <w:rPr>
                      <w:rFonts w:hint="default" w:ascii="Times New Roman" w:hAnsi="Times New Roman" w:cs="Times New Roman"/>
                      <w:color w:val="auto"/>
                      <w:u w:val="none" w:color="auto"/>
                      <w:lang w:val="en-US" w:eastAsia="zh-CN"/>
                    </w:rPr>
                  </w:pPr>
                  <w:r>
                    <w:rPr>
                      <w:rFonts w:ascii="Times New Roman" w:hAnsi="Times New Roman" w:eastAsia="宋体" w:cs="Times New Roman"/>
                      <w:color w:val="auto"/>
                      <w:spacing w:val="0"/>
                      <w:sz w:val="21"/>
                      <w:szCs w:val="21"/>
                      <w:u w:val="none" w:color="auto"/>
                    </w:rPr>
                    <w:t>二氯异氰脲酸钠粉</w:t>
                  </w:r>
                </w:p>
              </w:tc>
              <w:tc>
                <w:tcPr>
                  <w:tcW w:w="941" w:type="pct"/>
                  <w:shd w:val="clear" w:color="auto" w:fill="auto"/>
                  <w:noWrap w:val="0"/>
                  <w:vAlign w:val="center"/>
                </w:tcPr>
                <w:p w14:paraId="3AB0C3D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1.8</w:t>
                  </w:r>
                </w:p>
              </w:tc>
              <w:tc>
                <w:tcPr>
                  <w:tcW w:w="1015" w:type="pct"/>
                  <w:shd w:val="clear" w:color="auto" w:fill="auto"/>
                  <w:noWrap w:val="0"/>
                  <w:vAlign w:val="center"/>
                </w:tcPr>
                <w:p w14:paraId="5272B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cs="Times New Roman"/>
                      <w:color w:val="auto"/>
                      <w:sz w:val="21"/>
                      <w:szCs w:val="21"/>
                      <w:u w:val="none" w:color="auto"/>
                      <w:vertAlign w:val="baseline"/>
                      <w:lang w:val="en-US" w:eastAsia="zh-CN"/>
                    </w:rPr>
                    <w:t>有毒有害物质</w:t>
                  </w:r>
                </w:p>
              </w:tc>
              <w:tc>
                <w:tcPr>
                  <w:tcW w:w="1175" w:type="pct"/>
                  <w:vMerge w:val="restart"/>
                  <w:noWrap w:val="0"/>
                  <w:vAlign w:val="center"/>
                </w:tcPr>
                <w:p w14:paraId="61E39B3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污水处理站</w:t>
                  </w:r>
                </w:p>
              </w:tc>
            </w:tr>
            <w:tr w14:paraId="3C81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noWrap w:val="0"/>
                  <w:vAlign w:val="center"/>
                </w:tcPr>
                <w:p w14:paraId="016C12C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w:t>
                  </w:r>
                </w:p>
              </w:tc>
              <w:tc>
                <w:tcPr>
                  <w:tcW w:w="1296" w:type="pct"/>
                  <w:noWrap w:val="0"/>
                  <w:vAlign w:val="center"/>
                </w:tcPr>
                <w:p w14:paraId="0F06EF05">
                  <w:pPr>
                    <w:adjustRightInd/>
                    <w:snapToGrid/>
                    <w:spacing w:line="240" w:lineRule="auto"/>
                    <w:ind w:firstLine="0" w:firstLineChars="0"/>
                    <w:jc w:val="center"/>
                    <w:rPr>
                      <w:rFonts w:hint="default" w:ascii="Times New Roman" w:hAnsi="Times New Roman" w:eastAsia="宋体" w:cs="Times New Roman"/>
                      <w:color w:val="auto"/>
                      <w:kern w:val="0"/>
                      <w:sz w:val="21"/>
                      <w:szCs w:val="20"/>
                      <w:u w:val="none" w:color="auto"/>
                      <w:lang w:val="en-US" w:eastAsia="zh-CN" w:bidi="ar-SA"/>
                    </w:rPr>
                  </w:pPr>
                  <w:r>
                    <w:rPr>
                      <w:rFonts w:ascii="Times New Roman" w:hAnsi="Times New Roman" w:eastAsia="宋体" w:cs="Times New Roman"/>
                      <w:color w:val="auto"/>
                      <w:spacing w:val="0"/>
                      <w:sz w:val="21"/>
                      <w:szCs w:val="21"/>
                      <w:u w:val="none" w:color="auto"/>
                    </w:rPr>
                    <w:t>月苄三甲氯铵溶液</w:t>
                  </w:r>
                </w:p>
              </w:tc>
              <w:tc>
                <w:tcPr>
                  <w:tcW w:w="941" w:type="pct"/>
                  <w:shd w:val="clear" w:color="auto" w:fill="auto"/>
                  <w:noWrap w:val="0"/>
                  <w:vAlign w:val="center"/>
                </w:tcPr>
                <w:p w14:paraId="122A568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w:t>
                  </w:r>
                </w:p>
              </w:tc>
              <w:tc>
                <w:tcPr>
                  <w:tcW w:w="1015" w:type="pct"/>
                  <w:shd w:val="clear" w:color="auto" w:fill="auto"/>
                  <w:noWrap w:val="0"/>
                  <w:vAlign w:val="center"/>
                </w:tcPr>
                <w:p w14:paraId="5881F4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u w:val="none" w:color="auto"/>
                      <w:lang w:val="en-US" w:eastAsia="zh-CN" w:bidi="ar-SA"/>
                    </w:rPr>
                  </w:pPr>
                  <w:r>
                    <w:rPr>
                      <w:rFonts w:hint="eastAsia" w:cs="Times New Roman"/>
                      <w:color w:val="auto"/>
                      <w:sz w:val="21"/>
                      <w:szCs w:val="21"/>
                      <w:u w:val="none" w:color="auto"/>
                      <w:vertAlign w:val="baseline"/>
                      <w:lang w:val="en-US" w:eastAsia="zh-CN"/>
                    </w:rPr>
                    <w:t>有毒有害物质</w:t>
                  </w:r>
                </w:p>
              </w:tc>
              <w:tc>
                <w:tcPr>
                  <w:tcW w:w="1175" w:type="pct"/>
                  <w:vMerge w:val="continue"/>
                  <w:noWrap w:val="0"/>
                  <w:vAlign w:val="center"/>
                </w:tcPr>
                <w:p w14:paraId="0AFEB90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0"/>
                      <w:u w:val="none" w:color="auto"/>
                      <w:lang w:val="en-US" w:eastAsia="zh-CN" w:bidi="ar-SA"/>
                    </w:rPr>
                  </w:pPr>
                </w:p>
              </w:tc>
            </w:tr>
            <w:tr w14:paraId="4C78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noWrap w:val="0"/>
                  <w:vAlign w:val="center"/>
                </w:tcPr>
                <w:p w14:paraId="04D2390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w:t>
                  </w:r>
                </w:p>
              </w:tc>
              <w:tc>
                <w:tcPr>
                  <w:tcW w:w="1296" w:type="pct"/>
                  <w:noWrap w:val="0"/>
                  <w:vAlign w:val="center"/>
                </w:tcPr>
                <w:p w14:paraId="3D9CDED9">
                  <w:pPr>
                    <w:adjustRightInd/>
                    <w:snapToGrid/>
                    <w:spacing w:line="240" w:lineRule="auto"/>
                    <w:ind w:firstLine="0" w:firstLineChars="0"/>
                    <w:jc w:val="center"/>
                    <w:rPr>
                      <w:rFonts w:hint="default" w:ascii="Times New Roman" w:hAnsi="Times New Roman" w:eastAsia="宋体" w:cs="Times New Roman"/>
                      <w:color w:val="auto"/>
                      <w:kern w:val="0"/>
                      <w:sz w:val="21"/>
                      <w:szCs w:val="20"/>
                      <w:u w:val="none" w:color="auto"/>
                      <w:lang w:val="en-US" w:eastAsia="zh-CN" w:bidi="ar-SA"/>
                    </w:rPr>
                  </w:pPr>
                  <w:r>
                    <w:rPr>
                      <w:rFonts w:ascii="Times New Roman" w:hAnsi="Times New Roman" w:eastAsia="宋体" w:cs="Times New Roman"/>
                      <w:color w:val="auto"/>
                      <w:spacing w:val="0"/>
                      <w:sz w:val="21"/>
                      <w:szCs w:val="21"/>
                      <w:u w:val="none" w:color="auto"/>
                    </w:rPr>
                    <w:t>氢氧化钠</w:t>
                  </w:r>
                </w:p>
              </w:tc>
              <w:tc>
                <w:tcPr>
                  <w:tcW w:w="941" w:type="pct"/>
                  <w:shd w:val="clear" w:color="auto" w:fill="auto"/>
                  <w:noWrap w:val="0"/>
                  <w:vAlign w:val="center"/>
                </w:tcPr>
                <w:p w14:paraId="685ABB0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w:t>
                  </w:r>
                </w:p>
              </w:tc>
              <w:tc>
                <w:tcPr>
                  <w:tcW w:w="1015" w:type="pct"/>
                  <w:shd w:val="clear" w:color="auto" w:fill="auto"/>
                  <w:noWrap w:val="0"/>
                  <w:vAlign w:val="center"/>
                </w:tcPr>
                <w:p w14:paraId="0099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u w:val="none" w:color="auto"/>
                      <w:lang w:val="en-US" w:eastAsia="zh-CN" w:bidi="ar-SA"/>
                    </w:rPr>
                  </w:pPr>
                  <w:r>
                    <w:rPr>
                      <w:rFonts w:hint="eastAsia" w:cs="Times New Roman"/>
                      <w:color w:val="auto"/>
                      <w:sz w:val="21"/>
                      <w:szCs w:val="21"/>
                      <w:u w:val="none" w:color="auto"/>
                      <w:vertAlign w:val="baseline"/>
                      <w:lang w:val="en-US" w:eastAsia="zh-CN"/>
                    </w:rPr>
                    <w:t>氢氧化钠</w:t>
                  </w:r>
                </w:p>
              </w:tc>
              <w:tc>
                <w:tcPr>
                  <w:tcW w:w="1175" w:type="pct"/>
                  <w:vMerge w:val="continue"/>
                  <w:noWrap w:val="0"/>
                  <w:vAlign w:val="center"/>
                </w:tcPr>
                <w:p w14:paraId="1B30434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p>
              </w:tc>
            </w:tr>
            <w:tr w14:paraId="273C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shd w:val="clear" w:color="auto" w:fill="auto"/>
                  <w:noWrap w:val="0"/>
                  <w:vAlign w:val="center"/>
                </w:tcPr>
                <w:p w14:paraId="0FB4AAA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4"/>
                      <w:sz w:val="21"/>
                      <w:szCs w:val="21"/>
                      <w:u w:val="none" w:color="auto"/>
                      <w:lang w:val="en-US" w:eastAsia="zh-CN" w:bidi="ar-SA"/>
                    </w:rPr>
                  </w:pPr>
                  <w:r>
                    <w:rPr>
                      <w:rFonts w:hint="default" w:ascii="Times New Roman" w:hAnsi="Times New Roman" w:cs="Times New Roman"/>
                      <w:color w:val="auto"/>
                      <w:u w:val="none" w:color="auto"/>
                      <w:lang w:val="en-US" w:eastAsia="zh-CN"/>
                    </w:rPr>
                    <w:t>4</w:t>
                  </w:r>
                </w:p>
              </w:tc>
              <w:tc>
                <w:tcPr>
                  <w:tcW w:w="1296" w:type="pct"/>
                  <w:shd w:val="clear" w:color="auto" w:fill="auto"/>
                  <w:noWrap w:val="0"/>
                  <w:vAlign w:val="center"/>
                </w:tcPr>
                <w:p w14:paraId="439D31B4">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PAC</w:t>
                  </w:r>
                </w:p>
              </w:tc>
              <w:tc>
                <w:tcPr>
                  <w:tcW w:w="941" w:type="pct"/>
                  <w:shd w:val="clear" w:color="auto" w:fill="auto"/>
                  <w:noWrap w:val="0"/>
                  <w:vAlign w:val="center"/>
                </w:tcPr>
                <w:p w14:paraId="142343C0">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5</w:t>
                  </w:r>
                </w:p>
              </w:tc>
              <w:tc>
                <w:tcPr>
                  <w:tcW w:w="1015" w:type="pct"/>
                  <w:shd w:val="clear" w:color="auto" w:fill="auto"/>
                  <w:noWrap w:val="0"/>
                  <w:vAlign w:val="center"/>
                </w:tcPr>
                <w:p w14:paraId="512CE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有毒有害物质</w:t>
                  </w:r>
                </w:p>
              </w:tc>
              <w:tc>
                <w:tcPr>
                  <w:tcW w:w="1175" w:type="pct"/>
                  <w:vMerge w:val="continue"/>
                  <w:noWrap w:val="0"/>
                  <w:vAlign w:val="center"/>
                </w:tcPr>
                <w:p w14:paraId="0A14C73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p>
              </w:tc>
            </w:tr>
            <w:tr w14:paraId="14E6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shd w:val="clear" w:color="auto" w:fill="auto"/>
                  <w:noWrap w:val="0"/>
                  <w:vAlign w:val="center"/>
                </w:tcPr>
                <w:p w14:paraId="6A0AABD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val="en-US" w:eastAsia="zh-CN"/>
                    </w:rPr>
                    <w:t>5</w:t>
                  </w:r>
                </w:p>
              </w:tc>
              <w:tc>
                <w:tcPr>
                  <w:tcW w:w="1296" w:type="pct"/>
                  <w:shd w:val="clear" w:color="auto" w:fill="auto"/>
                  <w:noWrap w:val="0"/>
                  <w:vAlign w:val="center"/>
                </w:tcPr>
                <w:p w14:paraId="75DA6922">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PAM</w:t>
                  </w:r>
                </w:p>
              </w:tc>
              <w:tc>
                <w:tcPr>
                  <w:tcW w:w="941" w:type="pct"/>
                  <w:shd w:val="clear" w:color="auto" w:fill="auto"/>
                  <w:noWrap w:val="0"/>
                  <w:vAlign w:val="center"/>
                </w:tcPr>
                <w:p w14:paraId="52036697">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5</w:t>
                  </w:r>
                </w:p>
              </w:tc>
              <w:tc>
                <w:tcPr>
                  <w:tcW w:w="1015" w:type="pct"/>
                  <w:shd w:val="clear" w:color="auto" w:fill="auto"/>
                  <w:noWrap w:val="0"/>
                  <w:vAlign w:val="center"/>
                </w:tcPr>
                <w:p w14:paraId="24187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有毒有害物质</w:t>
                  </w:r>
                </w:p>
              </w:tc>
              <w:tc>
                <w:tcPr>
                  <w:tcW w:w="1175" w:type="pct"/>
                  <w:vMerge w:val="continue"/>
                  <w:noWrap w:val="0"/>
                  <w:vAlign w:val="center"/>
                </w:tcPr>
                <w:p w14:paraId="6D0AD73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p>
              </w:tc>
            </w:tr>
            <w:tr w14:paraId="69B5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shd w:val="clear" w:color="auto" w:fill="auto"/>
                  <w:noWrap w:val="0"/>
                  <w:vAlign w:val="center"/>
                </w:tcPr>
                <w:p w14:paraId="30B71ED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6</w:t>
                  </w:r>
                </w:p>
              </w:tc>
              <w:tc>
                <w:tcPr>
                  <w:tcW w:w="1296" w:type="pct"/>
                  <w:shd w:val="clear" w:color="auto" w:fill="auto"/>
                  <w:noWrap w:val="0"/>
                  <w:vAlign w:val="center"/>
                </w:tcPr>
                <w:p w14:paraId="6654EF83">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PCR试剂</w:t>
                  </w:r>
                </w:p>
              </w:tc>
              <w:tc>
                <w:tcPr>
                  <w:tcW w:w="941" w:type="pct"/>
                  <w:shd w:val="clear" w:color="auto" w:fill="auto"/>
                  <w:noWrap w:val="0"/>
                  <w:vAlign w:val="center"/>
                </w:tcPr>
                <w:p w14:paraId="5ADA5DC0">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none" w:color="auto"/>
                      <w:lang w:val="en-US" w:eastAsia="zh-CN" w:bidi="ar-SA"/>
                    </w:rPr>
                  </w:pPr>
                  <w:r>
                    <w:rPr>
                      <w:rFonts w:hint="eastAsia" w:cs="Times New Roman"/>
                      <w:color w:val="auto"/>
                      <w:spacing w:val="0"/>
                      <w:sz w:val="21"/>
                      <w:szCs w:val="21"/>
                      <w:u w:val="none" w:color="auto"/>
                      <w:lang w:val="en-US" w:eastAsia="zh-CN"/>
                    </w:rPr>
                    <w:t>1.5</w:t>
                  </w:r>
                </w:p>
              </w:tc>
              <w:tc>
                <w:tcPr>
                  <w:tcW w:w="1015" w:type="pct"/>
                  <w:shd w:val="clear" w:color="auto" w:fill="auto"/>
                  <w:noWrap w:val="0"/>
                  <w:vAlign w:val="center"/>
                </w:tcPr>
                <w:p w14:paraId="092256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有毒有害物质</w:t>
                  </w:r>
                </w:p>
              </w:tc>
              <w:tc>
                <w:tcPr>
                  <w:tcW w:w="1175" w:type="pct"/>
                  <w:vMerge w:val="restart"/>
                  <w:noWrap w:val="0"/>
                  <w:vAlign w:val="center"/>
                </w:tcPr>
                <w:p w14:paraId="6341CC5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生产车间</w:t>
                  </w:r>
                </w:p>
              </w:tc>
            </w:tr>
            <w:tr w14:paraId="28F8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noWrap w:val="0"/>
                  <w:vAlign w:val="center"/>
                </w:tcPr>
                <w:p w14:paraId="216D72F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7</w:t>
                  </w:r>
                </w:p>
              </w:tc>
              <w:tc>
                <w:tcPr>
                  <w:tcW w:w="1296" w:type="pct"/>
                  <w:shd w:val="clear" w:color="auto" w:fill="auto"/>
                  <w:noWrap w:val="0"/>
                  <w:vAlign w:val="center"/>
                </w:tcPr>
                <w:p w14:paraId="5202CFA6">
                  <w:pPr>
                    <w:adjustRightInd/>
                    <w:snapToGrid/>
                    <w:spacing w:line="240" w:lineRule="auto"/>
                    <w:ind w:firstLine="0" w:firstLineChars="0"/>
                    <w:jc w:val="center"/>
                    <w:rPr>
                      <w:rFonts w:hint="default" w:ascii="Times New Roman" w:hAnsi="Times New Roman" w:eastAsia="宋体" w:cs="Times New Roman"/>
                      <w:color w:val="auto"/>
                      <w:spacing w:val="0"/>
                      <w:kern w:val="2"/>
                      <w:sz w:val="21"/>
                      <w:szCs w:val="21"/>
                      <w:u w:val="none" w:color="auto"/>
                      <w:lang w:val="en-US" w:eastAsia="zh-CN" w:bidi="ar-SA"/>
                    </w:rPr>
                  </w:pPr>
                  <w:r>
                    <w:rPr>
                      <w:rFonts w:hint="eastAsia" w:ascii="Times New Roman" w:hAnsi="Times New Roman" w:eastAsia="宋体" w:cs="Times New Roman"/>
                      <w:color w:val="auto"/>
                      <w:spacing w:val="0"/>
                      <w:sz w:val="21"/>
                      <w:szCs w:val="21"/>
                      <w:u w:val="none" w:color="auto"/>
                      <w:lang w:val="en-US" w:eastAsia="zh-CN"/>
                    </w:rPr>
                    <w:t>消毒剂（卫效）</w:t>
                  </w:r>
                </w:p>
              </w:tc>
              <w:tc>
                <w:tcPr>
                  <w:tcW w:w="941" w:type="pct"/>
                  <w:shd w:val="clear" w:color="auto" w:fill="auto"/>
                  <w:noWrap w:val="0"/>
                  <w:vAlign w:val="center"/>
                </w:tcPr>
                <w:p w14:paraId="6920CC19">
                  <w:pPr>
                    <w:tabs>
                      <w:tab w:val="left" w:pos="1021"/>
                    </w:tabs>
                    <w:adjustRightInd/>
                    <w:snapToGrid/>
                    <w:spacing w:line="360" w:lineRule="exact"/>
                    <w:ind w:firstLine="0" w:firstLineChars="0"/>
                    <w:jc w:val="center"/>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1</w:t>
                  </w:r>
                </w:p>
              </w:tc>
              <w:tc>
                <w:tcPr>
                  <w:tcW w:w="1015" w:type="pct"/>
                  <w:shd w:val="clear" w:color="auto" w:fill="auto"/>
                  <w:noWrap w:val="0"/>
                  <w:vAlign w:val="center"/>
                </w:tcPr>
                <w:p w14:paraId="1FE1F7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有毒有害物质</w:t>
                  </w:r>
                </w:p>
              </w:tc>
              <w:tc>
                <w:tcPr>
                  <w:tcW w:w="1175" w:type="pct"/>
                  <w:vMerge w:val="continue"/>
                  <w:noWrap w:val="0"/>
                  <w:vAlign w:val="center"/>
                </w:tcPr>
                <w:p w14:paraId="3AC4C45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p>
              </w:tc>
            </w:tr>
            <w:tr w14:paraId="5A53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shd w:val="clear" w:color="auto" w:fill="auto"/>
                  <w:noWrap w:val="0"/>
                  <w:vAlign w:val="center"/>
                </w:tcPr>
                <w:p w14:paraId="218C6DD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4"/>
                      <w:sz w:val="21"/>
                      <w:szCs w:val="21"/>
                      <w:u w:val="none" w:color="auto"/>
                      <w:lang w:val="en-US" w:eastAsia="zh-CN" w:bidi="ar-SA"/>
                    </w:rPr>
                  </w:pPr>
                  <w:r>
                    <w:rPr>
                      <w:rFonts w:hint="eastAsia" w:cs="Times New Roman"/>
                      <w:color w:val="auto"/>
                      <w:u w:val="none" w:color="auto"/>
                      <w:lang w:val="en-US" w:eastAsia="zh-CN"/>
                    </w:rPr>
                    <w:t>8</w:t>
                  </w:r>
                </w:p>
              </w:tc>
              <w:tc>
                <w:tcPr>
                  <w:tcW w:w="1296" w:type="pct"/>
                  <w:shd w:val="clear" w:color="auto" w:fill="auto"/>
                  <w:noWrap w:val="0"/>
                  <w:vAlign w:val="center"/>
                </w:tcPr>
                <w:p w14:paraId="31B1B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rPr>
                    <w:t>实验室、检疫室废弃物</w:t>
                  </w:r>
                </w:p>
              </w:tc>
              <w:tc>
                <w:tcPr>
                  <w:tcW w:w="941" w:type="pct"/>
                  <w:shd w:val="clear" w:color="auto" w:fill="auto"/>
                  <w:noWrap w:val="0"/>
                  <w:vAlign w:val="center"/>
                </w:tcPr>
                <w:p w14:paraId="396407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8</w:t>
                  </w:r>
                </w:p>
              </w:tc>
              <w:tc>
                <w:tcPr>
                  <w:tcW w:w="1015" w:type="pct"/>
                  <w:shd w:val="clear" w:color="auto" w:fill="auto"/>
                  <w:noWrap w:val="0"/>
                  <w:vAlign w:val="center"/>
                </w:tcPr>
                <w:p w14:paraId="7C7F0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有毒有害物质</w:t>
                  </w:r>
                </w:p>
              </w:tc>
              <w:tc>
                <w:tcPr>
                  <w:tcW w:w="1175" w:type="pct"/>
                  <w:vMerge w:val="restart"/>
                  <w:noWrap w:val="0"/>
                  <w:vAlign w:val="center"/>
                </w:tcPr>
                <w:p w14:paraId="279F74B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危废暂存间</w:t>
                  </w:r>
                </w:p>
              </w:tc>
            </w:tr>
            <w:tr w14:paraId="4407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72" w:type="pct"/>
                  <w:shd w:val="clear" w:color="auto" w:fill="auto"/>
                  <w:noWrap w:val="0"/>
                  <w:vAlign w:val="center"/>
                </w:tcPr>
                <w:p w14:paraId="13DB1AE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4"/>
                      <w:sz w:val="21"/>
                      <w:szCs w:val="21"/>
                      <w:u w:val="none" w:color="auto"/>
                      <w:lang w:val="en-US" w:eastAsia="zh-CN" w:bidi="ar-SA"/>
                    </w:rPr>
                  </w:pPr>
                  <w:r>
                    <w:rPr>
                      <w:rFonts w:hint="eastAsia" w:cs="Times New Roman"/>
                      <w:color w:val="auto"/>
                      <w:u w:val="none" w:color="auto"/>
                      <w:lang w:val="en-US" w:eastAsia="zh-CN"/>
                    </w:rPr>
                    <w:t>9</w:t>
                  </w:r>
                </w:p>
              </w:tc>
              <w:tc>
                <w:tcPr>
                  <w:tcW w:w="1296" w:type="pct"/>
                  <w:shd w:val="clear" w:color="auto" w:fill="auto"/>
                  <w:noWrap w:val="0"/>
                  <w:vAlign w:val="center"/>
                </w:tcPr>
                <w:p w14:paraId="64977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沾染有毒有害物质的废包装材料</w:t>
                  </w:r>
                </w:p>
              </w:tc>
              <w:tc>
                <w:tcPr>
                  <w:tcW w:w="941" w:type="pct"/>
                  <w:shd w:val="clear" w:color="auto" w:fill="auto"/>
                  <w:noWrap w:val="0"/>
                  <w:vAlign w:val="center"/>
                </w:tcPr>
                <w:p w14:paraId="4D2DFE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0.3</w:t>
                  </w:r>
                </w:p>
              </w:tc>
              <w:tc>
                <w:tcPr>
                  <w:tcW w:w="1015" w:type="pct"/>
                  <w:shd w:val="clear" w:color="auto" w:fill="auto"/>
                  <w:noWrap w:val="0"/>
                  <w:vAlign w:val="center"/>
                </w:tcPr>
                <w:p w14:paraId="23E66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有毒有害物质</w:t>
                  </w:r>
                </w:p>
              </w:tc>
              <w:tc>
                <w:tcPr>
                  <w:tcW w:w="1175" w:type="pct"/>
                  <w:vMerge w:val="continue"/>
                  <w:noWrap w:val="0"/>
                  <w:vAlign w:val="center"/>
                </w:tcPr>
                <w:p w14:paraId="09F107FD">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0"/>
                      <w:u w:val="none" w:color="auto"/>
                      <w:lang w:val="en-US" w:eastAsia="zh-CN" w:bidi="ar-SA"/>
                    </w:rPr>
                  </w:pPr>
                </w:p>
              </w:tc>
            </w:tr>
            <w:bookmarkEnd w:id="1838"/>
          </w:tbl>
          <w:p w14:paraId="4D889CD9">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本项目各物质的临界量计算如下表。</w:t>
            </w:r>
          </w:p>
          <w:p w14:paraId="48817BC1">
            <w:pPr>
              <w:keepNext w:val="0"/>
              <w:keepLines w:val="0"/>
              <w:pageBreakBefore w:val="0"/>
              <w:widowControl w:val="0"/>
              <w:suppressLineNumbers w:val="0"/>
              <w:kinsoku/>
              <w:wordWrap/>
              <w:overflowPunct/>
              <w:topLinePunct w:val="0"/>
              <w:autoSpaceDE w:val="0"/>
              <w:autoSpaceDN w:val="0"/>
              <w:bidi w:val="0"/>
              <w:adjustRightInd w:val="0"/>
              <w:spacing w:beforeAutospacing="0" w:after="0" w:afterAutospacing="0" w:line="360" w:lineRule="auto"/>
              <w:ind w:right="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11</w:t>
            </w:r>
            <w:r>
              <w:rPr>
                <w:rFonts w:hint="default" w:ascii="Times New Roman" w:hAnsi="Times New Roman" w:cs="Times New Roman"/>
                <w:color w:val="auto"/>
                <w:u w:val="none" w:color="auto"/>
                <w:lang w:val="en-US" w:eastAsia="zh-CN"/>
              </w:rPr>
              <w:t>-2 本项目</w:t>
            </w:r>
            <w:r>
              <w:rPr>
                <w:rFonts w:hint="default" w:ascii="Times New Roman" w:hAnsi="Times New Roman" w:cs="Times New Roman"/>
                <w:color w:val="auto"/>
                <w:u w:val="none" w:color="auto"/>
              </w:rPr>
              <w:t>危险物质</w:t>
            </w:r>
            <w:r>
              <w:rPr>
                <w:rFonts w:hint="default" w:ascii="Times New Roman" w:hAnsi="Times New Roman" w:cs="Times New Roman"/>
                <w:color w:val="auto"/>
                <w:u w:val="none" w:color="auto"/>
                <w:lang w:val="en-US" w:eastAsia="zh-CN"/>
              </w:rPr>
              <w:t>储存及分布情况一览</w:t>
            </w:r>
            <w:r>
              <w:rPr>
                <w:rFonts w:hint="default" w:ascii="Times New Roman" w:hAnsi="Times New Roman" w:cs="Times New Roman"/>
                <w:color w:val="auto"/>
                <w:u w:val="none" w:color="auto"/>
              </w:rPr>
              <w:t>表</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2366"/>
              <w:gridCol w:w="2004"/>
              <w:gridCol w:w="2100"/>
              <w:gridCol w:w="727"/>
              <w:gridCol w:w="963"/>
            </w:tblGrid>
            <w:tr w14:paraId="79A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3" w:type="pct"/>
                  <w:noWrap w:val="0"/>
                  <w:vAlign w:val="center"/>
                </w:tcPr>
                <w:p w14:paraId="0F1C9E35">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序号</w:t>
                  </w:r>
                </w:p>
              </w:tc>
              <w:tc>
                <w:tcPr>
                  <w:tcW w:w="1370" w:type="pct"/>
                  <w:noWrap w:val="0"/>
                  <w:vAlign w:val="center"/>
                </w:tcPr>
                <w:p w14:paraId="2569F0B0">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名称</w:t>
                  </w:r>
                </w:p>
              </w:tc>
              <w:tc>
                <w:tcPr>
                  <w:tcW w:w="1160" w:type="pct"/>
                  <w:noWrap w:val="0"/>
                  <w:vAlign w:val="center"/>
                </w:tcPr>
                <w:p w14:paraId="1EAD4DE8">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最大</w:t>
                  </w:r>
                  <w:r>
                    <w:rPr>
                      <w:rFonts w:hint="eastAsia" w:cs="Times New Roman"/>
                      <w:color w:val="auto"/>
                      <w:sz w:val="21"/>
                      <w:szCs w:val="21"/>
                      <w:u w:val="single" w:color="auto"/>
                      <w:lang w:val="en-US" w:eastAsia="zh-CN"/>
                    </w:rPr>
                    <w:t>在线</w:t>
                  </w:r>
                  <w:r>
                    <w:rPr>
                      <w:rFonts w:hint="default" w:ascii="Times New Roman" w:hAnsi="Times New Roman" w:cs="Times New Roman"/>
                      <w:color w:val="auto"/>
                      <w:sz w:val="21"/>
                      <w:szCs w:val="21"/>
                      <w:u w:val="single" w:color="auto"/>
                      <w:lang w:val="en-US" w:eastAsia="zh-CN"/>
                    </w:rPr>
                    <w:t>量（t）</w:t>
                  </w:r>
                </w:p>
              </w:tc>
              <w:tc>
                <w:tcPr>
                  <w:tcW w:w="1216" w:type="pct"/>
                  <w:noWrap w:val="0"/>
                  <w:vAlign w:val="center"/>
                </w:tcPr>
                <w:p w14:paraId="0B61BF21">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对应</w:t>
                  </w:r>
                  <w:bookmarkStart w:id="1839" w:name="OLE_LINK40"/>
                  <w:r>
                    <w:rPr>
                      <w:rFonts w:hint="default" w:ascii="Times New Roman" w:hAnsi="Times New Roman" w:cs="Times New Roman"/>
                      <w:color w:val="auto"/>
                      <w:sz w:val="21"/>
                      <w:szCs w:val="21"/>
                      <w:u w:val="single" w:color="auto"/>
                      <w:lang w:val="en-US" w:eastAsia="zh-CN"/>
                    </w:rPr>
                    <w:t>HJ</w:t>
                  </w:r>
                  <w:r>
                    <w:rPr>
                      <w:rFonts w:hint="eastAsia" w:cs="Times New Roman"/>
                      <w:color w:val="auto"/>
                      <w:sz w:val="21"/>
                      <w:szCs w:val="21"/>
                      <w:u w:val="single" w:color="auto"/>
                      <w:lang w:val="en-US" w:eastAsia="zh-CN"/>
                    </w:rPr>
                    <w:t xml:space="preserve"> </w:t>
                  </w:r>
                  <w:r>
                    <w:rPr>
                      <w:rFonts w:hint="default" w:ascii="Times New Roman" w:hAnsi="Times New Roman" w:cs="Times New Roman"/>
                      <w:color w:val="auto"/>
                      <w:sz w:val="21"/>
                      <w:szCs w:val="21"/>
                      <w:u w:val="single" w:color="auto"/>
                      <w:lang w:val="en-US" w:eastAsia="zh-CN"/>
                    </w:rPr>
                    <w:t>169－2018</w:t>
                  </w:r>
                  <w:bookmarkEnd w:id="1839"/>
                  <w:r>
                    <w:rPr>
                      <w:rFonts w:hint="default" w:ascii="Times New Roman" w:hAnsi="Times New Roman" w:cs="Times New Roman"/>
                      <w:color w:val="auto"/>
                      <w:sz w:val="21"/>
                      <w:szCs w:val="21"/>
                      <w:u w:val="single" w:color="auto"/>
                      <w:lang w:val="en-US" w:eastAsia="zh-CN"/>
                    </w:rPr>
                    <w:t>附录B中的物质名称</w:t>
                  </w:r>
                </w:p>
              </w:tc>
              <w:tc>
                <w:tcPr>
                  <w:tcW w:w="421" w:type="pct"/>
                  <w:noWrap w:val="0"/>
                  <w:vAlign w:val="center"/>
                </w:tcPr>
                <w:p w14:paraId="21777909">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临界量（t）</w:t>
                  </w:r>
                </w:p>
              </w:tc>
              <w:tc>
                <w:tcPr>
                  <w:tcW w:w="557" w:type="pct"/>
                  <w:noWrap w:val="0"/>
                  <w:vAlign w:val="center"/>
                </w:tcPr>
                <w:p w14:paraId="115F601D">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Q</w:t>
                  </w:r>
                </w:p>
              </w:tc>
            </w:tr>
            <w:tr w14:paraId="40A4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3" w:type="pct"/>
                  <w:shd w:val="clear" w:color="auto" w:fill="auto"/>
                  <w:noWrap w:val="0"/>
                  <w:vAlign w:val="center"/>
                </w:tcPr>
                <w:p w14:paraId="6EEEE082">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4"/>
                      <w:sz w:val="21"/>
                      <w:szCs w:val="21"/>
                      <w:u w:val="single" w:color="auto"/>
                      <w:lang w:val="en-US" w:eastAsia="zh-CN" w:bidi="ar-SA"/>
                    </w:rPr>
                  </w:pPr>
                  <w:bookmarkStart w:id="1840" w:name="OLE_LINK174" w:colFirst="2" w:colLast="2"/>
                  <w:bookmarkStart w:id="1841" w:name="OLE_LINK137" w:colFirst="7" w:colLast="7"/>
                  <w:r>
                    <w:rPr>
                      <w:rFonts w:hint="default" w:ascii="Times New Roman" w:hAnsi="Times New Roman" w:cs="Times New Roman"/>
                      <w:color w:val="auto"/>
                      <w:u w:val="single" w:color="auto"/>
                      <w:lang w:val="en-US" w:eastAsia="zh-CN"/>
                    </w:rPr>
                    <w:t>1</w:t>
                  </w:r>
                </w:p>
              </w:tc>
              <w:tc>
                <w:tcPr>
                  <w:tcW w:w="1370" w:type="pct"/>
                  <w:shd w:val="clear" w:color="auto" w:fill="auto"/>
                  <w:noWrap w:val="0"/>
                  <w:vAlign w:val="center"/>
                </w:tcPr>
                <w:p w14:paraId="14312FD2">
                  <w:pPr>
                    <w:adjustRightInd/>
                    <w:snapToGrid/>
                    <w:spacing w:line="240" w:lineRule="auto"/>
                    <w:ind w:firstLine="0" w:firstLineChars="0"/>
                    <w:jc w:val="center"/>
                    <w:rPr>
                      <w:rFonts w:hint="default" w:ascii="Times New Roman" w:hAnsi="Times New Roman" w:eastAsia="宋体" w:cs="Times New Roman"/>
                      <w:color w:val="auto"/>
                      <w:kern w:val="2"/>
                      <w:sz w:val="24"/>
                      <w:szCs w:val="24"/>
                      <w:u w:val="single" w:color="auto"/>
                      <w:lang w:val="en-US" w:eastAsia="zh-CN" w:bidi="ar-SA"/>
                    </w:rPr>
                  </w:pPr>
                  <w:r>
                    <w:rPr>
                      <w:rFonts w:ascii="Times New Roman" w:hAnsi="Times New Roman" w:eastAsia="宋体" w:cs="Times New Roman"/>
                      <w:color w:val="auto"/>
                      <w:spacing w:val="0"/>
                      <w:sz w:val="21"/>
                      <w:szCs w:val="21"/>
                      <w:u w:val="single" w:color="auto"/>
                    </w:rPr>
                    <w:t>二氯异氰脲酸钠粉</w:t>
                  </w:r>
                </w:p>
              </w:tc>
              <w:tc>
                <w:tcPr>
                  <w:tcW w:w="1160" w:type="pct"/>
                  <w:shd w:val="clear" w:color="auto" w:fill="auto"/>
                  <w:noWrap w:val="0"/>
                  <w:vAlign w:val="center"/>
                </w:tcPr>
                <w:p w14:paraId="60B6975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1.8</w:t>
                  </w:r>
                </w:p>
              </w:tc>
              <w:tc>
                <w:tcPr>
                  <w:tcW w:w="1216" w:type="pct"/>
                  <w:vMerge w:val="restart"/>
                  <w:shd w:val="clear" w:color="auto" w:fill="auto"/>
                  <w:noWrap w:val="0"/>
                  <w:vAlign w:val="center"/>
                </w:tcPr>
                <w:p w14:paraId="148DAEF6">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kern w:val="2"/>
                      <w:sz w:val="21"/>
                      <w:szCs w:val="21"/>
                      <w:u w:val="single" w:color="auto"/>
                      <w:lang w:val="en-US" w:eastAsia="zh-CN" w:bidi="ar-SA"/>
                    </w:rPr>
                    <w:t>危害水环境物质</w:t>
                  </w:r>
                </w:p>
                <w:p w14:paraId="3D2E0F86">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lang w:val="en-US" w:eastAsia="zh-CN" w:bidi="ar-SA"/>
                    </w:rPr>
                    <w:t>（急性毒性类别1）</w:t>
                  </w:r>
                </w:p>
              </w:tc>
              <w:tc>
                <w:tcPr>
                  <w:tcW w:w="421" w:type="pct"/>
                  <w:noWrap w:val="0"/>
                  <w:vAlign w:val="center"/>
                </w:tcPr>
                <w:p w14:paraId="1D3403BC">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100</w:t>
                  </w:r>
                </w:p>
              </w:tc>
              <w:tc>
                <w:tcPr>
                  <w:tcW w:w="557" w:type="pct"/>
                  <w:noWrap w:val="0"/>
                  <w:vAlign w:val="center"/>
                </w:tcPr>
                <w:p w14:paraId="6906176E">
                  <w:pPr>
                    <w:pStyle w:val="37"/>
                    <w:widowControl w:val="0"/>
                    <w:spacing w:line="240" w:lineRule="auto"/>
                    <w:ind w:firstLine="0" w:firstLineChars="0"/>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0.018</w:t>
                  </w:r>
                </w:p>
              </w:tc>
            </w:tr>
            <w:tr w14:paraId="2EFE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3" w:type="pct"/>
                  <w:shd w:val="clear" w:color="auto" w:fill="auto"/>
                  <w:noWrap w:val="0"/>
                  <w:vAlign w:val="center"/>
                </w:tcPr>
                <w:p w14:paraId="5A27A22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4"/>
                      <w:sz w:val="21"/>
                      <w:szCs w:val="21"/>
                      <w:u w:val="single" w:color="auto"/>
                      <w:lang w:val="en-US" w:eastAsia="zh-CN" w:bidi="ar-SA"/>
                    </w:rPr>
                  </w:pPr>
                  <w:bookmarkStart w:id="1842" w:name="OLE_LINK171" w:colFirst="4" w:colLast="4"/>
                  <w:bookmarkStart w:id="1843" w:name="OLE_LINK170" w:colFirst="3" w:colLast="3"/>
                  <w:bookmarkStart w:id="1844" w:name="OLE_LINK45" w:colFirst="0" w:colLast="0"/>
                  <w:r>
                    <w:rPr>
                      <w:rFonts w:hint="default" w:ascii="Times New Roman" w:hAnsi="Times New Roman" w:cs="Times New Roman"/>
                      <w:color w:val="auto"/>
                      <w:u w:val="single" w:color="auto"/>
                      <w:lang w:val="en-US" w:eastAsia="zh-CN"/>
                    </w:rPr>
                    <w:t>2</w:t>
                  </w:r>
                </w:p>
              </w:tc>
              <w:tc>
                <w:tcPr>
                  <w:tcW w:w="1370" w:type="pct"/>
                  <w:shd w:val="clear" w:color="auto" w:fill="auto"/>
                  <w:noWrap w:val="0"/>
                  <w:vAlign w:val="center"/>
                </w:tcPr>
                <w:p w14:paraId="2A4E4830">
                  <w:pPr>
                    <w:adjustRightInd/>
                    <w:snapToGrid/>
                    <w:spacing w:line="240" w:lineRule="auto"/>
                    <w:ind w:firstLine="0" w:firstLineChars="0"/>
                    <w:jc w:val="center"/>
                    <w:rPr>
                      <w:rFonts w:hint="eastAsia" w:ascii="Times New Roman" w:hAnsi="Times New Roman" w:eastAsia="宋体" w:cs="Times New Roman"/>
                      <w:color w:val="auto"/>
                      <w:kern w:val="0"/>
                      <w:sz w:val="21"/>
                      <w:szCs w:val="20"/>
                      <w:u w:val="single" w:color="auto"/>
                      <w:lang w:val="en-US" w:eastAsia="zh-CN" w:bidi="ar-SA"/>
                    </w:rPr>
                  </w:pPr>
                  <w:r>
                    <w:rPr>
                      <w:rFonts w:ascii="Times New Roman" w:hAnsi="Times New Roman" w:eastAsia="宋体" w:cs="Times New Roman"/>
                      <w:color w:val="auto"/>
                      <w:spacing w:val="0"/>
                      <w:sz w:val="21"/>
                      <w:szCs w:val="21"/>
                      <w:u w:val="single" w:color="auto"/>
                    </w:rPr>
                    <w:t>月苄三甲氯铵溶液</w:t>
                  </w:r>
                </w:p>
              </w:tc>
              <w:tc>
                <w:tcPr>
                  <w:tcW w:w="1160" w:type="pct"/>
                  <w:shd w:val="clear" w:color="auto" w:fill="auto"/>
                  <w:noWrap w:val="0"/>
                  <w:vAlign w:val="center"/>
                </w:tcPr>
                <w:p w14:paraId="04E10C8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w:t>
                  </w:r>
                </w:p>
              </w:tc>
              <w:tc>
                <w:tcPr>
                  <w:tcW w:w="1216" w:type="pct"/>
                  <w:vMerge w:val="continue"/>
                  <w:shd w:val="clear" w:color="auto" w:fill="auto"/>
                  <w:noWrap w:val="0"/>
                  <w:vAlign w:val="center"/>
                </w:tcPr>
                <w:p w14:paraId="6823EE46">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421" w:type="pct"/>
                  <w:noWrap w:val="0"/>
                  <w:vAlign w:val="center"/>
                </w:tcPr>
                <w:p w14:paraId="2FBF5E70">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100</w:t>
                  </w:r>
                </w:p>
              </w:tc>
              <w:tc>
                <w:tcPr>
                  <w:tcW w:w="557" w:type="pct"/>
                  <w:noWrap w:val="0"/>
                  <w:vAlign w:val="center"/>
                </w:tcPr>
                <w:p w14:paraId="698FE573">
                  <w:pPr>
                    <w:pStyle w:val="37"/>
                    <w:widowControl w:val="0"/>
                    <w:spacing w:line="240" w:lineRule="auto"/>
                    <w:ind w:firstLine="0" w:firstLineChars="0"/>
                    <w:textAlignment w:val="auto"/>
                    <w:rPr>
                      <w:rFonts w:hint="default"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0.01</w:t>
                  </w:r>
                </w:p>
              </w:tc>
            </w:tr>
            <w:tr w14:paraId="33F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3" w:type="pct"/>
                  <w:shd w:val="clear" w:color="auto" w:fill="auto"/>
                  <w:noWrap w:val="0"/>
                  <w:vAlign w:val="center"/>
                </w:tcPr>
                <w:p w14:paraId="33F2631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4"/>
                      <w:sz w:val="21"/>
                      <w:szCs w:val="21"/>
                      <w:u w:val="single" w:color="auto"/>
                      <w:lang w:val="en-US" w:eastAsia="zh-CN" w:bidi="ar-SA"/>
                    </w:rPr>
                  </w:pPr>
                  <w:r>
                    <w:rPr>
                      <w:rFonts w:hint="default" w:ascii="Times New Roman" w:hAnsi="Times New Roman" w:cs="Times New Roman"/>
                      <w:color w:val="auto"/>
                      <w:u w:val="single" w:color="auto"/>
                      <w:lang w:val="en-US" w:eastAsia="zh-CN"/>
                    </w:rPr>
                    <w:t>3</w:t>
                  </w:r>
                </w:p>
              </w:tc>
              <w:tc>
                <w:tcPr>
                  <w:tcW w:w="1370" w:type="pct"/>
                  <w:shd w:val="clear" w:color="auto" w:fill="auto"/>
                  <w:noWrap w:val="0"/>
                  <w:vAlign w:val="center"/>
                </w:tcPr>
                <w:p w14:paraId="471B61C2">
                  <w:pPr>
                    <w:adjustRightInd/>
                    <w:snapToGrid/>
                    <w:spacing w:line="240" w:lineRule="auto"/>
                    <w:ind w:firstLine="0" w:firstLineChars="0"/>
                    <w:jc w:val="center"/>
                    <w:rPr>
                      <w:rFonts w:hint="eastAsia" w:ascii="Times New Roman" w:hAnsi="Times New Roman" w:eastAsia="宋体" w:cs="Times New Roman"/>
                      <w:color w:val="auto"/>
                      <w:kern w:val="0"/>
                      <w:sz w:val="21"/>
                      <w:szCs w:val="20"/>
                      <w:u w:val="single" w:color="auto"/>
                      <w:lang w:val="en-US" w:eastAsia="zh-CN" w:bidi="ar-SA"/>
                    </w:rPr>
                  </w:pPr>
                  <w:r>
                    <w:rPr>
                      <w:rFonts w:ascii="Times New Roman" w:hAnsi="Times New Roman" w:eastAsia="宋体" w:cs="Times New Roman"/>
                      <w:color w:val="auto"/>
                      <w:spacing w:val="0"/>
                      <w:sz w:val="21"/>
                      <w:szCs w:val="21"/>
                      <w:u w:val="single" w:color="auto"/>
                    </w:rPr>
                    <w:t>氢氧化钠</w:t>
                  </w:r>
                </w:p>
              </w:tc>
              <w:tc>
                <w:tcPr>
                  <w:tcW w:w="1160" w:type="pct"/>
                  <w:shd w:val="clear" w:color="auto" w:fill="auto"/>
                  <w:noWrap w:val="0"/>
                  <w:vAlign w:val="center"/>
                </w:tcPr>
                <w:p w14:paraId="4076B1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2</w:t>
                  </w:r>
                </w:p>
              </w:tc>
              <w:tc>
                <w:tcPr>
                  <w:tcW w:w="1216" w:type="pct"/>
                  <w:vMerge w:val="continue"/>
                  <w:shd w:val="clear" w:color="auto" w:fill="auto"/>
                  <w:noWrap w:val="0"/>
                  <w:vAlign w:val="center"/>
                </w:tcPr>
                <w:p w14:paraId="5944A075">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421" w:type="pct"/>
                  <w:noWrap w:val="0"/>
                  <w:vAlign w:val="center"/>
                </w:tcPr>
                <w:p w14:paraId="06563C6D">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100</w:t>
                  </w:r>
                </w:p>
              </w:tc>
              <w:tc>
                <w:tcPr>
                  <w:tcW w:w="557" w:type="pct"/>
                  <w:noWrap w:val="0"/>
                  <w:vAlign w:val="center"/>
                </w:tcPr>
                <w:p w14:paraId="56246534">
                  <w:pPr>
                    <w:pStyle w:val="37"/>
                    <w:widowControl w:val="0"/>
                    <w:spacing w:line="240" w:lineRule="auto"/>
                    <w:ind w:firstLine="0" w:firstLineChars="0"/>
                    <w:textAlignment w:val="auto"/>
                    <w:rPr>
                      <w:rFonts w:hint="default"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0.02</w:t>
                  </w:r>
                </w:p>
              </w:tc>
            </w:tr>
            <w:tr w14:paraId="7EAD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3" w:type="pct"/>
                  <w:shd w:val="clear" w:color="auto" w:fill="auto"/>
                  <w:noWrap w:val="0"/>
                  <w:vAlign w:val="center"/>
                </w:tcPr>
                <w:p w14:paraId="7608DFB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4"/>
                      <w:sz w:val="21"/>
                      <w:szCs w:val="21"/>
                      <w:u w:val="single" w:color="auto"/>
                      <w:lang w:val="en-US" w:eastAsia="zh-CN" w:bidi="ar-SA"/>
                    </w:rPr>
                  </w:pPr>
                  <w:r>
                    <w:rPr>
                      <w:rFonts w:hint="default" w:ascii="Times New Roman" w:hAnsi="Times New Roman" w:cs="Times New Roman"/>
                      <w:color w:val="auto"/>
                      <w:u w:val="single" w:color="auto"/>
                      <w:lang w:val="en-US" w:eastAsia="zh-CN"/>
                    </w:rPr>
                    <w:t>4</w:t>
                  </w:r>
                </w:p>
              </w:tc>
              <w:tc>
                <w:tcPr>
                  <w:tcW w:w="1370" w:type="pct"/>
                  <w:shd w:val="clear" w:color="auto" w:fill="auto"/>
                  <w:noWrap w:val="0"/>
                  <w:vAlign w:val="center"/>
                </w:tcPr>
                <w:p w14:paraId="0BD9623C">
                  <w:pPr>
                    <w:adjustRightInd/>
                    <w:snapToGrid/>
                    <w:spacing w:line="240" w:lineRule="auto"/>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PAC</w:t>
                  </w:r>
                </w:p>
              </w:tc>
              <w:tc>
                <w:tcPr>
                  <w:tcW w:w="1160" w:type="pct"/>
                  <w:shd w:val="clear" w:color="auto" w:fill="auto"/>
                  <w:noWrap w:val="0"/>
                  <w:vAlign w:val="center"/>
                </w:tcPr>
                <w:p w14:paraId="7067EF8F">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5</w:t>
                  </w:r>
                </w:p>
              </w:tc>
              <w:tc>
                <w:tcPr>
                  <w:tcW w:w="1216" w:type="pct"/>
                  <w:vMerge w:val="continue"/>
                  <w:shd w:val="clear" w:color="auto" w:fill="auto"/>
                  <w:noWrap w:val="0"/>
                  <w:vAlign w:val="center"/>
                </w:tcPr>
                <w:p w14:paraId="643D787B">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421" w:type="pct"/>
                  <w:noWrap w:val="0"/>
                  <w:vAlign w:val="center"/>
                </w:tcPr>
                <w:p w14:paraId="2CB0C206">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100</w:t>
                  </w:r>
                </w:p>
              </w:tc>
              <w:tc>
                <w:tcPr>
                  <w:tcW w:w="557" w:type="pct"/>
                  <w:noWrap w:val="0"/>
                  <w:vAlign w:val="center"/>
                </w:tcPr>
                <w:p w14:paraId="24C89898">
                  <w:pPr>
                    <w:pStyle w:val="37"/>
                    <w:widowControl w:val="0"/>
                    <w:spacing w:line="240" w:lineRule="auto"/>
                    <w:ind w:firstLine="0" w:firstLineChars="0"/>
                    <w:textAlignment w:val="auto"/>
                    <w:rPr>
                      <w:rFonts w:hint="default"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0.05</w:t>
                  </w:r>
                </w:p>
              </w:tc>
            </w:tr>
            <w:tr w14:paraId="6446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3" w:type="pct"/>
                  <w:shd w:val="clear" w:color="auto" w:fill="auto"/>
                  <w:noWrap w:val="0"/>
                  <w:vAlign w:val="center"/>
                </w:tcPr>
                <w:p w14:paraId="083809D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4"/>
                      <w:u w:val="single" w:color="auto"/>
                      <w:lang w:val="en-US" w:eastAsia="zh-CN" w:bidi="ar-SA"/>
                    </w:rPr>
                  </w:pPr>
                  <w:r>
                    <w:rPr>
                      <w:rFonts w:hint="default" w:ascii="Times New Roman" w:hAnsi="Times New Roman" w:cs="Times New Roman"/>
                      <w:color w:val="auto"/>
                      <w:u w:val="single" w:color="auto"/>
                      <w:lang w:val="en-US" w:eastAsia="zh-CN"/>
                    </w:rPr>
                    <w:t>5</w:t>
                  </w:r>
                </w:p>
              </w:tc>
              <w:tc>
                <w:tcPr>
                  <w:tcW w:w="1370" w:type="pct"/>
                  <w:shd w:val="clear" w:color="auto" w:fill="auto"/>
                  <w:noWrap w:val="0"/>
                  <w:vAlign w:val="center"/>
                </w:tcPr>
                <w:p w14:paraId="630A7852">
                  <w:pPr>
                    <w:adjustRightInd/>
                    <w:snapToGrid/>
                    <w:spacing w:line="240" w:lineRule="auto"/>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PAM</w:t>
                  </w:r>
                </w:p>
              </w:tc>
              <w:tc>
                <w:tcPr>
                  <w:tcW w:w="1160" w:type="pct"/>
                  <w:shd w:val="clear" w:color="auto" w:fill="auto"/>
                  <w:noWrap w:val="0"/>
                  <w:vAlign w:val="center"/>
                </w:tcPr>
                <w:p w14:paraId="293B4A93">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5</w:t>
                  </w:r>
                </w:p>
              </w:tc>
              <w:tc>
                <w:tcPr>
                  <w:tcW w:w="1216" w:type="pct"/>
                  <w:vMerge w:val="continue"/>
                  <w:shd w:val="clear" w:color="auto" w:fill="auto"/>
                  <w:noWrap w:val="0"/>
                  <w:vAlign w:val="center"/>
                </w:tcPr>
                <w:p w14:paraId="3360E4F2">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421" w:type="pct"/>
                  <w:noWrap w:val="0"/>
                  <w:vAlign w:val="center"/>
                </w:tcPr>
                <w:p w14:paraId="37BEF66F">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100</w:t>
                  </w:r>
                </w:p>
              </w:tc>
              <w:tc>
                <w:tcPr>
                  <w:tcW w:w="557" w:type="pct"/>
                  <w:noWrap w:val="0"/>
                  <w:vAlign w:val="center"/>
                </w:tcPr>
                <w:p w14:paraId="2B1AB313">
                  <w:pPr>
                    <w:pStyle w:val="37"/>
                    <w:widowControl w:val="0"/>
                    <w:spacing w:line="240" w:lineRule="auto"/>
                    <w:ind w:firstLine="0" w:firstLineChars="0"/>
                    <w:textAlignment w:val="auto"/>
                    <w:rPr>
                      <w:rFonts w:hint="default"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0.05</w:t>
                  </w:r>
                </w:p>
              </w:tc>
            </w:tr>
            <w:tr w14:paraId="689F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3" w:type="pct"/>
                  <w:shd w:val="clear" w:color="auto" w:fill="auto"/>
                  <w:noWrap w:val="0"/>
                  <w:vAlign w:val="center"/>
                </w:tcPr>
                <w:p w14:paraId="4019FA0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4"/>
                      <w:u w:val="single" w:color="auto"/>
                      <w:lang w:val="en-US" w:eastAsia="zh-CN" w:bidi="ar-SA"/>
                    </w:rPr>
                  </w:pPr>
                  <w:r>
                    <w:rPr>
                      <w:rFonts w:hint="eastAsia" w:cs="Times New Roman"/>
                      <w:color w:val="auto"/>
                      <w:u w:val="single" w:color="auto"/>
                      <w:lang w:val="en-US" w:eastAsia="zh-CN"/>
                    </w:rPr>
                    <w:t>6</w:t>
                  </w:r>
                </w:p>
              </w:tc>
              <w:tc>
                <w:tcPr>
                  <w:tcW w:w="1370" w:type="pct"/>
                  <w:shd w:val="clear" w:color="auto" w:fill="auto"/>
                  <w:noWrap w:val="0"/>
                  <w:vAlign w:val="center"/>
                </w:tcPr>
                <w:p w14:paraId="6FE43439">
                  <w:pPr>
                    <w:adjustRightInd/>
                    <w:snapToGrid/>
                    <w:spacing w:line="240" w:lineRule="auto"/>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PCR试剂</w:t>
                  </w:r>
                </w:p>
              </w:tc>
              <w:tc>
                <w:tcPr>
                  <w:tcW w:w="1160" w:type="pct"/>
                  <w:shd w:val="clear" w:color="auto" w:fill="auto"/>
                  <w:noWrap w:val="0"/>
                  <w:vAlign w:val="center"/>
                </w:tcPr>
                <w:p w14:paraId="4CB4B7EC">
                  <w:pPr>
                    <w:tabs>
                      <w:tab w:val="left" w:pos="1021"/>
                    </w:tabs>
                    <w:adjustRightInd/>
                    <w:snapToGrid/>
                    <w:spacing w:line="360" w:lineRule="exact"/>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1.5</w:t>
                  </w:r>
                </w:p>
              </w:tc>
              <w:tc>
                <w:tcPr>
                  <w:tcW w:w="1216" w:type="pct"/>
                  <w:vMerge w:val="continue"/>
                  <w:shd w:val="clear" w:color="auto" w:fill="auto"/>
                  <w:noWrap w:val="0"/>
                  <w:vAlign w:val="center"/>
                </w:tcPr>
                <w:p w14:paraId="597BCD02">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421" w:type="pct"/>
                  <w:noWrap w:val="0"/>
                  <w:vAlign w:val="center"/>
                </w:tcPr>
                <w:p w14:paraId="78496DBD">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100</w:t>
                  </w:r>
                </w:p>
              </w:tc>
              <w:tc>
                <w:tcPr>
                  <w:tcW w:w="557" w:type="pct"/>
                  <w:noWrap w:val="0"/>
                  <w:vAlign w:val="center"/>
                </w:tcPr>
                <w:p w14:paraId="36D94E94">
                  <w:pPr>
                    <w:pStyle w:val="37"/>
                    <w:widowControl w:val="0"/>
                    <w:spacing w:line="240" w:lineRule="auto"/>
                    <w:ind w:firstLine="0" w:firstLineChars="0"/>
                    <w:textAlignment w:val="auto"/>
                    <w:rPr>
                      <w:rFonts w:hint="default"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0.015</w:t>
                  </w:r>
                </w:p>
              </w:tc>
            </w:tr>
            <w:tr w14:paraId="63FC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3" w:type="pct"/>
                  <w:shd w:val="clear" w:color="auto" w:fill="auto"/>
                  <w:noWrap w:val="0"/>
                  <w:vAlign w:val="center"/>
                </w:tcPr>
                <w:p w14:paraId="59AB9EC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cs="Times New Roman"/>
                      <w:color w:val="auto"/>
                      <w:u w:val="single" w:color="auto"/>
                      <w:lang w:val="en-US" w:eastAsia="zh-CN"/>
                    </w:rPr>
                    <w:t>7</w:t>
                  </w:r>
                </w:p>
              </w:tc>
              <w:tc>
                <w:tcPr>
                  <w:tcW w:w="1370" w:type="pct"/>
                  <w:shd w:val="clear" w:color="auto" w:fill="auto"/>
                  <w:noWrap w:val="0"/>
                  <w:vAlign w:val="center"/>
                </w:tcPr>
                <w:p w14:paraId="4AD91B21">
                  <w:pPr>
                    <w:adjustRightInd/>
                    <w:snapToGrid/>
                    <w:spacing w:line="240" w:lineRule="auto"/>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ascii="Times New Roman" w:hAnsi="Times New Roman" w:eastAsia="宋体" w:cs="Times New Roman"/>
                      <w:color w:val="auto"/>
                      <w:spacing w:val="0"/>
                      <w:sz w:val="21"/>
                      <w:szCs w:val="21"/>
                      <w:u w:val="single" w:color="auto"/>
                      <w:lang w:val="en-US" w:eastAsia="zh-CN"/>
                    </w:rPr>
                    <w:t>消毒剂（卫效）</w:t>
                  </w:r>
                </w:p>
              </w:tc>
              <w:tc>
                <w:tcPr>
                  <w:tcW w:w="1160" w:type="pct"/>
                  <w:shd w:val="clear" w:color="auto" w:fill="auto"/>
                  <w:noWrap w:val="0"/>
                  <w:vAlign w:val="center"/>
                </w:tcPr>
                <w:p w14:paraId="1D63C976">
                  <w:pPr>
                    <w:tabs>
                      <w:tab w:val="left" w:pos="1021"/>
                    </w:tabs>
                    <w:adjustRightInd/>
                    <w:snapToGrid/>
                    <w:spacing w:line="360" w:lineRule="exact"/>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sz w:val="21"/>
                      <w:szCs w:val="21"/>
                      <w:u w:val="single" w:color="auto"/>
                      <w:lang w:val="en-US" w:eastAsia="zh-CN"/>
                    </w:rPr>
                    <w:t>1</w:t>
                  </w:r>
                </w:p>
              </w:tc>
              <w:tc>
                <w:tcPr>
                  <w:tcW w:w="1216" w:type="pct"/>
                  <w:vMerge w:val="continue"/>
                  <w:shd w:val="clear" w:color="auto" w:fill="auto"/>
                  <w:noWrap w:val="0"/>
                  <w:vAlign w:val="center"/>
                </w:tcPr>
                <w:p w14:paraId="5C8BEF77">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421" w:type="pct"/>
                  <w:noWrap w:val="0"/>
                  <w:vAlign w:val="center"/>
                </w:tcPr>
                <w:p w14:paraId="502C88EA">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100</w:t>
                  </w:r>
                </w:p>
              </w:tc>
              <w:tc>
                <w:tcPr>
                  <w:tcW w:w="557" w:type="pct"/>
                  <w:noWrap w:val="0"/>
                  <w:vAlign w:val="center"/>
                </w:tcPr>
                <w:p w14:paraId="35468CC5">
                  <w:pPr>
                    <w:pStyle w:val="37"/>
                    <w:widowControl w:val="0"/>
                    <w:spacing w:line="240" w:lineRule="auto"/>
                    <w:ind w:firstLine="0" w:firstLineChars="0"/>
                    <w:textAlignment w:val="auto"/>
                    <w:rPr>
                      <w:rFonts w:hint="default"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0.01</w:t>
                  </w:r>
                </w:p>
              </w:tc>
            </w:tr>
            <w:tr w14:paraId="4697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3" w:type="pct"/>
                  <w:shd w:val="clear" w:color="auto" w:fill="auto"/>
                  <w:noWrap w:val="0"/>
                  <w:vAlign w:val="center"/>
                </w:tcPr>
                <w:p w14:paraId="79B0526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cs="Times New Roman"/>
                      <w:color w:val="auto"/>
                      <w:u w:val="single" w:color="auto"/>
                      <w:lang w:val="en-US" w:eastAsia="zh-CN"/>
                    </w:rPr>
                    <w:t>8</w:t>
                  </w:r>
                </w:p>
              </w:tc>
              <w:tc>
                <w:tcPr>
                  <w:tcW w:w="1370" w:type="pct"/>
                  <w:shd w:val="clear" w:color="auto" w:fill="auto"/>
                  <w:noWrap w:val="0"/>
                  <w:vAlign w:val="center"/>
                </w:tcPr>
                <w:p w14:paraId="4817B2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kern w:val="2"/>
                      <w:sz w:val="21"/>
                      <w:szCs w:val="21"/>
                      <w:u w:val="single" w:color="auto"/>
                      <w:vertAlign w:val="baseline"/>
                      <w:lang w:val="en-US" w:eastAsia="zh-CN"/>
                    </w:rPr>
                    <w:t>实验室、检疫室废弃物</w:t>
                  </w:r>
                </w:p>
              </w:tc>
              <w:tc>
                <w:tcPr>
                  <w:tcW w:w="1160" w:type="pct"/>
                  <w:shd w:val="clear" w:color="auto" w:fill="auto"/>
                  <w:noWrap w:val="0"/>
                  <w:vAlign w:val="center"/>
                </w:tcPr>
                <w:p w14:paraId="6D04E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8</w:t>
                  </w:r>
                </w:p>
              </w:tc>
              <w:tc>
                <w:tcPr>
                  <w:tcW w:w="1216" w:type="pct"/>
                  <w:vMerge w:val="restart"/>
                  <w:noWrap w:val="0"/>
                  <w:vAlign w:val="center"/>
                </w:tcPr>
                <w:p w14:paraId="6AB4B400">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健康危险急性毒性物质（类别2，类别3）</w:t>
                  </w:r>
                </w:p>
              </w:tc>
              <w:tc>
                <w:tcPr>
                  <w:tcW w:w="421" w:type="pct"/>
                  <w:shd w:val="clear" w:color="auto" w:fill="auto"/>
                  <w:noWrap w:val="0"/>
                  <w:vAlign w:val="center"/>
                </w:tcPr>
                <w:p w14:paraId="249F3535">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50</w:t>
                  </w:r>
                </w:p>
              </w:tc>
              <w:tc>
                <w:tcPr>
                  <w:tcW w:w="557" w:type="pct"/>
                  <w:shd w:val="clear" w:color="auto" w:fill="auto"/>
                  <w:noWrap w:val="0"/>
                  <w:vAlign w:val="center"/>
                </w:tcPr>
                <w:p w14:paraId="2B6B9ED5">
                  <w:pPr>
                    <w:pStyle w:val="37"/>
                    <w:widowControl w:val="0"/>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2"/>
                      <w:sz w:val="21"/>
                      <w:szCs w:val="21"/>
                      <w:u w:val="single" w:color="auto"/>
                      <w:lang w:val="en-US" w:eastAsia="zh-CN" w:bidi="ar"/>
                    </w:rPr>
                    <w:t>0.16</w:t>
                  </w:r>
                </w:p>
              </w:tc>
            </w:tr>
            <w:bookmarkEnd w:id="1842"/>
            <w:bookmarkEnd w:id="1843"/>
            <w:tr w14:paraId="24DF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3" w:type="pct"/>
                  <w:shd w:val="clear" w:color="auto" w:fill="auto"/>
                  <w:noWrap w:val="0"/>
                  <w:vAlign w:val="center"/>
                </w:tcPr>
                <w:p w14:paraId="7AC9EFB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u w:val="single" w:color="auto"/>
                      <w:lang w:val="en-US" w:eastAsia="zh-CN"/>
                    </w:rPr>
                    <w:t>9</w:t>
                  </w:r>
                </w:p>
              </w:tc>
              <w:tc>
                <w:tcPr>
                  <w:tcW w:w="1370" w:type="pct"/>
                  <w:shd w:val="clear" w:color="auto" w:fill="auto"/>
                  <w:noWrap w:val="0"/>
                  <w:vAlign w:val="center"/>
                </w:tcPr>
                <w:p w14:paraId="6DBED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沾染有毒有害物质的废包装材料</w:t>
                  </w:r>
                </w:p>
              </w:tc>
              <w:tc>
                <w:tcPr>
                  <w:tcW w:w="1160" w:type="pct"/>
                  <w:shd w:val="clear" w:color="auto" w:fill="auto"/>
                  <w:noWrap w:val="0"/>
                  <w:vAlign w:val="center"/>
                </w:tcPr>
                <w:p w14:paraId="0CB177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0.3</w:t>
                  </w:r>
                </w:p>
              </w:tc>
              <w:tc>
                <w:tcPr>
                  <w:tcW w:w="1216" w:type="pct"/>
                  <w:vMerge w:val="continue"/>
                  <w:noWrap w:val="0"/>
                  <w:vAlign w:val="center"/>
                </w:tcPr>
                <w:p w14:paraId="285001D3">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421" w:type="pct"/>
                  <w:noWrap w:val="0"/>
                  <w:vAlign w:val="center"/>
                </w:tcPr>
                <w:p w14:paraId="415CE47F">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50</w:t>
                  </w:r>
                </w:p>
              </w:tc>
              <w:tc>
                <w:tcPr>
                  <w:tcW w:w="557" w:type="pct"/>
                  <w:noWrap w:val="0"/>
                  <w:vAlign w:val="center"/>
                </w:tcPr>
                <w:p w14:paraId="48323E06">
                  <w:pPr>
                    <w:pStyle w:val="37"/>
                    <w:widowControl w:val="0"/>
                    <w:spacing w:line="240" w:lineRule="auto"/>
                    <w:ind w:firstLine="0" w:firstLineChars="0"/>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0.006</w:t>
                  </w:r>
                </w:p>
              </w:tc>
            </w:tr>
            <w:bookmarkEnd w:id="1840"/>
            <w:bookmarkEnd w:id="1841"/>
            <w:bookmarkEnd w:id="1844"/>
            <w:tr w14:paraId="0D5A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3" w:type="pct"/>
                  <w:shd w:val="clear" w:color="auto" w:fill="auto"/>
                  <w:noWrap w:val="0"/>
                  <w:vAlign w:val="center"/>
                </w:tcPr>
                <w:p w14:paraId="2D67D97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cs="Times New Roman"/>
                      <w:color w:val="auto"/>
                      <w:u w:val="single" w:color="auto"/>
                      <w:lang w:val="en-US" w:eastAsia="zh-CN"/>
                    </w:rPr>
                    <w:t>10</w:t>
                  </w:r>
                </w:p>
              </w:tc>
              <w:tc>
                <w:tcPr>
                  <w:tcW w:w="4168" w:type="pct"/>
                  <w:gridSpan w:val="4"/>
                  <w:noWrap w:val="0"/>
                  <w:vAlign w:val="center"/>
                </w:tcPr>
                <w:p w14:paraId="2D874AEF">
                  <w:pPr>
                    <w:pStyle w:val="37"/>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合计</w:t>
                  </w:r>
                </w:p>
              </w:tc>
              <w:tc>
                <w:tcPr>
                  <w:tcW w:w="557" w:type="pct"/>
                  <w:noWrap w:val="0"/>
                  <w:vAlign w:val="center"/>
                </w:tcPr>
                <w:p w14:paraId="3E46D647">
                  <w:pPr>
                    <w:keepNext w:val="0"/>
                    <w:keepLines w:val="0"/>
                    <w:widowControl w:val="0"/>
                    <w:suppressLineNumbers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0.3512</w:t>
                  </w:r>
                </w:p>
              </w:tc>
            </w:tr>
          </w:tbl>
          <w:p w14:paraId="7CD7E400">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根据《建设项目环境风险评价导则》（HJ 169-2018）附录C，判定项目危险物质数量与临界量比值Q＜1，项目环境风险潜势为Ⅰ</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本项目不需要设置环境风险专项评价</w:t>
            </w:r>
            <w:r>
              <w:rPr>
                <w:rFonts w:hint="default" w:ascii="Times New Roman" w:hAnsi="Times New Roman" w:cs="Times New Roman"/>
                <w:color w:val="auto"/>
                <w:u w:val="none" w:color="auto"/>
                <w:lang w:eastAsia="zh-CN"/>
              </w:rPr>
              <w:t>。</w:t>
            </w:r>
          </w:p>
          <w:p w14:paraId="1B0269AB">
            <w:pPr>
              <w:bidi w:val="0"/>
              <w:ind w:left="0" w:leftChars="0" w:firstLine="0" w:firstLineChars="0"/>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11</w:t>
            </w:r>
            <w:r>
              <w:rPr>
                <w:rFonts w:hint="default" w:ascii="Times New Roman" w:hAnsi="Times New Roman" w:cs="Times New Roman"/>
                <w:b/>
                <w:bCs/>
                <w:color w:val="auto"/>
                <w:u w:val="none" w:color="auto"/>
                <w:lang w:val="en-US" w:eastAsia="zh-CN"/>
              </w:rPr>
              <w:t xml:space="preserve">.2 </w:t>
            </w:r>
            <w:r>
              <w:rPr>
                <w:rFonts w:hint="default" w:ascii="Times New Roman" w:hAnsi="Times New Roman" w:eastAsia="黑体" w:cs="Times New Roman"/>
                <w:b/>
                <w:bCs/>
                <w:color w:val="auto"/>
                <w:u w:val="none" w:color="auto"/>
                <w:lang w:val="en-US" w:eastAsia="zh-CN"/>
              </w:rPr>
              <w:t>风险事故类型</w:t>
            </w:r>
          </w:p>
          <w:p w14:paraId="6EC12D8B">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本项目可能发生的突发环境事故类型如下：①危险废物撒漏环境风险事件</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②</w:t>
            </w:r>
            <w:r>
              <w:rPr>
                <w:rFonts w:hint="default" w:ascii="Times New Roman" w:hAnsi="Times New Roman" w:cs="Times New Roman"/>
                <w:color w:val="auto"/>
                <w:sz w:val="24"/>
                <w:u w:val="none" w:color="auto"/>
              </w:rPr>
              <w:t>火灾引发的次生污染分析</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③</w:t>
            </w:r>
            <w:r>
              <w:rPr>
                <w:rFonts w:hint="eastAsia" w:cs="Times New Roman"/>
                <w:color w:val="auto"/>
                <w:sz w:val="24"/>
                <w:u w:val="none" w:color="auto"/>
                <w:lang w:val="en-US" w:eastAsia="zh-CN"/>
              </w:rPr>
              <w:t>污水处理站原辅料</w:t>
            </w:r>
            <w:r>
              <w:rPr>
                <w:rFonts w:hint="default" w:ascii="Times New Roman" w:hAnsi="Times New Roman" w:cs="Times New Roman"/>
                <w:color w:val="auto"/>
                <w:sz w:val="24"/>
                <w:u w:val="none" w:color="auto"/>
                <w:lang w:val="en-US" w:eastAsia="zh-CN"/>
              </w:rPr>
              <w:t>泄漏</w:t>
            </w:r>
            <w:r>
              <w:rPr>
                <w:rFonts w:hint="eastAsia" w:cs="Times New Roman"/>
                <w:color w:val="auto"/>
                <w:sz w:val="24"/>
                <w:u w:val="none" w:color="auto"/>
                <w:lang w:val="en-US" w:eastAsia="zh-CN"/>
              </w:rPr>
              <w:t>/撒漏</w:t>
            </w:r>
            <w:r>
              <w:rPr>
                <w:rFonts w:hint="default" w:ascii="Times New Roman" w:hAnsi="Times New Roman" w:cs="Times New Roman"/>
                <w:color w:val="auto"/>
                <w:sz w:val="24"/>
                <w:u w:val="none" w:color="auto"/>
                <w:lang w:val="en-US" w:eastAsia="zh-CN"/>
              </w:rPr>
              <w:t>环境风险事件</w:t>
            </w:r>
            <w:r>
              <w:rPr>
                <w:rFonts w:hint="eastAsia" w:cs="Times New Roman"/>
                <w:color w:val="auto"/>
                <w:sz w:val="24"/>
                <w:u w:val="none" w:color="auto"/>
                <w:lang w:val="en-US" w:eastAsia="zh-CN"/>
              </w:rPr>
              <w:t>；④生产原辅料泄漏环境风险事件</w:t>
            </w:r>
            <w:r>
              <w:rPr>
                <w:rFonts w:hint="default" w:ascii="Times New Roman" w:hAnsi="Times New Roman" w:cs="Times New Roman"/>
                <w:color w:val="auto"/>
                <w:u w:val="none" w:color="auto"/>
                <w:lang w:val="en-US" w:eastAsia="zh-CN"/>
              </w:rPr>
              <w:t>。</w:t>
            </w:r>
          </w:p>
          <w:p w14:paraId="0C318569">
            <w:pPr>
              <w:numPr>
                <w:ilvl w:val="0"/>
                <w:numId w:val="0"/>
              </w:numPr>
              <w:bidi w:val="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11</w:t>
            </w:r>
            <w:r>
              <w:rPr>
                <w:rFonts w:hint="default" w:ascii="Times New Roman" w:hAnsi="Times New Roman" w:cs="Times New Roman"/>
                <w:b/>
                <w:bCs/>
                <w:color w:val="auto"/>
                <w:u w:val="none" w:color="auto"/>
                <w:lang w:val="en-US" w:eastAsia="zh-CN"/>
              </w:rPr>
              <w:t xml:space="preserve">.3 </w:t>
            </w:r>
            <w:r>
              <w:rPr>
                <w:rFonts w:hint="default" w:ascii="Times New Roman" w:hAnsi="Times New Roman" w:eastAsia="黑体" w:cs="Times New Roman"/>
                <w:b/>
                <w:bCs/>
                <w:color w:val="auto"/>
                <w:u w:val="none" w:color="auto"/>
                <w:lang w:val="en-US" w:eastAsia="zh-CN"/>
              </w:rPr>
              <w:t>环境风险分析及防范措施</w:t>
            </w:r>
          </w:p>
          <w:p w14:paraId="560B4567">
            <w:pPr>
              <w:bidi w:val="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1、危险废物</w:t>
            </w:r>
            <w:r>
              <w:rPr>
                <w:rFonts w:hint="eastAsia" w:cs="Times New Roman"/>
                <w:color w:val="auto"/>
                <w:u w:val="none" w:color="auto"/>
                <w:lang w:val="en-US" w:eastAsia="zh-CN"/>
              </w:rPr>
              <w:t>泄漏/</w:t>
            </w:r>
            <w:r>
              <w:rPr>
                <w:rFonts w:hint="default" w:ascii="Times New Roman" w:hAnsi="Times New Roman" w:cs="Times New Roman"/>
                <w:color w:val="auto"/>
                <w:u w:val="none" w:color="auto"/>
                <w:lang w:val="en-US" w:eastAsia="zh-CN"/>
              </w:rPr>
              <w:t>撒漏环境风险事件</w:t>
            </w:r>
          </w:p>
          <w:p w14:paraId="37B8C289">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t>项目</w:t>
            </w:r>
            <w:r>
              <w:rPr>
                <w:rFonts w:hint="eastAsia" w:cs="Times New Roman"/>
                <w:color w:val="auto"/>
                <w:u w:val="none" w:color="auto"/>
                <w:lang w:val="en-US" w:eastAsia="zh-CN"/>
              </w:rPr>
              <w:t>危废暂存间20 m</w:t>
            </w:r>
            <w:r>
              <w:rPr>
                <w:rFonts w:hint="eastAsia" w:cs="Times New Roman"/>
                <w:color w:val="auto"/>
                <w:u w:val="none" w:color="auto"/>
                <w:vertAlign w:val="superscript"/>
                <w:lang w:val="en-US" w:eastAsia="zh-CN"/>
              </w:rPr>
              <w:t>2</w:t>
            </w:r>
            <w:r>
              <w:rPr>
                <w:rFonts w:ascii="Times New Roman" w:hAnsi="Times New Roman" w:cs="Times New Roman"/>
                <w:color w:val="auto"/>
                <w:u w:val="none" w:color="auto"/>
              </w:rPr>
              <w:t>，</w:t>
            </w:r>
            <w:r>
              <w:rPr>
                <w:rFonts w:hint="eastAsia" w:cs="Times New Roman"/>
                <w:color w:val="auto"/>
                <w:u w:val="none" w:color="auto"/>
                <w:lang w:val="en-US" w:eastAsia="zh-CN"/>
              </w:rPr>
              <w:t>本项目危险废物产生量较小，危废暂存间按本评价要求规范建设后，并配备应急物资，可防止危险废物泄漏/撒漏后不会进入外环境</w:t>
            </w:r>
            <w:bookmarkStart w:id="1845" w:name="OLE_LINK175"/>
            <w:r>
              <w:rPr>
                <w:rFonts w:hint="eastAsia" w:cs="Times New Roman"/>
                <w:color w:val="auto"/>
                <w:u w:val="none" w:color="auto"/>
                <w:lang w:val="en-US" w:eastAsia="zh-CN"/>
              </w:rPr>
              <w:t>，</w:t>
            </w:r>
            <w:r>
              <w:rPr>
                <w:rFonts w:ascii="Times New Roman" w:hAnsi="Times New Roman" w:cs="Times New Roman"/>
                <w:color w:val="auto"/>
                <w:u w:val="none" w:color="auto"/>
              </w:rPr>
              <w:t>对周边环境影响较小，风险在可控范围内。</w:t>
            </w:r>
            <w:bookmarkEnd w:id="1845"/>
          </w:p>
          <w:p w14:paraId="673501A1">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sz w:val="24"/>
                <w:u w:val="none" w:color="auto"/>
              </w:rPr>
              <w:t>火灾引发的次生污染分析</w:t>
            </w:r>
          </w:p>
          <w:p w14:paraId="6C526E63">
            <w:pPr>
              <w:kinsoku w:val="0"/>
              <w:overflowPunct w:val="0"/>
              <w:autoSpaceDE w:val="0"/>
              <w:autoSpaceDN w:val="0"/>
              <w:ind w:firstLine="480"/>
              <w:rPr>
                <w:rFonts w:ascii="Times New Roman" w:hAnsi="Times New Roman" w:cs="Times New Roman"/>
                <w:color w:val="auto"/>
                <w:u w:val="none" w:color="auto"/>
              </w:rPr>
            </w:pPr>
            <w:r>
              <w:rPr>
                <w:rFonts w:hint="default" w:ascii="Times New Roman" w:hAnsi="Times New Roman" w:cs="Times New Roman"/>
                <w:color w:val="auto"/>
                <w:sz w:val="24"/>
                <w:u w:val="none" w:color="auto"/>
                <w:lang w:val="en-US" w:eastAsia="zh-CN"/>
              </w:rPr>
              <w:t>厂内可燃物料遇明火</w:t>
            </w:r>
            <w:r>
              <w:rPr>
                <w:rFonts w:hint="default" w:ascii="Times New Roman" w:hAnsi="Times New Roman" w:cs="Times New Roman"/>
                <w:color w:val="auto"/>
                <w:sz w:val="24"/>
                <w:u w:val="none" w:color="auto"/>
              </w:rPr>
              <w:t>发生火灾，</w:t>
            </w:r>
            <w:r>
              <w:rPr>
                <w:rFonts w:ascii="Times New Roman" w:hAnsi="Times New Roman" w:cs="Times New Roman"/>
                <w:color w:val="auto"/>
                <w:sz w:val="24"/>
                <w:u w:val="none" w:color="auto"/>
              </w:rPr>
              <w:t>火灾释放大量烟尘及CO，</w:t>
            </w:r>
            <w:r>
              <w:rPr>
                <w:rFonts w:hint="default" w:ascii="Times New Roman" w:hAnsi="Times New Roman" w:cs="Times New Roman"/>
                <w:color w:val="auto"/>
                <w:sz w:val="24"/>
                <w:u w:val="none" w:color="auto"/>
              </w:rPr>
              <w:t>灭火时</w:t>
            </w:r>
            <w:r>
              <w:rPr>
                <w:rFonts w:ascii="Times New Roman" w:hAnsi="Times New Roman" w:cs="Times New Roman"/>
                <w:color w:val="auto"/>
                <w:sz w:val="24"/>
                <w:u w:val="none" w:color="auto"/>
              </w:rPr>
              <w:t>产生消防废水，消防废水可能沿雨水</w:t>
            </w:r>
            <w:r>
              <w:rPr>
                <w:rFonts w:hint="default" w:ascii="Times New Roman" w:hAnsi="Times New Roman" w:cs="Times New Roman"/>
                <w:color w:val="auto"/>
                <w:sz w:val="24"/>
                <w:u w:val="none" w:color="auto"/>
                <w:lang w:val="en-US" w:eastAsia="zh-CN"/>
              </w:rPr>
              <w:t>管网</w:t>
            </w:r>
            <w:r>
              <w:rPr>
                <w:rFonts w:ascii="Times New Roman" w:hAnsi="Times New Roman" w:cs="Times New Roman"/>
                <w:color w:val="auto"/>
                <w:sz w:val="24"/>
                <w:u w:val="none" w:color="auto"/>
              </w:rPr>
              <w:t>进入</w:t>
            </w:r>
            <w:r>
              <w:rPr>
                <w:rFonts w:hint="default" w:ascii="Times New Roman" w:hAnsi="Times New Roman" w:cs="Times New Roman"/>
                <w:color w:val="auto"/>
                <w:sz w:val="24"/>
                <w:u w:val="none" w:color="auto"/>
              </w:rPr>
              <w:t>外界水体</w:t>
            </w:r>
            <w:r>
              <w:rPr>
                <w:rFonts w:ascii="Times New Roman" w:hAnsi="Times New Roman" w:cs="Times New Roman"/>
                <w:color w:val="auto"/>
                <w:sz w:val="24"/>
                <w:u w:val="none" w:color="auto"/>
              </w:rPr>
              <w:t>造成外环境污染</w:t>
            </w:r>
            <w:r>
              <w:rPr>
                <w:rFonts w:hint="default" w:ascii="Times New Roman" w:hAnsi="Times New Roman" w:cs="Times New Roman"/>
                <w:color w:val="auto"/>
                <w:sz w:val="24"/>
                <w:u w:val="none" w:color="auto"/>
              </w:rPr>
              <w:t>。</w:t>
            </w:r>
            <w:r>
              <w:rPr>
                <w:rFonts w:hint="default" w:ascii="Times New Roman" w:hAnsi="Times New Roman" w:cs="Times New Roman"/>
                <w:color w:val="auto"/>
                <w:sz w:val="24"/>
                <w:u w:val="none" w:color="auto"/>
                <w:lang w:val="en-US" w:eastAsia="zh-CN"/>
              </w:rPr>
              <w:t>在发生火灾时，</w:t>
            </w:r>
            <w:r>
              <w:rPr>
                <w:rFonts w:hint="eastAsia"/>
                <w:color w:val="auto"/>
                <w:sz w:val="24"/>
                <w:szCs w:val="24"/>
                <w:u w:val="none" w:color="auto"/>
                <w:lang w:val="en-US" w:eastAsia="zh-CN"/>
              </w:rPr>
              <w:t>生产车间</w:t>
            </w:r>
            <w:r>
              <w:rPr>
                <w:rFonts w:hint="eastAsia"/>
                <w:color w:val="auto"/>
                <w:sz w:val="24"/>
                <w:szCs w:val="24"/>
                <w:u w:val="none" w:color="auto"/>
                <w:lang w:val="zh-TW"/>
              </w:rPr>
              <w:t>内消防废水将通过车间内导流沟进入企业污水处理站，</w:t>
            </w:r>
            <w:r>
              <w:rPr>
                <w:rFonts w:hint="eastAsia"/>
                <w:color w:val="auto"/>
                <w:sz w:val="24"/>
                <w:szCs w:val="24"/>
                <w:u w:val="none" w:color="auto"/>
                <w:lang w:val="en-US" w:eastAsia="zh-CN"/>
              </w:rPr>
              <w:t>生产车间</w:t>
            </w:r>
            <w:r>
              <w:rPr>
                <w:rFonts w:hint="eastAsia"/>
                <w:color w:val="auto"/>
                <w:sz w:val="24"/>
                <w:szCs w:val="24"/>
                <w:u w:val="none" w:color="auto"/>
                <w:lang w:val="zh-TW"/>
              </w:rPr>
              <w:t>外消防废水则会进入厂区周边雨水沟，企业发生火灾时立即</w:t>
            </w:r>
            <w:r>
              <w:rPr>
                <w:rFonts w:hint="eastAsia"/>
                <w:color w:val="auto"/>
                <w:sz w:val="24"/>
                <w:szCs w:val="24"/>
                <w:u w:val="none" w:color="auto"/>
                <w:lang w:val="en-US" w:eastAsia="zh-CN"/>
              </w:rPr>
              <w:t>使用充气式堵水气囊封堵</w:t>
            </w:r>
            <w:r>
              <w:rPr>
                <w:rFonts w:hint="eastAsia"/>
                <w:color w:val="auto"/>
                <w:sz w:val="24"/>
                <w:szCs w:val="24"/>
                <w:u w:val="none" w:color="auto"/>
                <w:lang w:val="zh-TW"/>
              </w:rPr>
              <w:t>雨水排口，通过应急水泵接应急电源，将雨水井中收集的消防废水泵入就近的污水井，从而将消防废水引流至厂区</w:t>
            </w:r>
            <w:r>
              <w:rPr>
                <w:rFonts w:hint="eastAsia"/>
                <w:color w:val="auto"/>
                <w:sz w:val="24"/>
                <w:szCs w:val="24"/>
                <w:u w:val="none" w:color="auto"/>
                <w:lang w:val="en-US" w:eastAsia="zh-CN"/>
              </w:rPr>
              <w:t>污水处理站处理</w:t>
            </w:r>
            <w:r>
              <w:rPr>
                <w:rFonts w:hint="eastAsia"/>
                <w:color w:val="auto"/>
                <w:sz w:val="24"/>
                <w:szCs w:val="24"/>
                <w:u w:val="none" w:color="auto"/>
                <w:lang w:val="zh-TW"/>
              </w:rPr>
              <w:t>。</w:t>
            </w:r>
            <w:r>
              <w:rPr>
                <w:rFonts w:hint="eastAsia"/>
                <w:color w:val="auto"/>
                <w:sz w:val="24"/>
                <w:szCs w:val="24"/>
                <w:u w:val="none" w:color="auto"/>
                <w:lang w:val="en-US" w:eastAsia="zh-CN"/>
              </w:rPr>
              <w:t>同时联系卢峰镇污水处理厂做好应急准备，将经企业污水处理站处理后的消防废水通过市政污水管网</w:t>
            </w:r>
            <w:r>
              <w:rPr>
                <w:rFonts w:hint="eastAsia"/>
                <w:color w:val="auto"/>
                <w:sz w:val="24"/>
                <w:szCs w:val="24"/>
                <w:u w:val="none" w:color="auto"/>
                <w:lang w:val="zh-TW" w:eastAsia="ja-JP"/>
              </w:rPr>
              <w:t>送至</w:t>
            </w:r>
            <w:r>
              <w:rPr>
                <w:rFonts w:hint="eastAsia"/>
                <w:color w:val="auto"/>
                <w:sz w:val="24"/>
                <w:szCs w:val="24"/>
                <w:u w:val="none" w:color="auto"/>
                <w:lang w:eastAsia="zh-CN"/>
              </w:rPr>
              <w:t>卢峰镇污水处理厂</w:t>
            </w:r>
            <w:r>
              <w:rPr>
                <w:rFonts w:hint="eastAsia"/>
                <w:color w:val="auto"/>
                <w:sz w:val="24"/>
                <w:szCs w:val="24"/>
                <w:u w:val="none" w:color="auto"/>
                <w:lang w:val="zh-TW" w:eastAsia="ja-JP"/>
              </w:rPr>
              <w:t>达标后外排，不会对</w:t>
            </w:r>
            <w:r>
              <w:rPr>
                <w:rFonts w:hint="eastAsia"/>
                <w:color w:val="auto"/>
                <w:sz w:val="24"/>
                <w:szCs w:val="24"/>
                <w:u w:val="none" w:color="auto"/>
                <w:lang w:val="en-US" w:eastAsia="zh-CN"/>
              </w:rPr>
              <w:t>溆</w:t>
            </w:r>
            <w:r>
              <w:rPr>
                <w:rFonts w:hint="eastAsia"/>
                <w:color w:val="auto"/>
                <w:sz w:val="24"/>
                <w:szCs w:val="24"/>
                <w:u w:val="none" w:color="auto"/>
                <w:lang w:val="zh-TW" w:eastAsia="ja-JP"/>
              </w:rPr>
              <w:t>水的水质产生影响</w:t>
            </w:r>
            <w:r>
              <w:rPr>
                <w:rFonts w:ascii="Times New Roman" w:hAnsi="Times New Roman" w:cs="Times New Roman"/>
                <w:color w:val="auto"/>
                <w:u w:val="none" w:color="auto"/>
              </w:rPr>
              <w:t>。</w:t>
            </w:r>
          </w:p>
          <w:p w14:paraId="02FC29F8">
            <w:pPr>
              <w:pStyle w:val="11"/>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3、</w:t>
            </w:r>
            <w:r>
              <w:rPr>
                <w:rFonts w:hint="eastAsia" w:cs="Times New Roman"/>
                <w:color w:val="auto"/>
                <w:sz w:val="24"/>
                <w:u w:val="none" w:color="auto"/>
                <w:lang w:val="en-US" w:eastAsia="zh-CN"/>
              </w:rPr>
              <w:t>污水处理站原辅料</w:t>
            </w:r>
            <w:r>
              <w:rPr>
                <w:rFonts w:hint="default" w:ascii="Times New Roman" w:hAnsi="Times New Roman" w:cs="Times New Roman"/>
                <w:color w:val="auto"/>
                <w:sz w:val="24"/>
                <w:u w:val="none" w:color="auto"/>
                <w:lang w:val="en-US" w:eastAsia="zh-CN"/>
              </w:rPr>
              <w:t>泄漏</w:t>
            </w:r>
            <w:r>
              <w:rPr>
                <w:rFonts w:hint="eastAsia" w:cs="Times New Roman"/>
                <w:color w:val="auto"/>
                <w:sz w:val="24"/>
                <w:u w:val="none" w:color="auto"/>
                <w:lang w:val="en-US" w:eastAsia="zh-CN"/>
              </w:rPr>
              <w:t>/撒漏</w:t>
            </w:r>
            <w:r>
              <w:rPr>
                <w:rFonts w:hint="default" w:ascii="Times New Roman" w:hAnsi="Times New Roman" w:cs="Times New Roman"/>
                <w:color w:val="auto"/>
                <w:sz w:val="24"/>
                <w:u w:val="none" w:color="auto"/>
                <w:lang w:val="en-US" w:eastAsia="zh-CN"/>
              </w:rPr>
              <w:t>环境风险事件</w:t>
            </w:r>
          </w:p>
          <w:p w14:paraId="31B94BA6">
            <w:pPr>
              <w:rPr>
                <w:rFonts w:ascii="Times New Roman" w:hAnsi="Times New Roman" w:cs="Times New Roman"/>
                <w:color w:val="auto"/>
                <w:u w:val="none" w:color="auto"/>
              </w:rPr>
            </w:pPr>
            <w:r>
              <w:rPr>
                <w:rFonts w:hint="eastAsia" w:cs="Times New Roman"/>
                <w:color w:val="auto"/>
                <w:u w:val="none" w:color="auto"/>
                <w:lang w:val="en-US" w:eastAsia="zh-CN"/>
              </w:rPr>
              <w:t>本项目</w:t>
            </w:r>
            <w:r>
              <w:rPr>
                <w:rFonts w:hint="eastAsia" w:cs="Times New Roman"/>
                <w:color w:val="auto"/>
                <w:sz w:val="24"/>
                <w:u w:val="none" w:color="auto"/>
                <w:lang w:val="en-US" w:eastAsia="zh-CN"/>
              </w:rPr>
              <w:t>污水处理站原辅料</w:t>
            </w:r>
            <w:r>
              <w:rPr>
                <w:rFonts w:hint="eastAsia" w:cs="Times New Roman"/>
                <w:color w:val="auto"/>
                <w:u w:val="none" w:color="auto"/>
                <w:lang w:val="en-US" w:eastAsia="zh-CN"/>
              </w:rPr>
              <w:t>的环境风险物质主要为</w:t>
            </w:r>
            <w:r>
              <w:rPr>
                <w:rFonts w:hint="eastAsia" w:ascii="Times New Roman" w:hAnsi="Times New Roman" w:eastAsia="宋体" w:cs="Times New Roman"/>
                <w:color w:val="auto"/>
                <w:spacing w:val="0"/>
                <w:sz w:val="24"/>
                <w:szCs w:val="24"/>
                <w:u w:val="none" w:color="auto"/>
              </w:rPr>
              <w:t>二氯异氰脲酸钠粉</w:t>
            </w:r>
            <w:r>
              <w:rPr>
                <w:rFonts w:hint="eastAsia" w:cs="Times New Roman"/>
                <w:color w:val="auto"/>
                <w:u w:val="none" w:color="auto"/>
                <w:lang w:val="en-US" w:eastAsia="zh-CN"/>
              </w:rPr>
              <w:t>、</w:t>
            </w:r>
            <w:r>
              <w:rPr>
                <w:rFonts w:hint="eastAsia" w:ascii="Times New Roman" w:hAnsi="Times New Roman" w:eastAsia="宋体" w:cs="Times New Roman"/>
                <w:color w:val="auto"/>
                <w:spacing w:val="0"/>
                <w:sz w:val="24"/>
                <w:szCs w:val="24"/>
                <w:u w:val="none" w:color="auto"/>
              </w:rPr>
              <w:t>月苄三甲氯铵溶液</w:t>
            </w:r>
            <w:r>
              <w:rPr>
                <w:rFonts w:hint="eastAsia" w:cs="Times New Roman"/>
                <w:color w:val="auto"/>
                <w:spacing w:val="0"/>
                <w:sz w:val="24"/>
                <w:szCs w:val="24"/>
                <w:u w:val="none" w:color="auto"/>
                <w:lang w:eastAsia="zh-CN"/>
              </w:rPr>
              <w:t>、</w:t>
            </w:r>
            <w:r>
              <w:rPr>
                <w:rFonts w:hint="eastAsia" w:cs="Times New Roman"/>
                <w:color w:val="auto"/>
                <w:spacing w:val="0"/>
                <w:sz w:val="24"/>
                <w:szCs w:val="24"/>
                <w:u w:val="none" w:color="auto"/>
                <w:lang w:val="en-US" w:eastAsia="zh-CN"/>
              </w:rPr>
              <w:t>氢氧化钠、PAC、PAM。其中</w:t>
            </w:r>
            <w:r>
              <w:rPr>
                <w:rFonts w:hint="eastAsia" w:ascii="Times New Roman" w:hAnsi="Times New Roman" w:eastAsia="宋体" w:cs="Times New Roman"/>
                <w:color w:val="auto"/>
                <w:spacing w:val="0"/>
                <w:sz w:val="24"/>
                <w:szCs w:val="24"/>
                <w:u w:val="none" w:color="auto"/>
              </w:rPr>
              <w:t>二氯异氰脲酸钠粉</w:t>
            </w:r>
            <w:r>
              <w:rPr>
                <w:rFonts w:hint="eastAsia" w:cs="Times New Roman"/>
                <w:color w:val="auto"/>
                <w:spacing w:val="0"/>
                <w:sz w:val="24"/>
                <w:szCs w:val="24"/>
                <w:u w:val="none" w:color="auto"/>
                <w:lang w:val="en-US" w:eastAsia="zh-CN"/>
              </w:rPr>
              <w:t>与氢氧化钠均为固态，均为25 kg/袋</w:t>
            </w:r>
            <w:r>
              <w:rPr>
                <w:rFonts w:hint="eastAsia" w:cs="Times New Roman"/>
                <w:color w:val="auto"/>
                <w:u w:val="none" w:color="auto"/>
                <w:lang w:val="en-US" w:eastAsia="zh-CN"/>
              </w:rPr>
              <w:t>，单袋撒漏量较小，撒漏后可控制在污水处理站，不会进入外环境，</w:t>
            </w:r>
            <w:r>
              <w:rPr>
                <w:rFonts w:ascii="Times New Roman" w:hAnsi="Times New Roman" w:cs="Times New Roman"/>
                <w:color w:val="auto"/>
                <w:u w:val="none" w:color="auto"/>
              </w:rPr>
              <w:t>对周边环境影响较小，风险在可控范围内</w:t>
            </w:r>
            <w:r>
              <w:rPr>
                <w:rFonts w:hint="eastAsia" w:cs="Times New Roman"/>
                <w:color w:val="auto"/>
                <w:u w:val="none" w:color="auto"/>
                <w:lang w:eastAsia="zh-CN"/>
              </w:rPr>
              <w:t>；</w:t>
            </w:r>
            <w:r>
              <w:rPr>
                <w:rFonts w:hint="eastAsia" w:ascii="Times New Roman" w:hAnsi="Times New Roman" w:eastAsia="宋体" w:cs="Times New Roman"/>
                <w:color w:val="auto"/>
                <w:spacing w:val="0"/>
                <w:sz w:val="24"/>
                <w:szCs w:val="24"/>
                <w:u w:val="none" w:color="auto"/>
              </w:rPr>
              <w:t>月苄三甲氯铵溶液</w:t>
            </w:r>
            <w:r>
              <w:rPr>
                <w:rFonts w:hint="eastAsia" w:cs="Times New Roman"/>
                <w:color w:val="auto"/>
                <w:spacing w:val="0"/>
                <w:sz w:val="24"/>
                <w:szCs w:val="24"/>
                <w:u w:val="none" w:color="auto"/>
                <w:lang w:val="en-US" w:eastAsia="zh-CN"/>
              </w:rPr>
              <w:t>、PAC、PAM均为液态，泄漏后可自流进入污水处理站，因其容器破损泄漏，将导致污水处理能力降低，进而存在引发废水超标排放的可能，本评价要求企业定期检查污水处理站液态原辅料容器，及时检修，若发生废水超标排放事件，需及时联系卢峰镇污水处理厂，告知其做好应急准备，企业同时停止一切生产，减少废水排放</w:t>
            </w:r>
            <w:r>
              <w:rPr>
                <w:rFonts w:ascii="Times New Roman" w:hAnsi="Times New Roman" w:cs="Times New Roman"/>
                <w:color w:val="auto"/>
                <w:u w:val="none" w:color="auto"/>
              </w:rPr>
              <w:t>。</w:t>
            </w:r>
          </w:p>
          <w:p w14:paraId="24095978">
            <w:pPr>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4、</w:t>
            </w:r>
            <w:r>
              <w:rPr>
                <w:rFonts w:hint="eastAsia" w:cs="Times New Roman"/>
                <w:color w:val="auto"/>
                <w:sz w:val="24"/>
                <w:u w:val="none" w:color="auto"/>
                <w:lang w:val="en-US" w:eastAsia="zh-CN"/>
              </w:rPr>
              <w:t>生产原辅料泄漏环境风险事件</w:t>
            </w:r>
          </w:p>
          <w:p w14:paraId="37C7AEED">
            <w:pP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本项目生产原辅料中的环境风险物质主要为PCR试剂以及消毒剂（卫效），PCR试剂单个规格为1 L、消毒剂单瓶规格为0.55 L，单瓶泄漏量较小，泄漏后可控制在生产车间，不会进入外环境，</w:t>
            </w:r>
            <w:r>
              <w:rPr>
                <w:rFonts w:ascii="Times New Roman" w:hAnsi="Times New Roman" w:cs="Times New Roman"/>
                <w:color w:val="auto"/>
                <w:u w:val="none" w:color="auto"/>
              </w:rPr>
              <w:t>对周边环境影响较小，风险在可控范围内。</w:t>
            </w:r>
          </w:p>
          <w:p w14:paraId="76E3B0BB">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11</w:t>
            </w:r>
            <w:r>
              <w:rPr>
                <w:rFonts w:hint="default" w:ascii="Times New Roman" w:hAnsi="Times New Roman" w:cs="Times New Roman"/>
                <w:color w:val="auto"/>
                <w:u w:val="none" w:color="auto"/>
                <w:lang w:val="en-US" w:eastAsia="zh-CN"/>
              </w:rPr>
              <w:t xml:space="preserve">.4 </w:t>
            </w:r>
            <w:r>
              <w:rPr>
                <w:rFonts w:hint="default" w:ascii="Times New Roman" w:hAnsi="Times New Roman" w:eastAsia="黑体" w:cs="Times New Roman"/>
                <w:color w:val="auto"/>
                <w:u w:val="none" w:color="auto"/>
                <w:lang w:val="en-US" w:eastAsia="zh-CN"/>
              </w:rPr>
              <w:t>环境风险防范措施及应急要求</w:t>
            </w:r>
          </w:p>
          <w:p w14:paraId="30CF2BA3">
            <w:pPr>
              <w:bidi w:val="0"/>
              <w:rPr>
                <w:rFonts w:hint="default" w:ascii="Times New Roman" w:hAnsi="Times New Roman" w:cs="Times New Roman"/>
                <w:color w:val="auto"/>
                <w:u w:val="none" w:color="auto"/>
                <w:lang w:val="en-US" w:eastAsia="zh-CN"/>
              </w:rPr>
            </w:pPr>
            <w:r>
              <w:rPr>
                <w:rFonts w:ascii="Times New Roman" w:hAnsi="Times New Roman" w:cs="Times New Roman"/>
                <w:color w:val="auto"/>
                <w:u w:val="none" w:color="auto"/>
              </w:rPr>
              <w:t>通过风险源辨识分析可知，本项目生产贮存单元不构成重大危险源。本项目对人员伤害影响最大、潜在风险最高的风险主要是</w:t>
            </w:r>
            <w:r>
              <w:rPr>
                <w:rFonts w:hint="default" w:ascii="Times New Roman" w:hAnsi="Times New Roman" w:cs="Times New Roman"/>
                <w:color w:val="auto"/>
                <w:u w:val="none" w:color="auto"/>
                <w:lang w:val="en-US" w:eastAsia="zh-CN"/>
              </w:rPr>
              <w:t>危险废物撒漏环境风险事件</w:t>
            </w:r>
            <w:r>
              <w:rPr>
                <w:rFonts w:hint="eastAsia" w:cs="Times New Roman"/>
                <w:color w:val="auto"/>
                <w:u w:val="none" w:color="auto"/>
                <w:lang w:eastAsia="zh-CN"/>
              </w:rPr>
              <w:t>、</w:t>
            </w:r>
            <w:r>
              <w:rPr>
                <w:rFonts w:hint="default" w:ascii="Times New Roman" w:hAnsi="Times New Roman" w:cs="Times New Roman"/>
                <w:color w:val="auto"/>
                <w:sz w:val="24"/>
                <w:u w:val="none" w:color="auto"/>
              </w:rPr>
              <w:t>火灾引发的次生污染分析</w:t>
            </w:r>
            <w:r>
              <w:rPr>
                <w:rFonts w:hint="eastAsia" w:cs="Times New Roman"/>
                <w:color w:val="auto"/>
                <w:sz w:val="24"/>
                <w:u w:val="none" w:color="auto"/>
                <w:lang w:eastAsia="zh-CN"/>
              </w:rPr>
              <w:t>、</w:t>
            </w:r>
            <w:r>
              <w:rPr>
                <w:rFonts w:hint="eastAsia" w:cs="Times New Roman"/>
                <w:color w:val="auto"/>
                <w:sz w:val="24"/>
                <w:u w:val="none" w:color="auto"/>
                <w:lang w:val="en-US" w:eastAsia="zh-CN"/>
              </w:rPr>
              <w:t>污水处理站原辅料</w:t>
            </w:r>
            <w:r>
              <w:rPr>
                <w:rFonts w:hint="default" w:ascii="Times New Roman" w:hAnsi="Times New Roman" w:cs="Times New Roman"/>
                <w:color w:val="auto"/>
                <w:sz w:val="24"/>
                <w:u w:val="none" w:color="auto"/>
                <w:lang w:val="en-US" w:eastAsia="zh-CN"/>
              </w:rPr>
              <w:t>泄漏</w:t>
            </w:r>
            <w:r>
              <w:rPr>
                <w:rFonts w:hint="eastAsia" w:cs="Times New Roman"/>
                <w:color w:val="auto"/>
                <w:sz w:val="24"/>
                <w:u w:val="none" w:color="auto"/>
                <w:lang w:val="en-US" w:eastAsia="zh-CN"/>
              </w:rPr>
              <w:t>/撒漏</w:t>
            </w:r>
            <w:r>
              <w:rPr>
                <w:rFonts w:hint="default" w:ascii="Times New Roman" w:hAnsi="Times New Roman" w:cs="Times New Roman"/>
                <w:color w:val="auto"/>
                <w:sz w:val="24"/>
                <w:u w:val="none" w:color="auto"/>
                <w:lang w:val="en-US" w:eastAsia="zh-CN"/>
              </w:rPr>
              <w:t>环境风险事件</w:t>
            </w:r>
            <w:r>
              <w:rPr>
                <w:rFonts w:hint="eastAsia" w:cs="Times New Roman"/>
                <w:color w:val="auto"/>
                <w:sz w:val="24"/>
                <w:u w:val="none" w:color="auto"/>
                <w:lang w:val="en-US" w:eastAsia="zh-CN"/>
              </w:rPr>
              <w:t>及生产原辅料泄漏环境风险事件</w:t>
            </w:r>
            <w:r>
              <w:rPr>
                <w:rFonts w:hint="default" w:ascii="Times New Roman" w:hAnsi="Times New Roman" w:cs="Times New Roman"/>
                <w:color w:val="auto"/>
                <w:u w:val="none" w:color="auto"/>
                <w:lang w:val="en-US" w:eastAsia="zh-CN"/>
              </w:rPr>
              <w:t>。</w:t>
            </w:r>
            <w:r>
              <w:rPr>
                <w:rFonts w:ascii="Times New Roman" w:hAnsi="Times New Roman" w:cs="Times New Roman"/>
                <w:color w:val="auto"/>
                <w:u w:val="none" w:color="auto"/>
              </w:rPr>
              <w:t>具体防范措施如下：</w:t>
            </w:r>
          </w:p>
          <w:p w14:paraId="1EF3E86F">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t>①加强企业实际生产过程中各工艺环节的管理，定期进行设备及相应环保设施的维护。</w:t>
            </w:r>
          </w:p>
          <w:p w14:paraId="6D8BE314">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t>②强化风险意识、加强安全管理，严格按操作规程操作。远离火种、热源，配备相应品种和数量的消防器材及泄漏应急处理设备</w:t>
            </w:r>
            <w:r>
              <w:rPr>
                <w:rFonts w:hint="eastAsia" w:cs="Times New Roman"/>
                <w:color w:val="auto"/>
                <w:u w:val="none" w:color="auto"/>
                <w:lang w:eastAsia="zh-CN"/>
              </w:rPr>
              <w:t>。</w:t>
            </w:r>
          </w:p>
          <w:p w14:paraId="3A796D8F">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t>③危险废物的存放区贴上醒目的专用标签。</w:t>
            </w:r>
          </w:p>
          <w:p w14:paraId="5EE199FB">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t>④建立健全安全检查制度，定期进行安全检查，及时整改安全隐患，防止事故发生。加强工作人员的安全教育，由厂区安全及环保管理人员对厂区员工进行安全与环保知识培训，熟悉国家安全生产方针、政策、法规、标准，增强安全意识和法制观念，掌握安全卫生基本知识，具有一定的安全管理和决策能力；加大管理力度，及时清扫、检修设备也是必不可少的防护措施。</w:t>
            </w:r>
          </w:p>
          <w:p w14:paraId="53F862EF">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t>⑤严格遵照消防防火有关规范标准要求，车间内应按消防要求配备足够型号相符的灭火器，车间工作人员及相关责任人均应熟悉其放置地点，用法，而且要经常检查。</w:t>
            </w:r>
          </w:p>
          <w:p w14:paraId="6E60A97B">
            <w:pPr>
              <w:kinsoku w:val="0"/>
              <w:overflowPunct w:val="0"/>
              <w:autoSpaceDE w:val="0"/>
              <w:autoSpaceDN w:val="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rPr>
              <w:t>⑥</w:t>
            </w:r>
            <w:r>
              <w:rPr>
                <w:rFonts w:hint="eastAsia" w:cs="Times New Roman"/>
                <w:color w:val="auto"/>
                <w:u w:val="none" w:color="auto"/>
                <w:lang w:val="en-US" w:eastAsia="zh-CN"/>
              </w:rPr>
              <w:t>加强管理与维护，配备足够的应急物资（吸油棉等）。</w:t>
            </w:r>
          </w:p>
          <w:p w14:paraId="270C3AE7">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fldChar w:fldCharType="begin"/>
            </w:r>
            <w:r>
              <w:rPr>
                <w:rFonts w:ascii="Times New Roman" w:hAnsi="Times New Roman" w:cs="Times New Roman"/>
                <w:color w:val="auto"/>
                <w:u w:val="none" w:color="auto"/>
              </w:rPr>
              <w:instrText xml:space="preserve"> = 7 \* GB3 \* MERGEFORMAT </w:instrText>
            </w:r>
            <w:r>
              <w:rPr>
                <w:rFonts w:ascii="Times New Roman" w:hAnsi="Times New Roman" w:cs="Times New Roman"/>
                <w:color w:val="auto"/>
                <w:u w:val="none" w:color="auto"/>
              </w:rPr>
              <w:fldChar w:fldCharType="separate"/>
            </w:r>
            <w:r>
              <w:rPr>
                <w:rFonts w:ascii="Times New Roman" w:hAnsi="Times New Roman" w:cs="Times New Roman"/>
                <w:color w:val="auto"/>
                <w:u w:val="none" w:color="auto"/>
              </w:rPr>
              <w:t>⑦</w:t>
            </w:r>
            <w:r>
              <w:rPr>
                <w:rFonts w:ascii="Times New Roman" w:hAnsi="Times New Roman" w:cs="Times New Roman"/>
                <w:color w:val="auto"/>
                <w:u w:val="none" w:color="auto"/>
              </w:rPr>
              <w:fldChar w:fldCharType="end"/>
            </w:r>
            <w:r>
              <w:rPr>
                <w:rFonts w:ascii="Times New Roman" w:hAnsi="Times New Roman" w:cs="Times New Roman"/>
                <w:color w:val="auto"/>
                <w:u w:val="none" w:color="auto"/>
              </w:rPr>
              <w:t>一旦发生火灾，消防废水随意排放将会对周边地表水体造成污染，因此环评要求，严禁将消防废水外排，</w:t>
            </w:r>
            <w:r>
              <w:rPr>
                <w:rFonts w:hint="eastAsia" w:cs="Times New Roman"/>
                <w:color w:val="auto"/>
                <w:u w:val="none" w:color="auto"/>
                <w:lang w:val="en-US" w:eastAsia="zh-CN"/>
              </w:rPr>
              <w:t>封堵</w:t>
            </w:r>
            <w:r>
              <w:rPr>
                <w:rFonts w:ascii="Times New Roman" w:hAnsi="Times New Roman" w:cs="Times New Roman"/>
                <w:color w:val="auto"/>
                <w:u w:val="none" w:color="auto"/>
              </w:rPr>
              <w:t>雨水</w:t>
            </w:r>
            <w:r>
              <w:rPr>
                <w:rFonts w:hint="eastAsia" w:cs="Times New Roman"/>
                <w:color w:val="auto"/>
                <w:u w:val="none" w:color="auto"/>
                <w:lang w:val="en-US" w:eastAsia="zh-CN"/>
              </w:rPr>
              <w:t>排口，将雨水管网中的消防废水引流至污水管网</w:t>
            </w:r>
            <w:r>
              <w:rPr>
                <w:rFonts w:ascii="Times New Roman" w:hAnsi="Times New Roman" w:cs="Times New Roman"/>
                <w:color w:val="auto"/>
                <w:u w:val="none" w:color="auto"/>
              </w:rPr>
              <w:t>，</w:t>
            </w:r>
            <w:r>
              <w:rPr>
                <w:rFonts w:hint="eastAsia" w:cs="Times New Roman"/>
                <w:color w:val="auto"/>
                <w:u w:val="none" w:color="auto"/>
                <w:lang w:val="en-US" w:eastAsia="zh-CN"/>
              </w:rPr>
              <w:t>同时联系卢峰镇污水处理厂做好应急准备，将</w:t>
            </w:r>
            <w:r>
              <w:rPr>
                <w:rFonts w:hint="eastAsia"/>
                <w:color w:val="auto"/>
                <w:sz w:val="24"/>
                <w:szCs w:val="24"/>
                <w:u w:val="none" w:color="auto"/>
                <w:lang w:val="en-US" w:eastAsia="zh-CN"/>
              </w:rPr>
              <w:t>收集后的消防废水通过市政污水管网</w:t>
            </w:r>
            <w:r>
              <w:rPr>
                <w:rFonts w:hint="eastAsia"/>
                <w:color w:val="auto"/>
                <w:sz w:val="24"/>
                <w:szCs w:val="24"/>
                <w:u w:val="none" w:color="auto"/>
                <w:lang w:val="zh-TW" w:eastAsia="ja-JP"/>
              </w:rPr>
              <w:t>送至</w:t>
            </w:r>
            <w:r>
              <w:rPr>
                <w:rFonts w:hint="eastAsia"/>
                <w:color w:val="auto"/>
                <w:sz w:val="24"/>
                <w:szCs w:val="24"/>
                <w:u w:val="none" w:color="auto"/>
                <w:lang w:eastAsia="zh-CN"/>
              </w:rPr>
              <w:t>卢峰镇污水处理厂</w:t>
            </w:r>
            <w:r>
              <w:rPr>
                <w:rFonts w:hint="eastAsia"/>
                <w:color w:val="auto"/>
                <w:sz w:val="24"/>
                <w:szCs w:val="24"/>
                <w:u w:val="none" w:color="auto"/>
                <w:lang w:val="zh-TW" w:eastAsia="ja-JP"/>
              </w:rPr>
              <w:t>达标后外排</w:t>
            </w:r>
            <w:r>
              <w:rPr>
                <w:rFonts w:ascii="Times New Roman" w:hAnsi="Times New Roman" w:cs="Times New Roman"/>
                <w:color w:val="auto"/>
                <w:u w:val="none" w:color="auto"/>
              </w:rPr>
              <w:t>。</w:t>
            </w:r>
          </w:p>
          <w:p w14:paraId="0FE65F51">
            <w:pPr>
              <w:kinsoku w:val="0"/>
              <w:overflowPunct w:val="0"/>
              <w:autoSpaceDE w:val="0"/>
              <w:autoSpaceDN w:val="0"/>
              <w:ind w:firstLine="480"/>
              <w:rPr>
                <w:rFonts w:ascii="Times New Roman" w:hAnsi="Times New Roman" w:cs="Times New Roman"/>
                <w:color w:val="auto"/>
                <w:u w:val="none" w:color="auto"/>
              </w:rPr>
            </w:pPr>
            <w:r>
              <w:rPr>
                <w:rFonts w:ascii="Times New Roman" w:hAnsi="Times New Roman" w:cs="Times New Roman"/>
                <w:color w:val="auto"/>
                <w:u w:val="none" w:color="auto"/>
              </w:rPr>
              <w:fldChar w:fldCharType="begin"/>
            </w:r>
            <w:r>
              <w:rPr>
                <w:rFonts w:ascii="Times New Roman" w:hAnsi="Times New Roman" w:cs="Times New Roman"/>
                <w:color w:val="auto"/>
                <w:u w:val="none" w:color="auto"/>
              </w:rPr>
              <w:instrText xml:space="preserve"> = 7 \* GB3 \* MERGEFORMAT </w:instrText>
            </w:r>
            <w:r>
              <w:rPr>
                <w:rFonts w:ascii="Times New Roman" w:hAnsi="Times New Roman" w:cs="Times New Roman"/>
                <w:color w:val="auto"/>
                <w:u w:val="none" w:color="auto"/>
              </w:rPr>
              <w:fldChar w:fldCharType="separate"/>
            </w:r>
            <w:r>
              <w:rPr>
                <w:rFonts w:ascii="Times New Roman" w:hAnsi="Times New Roman" w:cs="Times New Roman"/>
                <w:color w:val="auto"/>
                <w:u w:val="none" w:color="auto"/>
              </w:rPr>
              <w:t>⑦</w:t>
            </w:r>
            <w:r>
              <w:rPr>
                <w:rFonts w:ascii="Times New Roman" w:hAnsi="Times New Roman" w:cs="Times New Roman"/>
                <w:color w:val="auto"/>
                <w:u w:val="none" w:color="auto"/>
              </w:rPr>
              <w:fldChar w:fldCharType="end"/>
            </w:r>
            <w:r>
              <w:rPr>
                <w:rFonts w:ascii="Times New Roman" w:hAnsi="Times New Roman" w:cs="Times New Roman"/>
                <w:color w:val="auto"/>
                <w:u w:val="none" w:color="auto"/>
              </w:rPr>
              <w:t>制定风险防范措施和制度以及书面的应急程序，以便在发生意外时，行动有所依据。对员工进行指导和培训，确保在紧急情况下能实施应急程序。配备应急医疗药品，厂房周围设消防通道，通道宽4</w:t>
            </w:r>
            <w:r>
              <w:rPr>
                <w:rFonts w:hint="default" w:ascii="Times New Roman" w:hAnsi="Times New Roman" w:cs="Times New Roman"/>
                <w:color w:val="auto"/>
                <w:u w:val="none" w:color="auto"/>
                <w:lang w:val="en-US" w:eastAsia="zh-CN"/>
              </w:rPr>
              <w:t xml:space="preserve"> </w:t>
            </w:r>
            <w:r>
              <w:rPr>
                <w:rFonts w:ascii="Times New Roman" w:hAnsi="Times New Roman" w:cs="Times New Roman"/>
                <w:color w:val="auto"/>
                <w:u w:val="none" w:color="auto"/>
              </w:rPr>
              <w:t>m，保证消防车辆畅通。建、构筑物周围设消防给水管，并配备灭火器材装置。</w:t>
            </w:r>
          </w:p>
          <w:p w14:paraId="3FD20AAB">
            <w:pPr>
              <w:bidi w:val="0"/>
              <w:ind w:left="0" w:leftChars="0" w:firstLine="0" w:firstLineChars="0"/>
              <w:rPr>
                <w:rFonts w:hint="default" w:ascii="Times New Roman" w:hAnsi="Times New Roman" w:eastAsia="黑体"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4.</w:t>
            </w:r>
            <w:r>
              <w:rPr>
                <w:rFonts w:hint="eastAsia" w:cs="Times New Roman"/>
                <w:b/>
                <w:bCs/>
                <w:color w:val="auto"/>
                <w:u w:val="none" w:color="auto"/>
                <w:lang w:val="en-US" w:eastAsia="zh-CN"/>
              </w:rPr>
              <w:t>12</w:t>
            </w:r>
            <w:r>
              <w:rPr>
                <w:rFonts w:hint="default" w:ascii="Times New Roman" w:hAnsi="Times New Roman" w:cs="Times New Roman"/>
                <w:b/>
                <w:bCs/>
                <w:color w:val="auto"/>
                <w:u w:val="none" w:color="auto"/>
                <w:lang w:val="en-US" w:eastAsia="zh-CN"/>
              </w:rPr>
              <w:t xml:space="preserve"> </w:t>
            </w:r>
            <w:r>
              <w:rPr>
                <w:rFonts w:hint="default" w:ascii="Times New Roman" w:hAnsi="Times New Roman" w:eastAsia="黑体" w:cs="Times New Roman"/>
                <w:b/>
                <w:bCs/>
                <w:color w:val="auto"/>
                <w:u w:val="none" w:color="auto"/>
                <w:lang w:val="en-US" w:eastAsia="zh-CN"/>
              </w:rPr>
              <w:t>改建前后“三本账”分析</w:t>
            </w:r>
          </w:p>
          <w:p w14:paraId="24FFA040">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w:t>
            </w:r>
            <w:r>
              <w:rPr>
                <w:rFonts w:hint="eastAsia" w:cs="Times New Roman"/>
                <w:color w:val="auto"/>
                <w:u w:val="none" w:color="auto"/>
                <w:lang w:val="en-US" w:eastAsia="zh-CN"/>
              </w:rPr>
              <w:t>技改</w:t>
            </w:r>
            <w:r>
              <w:rPr>
                <w:rFonts w:hint="default" w:ascii="Times New Roman" w:hAnsi="Times New Roman" w:cs="Times New Roman"/>
                <w:color w:val="auto"/>
                <w:u w:val="none" w:color="auto"/>
                <w:lang w:val="en-US" w:eastAsia="zh-CN"/>
              </w:rPr>
              <w:t>实施后，全厂</w:t>
            </w:r>
            <w:r>
              <w:rPr>
                <w:rFonts w:hint="eastAsia" w:cs="Times New Roman"/>
                <w:color w:val="auto"/>
                <w:u w:val="none" w:color="auto"/>
                <w:lang w:val="en-US" w:eastAsia="zh-CN"/>
              </w:rPr>
              <w:t>技改</w:t>
            </w:r>
            <w:r>
              <w:rPr>
                <w:rFonts w:hint="default" w:ascii="Times New Roman" w:hAnsi="Times New Roman" w:cs="Times New Roman"/>
                <w:color w:val="auto"/>
                <w:u w:val="none" w:color="auto"/>
                <w:lang w:val="en-US" w:eastAsia="zh-CN"/>
              </w:rPr>
              <w:t>前后企业污染物排放对比见下表。</w:t>
            </w:r>
          </w:p>
          <w:p w14:paraId="34F3F988">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 xml:space="preserve"> 全厂</w:t>
            </w:r>
            <w:r>
              <w:rPr>
                <w:rFonts w:hint="eastAsia" w:cs="Times New Roman"/>
                <w:color w:val="auto"/>
                <w:u w:val="none" w:color="auto"/>
                <w:lang w:val="en-US" w:eastAsia="zh-CN"/>
              </w:rPr>
              <w:t>技改</w:t>
            </w:r>
            <w:r>
              <w:rPr>
                <w:rFonts w:hint="default" w:ascii="Times New Roman" w:hAnsi="Times New Roman" w:cs="Times New Roman"/>
                <w:color w:val="auto"/>
                <w:u w:val="none" w:color="auto"/>
                <w:lang w:val="en-US" w:eastAsia="zh-CN"/>
              </w:rPr>
              <w:t>前后企业污染源强汇总表</w:t>
            </w:r>
          </w:p>
          <w:p w14:paraId="52F6527A">
            <w:pPr>
              <w:pStyle w:val="29"/>
              <w:jc w:val="right"/>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单位：t/a</w:t>
            </w:r>
          </w:p>
          <w:tbl>
            <w:tblPr>
              <w:tblStyle w:val="23"/>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38"/>
              <w:gridCol w:w="910"/>
              <w:gridCol w:w="1117"/>
              <w:gridCol w:w="1173"/>
              <w:gridCol w:w="944"/>
              <w:gridCol w:w="1350"/>
              <w:gridCol w:w="1148"/>
            </w:tblGrid>
            <w:tr w14:paraId="278E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Align w:val="center"/>
                </w:tcPr>
                <w:p w14:paraId="35C543C4">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类别</w:t>
                  </w:r>
                </w:p>
              </w:tc>
              <w:tc>
                <w:tcPr>
                  <w:tcW w:w="1538" w:type="dxa"/>
                  <w:vAlign w:val="center"/>
                </w:tcPr>
                <w:p w14:paraId="2F5667EC">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污染物名称</w:t>
                  </w:r>
                </w:p>
              </w:tc>
              <w:tc>
                <w:tcPr>
                  <w:tcW w:w="910" w:type="dxa"/>
                  <w:vAlign w:val="center"/>
                </w:tcPr>
                <w:p w14:paraId="56D220EF">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rPr>
                  </w:pPr>
                  <w:r>
                    <w:rPr>
                      <w:rFonts w:hint="eastAsia" w:cs="Times New Roman"/>
                      <w:color w:val="auto"/>
                      <w:sz w:val="21"/>
                      <w:szCs w:val="21"/>
                      <w:u w:val="single" w:color="auto"/>
                      <w:lang w:val="en-US" w:eastAsia="zh-CN"/>
                    </w:rPr>
                    <w:t>现有工程许可排放量</w:t>
                  </w:r>
                </w:p>
              </w:tc>
              <w:tc>
                <w:tcPr>
                  <w:tcW w:w="1117" w:type="dxa"/>
                  <w:shd w:val="clear" w:color="auto" w:fill="auto"/>
                  <w:vAlign w:val="center"/>
                </w:tcPr>
                <w:p w14:paraId="668001F0">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现有</w:t>
                  </w:r>
                  <w:r>
                    <w:rPr>
                      <w:rFonts w:hint="eastAsia" w:cs="Times New Roman"/>
                      <w:color w:val="auto"/>
                      <w:sz w:val="21"/>
                      <w:szCs w:val="21"/>
                      <w:u w:val="single" w:color="auto"/>
                      <w:lang w:val="en-US" w:eastAsia="zh-CN"/>
                    </w:rPr>
                    <w:t>工程</w:t>
                  </w:r>
                  <w:r>
                    <w:rPr>
                      <w:rFonts w:hint="default" w:ascii="Times New Roman" w:hAnsi="Times New Roman" w:cs="Times New Roman"/>
                      <w:color w:val="auto"/>
                      <w:sz w:val="21"/>
                      <w:szCs w:val="21"/>
                      <w:u w:val="single" w:color="auto"/>
                    </w:rPr>
                    <w:t>排放量</w:t>
                  </w:r>
                </w:p>
              </w:tc>
              <w:tc>
                <w:tcPr>
                  <w:tcW w:w="1173" w:type="dxa"/>
                  <w:vAlign w:val="center"/>
                </w:tcPr>
                <w:p w14:paraId="39A09FB5">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本项目排放量</w:t>
                  </w:r>
                </w:p>
              </w:tc>
              <w:tc>
                <w:tcPr>
                  <w:tcW w:w="944" w:type="dxa"/>
                  <w:vAlign w:val="center"/>
                </w:tcPr>
                <w:p w14:paraId="7C108E93">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“以新带老”削减量</w:t>
                  </w:r>
                </w:p>
              </w:tc>
              <w:tc>
                <w:tcPr>
                  <w:tcW w:w="1350" w:type="dxa"/>
                  <w:vAlign w:val="center"/>
                </w:tcPr>
                <w:p w14:paraId="37EE696D">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eastAsia" w:cs="Times New Roman"/>
                      <w:color w:val="auto"/>
                      <w:sz w:val="21"/>
                      <w:szCs w:val="21"/>
                      <w:u w:val="single" w:color="auto"/>
                      <w:lang w:val="en-US" w:eastAsia="zh-CN"/>
                    </w:rPr>
                    <w:t>技改</w:t>
                  </w:r>
                  <w:r>
                    <w:rPr>
                      <w:rFonts w:hint="default" w:ascii="Times New Roman" w:hAnsi="Times New Roman" w:cs="Times New Roman"/>
                      <w:color w:val="auto"/>
                      <w:sz w:val="21"/>
                      <w:szCs w:val="21"/>
                      <w:u w:val="single" w:color="auto"/>
                    </w:rPr>
                    <w:t>建后全厂排放量</w:t>
                  </w:r>
                </w:p>
              </w:tc>
              <w:tc>
                <w:tcPr>
                  <w:tcW w:w="1148" w:type="dxa"/>
                  <w:vAlign w:val="center"/>
                </w:tcPr>
                <w:p w14:paraId="41376E3D">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增减量</w:t>
                  </w:r>
                </w:p>
              </w:tc>
            </w:tr>
            <w:tr w14:paraId="0CDB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vAlign w:val="center"/>
                </w:tcPr>
                <w:p w14:paraId="1DE43D6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bookmarkStart w:id="1846" w:name="OLE_LINK233" w:colFirst="2" w:colLast="2"/>
                  <w:bookmarkStart w:id="1847" w:name="OLE_LINK235" w:colFirst="4" w:colLast="4"/>
                  <w:bookmarkStart w:id="1848" w:name="OLE_LINK234" w:colFirst="1" w:colLast="1"/>
                  <w:r>
                    <w:rPr>
                      <w:rFonts w:hint="default" w:ascii="Times New Roman" w:hAnsi="Times New Roman" w:cs="Times New Roman"/>
                      <w:color w:val="auto"/>
                      <w:sz w:val="21"/>
                      <w:szCs w:val="21"/>
                      <w:u w:val="single" w:color="auto"/>
                    </w:rPr>
                    <w:t>废水</w:t>
                  </w:r>
                </w:p>
              </w:tc>
              <w:tc>
                <w:tcPr>
                  <w:tcW w:w="1538" w:type="dxa"/>
                  <w:vAlign w:val="center"/>
                </w:tcPr>
                <w:p w14:paraId="38FB4CD2">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废水量</w:t>
                  </w:r>
                </w:p>
              </w:tc>
              <w:tc>
                <w:tcPr>
                  <w:tcW w:w="910" w:type="dxa"/>
                  <w:vAlign w:val="center"/>
                </w:tcPr>
                <w:p w14:paraId="34F0D691">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117" w:type="dxa"/>
                  <w:shd w:val="clear" w:color="auto" w:fill="auto"/>
                  <w:vAlign w:val="center"/>
                </w:tcPr>
                <w:p w14:paraId="02B5437D">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53433.06</w:t>
                  </w:r>
                </w:p>
              </w:tc>
              <w:tc>
                <w:tcPr>
                  <w:tcW w:w="1173" w:type="dxa"/>
                  <w:shd w:val="clear" w:color="auto" w:fill="auto"/>
                  <w:vAlign w:val="center"/>
                </w:tcPr>
                <w:p w14:paraId="5675AD17">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65047.575</w:t>
                  </w:r>
                </w:p>
              </w:tc>
              <w:tc>
                <w:tcPr>
                  <w:tcW w:w="944" w:type="dxa"/>
                  <w:vAlign w:val="center"/>
                </w:tcPr>
                <w:p w14:paraId="20E0B03F">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350" w:type="dxa"/>
                  <w:shd w:val="clear" w:color="auto" w:fill="auto"/>
                  <w:vAlign w:val="center"/>
                </w:tcPr>
                <w:p w14:paraId="734D26E7">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65047.575</w:t>
                  </w:r>
                </w:p>
              </w:tc>
              <w:tc>
                <w:tcPr>
                  <w:tcW w:w="1148" w:type="dxa"/>
                  <w:vAlign w:val="center"/>
                </w:tcPr>
                <w:p w14:paraId="08B6BDB6">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11614.5</w:t>
                  </w:r>
                  <w:r>
                    <w:rPr>
                      <w:rFonts w:hint="eastAsia" w:cs="Times New Roman"/>
                      <w:i w:val="0"/>
                      <w:iCs w:val="0"/>
                      <w:color w:val="auto"/>
                      <w:kern w:val="24"/>
                      <w:sz w:val="21"/>
                      <w:szCs w:val="21"/>
                      <w:u w:val="single" w:color="auto"/>
                      <w:lang w:val="en-US" w:eastAsia="zh-CN" w:bidi="ar"/>
                    </w:rPr>
                    <w:t>2</w:t>
                  </w:r>
                </w:p>
              </w:tc>
            </w:tr>
            <w:tr w14:paraId="585D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64BB4D6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1538" w:type="dxa"/>
                  <w:shd w:val="clear" w:color="auto" w:fill="auto"/>
                  <w:vAlign w:val="center"/>
                </w:tcPr>
                <w:p w14:paraId="3285B817">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COD</w:t>
                  </w:r>
                  <w:r>
                    <w:rPr>
                      <w:color w:val="auto"/>
                      <w:sz w:val="21"/>
                      <w:szCs w:val="21"/>
                      <w:u w:val="single" w:color="auto"/>
                      <w:vertAlign w:val="subscript"/>
                    </w:rPr>
                    <w:t>Cr</w:t>
                  </w:r>
                </w:p>
              </w:tc>
              <w:tc>
                <w:tcPr>
                  <w:tcW w:w="910" w:type="dxa"/>
                  <w:shd w:val="clear" w:color="auto" w:fill="auto"/>
                  <w:vAlign w:val="center"/>
                </w:tcPr>
                <w:p w14:paraId="545D7B86">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4BEE0298">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21.0161</w:t>
                  </w:r>
                </w:p>
              </w:tc>
              <w:tc>
                <w:tcPr>
                  <w:tcW w:w="1173" w:type="dxa"/>
                  <w:shd w:val="clear" w:color="auto" w:fill="auto"/>
                  <w:vAlign w:val="center"/>
                </w:tcPr>
                <w:p w14:paraId="00A719ED">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8.0758</w:t>
                  </w:r>
                </w:p>
              </w:tc>
              <w:tc>
                <w:tcPr>
                  <w:tcW w:w="944" w:type="dxa"/>
                  <w:shd w:val="clear" w:color="auto" w:fill="auto"/>
                  <w:vAlign w:val="center"/>
                </w:tcPr>
                <w:p w14:paraId="54C5B55F">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12.9403</w:t>
                  </w:r>
                </w:p>
              </w:tc>
              <w:tc>
                <w:tcPr>
                  <w:tcW w:w="1350" w:type="dxa"/>
                  <w:shd w:val="clear" w:color="auto" w:fill="auto"/>
                  <w:vAlign w:val="center"/>
                </w:tcPr>
                <w:p w14:paraId="3D60658A">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8.0758</w:t>
                  </w:r>
                </w:p>
              </w:tc>
              <w:tc>
                <w:tcPr>
                  <w:tcW w:w="1148" w:type="dxa"/>
                  <w:vAlign w:val="center"/>
                </w:tcPr>
                <w:p w14:paraId="1D5DA5DA">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-12.9403</w:t>
                  </w:r>
                </w:p>
              </w:tc>
            </w:tr>
            <w:bookmarkEnd w:id="1846"/>
            <w:bookmarkEnd w:id="1847"/>
            <w:tr w14:paraId="76BD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62EAD9F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bookmarkStart w:id="1849" w:name="OLE_LINK154" w:colFirst="3" w:colLast="3"/>
                </w:p>
              </w:tc>
              <w:tc>
                <w:tcPr>
                  <w:tcW w:w="1538" w:type="dxa"/>
                  <w:shd w:val="clear" w:color="auto" w:fill="auto"/>
                  <w:vAlign w:val="center"/>
                </w:tcPr>
                <w:p w14:paraId="44B2DA0C">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BOD</w:t>
                  </w:r>
                  <w:r>
                    <w:rPr>
                      <w:color w:val="auto"/>
                      <w:sz w:val="21"/>
                      <w:szCs w:val="21"/>
                      <w:u w:val="single" w:color="auto"/>
                      <w:vertAlign w:val="subscript"/>
                    </w:rPr>
                    <w:t>5</w:t>
                  </w:r>
                </w:p>
              </w:tc>
              <w:tc>
                <w:tcPr>
                  <w:tcW w:w="910" w:type="dxa"/>
                  <w:shd w:val="clear" w:color="auto" w:fill="auto"/>
                  <w:vAlign w:val="center"/>
                </w:tcPr>
                <w:p w14:paraId="3B18A146">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w:t>
                  </w:r>
                </w:p>
              </w:tc>
              <w:tc>
                <w:tcPr>
                  <w:tcW w:w="1117" w:type="dxa"/>
                  <w:shd w:val="clear" w:color="auto" w:fill="auto"/>
                  <w:vAlign w:val="center"/>
                </w:tcPr>
                <w:p w14:paraId="3D8C0823">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12.9871</w:t>
                  </w:r>
                </w:p>
              </w:tc>
              <w:tc>
                <w:tcPr>
                  <w:tcW w:w="1173" w:type="dxa"/>
                  <w:shd w:val="clear" w:color="auto" w:fill="auto"/>
                  <w:vAlign w:val="center"/>
                </w:tcPr>
                <w:p w14:paraId="5D3D7AE0">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4.7798</w:t>
                  </w:r>
                </w:p>
              </w:tc>
              <w:tc>
                <w:tcPr>
                  <w:tcW w:w="944" w:type="dxa"/>
                  <w:shd w:val="clear" w:color="auto" w:fill="auto"/>
                  <w:vAlign w:val="center"/>
                </w:tcPr>
                <w:p w14:paraId="5D40D7C0">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8.2073</w:t>
                  </w:r>
                </w:p>
              </w:tc>
              <w:tc>
                <w:tcPr>
                  <w:tcW w:w="1350" w:type="dxa"/>
                  <w:shd w:val="clear" w:color="auto" w:fill="auto"/>
                  <w:vAlign w:val="center"/>
                </w:tcPr>
                <w:p w14:paraId="18744B6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4.7798</w:t>
                  </w:r>
                </w:p>
              </w:tc>
              <w:tc>
                <w:tcPr>
                  <w:tcW w:w="1148" w:type="dxa"/>
                  <w:vAlign w:val="center"/>
                </w:tcPr>
                <w:p w14:paraId="3A6F7B18">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-8.2073</w:t>
                  </w:r>
                </w:p>
              </w:tc>
            </w:tr>
            <w:bookmarkEnd w:id="1849"/>
            <w:tr w14:paraId="4A04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018A13A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bookmarkStart w:id="1850" w:name="OLE_LINK236" w:colFirst="3" w:colLast="3"/>
                  <w:bookmarkStart w:id="1851" w:name="OLE_LINK237" w:colFirst="2" w:colLast="2"/>
                  <w:bookmarkStart w:id="1852" w:name="OLE_LINK238" w:colFirst="2" w:colLast="2"/>
                </w:p>
              </w:tc>
              <w:tc>
                <w:tcPr>
                  <w:tcW w:w="1538" w:type="dxa"/>
                  <w:shd w:val="clear" w:color="auto" w:fill="auto"/>
                  <w:vAlign w:val="center"/>
                </w:tcPr>
                <w:p w14:paraId="08FD3AF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color w:val="auto"/>
                      <w:sz w:val="21"/>
                      <w:szCs w:val="21"/>
                      <w:u w:val="single" w:color="auto"/>
                    </w:rPr>
                    <w:t>SS</w:t>
                  </w:r>
                </w:p>
              </w:tc>
              <w:tc>
                <w:tcPr>
                  <w:tcW w:w="910" w:type="dxa"/>
                  <w:shd w:val="clear" w:color="auto" w:fill="auto"/>
                  <w:vAlign w:val="center"/>
                </w:tcPr>
                <w:p w14:paraId="6CBD8EA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7B12FC0A">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10.4881</w:t>
                  </w:r>
                </w:p>
              </w:tc>
              <w:tc>
                <w:tcPr>
                  <w:tcW w:w="1173" w:type="dxa"/>
                  <w:shd w:val="clear" w:color="auto" w:fill="auto"/>
                  <w:vAlign w:val="center"/>
                </w:tcPr>
                <w:p w14:paraId="525F1FF0">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8.5733</w:t>
                  </w:r>
                </w:p>
              </w:tc>
              <w:tc>
                <w:tcPr>
                  <w:tcW w:w="944" w:type="dxa"/>
                  <w:shd w:val="clear" w:color="auto" w:fill="auto"/>
                  <w:vAlign w:val="center"/>
                </w:tcPr>
                <w:p w14:paraId="182379CC">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1.9148</w:t>
                  </w:r>
                </w:p>
              </w:tc>
              <w:tc>
                <w:tcPr>
                  <w:tcW w:w="1350" w:type="dxa"/>
                  <w:shd w:val="clear" w:color="auto" w:fill="auto"/>
                  <w:vAlign w:val="center"/>
                </w:tcPr>
                <w:p w14:paraId="569E0964">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8.5733</w:t>
                  </w:r>
                </w:p>
              </w:tc>
              <w:tc>
                <w:tcPr>
                  <w:tcW w:w="1148" w:type="dxa"/>
                  <w:vAlign w:val="center"/>
                </w:tcPr>
                <w:p w14:paraId="7AF18F1C">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-1.9148</w:t>
                  </w:r>
                </w:p>
              </w:tc>
            </w:tr>
            <w:bookmarkEnd w:id="1850"/>
            <w:tr w14:paraId="6A57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52428AA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1538" w:type="dxa"/>
                  <w:shd w:val="clear" w:color="auto" w:fill="auto"/>
                  <w:vAlign w:val="center"/>
                </w:tcPr>
                <w:p w14:paraId="7AD1DC9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rPr>
                    <w:t>NH</w:t>
                  </w:r>
                  <w:r>
                    <w:rPr>
                      <w:rFonts w:hint="eastAsia"/>
                      <w:color w:val="auto"/>
                      <w:sz w:val="21"/>
                      <w:szCs w:val="21"/>
                      <w:u w:val="single" w:color="auto"/>
                      <w:vertAlign w:val="subscript"/>
                    </w:rPr>
                    <w:t>3</w:t>
                  </w:r>
                  <w:r>
                    <w:rPr>
                      <w:rFonts w:hint="eastAsia"/>
                      <w:color w:val="auto"/>
                      <w:sz w:val="21"/>
                      <w:szCs w:val="21"/>
                      <w:u w:val="single" w:color="auto"/>
                    </w:rPr>
                    <w:t>-N</w:t>
                  </w:r>
                </w:p>
              </w:tc>
              <w:tc>
                <w:tcPr>
                  <w:tcW w:w="910" w:type="dxa"/>
                  <w:shd w:val="clear" w:color="auto" w:fill="auto"/>
                  <w:vAlign w:val="center"/>
                </w:tcPr>
                <w:p w14:paraId="4EC335CC">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sz w:val="21"/>
                      <w:szCs w:val="21"/>
                      <w:u w:val="single" w:color="auto"/>
                      <w:lang w:val="en-US" w:eastAsia="zh-CN"/>
                    </w:rPr>
                    <w:t>/</w:t>
                  </w:r>
                </w:p>
              </w:tc>
              <w:tc>
                <w:tcPr>
                  <w:tcW w:w="1117" w:type="dxa"/>
                  <w:shd w:val="clear" w:color="auto" w:fill="auto"/>
                  <w:vAlign w:val="center"/>
                </w:tcPr>
                <w:p w14:paraId="41435D86">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1.9938</w:t>
                  </w:r>
                </w:p>
              </w:tc>
              <w:tc>
                <w:tcPr>
                  <w:tcW w:w="1173" w:type="dxa"/>
                  <w:shd w:val="clear" w:color="auto" w:fill="auto"/>
                  <w:vAlign w:val="center"/>
                </w:tcPr>
                <w:p w14:paraId="66584666">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1.0858</w:t>
                  </w:r>
                </w:p>
              </w:tc>
              <w:tc>
                <w:tcPr>
                  <w:tcW w:w="944" w:type="dxa"/>
                  <w:shd w:val="clear" w:color="auto" w:fill="auto"/>
                  <w:vAlign w:val="center"/>
                </w:tcPr>
                <w:p w14:paraId="65071ED1">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0.908</w:t>
                  </w:r>
                </w:p>
              </w:tc>
              <w:tc>
                <w:tcPr>
                  <w:tcW w:w="1350" w:type="dxa"/>
                  <w:shd w:val="clear" w:color="auto" w:fill="auto"/>
                  <w:vAlign w:val="center"/>
                </w:tcPr>
                <w:p w14:paraId="1E9BFFB6">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1.0858</w:t>
                  </w:r>
                </w:p>
              </w:tc>
              <w:tc>
                <w:tcPr>
                  <w:tcW w:w="1148" w:type="dxa"/>
                  <w:vAlign w:val="center"/>
                </w:tcPr>
                <w:p w14:paraId="49457E2E">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-0.908</w:t>
                  </w:r>
                </w:p>
              </w:tc>
            </w:tr>
            <w:tr w14:paraId="3FFE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0F9AF8EB">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1538" w:type="dxa"/>
                  <w:shd w:val="clear" w:color="auto" w:fill="auto"/>
                  <w:vAlign w:val="center"/>
                </w:tcPr>
                <w:p w14:paraId="05B404AB">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动植物油</w:t>
                  </w:r>
                </w:p>
              </w:tc>
              <w:tc>
                <w:tcPr>
                  <w:tcW w:w="910" w:type="dxa"/>
                  <w:shd w:val="clear" w:color="auto" w:fill="auto"/>
                  <w:vAlign w:val="center"/>
                </w:tcPr>
                <w:p w14:paraId="15C674CA">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0335E30E">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4.6548</w:t>
                  </w:r>
                </w:p>
              </w:tc>
              <w:tc>
                <w:tcPr>
                  <w:tcW w:w="1173" w:type="dxa"/>
                  <w:shd w:val="clear" w:color="auto" w:fill="auto"/>
                  <w:vAlign w:val="center"/>
                </w:tcPr>
                <w:p w14:paraId="6A806DB9">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0.1271</w:t>
                  </w:r>
                </w:p>
              </w:tc>
              <w:tc>
                <w:tcPr>
                  <w:tcW w:w="944" w:type="dxa"/>
                  <w:shd w:val="clear" w:color="auto" w:fill="auto"/>
                  <w:vAlign w:val="center"/>
                </w:tcPr>
                <w:p w14:paraId="3051E7BA">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4.5277</w:t>
                  </w:r>
                </w:p>
              </w:tc>
              <w:tc>
                <w:tcPr>
                  <w:tcW w:w="1350" w:type="dxa"/>
                  <w:shd w:val="clear" w:color="auto" w:fill="auto"/>
                  <w:vAlign w:val="center"/>
                </w:tcPr>
                <w:p w14:paraId="630D4321">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0.1271</w:t>
                  </w:r>
                </w:p>
              </w:tc>
              <w:tc>
                <w:tcPr>
                  <w:tcW w:w="1148" w:type="dxa"/>
                  <w:vAlign w:val="center"/>
                </w:tcPr>
                <w:p w14:paraId="61CF4850">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-4.5277</w:t>
                  </w:r>
                </w:p>
              </w:tc>
            </w:tr>
            <w:bookmarkEnd w:id="1851"/>
            <w:tr w14:paraId="3A5E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656A56A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1538" w:type="dxa"/>
                  <w:shd w:val="clear" w:color="auto" w:fill="auto"/>
                  <w:vAlign w:val="center"/>
                </w:tcPr>
                <w:p w14:paraId="62944FAE">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TN</w:t>
                  </w:r>
                </w:p>
              </w:tc>
              <w:tc>
                <w:tcPr>
                  <w:tcW w:w="910" w:type="dxa"/>
                  <w:shd w:val="clear" w:color="auto" w:fill="auto"/>
                  <w:vAlign w:val="center"/>
                </w:tcPr>
                <w:p w14:paraId="3417302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5CCDE6FB">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3.5761</w:t>
                  </w:r>
                </w:p>
              </w:tc>
              <w:tc>
                <w:tcPr>
                  <w:tcW w:w="1173" w:type="dxa"/>
                  <w:shd w:val="clear" w:color="auto" w:fill="auto"/>
                  <w:vAlign w:val="center"/>
                </w:tcPr>
                <w:p w14:paraId="672B88D3">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2.7667</w:t>
                  </w:r>
                </w:p>
              </w:tc>
              <w:tc>
                <w:tcPr>
                  <w:tcW w:w="944" w:type="dxa"/>
                  <w:shd w:val="clear" w:color="auto" w:fill="auto"/>
                  <w:vAlign w:val="center"/>
                </w:tcPr>
                <w:p w14:paraId="237CAE49">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0.8094</w:t>
                  </w:r>
                </w:p>
              </w:tc>
              <w:tc>
                <w:tcPr>
                  <w:tcW w:w="1350" w:type="dxa"/>
                  <w:shd w:val="clear" w:color="auto" w:fill="auto"/>
                  <w:vAlign w:val="center"/>
                </w:tcPr>
                <w:p w14:paraId="3B149330">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i w:val="0"/>
                      <w:iCs w:val="0"/>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2.7667</w:t>
                  </w:r>
                </w:p>
              </w:tc>
              <w:tc>
                <w:tcPr>
                  <w:tcW w:w="1148" w:type="dxa"/>
                  <w:vAlign w:val="center"/>
                </w:tcPr>
                <w:p w14:paraId="09243420">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-0.8094</w:t>
                  </w:r>
                </w:p>
              </w:tc>
            </w:tr>
            <w:tr w14:paraId="10CA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7E1F894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bookmarkStart w:id="1853" w:name="OLE_LINK241" w:colFirst="5" w:colLast="5"/>
                  <w:bookmarkStart w:id="1854" w:name="OLE_LINK240" w:colFirst="4" w:colLast="4"/>
                  <w:bookmarkStart w:id="1855" w:name="OLE_LINK242" w:colFirst="7" w:colLast="7"/>
                </w:p>
              </w:tc>
              <w:tc>
                <w:tcPr>
                  <w:tcW w:w="1538" w:type="dxa"/>
                  <w:shd w:val="clear" w:color="auto" w:fill="auto"/>
                  <w:vAlign w:val="center"/>
                </w:tcPr>
                <w:p w14:paraId="4F2BF7B0">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TP</w:t>
                  </w:r>
                </w:p>
              </w:tc>
              <w:tc>
                <w:tcPr>
                  <w:tcW w:w="910" w:type="dxa"/>
                  <w:shd w:val="clear" w:color="auto" w:fill="auto"/>
                  <w:vAlign w:val="center"/>
                </w:tcPr>
                <w:p w14:paraId="7799A32B">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117" w:type="dxa"/>
                  <w:shd w:val="clear" w:color="auto" w:fill="auto"/>
                  <w:vAlign w:val="center"/>
                </w:tcPr>
                <w:p w14:paraId="2935F273">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 xml:space="preserve">0.3848 </w:t>
                  </w:r>
                </w:p>
              </w:tc>
              <w:tc>
                <w:tcPr>
                  <w:tcW w:w="1173" w:type="dxa"/>
                  <w:shd w:val="clear" w:color="auto" w:fill="auto"/>
                  <w:vAlign w:val="center"/>
                </w:tcPr>
                <w:p w14:paraId="51FF7621">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i w:val="0"/>
                      <w:iCs w:val="0"/>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0.4158</w:t>
                  </w:r>
                </w:p>
              </w:tc>
              <w:tc>
                <w:tcPr>
                  <w:tcW w:w="944" w:type="dxa"/>
                  <w:shd w:val="clear" w:color="auto" w:fill="auto"/>
                  <w:vAlign w:val="center"/>
                </w:tcPr>
                <w:p w14:paraId="07F905AE">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0.031</w:t>
                  </w:r>
                </w:p>
              </w:tc>
              <w:tc>
                <w:tcPr>
                  <w:tcW w:w="1350" w:type="dxa"/>
                  <w:shd w:val="clear" w:color="auto" w:fill="auto"/>
                  <w:vAlign w:val="center"/>
                </w:tcPr>
                <w:p w14:paraId="7D1AB3B1">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i w:val="0"/>
                      <w:iCs w:val="0"/>
                      <w:color w:val="auto"/>
                      <w:kern w:val="2"/>
                      <w:sz w:val="21"/>
                      <w:szCs w:val="21"/>
                      <w:u w:val="single" w:color="auto"/>
                      <w:lang w:val="en-US" w:eastAsia="zh-CN" w:bidi="ar"/>
                    </w:rPr>
                  </w:pPr>
                  <w:r>
                    <w:rPr>
                      <w:rFonts w:hint="eastAsia" w:ascii="Times New Roman" w:hAnsi="Times New Roman" w:eastAsia="宋体" w:cs="Times New Roman"/>
                      <w:i w:val="0"/>
                      <w:iCs w:val="0"/>
                      <w:color w:val="auto"/>
                      <w:kern w:val="2"/>
                      <w:sz w:val="21"/>
                      <w:szCs w:val="21"/>
                      <w:u w:val="single" w:color="auto"/>
                      <w:lang w:val="en-US" w:eastAsia="zh-CN" w:bidi="ar"/>
                    </w:rPr>
                    <w:t>0.4158</w:t>
                  </w:r>
                </w:p>
              </w:tc>
              <w:tc>
                <w:tcPr>
                  <w:tcW w:w="1148" w:type="dxa"/>
                  <w:vAlign w:val="center"/>
                </w:tcPr>
                <w:p w14:paraId="425EEF23">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0.031</w:t>
                  </w:r>
                </w:p>
              </w:tc>
            </w:tr>
            <w:bookmarkEnd w:id="1852"/>
            <w:tr w14:paraId="10DE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7C61ABD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1538" w:type="dxa"/>
                  <w:shd w:val="clear" w:color="auto" w:fill="auto"/>
                  <w:vAlign w:val="center"/>
                </w:tcPr>
                <w:p w14:paraId="09ACDD8F">
                  <w:pPr>
                    <w:keepNext w:val="0"/>
                    <w:keepLines w:val="0"/>
                    <w:pageBreakBefore w:val="0"/>
                    <w:widowControl w:val="0"/>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石油类</w:t>
                  </w:r>
                </w:p>
              </w:tc>
              <w:tc>
                <w:tcPr>
                  <w:tcW w:w="910" w:type="dxa"/>
                  <w:shd w:val="clear" w:color="auto" w:fill="auto"/>
                  <w:vAlign w:val="center"/>
                </w:tcPr>
                <w:p w14:paraId="729146AE">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438D8999">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SA"/>
                    </w:rPr>
                    <w:t>0.0263</w:t>
                  </w:r>
                </w:p>
              </w:tc>
              <w:tc>
                <w:tcPr>
                  <w:tcW w:w="1173" w:type="dxa"/>
                  <w:shd w:val="clear" w:color="auto" w:fill="auto"/>
                  <w:vAlign w:val="center"/>
                </w:tcPr>
                <w:p w14:paraId="6E7D8FD1">
                  <w:pPr>
                    <w:keepNext w:val="0"/>
                    <w:keepLines w:val="0"/>
                    <w:widowControl w:val="0"/>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0.0073</w:t>
                  </w:r>
                </w:p>
              </w:tc>
              <w:tc>
                <w:tcPr>
                  <w:tcW w:w="944" w:type="dxa"/>
                  <w:shd w:val="clear" w:color="auto" w:fill="auto"/>
                  <w:vAlign w:val="center"/>
                </w:tcPr>
                <w:p w14:paraId="485FD556">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0.019</w:t>
                  </w:r>
                </w:p>
              </w:tc>
              <w:tc>
                <w:tcPr>
                  <w:tcW w:w="1350" w:type="dxa"/>
                  <w:shd w:val="clear" w:color="auto" w:fill="auto"/>
                  <w:vAlign w:val="center"/>
                </w:tcPr>
                <w:p w14:paraId="223F01EE">
                  <w:pPr>
                    <w:keepNext w:val="0"/>
                    <w:keepLines w:val="0"/>
                    <w:widowControl w:val="0"/>
                    <w:suppressLineNumbers w:val="0"/>
                    <w:autoSpaceDE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i w:val="0"/>
                      <w:iCs w:val="0"/>
                      <w:color w:val="auto"/>
                      <w:kern w:val="2"/>
                      <w:sz w:val="21"/>
                      <w:szCs w:val="21"/>
                      <w:u w:val="single" w:color="auto"/>
                      <w:lang w:val="en-US" w:eastAsia="zh-CN" w:bidi="ar"/>
                    </w:rPr>
                    <w:t>0.0073</w:t>
                  </w:r>
                </w:p>
              </w:tc>
              <w:tc>
                <w:tcPr>
                  <w:tcW w:w="1148" w:type="dxa"/>
                  <w:vAlign w:val="center"/>
                </w:tcPr>
                <w:p w14:paraId="4E92B487">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-0.019</w:t>
                  </w:r>
                </w:p>
              </w:tc>
            </w:tr>
            <w:bookmarkEnd w:id="1848"/>
            <w:bookmarkEnd w:id="1853"/>
            <w:bookmarkEnd w:id="1854"/>
            <w:bookmarkEnd w:id="1855"/>
            <w:tr w14:paraId="69D2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vAlign w:val="center"/>
                </w:tcPr>
                <w:p w14:paraId="0E303425">
                  <w:pPr>
                    <w:pStyle w:val="34"/>
                    <w:spacing w:beforeLines="0" w:afterLines="0"/>
                    <w:ind w:firstLine="0" w:firstLineChars="0"/>
                    <w:rPr>
                      <w:rFonts w:hint="default" w:cs="Times New Roman"/>
                      <w:color w:val="auto"/>
                      <w:sz w:val="21"/>
                      <w:szCs w:val="21"/>
                      <w:u w:val="single" w:color="auto"/>
                      <w:vertAlign w:val="baseline"/>
                      <w:lang w:val="en-US" w:eastAsia="zh-CN"/>
                    </w:rPr>
                  </w:pPr>
                  <w:bookmarkStart w:id="1856" w:name="OLE_LINK258" w:colFirst="3" w:colLast="3"/>
                  <w:r>
                    <w:rPr>
                      <w:rFonts w:hint="default" w:ascii="Times New Roman" w:hAnsi="Times New Roman" w:cs="Times New Roman"/>
                      <w:color w:val="auto"/>
                      <w:sz w:val="21"/>
                      <w:szCs w:val="21"/>
                      <w:u w:val="single" w:color="auto"/>
                    </w:rPr>
                    <w:t>废气</w:t>
                  </w:r>
                </w:p>
              </w:tc>
              <w:tc>
                <w:tcPr>
                  <w:tcW w:w="1538" w:type="dxa"/>
                  <w:shd w:val="clear" w:color="auto" w:fill="auto"/>
                  <w:vAlign w:val="center"/>
                </w:tcPr>
                <w:p w14:paraId="253A009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cs="Times New Roman"/>
                      <w:color w:val="auto"/>
                      <w:u w:val="single" w:color="auto"/>
                      <w:lang w:val="en-US" w:eastAsia="zh-CN"/>
                    </w:rPr>
                    <w:t>食堂油烟</w:t>
                  </w:r>
                </w:p>
              </w:tc>
              <w:tc>
                <w:tcPr>
                  <w:tcW w:w="910" w:type="dxa"/>
                  <w:shd w:val="clear" w:color="auto" w:fill="auto"/>
                  <w:vAlign w:val="center"/>
                </w:tcPr>
                <w:p w14:paraId="048155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t>
                  </w:r>
                </w:p>
              </w:tc>
              <w:tc>
                <w:tcPr>
                  <w:tcW w:w="1117" w:type="dxa"/>
                  <w:shd w:val="clear" w:color="auto" w:fill="auto"/>
                  <w:vAlign w:val="center"/>
                </w:tcPr>
                <w:p w14:paraId="6FA02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0.00434</w:t>
                  </w:r>
                </w:p>
              </w:tc>
              <w:tc>
                <w:tcPr>
                  <w:tcW w:w="1173" w:type="dxa"/>
                  <w:shd w:val="clear" w:color="auto" w:fill="auto"/>
                  <w:vAlign w:val="center"/>
                </w:tcPr>
                <w:p w14:paraId="10305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cs="Times New Roman"/>
                      <w:color w:val="auto"/>
                      <w:sz w:val="21"/>
                      <w:szCs w:val="21"/>
                      <w:u w:val="single" w:color="auto"/>
                      <w:vertAlign w:val="baseline"/>
                      <w:lang w:val="en-US" w:eastAsia="zh-CN"/>
                    </w:rPr>
                    <w:t>0.00434</w:t>
                  </w:r>
                </w:p>
              </w:tc>
              <w:tc>
                <w:tcPr>
                  <w:tcW w:w="944" w:type="dxa"/>
                  <w:shd w:val="clear" w:color="auto" w:fill="auto"/>
                  <w:vAlign w:val="center"/>
                </w:tcPr>
                <w:p w14:paraId="07453A67">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cs="Times New Roman"/>
                      <w:color w:val="auto"/>
                      <w:sz w:val="21"/>
                      <w:szCs w:val="21"/>
                      <w:u w:val="single" w:color="auto"/>
                      <w:lang w:val="en-US" w:eastAsia="zh-CN"/>
                    </w:rPr>
                    <w:t>/</w:t>
                  </w:r>
                </w:p>
              </w:tc>
              <w:tc>
                <w:tcPr>
                  <w:tcW w:w="1350" w:type="dxa"/>
                  <w:shd w:val="clear" w:color="auto" w:fill="auto"/>
                  <w:vAlign w:val="center"/>
                </w:tcPr>
                <w:p w14:paraId="5C289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cs="Times New Roman"/>
                      <w:color w:val="auto"/>
                      <w:sz w:val="21"/>
                      <w:szCs w:val="21"/>
                      <w:u w:val="single" w:color="auto"/>
                      <w:vertAlign w:val="baseline"/>
                      <w:lang w:val="en-US" w:eastAsia="zh-CN"/>
                    </w:rPr>
                    <w:t>0.00434</w:t>
                  </w:r>
                </w:p>
              </w:tc>
              <w:tc>
                <w:tcPr>
                  <w:tcW w:w="1148" w:type="dxa"/>
                  <w:shd w:val="clear" w:color="auto" w:fill="auto"/>
                  <w:vAlign w:val="center"/>
                </w:tcPr>
                <w:p w14:paraId="6A52F00B">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w:t>
                  </w:r>
                </w:p>
              </w:tc>
            </w:tr>
            <w:tr w14:paraId="18DD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19D0B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p>
              </w:tc>
              <w:tc>
                <w:tcPr>
                  <w:tcW w:w="1538" w:type="dxa"/>
                  <w:shd w:val="clear" w:color="auto" w:fill="auto"/>
                  <w:vAlign w:val="center"/>
                </w:tcPr>
                <w:p w14:paraId="4298520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cs="Times New Roman"/>
                      <w:color w:val="auto"/>
                      <w:sz w:val="21"/>
                      <w:szCs w:val="21"/>
                      <w:u w:val="single" w:color="auto"/>
                      <w:vertAlign w:val="baseline"/>
                      <w:lang w:val="en-US" w:eastAsia="zh-CN"/>
                    </w:rPr>
                    <w:t>硫化氢</w:t>
                  </w:r>
                </w:p>
              </w:tc>
              <w:tc>
                <w:tcPr>
                  <w:tcW w:w="910" w:type="dxa"/>
                  <w:shd w:val="clear" w:color="auto" w:fill="auto"/>
                  <w:vAlign w:val="center"/>
                </w:tcPr>
                <w:p w14:paraId="5C957A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17" w:type="dxa"/>
                  <w:shd w:val="clear" w:color="auto" w:fill="auto"/>
                  <w:vAlign w:val="center"/>
                </w:tcPr>
                <w:p w14:paraId="70E694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0.028</w:t>
                  </w:r>
                </w:p>
              </w:tc>
              <w:tc>
                <w:tcPr>
                  <w:tcW w:w="1173" w:type="dxa"/>
                  <w:shd w:val="clear" w:color="auto" w:fill="auto"/>
                  <w:vAlign w:val="center"/>
                </w:tcPr>
                <w:p w14:paraId="1307E46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0.0301</w:t>
                  </w:r>
                </w:p>
              </w:tc>
              <w:tc>
                <w:tcPr>
                  <w:tcW w:w="944" w:type="dxa"/>
                  <w:vAlign w:val="center"/>
                </w:tcPr>
                <w:p w14:paraId="55C11A8B">
                  <w:pPr>
                    <w:pStyle w:val="34"/>
                    <w:widowControl w:val="0"/>
                    <w:spacing w:beforeLines="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i w:val="0"/>
                      <w:iCs w:val="0"/>
                      <w:color w:val="auto"/>
                      <w:kern w:val="24"/>
                      <w:sz w:val="21"/>
                      <w:szCs w:val="21"/>
                      <w:u w:val="single" w:color="auto"/>
                      <w:lang w:val="en-US" w:eastAsia="zh-CN" w:bidi="ar"/>
                    </w:rPr>
                    <w:t>-0.0021</w:t>
                  </w:r>
                </w:p>
              </w:tc>
              <w:tc>
                <w:tcPr>
                  <w:tcW w:w="1350" w:type="dxa"/>
                  <w:shd w:val="clear" w:color="auto" w:fill="auto"/>
                  <w:vAlign w:val="center"/>
                </w:tcPr>
                <w:p w14:paraId="38FF56B6">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0.0301</w:t>
                  </w:r>
                </w:p>
              </w:tc>
              <w:tc>
                <w:tcPr>
                  <w:tcW w:w="1148" w:type="dxa"/>
                  <w:shd w:val="clear" w:color="auto" w:fill="auto"/>
                  <w:vAlign w:val="center"/>
                </w:tcPr>
                <w:p w14:paraId="6380DB61">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cs="Times New Roman"/>
                      <w:i w:val="0"/>
                      <w:iCs w:val="0"/>
                      <w:color w:val="auto"/>
                      <w:kern w:val="24"/>
                      <w:sz w:val="21"/>
                      <w:szCs w:val="21"/>
                      <w:u w:val="single" w:color="auto"/>
                      <w:lang w:val="en-US" w:eastAsia="zh-CN" w:bidi="ar"/>
                    </w:rPr>
                    <w:t>+0.0021</w:t>
                  </w:r>
                </w:p>
              </w:tc>
            </w:tr>
            <w:tr w14:paraId="7D1F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2B326E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p>
              </w:tc>
              <w:tc>
                <w:tcPr>
                  <w:tcW w:w="1538" w:type="dxa"/>
                  <w:shd w:val="clear" w:color="auto" w:fill="auto"/>
                  <w:vAlign w:val="center"/>
                </w:tcPr>
                <w:p w14:paraId="122EE4F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cs="Times New Roman"/>
                      <w:color w:val="auto"/>
                      <w:sz w:val="21"/>
                      <w:szCs w:val="21"/>
                      <w:u w:val="single" w:color="auto"/>
                      <w:vertAlign w:val="baseline"/>
                      <w:lang w:val="en-US" w:eastAsia="zh-CN"/>
                    </w:rPr>
                    <w:t>氨</w:t>
                  </w:r>
                </w:p>
              </w:tc>
              <w:tc>
                <w:tcPr>
                  <w:tcW w:w="910" w:type="dxa"/>
                  <w:shd w:val="clear" w:color="auto" w:fill="auto"/>
                  <w:vAlign w:val="center"/>
                </w:tcPr>
                <w:p w14:paraId="69CCB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17" w:type="dxa"/>
                  <w:shd w:val="clear" w:color="auto" w:fill="auto"/>
                  <w:vAlign w:val="center"/>
                </w:tcPr>
                <w:p w14:paraId="2A374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0.685</w:t>
                  </w:r>
                </w:p>
              </w:tc>
              <w:tc>
                <w:tcPr>
                  <w:tcW w:w="1173" w:type="dxa"/>
                  <w:shd w:val="clear" w:color="auto" w:fill="auto"/>
                  <w:vAlign w:val="center"/>
                </w:tcPr>
                <w:p w14:paraId="1BFF280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0.789</w:t>
                  </w:r>
                </w:p>
              </w:tc>
              <w:tc>
                <w:tcPr>
                  <w:tcW w:w="944" w:type="dxa"/>
                  <w:vAlign w:val="center"/>
                </w:tcPr>
                <w:p w14:paraId="24597E9B">
                  <w:pPr>
                    <w:pStyle w:val="34"/>
                    <w:widowControl w:val="0"/>
                    <w:spacing w:beforeLines="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i w:val="0"/>
                      <w:iCs w:val="0"/>
                      <w:color w:val="auto"/>
                      <w:kern w:val="24"/>
                      <w:sz w:val="21"/>
                      <w:szCs w:val="21"/>
                      <w:u w:val="single" w:color="auto"/>
                      <w:lang w:val="en-US" w:eastAsia="zh-CN" w:bidi="ar"/>
                    </w:rPr>
                    <w:t>-0.104</w:t>
                  </w:r>
                </w:p>
              </w:tc>
              <w:tc>
                <w:tcPr>
                  <w:tcW w:w="1350" w:type="dxa"/>
                  <w:shd w:val="clear" w:color="auto" w:fill="auto"/>
                  <w:vAlign w:val="center"/>
                </w:tcPr>
                <w:p w14:paraId="1C91526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0.789</w:t>
                  </w:r>
                </w:p>
              </w:tc>
              <w:tc>
                <w:tcPr>
                  <w:tcW w:w="1148" w:type="dxa"/>
                  <w:shd w:val="clear" w:color="auto" w:fill="auto"/>
                  <w:vAlign w:val="center"/>
                </w:tcPr>
                <w:p w14:paraId="33E3BAA6">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lang w:val="en-US" w:eastAsia="zh-CN" w:bidi="ar-SA"/>
                    </w:rPr>
                  </w:pPr>
                  <w:r>
                    <w:rPr>
                      <w:rFonts w:hint="eastAsia" w:cs="Times New Roman"/>
                      <w:i w:val="0"/>
                      <w:iCs w:val="0"/>
                      <w:color w:val="auto"/>
                      <w:kern w:val="24"/>
                      <w:sz w:val="21"/>
                      <w:szCs w:val="21"/>
                      <w:u w:val="single" w:color="auto"/>
                      <w:lang w:val="en-US" w:eastAsia="zh-CN" w:bidi="ar"/>
                    </w:rPr>
                    <w:t>+0.104</w:t>
                  </w:r>
                </w:p>
              </w:tc>
            </w:tr>
            <w:tr w14:paraId="669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5D8DF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bookmarkStart w:id="1857" w:name="OLE_LINK252" w:colFirst="2" w:colLast="2"/>
                  <w:bookmarkStart w:id="1858" w:name="OLE_LINK254" w:colFirst="5" w:colLast="5"/>
                  <w:bookmarkStart w:id="1859" w:name="OLE_LINK253" w:colFirst="3" w:colLast="3"/>
                </w:p>
              </w:tc>
              <w:tc>
                <w:tcPr>
                  <w:tcW w:w="1538" w:type="dxa"/>
                  <w:vAlign w:val="center"/>
                </w:tcPr>
                <w:p w14:paraId="5073534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u w:val="single" w:color="auto"/>
                      <w:lang w:val="en-US" w:eastAsia="zh-CN"/>
                    </w:rPr>
                  </w:pPr>
                  <w:r>
                    <w:rPr>
                      <w:rFonts w:hint="eastAsia" w:cs="Times New Roman"/>
                      <w:color w:val="auto"/>
                      <w:u w:val="single" w:color="auto"/>
                      <w:lang w:val="en-US" w:eastAsia="zh-CN"/>
                    </w:rPr>
                    <w:t>二氧化硫</w:t>
                  </w:r>
                </w:p>
              </w:tc>
              <w:tc>
                <w:tcPr>
                  <w:tcW w:w="910" w:type="dxa"/>
                  <w:shd w:val="clear" w:color="auto" w:fill="auto"/>
                  <w:vAlign w:val="center"/>
                </w:tcPr>
                <w:p w14:paraId="7CB37D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17" w:type="dxa"/>
                  <w:shd w:val="clear" w:color="auto" w:fill="auto"/>
                  <w:vAlign w:val="center"/>
                </w:tcPr>
                <w:p w14:paraId="0358EA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5.76</w:t>
                  </w:r>
                </w:p>
              </w:tc>
              <w:tc>
                <w:tcPr>
                  <w:tcW w:w="1173" w:type="dxa"/>
                  <w:vAlign w:val="center"/>
                </w:tcPr>
                <w:p w14:paraId="62FD8909">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944" w:type="dxa"/>
                  <w:shd w:val="clear" w:color="auto" w:fill="auto"/>
                  <w:vAlign w:val="center"/>
                </w:tcPr>
                <w:p w14:paraId="6C0340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5.76</w:t>
                  </w:r>
                </w:p>
              </w:tc>
              <w:tc>
                <w:tcPr>
                  <w:tcW w:w="1350" w:type="dxa"/>
                  <w:shd w:val="clear" w:color="auto" w:fill="auto"/>
                  <w:vAlign w:val="center"/>
                </w:tcPr>
                <w:p w14:paraId="739DD982">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cs="Times New Roman"/>
                      <w:color w:val="auto"/>
                      <w:sz w:val="21"/>
                      <w:szCs w:val="21"/>
                      <w:u w:val="single" w:color="auto"/>
                      <w:lang w:val="en-US" w:eastAsia="zh-CN"/>
                    </w:rPr>
                    <w:t>0</w:t>
                  </w:r>
                </w:p>
              </w:tc>
              <w:tc>
                <w:tcPr>
                  <w:tcW w:w="1148" w:type="dxa"/>
                  <w:shd w:val="clear" w:color="auto" w:fill="auto"/>
                  <w:vAlign w:val="center"/>
                </w:tcPr>
                <w:p w14:paraId="70785BF9">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-5.76</w:t>
                  </w:r>
                </w:p>
              </w:tc>
            </w:tr>
            <w:tr w14:paraId="5C3B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0569F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1538" w:type="dxa"/>
                  <w:vAlign w:val="center"/>
                </w:tcPr>
                <w:p w14:paraId="6145FDE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u w:val="single" w:color="auto"/>
                      <w:lang w:val="en-US" w:eastAsia="zh-CN"/>
                    </w:rPr>
                  </w:pPr>
                  <w:r>
                    <w:rPr>
                      <w:rFonts w:hint="eastAsia" w:cs="Times New Roman"/>
                      <w:color w:val="auto"/>
                      <w:u w:val="single" w:color="auto"/>
                      <w:lang w:val="en-US" w:eastAsia="zh-CN"/>
                    </w:rPr>
                    <w:t>氮氧化物</w:t>
                  </w:r>
                </w:p>
              </w:tc>
              <w:tc>
                <w:tcPr>
                  <w:tcW w:w="910" w:type="dxa"/>
                  <w:shd w:val="clear" w:color="auto" w:fill="auto"/>
                  <w:vAlign w:val="center"/>
                </w:tcPr>
                <w:p w14:paraId="39F32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17" w:type="dxa"/>
                  <w:shd w:val="clear" w:color="auto" w:fill="auto"/>
                  <w:vAlign w:val="center"/>
                </w:tcPr>
                <w:p w14:paraId="129AB6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0.4</w:t>
                  </w:r>
                </w:p>
              </w:tc>
              <w:tc>
                <w:tcPr>
                  <w:tcW w:w="1173" w:type="dxa"/>
                  <w:vAlign w:val="center"/>
                </w:tcPr>
                <w:p w14:paraId="7BA631EE">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944" w:type="dxa"/>
                  <w:shd w:val="clear" w:color="auto" w:fill="auto"/>
                  <w:vAlign w:val="center"/>
                </w:tcPr>
                <w:p w14:paraId="493370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0.4</w:t>
                  </w:r>
                </w:p>
              </w:tc>
              <w:tc>
                <w:tcPr>
                  <w:tcW w:w="1350" w:type="dxa"/>
                  <w:shd w:val="clear" w:color="auto" w:fill="auto"/>
                  <w:vAlign w:val="center"/>
                </w:tcPr>
                <w:p w14:paraId="72D46519">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cs="Times New Roman"/>
                      <w:color w:val="auto"/>
                      <w:sz w:val="21"/>
                      <w:szCs w:val="21"/>
                      <w:u w:val="single" w:color="auto"/>
                      <w:lang w:val="en-US" w:eastAsia="zh-CN"/>
                    </w:rPr>
                    <w:t>0</w:t>
                  </w:r>
                </w:p>
              </w:tc>
              <w:tc>
                <w:tcPr>
                  <w:tcW w:w="1148" w:type="dxa"/>
                  <w:shd w:val="clear" w:color="auto" w:fill="auto"/>
                  <w:vAlign w:val="center"/>
                </w:tcPr>
                <w:p w14:paraId="4685928B">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-0.4</w:t>
                  </w:r>
                </w:p>
              </w:tc>
            </w:tr>
            <w:tr w14:paraId="0E52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3DA6D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p>
              </w:tc>
              <w:tc>
                <w:tcPr>
                  <w:tcW w:w="1538" w:type="dxa"/>
                  <w:vAlign w:val="center"/>
                </w:tcPr>
                <w:p w14:paraId="1E6B11F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u w:val="single" w:color="auto"/>
                      <w:lang w:val="en-US" w:eastAsia="zh-CN"/>
                    </w:rPr>
                  </w:pPr>
                  <w:r>
                    <w:rPr>
                      <w:rFonts w:hint="eastAsia" w:cs="Times New Roman"/>
                      <w:color w:val="auto"/>
                      <w:u w:val="single" w:color="auto"/>
                      <w:lang w:val="en-US" w:eastAsia="zh-CN"/>
                    </w:rPr>
                    <w:t>颗粒物</w:t>
                  </w:r>
                </w:p>
              </w:tc>
              <w:tc>
                <w:tcPr>
                  <w:tcW w:w="910" w:type="dxa"/>
                  <w:shd w:val="clear" w:color="auto" w:fill="auto"/>
                  <w:vAlign w:val="center"/>
                </w:tcPr>
                <w:p w14:paraId="43930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117" w:type="dxa"/>
                  <w:shd w:val="clear" w:color="auto" w:fill="auto"/>
                  <w:vAlign w:val="center"/>
                </w:tcPr>
                <w:p w14:paraId="5FFB9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2.25</w:t>
                  </w:r>
                </w:p>
              </w:tc>
              <w:tc>
                <w:tcPr>
                  <w:tcW w:w="1173" w:type="dxa"/>
                  <w:vAlign w:val="center"/>
                </w:tcPr>
                <w:p w14:paraId="68DEAA34">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944" w:type="dxa"/>
                  <w:shd w:val="clear" w:color="auto" w:fill="auto"/>
                  <w:vAlign w:val="center"/>
                </w:tcPr>
                <w:p w14:paraId="4963D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2.25</w:t>
                  </w:r>
                </w:p>
              </w:tc>
              <w:tc>
                <w:tcPr>
                  <w:tcW w:w="1350" w:type="dxa"/>
                  <w:shd w:val="clear" w:color="auto" w:fill="auto"/>
                  <w:vAlign w:val="center"/>
                </w:tcPr>
                <w:p w14:paraId="35403631">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cs="Times New Roman"/>
                      <w:color w:val="auto"/>
                      <w:sz w:val="21"/>
                      <w:szCs w:val="21"/>
                      <w:u w:val="single" w:color="auto"/>
                      <w:lang w:val="en-US" w:eastAsia="zh-CN"/>
                    </w:rPr>
                    <w:t>0</w:t>
                  </w:r>
                </w:p>
              </w:tc>
              <w:tc>
                <w:tcPr>
                  <w:tcW w:w="1148" w:type="dxa"/>
                  <w:shd w:val="clear" w:color="auto" w:fill="auto"/>
                  <w:vAlign w:val="center"/>
                </w:tcPr>
                <w:p w14:paraId="37CD847F">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-2.25</w:t>
                  </w:r>
                </w:p>
              </w:tc>
            </w:tr>
            <w:bookmarkEnd w:id="1856"/>
            <w:tr w14:paraId="0488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vAlign w:val="center"/>
                </w:tcPr>
                <w:p w14:paraId="18572D17">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固体废物</w:t>
                  </w:r>
                </w:p>
              </w:tc>
              <w:tc>
                <w:tcPr>
                  <w:tcW w:w="1538" w:type="dxa"/>
                  <w:vAlign w:val="center"/>
                </w:tcPr>
                <w:p w14:paraId="23ED7EB4">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生活垃圾</w:t>
                  </w:r>
                </w:p>
              </w:tc>
              <w:tc>
                <w:tcPr>
                  <w:tcW w:w="910" w:type="dxa"/>
                  <w:shd w:val="clear" w:color="auto" w:fill="auto"/>
                  <w:vAlign w:val="center"/>
                </w:tcPr>
                <w:p w14:paraId="3A169B69">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10D526BD">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spacing w:val="0"/>
                      <w:sz w:val="21"/>
                      <w:szCs w:val="21"/>
                      <w:u w:val="single" w:color="auto"/>
                      <w:lang w:val="en-US" w:eastAsia="zh-CN"/>
                    </w:rPr>
                    <w:t>6.9</w:t>
                  </w:r>
                </w:p>
              </w:tc>
              <w:tc>
                <w:tcPr>
                  <w:tcW w:w="1173" w:type="dxa"/>
                  <w:vAlign w:val="center"/>
                </w:tcPr>
                <w:p w14:paraId="4B38A3DD">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w:t>
                  </w:r>
                </w:p>
              </w:tc>
              <w:tc>
                <w:tcPr>
                  <w:tcW w:w="944" w:type="dxa"/>
                  <w:vAlign w:val="center"/>
                </w:tcPr>
                <w:p w14:paraId="373E3A1F">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33590E06">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cs="Times New Roman"/>
                      <w:color w:val="auto"/>
                      <w:sz w:val="21"/>
                      <w:szCs w:val="21"/>
                      <w:u w:val="single" w:color="auto"/>
                      <w:lang w:val="en-US" w:eastAsia="zh-CN"/>
                    </w:rPr>
                    <w:t>0</w:t>
                  </w:r>
                </w:p>
              </w:tc>
              <w:tc>
                <w:tcPr>
                  <w:tcW w:w="1148" w:type="dxa"/>
                  <w:shd w:val="clear" w:color="auto" w:fill="auto"/>
                  <w:vAlign w:val="center"/>
                </w:tcPr>
                <w:p w14:paraId="6626EC54">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-6.9</w:t>
                  </w:r>
                </w:p>
              </w:tc>
            </w:tr>
            <w:tr w14:paraId="6D6A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79D1F32A">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bookmarkStart w:id="1860" w:name="OLE_LINK260" w:colFirst="1" w:colLast="1"/>
                </w:p>
              </w:tc>
              <w:tc>
                <w:tcPr>
                  <w:tcW w:w="1538" w:type="dxa"/>
                  <w:shd w:val="clear" w:color="auto" w:fill="auto"/>
                  <w:vAlign w:val="center"/>
                </w:tcPr>
                <w:p w14:paraId="23823674">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kern w:val="2"/>
                      <w:sz w:val="21"/>
                      <w:szCs w:val="21"/>
                      <w:u w:val="single" w:color="auto"/>
                      <w:vertAlign w:val="baseline"/>
                      <w:lang w:val="en-US" w:eastAsia="zh-CN"/>
                    </w:rPr>
                    <w:t>猪牛胃内容物不可食用部分（除胃内容物外）</w:t>
                  </w:r>
                </w:p>
              </w:tc>
              <w:tc>
                <w:tcPr>
                  <w:tcW w:w="910" w:type="dxa"/>
                  <w:shd w:val="clear" w:color="auto" w:fill="auto"/>
                  <w:vAlign w:val="center"/>
                </w:tcPr>
                <w:p w14:paraId="46C337E1">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79F7CDCB">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spacing w:val="0"/>
                      <w:sz w:val="21"/>
                      <w:szCs w:val="21"/>
                      <w:u w:val="single" w:color="auto"/>
                      <w:lang w:val="en-US" w:eastAsia="zh-CN"/>
                    </w:rPr>
                    <w:t>153.2</w:t>
                  </w:r>
                </w:p>
              </w:tc>
              <w:tc>
                <w:tcPr>
                  <w:tcW w:w="1173" w:type="dxa"/>
                  <w:shd w:val="clear" w:color="auto" w:fill="auto"/>
                  <w:vAlign w:val="center"/>
                </w:tcPr>
                <w:p w14:paraId="3AD17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187</w:t>
                  </w:r>
                </w:p>
              </w:tc>
              <w:tc>
                <w:tcPr>
                  <w:tcW w:w="944" w:type="dxa"/>
                  <w:vAlign w:val="center"/>
                </w:tcPr>
                <w:p w14:paraId="6BFC0264">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2EBE6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187</w:t>
                  </w:r>
                </w:p>
              </w:tc>
              <w:tc>
                <w:tcPr>
                  <w:tcW w:w="1148" w:type="dxa"/>
                  <w:shd w:val="clear" w:color="auto" w:fill="auto"/>
                  <w:vAlign w:val="center"/>
                </w:tcPr>
                <w:p w14:paraId="4A8F2AA1">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33.8</w:t>
                  </w:r>
                </w:p>
              </w:tc>
            </w:tr>
            <w:tr w14:paraId="414B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5FF4878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0EDC754C">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kern w:val="2"/>
                      <w:sz w:val="21"/>
                      <w:szCs w:val="21"/>
                      <w:u w:val="single" w:color="auto"/>
                      <w:vertAlign w:val="baseline"/>
                      <w:lang w:val="en-US" w:eastAsia="zh-CN"/>
                    </w:rPr>
                    <w:t>碎肉渣</w:t>
                  </w:r>
                </w:p>
              </w:tc>
              <w:tc>
                <w:tcPr>
                  <w:tcW w:w="910" w:type="dxa"/>
                  <w:shd w:val="clear" w:color="auto" w:fill="auto"/>
                  <w:vAlign w:val="center"/>
                </w:tcPr>
                <w:p w14:paraId="5F6219AA">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570BBBC6">
                  <w:pPr>
                    <w:pStyle w:val="49"/>
                    <w:snapToGrid/>
                    <w:spacing w:line="240" w:lineRule="auto"/>
                    <w:ind w:firstLine="0" w:firstLineChars="0"/>
                    <w:jc w:val="center"/>
                    <w:rPr>
                      <w:rFonts w:hint="eastAsia" w:ascii="Times New Roman" w:hAnsi="Times New Roman" w:eastAsia="宋体" w:cs="Times New Roman"/>
                      <w:bCs/>
                      <w:color w:val="auto"/>
                      <w:kern w:val="2"/>
                      <w:sz w:val="21"/>
                      <w:szCs w:val="21"/>
                      <w:u w:val="single" w:color="auto"/>
                      <w:lang w:val="en-US" w:eastAsia="zh-CN" w:bidi="ar-SA"/>
                    </w:rPr>
                  </w:pPr>
                  <w:r>
                    <w:rPr>
                      <w:rFonts w:hint="eastAsia" w:cs="Times New Roman"/>
                      <w:color w:val="auto"/>
                      <w:spacing w:val="0"/>
                      <w:sz w:val="21"/>
                      <w:szCs w:val="21"/>
                      <w:u w:val="single" w:color="auto"/>
                      <w:lang w:val="en-US" w:eastAsia="zh-CN"/>
                    </w:rPr>
                    <w:t xml:space="preserve">0.8 </w:t>
                  </w:r>
                </w:p>
              </w:tc>
              <w:tc>
                <w:tcPr>
                  <w:tcW w:w="1173" w:type="dxa"/>
                  <w:shd w:val="clear" w:color="auto" w:fill="auto"/>
                  <w:vAlign w:val="center"/>
                </w:tcPr>
                <w:p w14:paraId="225246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1.1</w:t>
                  </w:r>
                </w:p>
              </w:tc>
              <w:tc>
                <w:tcPr>
                  <w:tcW w:w="944" w:type="dxa"/>
                  <w:vAlign w:val="center"/>
                </w:tcPr>
                <w:p w14:paraId="6E87277E">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0B33A7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1.1</w:t>
                  </w:r>
                </w:p>
              </w:tc>
              <w:tc>
                <w:tcPr>
                  <w:tcW w:w="1148" w:type="dxa"/>
                  <w:shd w:val="clear" w:color="auto" w:fill="auto"/>
                  <w:vAlign w:val="center"/>
                </w:tcPr>
                <w:p w14:paraId="508AE796">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0.3</w:t>
                  </w:r>
                </w:p>
              </w:tc>
            </w:tr>
            <w:tr w14:paraId="4CA3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67A4690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644E8893">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kern w:val="2"/>
                      <w:sz w:val="21"/>
                      <w:szCs w:val="21"/>
                      <w:u w:val="single" w:color="auto"/>
                      <w:vertAlign w:val="baseline"/>
                      <w:lang w:val="en-US" w:eastAsia="zh-CN"/>
                    </w:rPr>
                    <w:t>猪牛待宰期间产生的粪便</w:t>
                  </w:r>
                </w:p>
              </w:tc>
              <w:tc>
                <w:tcPr>
                  <w:tcW w:w="910" w:type="dxa"/>
                  <w:shd w:val="clear" w:color="auto" w:fill="auto"/>
                  <w:vAlign w:val="center"/>
                </w:tcPr>
                <w:p w14:paraId="31E0ACBD">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0F2C4F6D">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146</w:t>
                  </w:r>
                </w:p>
              </w:tc>
              <w:tc>
                <w:tcPr>
                  <w:tcW w:w="1173" w:type="dxa"/>
                  <w:shd w:val="clear" w:color="auto" w:fill="auto"/>
                  <w:vAlign w:val="center"/>
                </w:tcPr>
                <w:p w14:paraId="14D447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189.6</w:t>
                  </w:r>
                </w:p>
              </w:tc>
              <w:tc>
                <w:tcPr>
                  <w:tcW w:w="944" w:type="dxa"/>
                  <w:vAlign w:val="center"/>
                </w:tcPr>
                <w:p w14:paraId="38F4004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07C6A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189.6</w:t>
                  </w:r>
                </w:p>
              </w:tc>
              <w:tc>
                <w:tcPr>
                  <w:tcW w:w="1148" w:type="dxa"/>
                  <w:shd w:val="clear" w:color="auto" w:fill="auto"/>
                  <w:vAlign w:val="center"/>
                </w:tcPr>
                <w:p w14:paraId="61E9CCBA">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43.6</w:t>
                  </w:r>
                </w:p>
              </w:tc>
            </w:tr>
            <w:tr w14:paraId="5FC1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26" w:type="dxa"/>
                  <w:vMerge w:val="continue"/>
                  <w:vAlign w:val="center"/>
                </w:tcPr>
                <w:p w14:paraId="03075385">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2A78A8D8">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kern w:val="2"/>
                      <w:sz w:val="21"/>
                      <w:szCs w:val="21"/>
                      <w:u w:val="single" w:color="auto"/>
                      <w:vertAlign w:val="baseline"/>
                      <w:lang w:val="en-US" w:eastAsia="zh-CN"/>
                    </w:rPr>
                    <w:t>污水处理站污泥</w:t>
                  </w:r>
                </w:p>
              </w:tc>
              <w:tc>
                <w:tcPr>
                  <w:tcW w:w="910" w:type="dxa"/>
                  <w:shd w:val="clear" w:color="auto" w:fill="auto"/>
                  <w:vAlign w:val="center"/>
                </w:tcPr>
                <w:p w14:paraId="1559FBAB">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40CB3F35">
                  <w:pPr>
                    <w:pStyle w:val="49"/>
                    <w:snapToGrid/>
                    <w:spacing w:line="240" w:lineRule="auto"/>
                    <w:ind w:firstLine="0" w:firstLineChars="0"/>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 xml:space="preserve">5 </w:t>
                  </w:r>
                </w:p>
              </w:tc>
              <w:tc>
                <w:tcPr>
                  <w:tcW w:w="1173" w:type="dxa"/>
                  <w:vAlign w:val="center"/>
                </w:tcPr>
                <w:p w14:paraId="5A832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6</w:t>
                  </w:r>
                </w:p>
              </w:tc>
              <w:tc>
                <w:tcPr>
                  <w:tcW w:w="944" w:type="dxa"/>
                  <w:vAlign w:val="center"/>
                </w:tcPr>
                <w:p w14:paraId="2471AE9C">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26953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6</w:t>
                  </w:r>
                </w:p>
              </w:tc>
              <w:tc>
                <w:tcPr>
                  <w:tcW w:w="1148" w:type="dxa"/>
                  <w:shd w:val="clear" w:color="auto" w:fill="auto"/>
                  <w:vAlign w:val="center"/>
                </w:tcPr>
                <w:p w14:paraId="2493C62D">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1</w:t>
                  </w:r>
                </w:p>
              </w:tc>
            </w:tr>
            <w:bookmarkEnd w:id="1860"/>
            <w:tr w14:paraId="6C9E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592B9161">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bookmarkStart w:id="1861" w:name="OLE_LINK263" w:colFirst="2" w:colLast="2"/>
                  <w:bookmarkStart w:id="1862" w:name="OLE_LINK262" w:colFirst="1" w:colLast="1"/>
                  <w:bookmarkStart w:id="1863" w:name="OLE_LINK264" w:colFirst="3" w:colLast="3"/>
                </w:p>
              </w:tc>
              <w:tc>
                <w:tcPr>
                  <w:tcW w:w="1538" w:type="dxa"/>
                  <w:shd w:val="clear" w:color="auto" w:fill="auto"/>
                  <w:vAlign w:val="center"/>
                </w:tcPr>
                <w:p w14:paraId="01F8C55F">
                  <w:pPr>
                    <w:pStyle w:val="49"/>
                    <w:snapToGrid/>
                    <w:spacing w:line="240" w:lineRule="auto"/>
                    <w:ind w:firstLine="0" w:firstLineChars="0"/>
                    <w:jc w:val="center"/>
                    <w:rPr>
                      <w:rFonts w:hint="default" w:ascii="Times New Roman" w:hAnsi="Times New Roman" w:eastAsia="宋体" w:cs="Times New Roman"/>
                      <w:b w:val="0"/>
                      <w:bCs/>
                      <w:color w:val="auto"/>
                      <w:kern w:val="0"/>
                      <w:sz w:val="21"/>
                      <w:szCs w:val="21"/>
                      <w:u w:val="single" w:color="auto"/>
                      <w:lang w:val="en-US" w:eastAsia="zh-CN" w:bidi="ar-SA"/>
                    </w:rPr>
                  </w:pPr>
                  <w:r>
                    <w:rPr>
                      <w:rFonts w:hint="eastAsia" w:cs="Times New Roman"/>
                      <w:color w:val="auto"/>
                      <w:kern w:val="2"/>
                      <w:sz w:val="21"/>
                      <w:szCs w:val="21"/>
                      <w:u w:val="single" w:color="auto"/>
                      <w:vertAlign w:val="baseline"/>
                      <w:lang w:val="en-US" w:eastAsia="zh-CN"/>
                    </w:rPr>
                    <w:t>不合格品</w:t>
                  </w:r>
                </w:p>
              </w:tc>
              <w:tc>
                <w:tcPr>
                  <w:tcW w:w="910" w:type="dxa"/>
                  <w:shd w:val="clear" w:color="auto" w:fill="auto"/>
                  <w:vAlign w:val="center"/>
                </w:tcPr>
                <w:p w14:paraId="5363760E">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64C41821">
                  <w:pPr>
                    <w:pStyle w:val="49"/>
                    <w:snapToGrid/>
                    <w:spacing w:line="240" w:lineRule="auto"/>
                    <w:ind w:firstLine="0" w:firstLineChars="0"/>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color w:val="auto"/>
                      <w:spacing w:val="0"/>
                      <w:sz w:val="21"/>
                      <w:szCs w:val="21"/>
                      <w:u w:val="single" w:color="auto"/>
                      <w:lang w:val="en-US" w:eastAsia="zh-CN"/>
                    </w:rPr>
                    <w:t xml:space="preserve">8 </w:t>
                  </w:r>
                </w:p>
              </w:tc>
              <w:tc>
                <w:tcPr>
                  <w:tcW w:w="1173" w:type="dxa"/>
                  <w:vAlign w:val="center"/>
                </w:tcPr>
                <w:p w14:paraId="46642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15.1</w:t>
                  </w:r>
                </w:p>
              </w:tc>
              <w:tc>
                <w:tcPr>
                  <w:tcW w:w="944" w:type="dxa"/>
                  <w:vAlign w:val="center"/>
                </w:tcPr>
                <w:p w14:paraId="6645A095">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71840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15.1</w:t>
                  </w:r>
                </w:p>
              </w:tc>
              <w:tc>
                <w:tcPr>
                  <w:tcW w:w="1148" w:type="dxa"/>
                  <w:shd w:val="clear" w:color="auto" w:fill="auto"/>
                  <w:vAlign w:val="center"/>
                </w:tcPr>
                <w:p w14:paraId="439B16E4">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7.1</w:t>
                  </w:r>
                </w:p>
              </w:tc>
            </w:tr>
            <w:tr w14:paraId="415F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7A1CF884">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16D2487F">
                  <w:pPr>
                    <w:pStyle w:val="49"/>
                    <w:snapToGrid/>
                    <w:spacing w:line="240" w:lineRule="auto"/>
                    <w:ind w:firstLine="0" w:firstLineChars="0"/>
                    <w:jc w:val="center"/>
                    <w:rPr>
                      <w:rFonts w:hint="default" w:ascii="Times New Roman" w:hAnsi="Times New Roman" w:eastAsia="宋体" w:cs="Times New Roman"/>
                      <w:b w:val="0"/>
                      <w:bCs/>
                      <w:color w:val="auto"/>
                      <w:kern w:val="0"/>
                      <w:sz w:val="21"/>
                      <w:szCs w:val="21"/>
                      <w:u w:val="single" w:color="auto"/>
                      <w:lang w:val="en-US" w:eastAsia="zh-CN" w:bidi="ar-SA"/>
                    </w:rPr>
                  </w:pPr>
                  <w:r>
                    <w:rPr>
                      <w:rFonts w:hint="eastAsia" w:cs="Times New Roman"/>
                      <w:color w:val="auto"/>
                      <w:kern w:val="2"/>
                      <w:sz w:val="21"/>
                      <w:szCs w:val="21"/>
                      <w:u w:val="single" w:color="auto"/>
                      <w:vertAlign w:val="baseline"/>
                      <w:lang w:val="en-US" w:eastAsia="zh-CN"/>
                    </w:rPr>
                    <w:t>格栅处理的废物</w:t>
                  </w:r>
                </w:p>
              </w:tc>
              <w:tc>
                <w:tcPr>
                  <w:tcW w:w="910" w:type="dxa"/>
                  <w:shd w:val="clear" w:color="auto" w:fill="auto"/>
                  <w:vAlign w:val="center"/>
                </w:tcPr>
                <w:p w14:paraId="2EF4E10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7392D97E">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spacing w:val="0"/>
                      <w:sz w:val="21"/>
                      <w:szCs w:val="21"/>
                      <w:u w:val="single" w:color="auto"/>
                      <w:lang w:val="en-US" w:eastAsia="zh-CN"/>
                    </w:rPr>
                    <w:t>39.14</w:t>
                  </w:r>
                </w:p>
              </w:tc>
              <w:tc>
                <w:tcPr>
                  <w:tcW w:w="1173" w:type="dxa"/>
                  <w:vAlign w:val="center"/>
                </w:tcPr>
                <w:p w14:paraId="587979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56</w:t>
                  </w:r>
                </w:p>
              </w:tc>
              <w:tc>
                <w:tcPr>
                  <w:tcW w:w="944" w:type="dxa"/>
                  <w:vAlign w:val="center"/>
                </w:tcPr>
                <w:p w14:paraId="6ACFCBA1">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65B3B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56</w:t>
                  </w:r>
                </w:p>
              </w:tc>
              <w:tc>
                <w:tcPr>
                  <w:tcW w:w="1148" w:type="dxa"/>
                  <w:shd w:val="clear" w:color="auto" w:fill="auto"/>
                  <w:vAlign w:val="center"/>
                </w:tcPr>
                <w:p w14:paraId="1CE92137">
                  <w:pPr>
                    <w:pStyle w:val="34"/>
                    <w:widowControl w:val="0"/>
                    <w:spacing w:beforeLines="0" w:afterLines="0" w:line="240" w:lineRule="auto"/>
                    <w:ind w:firstLine="0" w:firstLineChars="0"/>
                    <w:jc w:val="center"/>
                    <w:textAlignment w:val="auto"/>
                    <w:rPr>
                      <w:rFonts w:hint="default" w:ascii="Times New Roman" w:hAnsi="Times New Roman" w:eastAsia="宋体" w:cs="Times New Roman"/>
                      <w:color w:val="auto"/>
                      <w:kern w:val="24"/>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+16.86</w:t>
                  </w:r>
                </w:p>
              </w:tc>
            </w:tr>
            <w:tr w14:paraId="738F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07302B5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3FDF4B60">
                  <w:pPr>
                    <w:pStyle w:val="49"/>
                    <w:snapToGrid/>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rPr>
                    <w:t>病死猪</w:t>
                  </w:r>
                </w:p>
              </w:tc>
              <w:tc>
                <w:tcPr>
                  <w:tcW w:w="910" w:type="dxa"/>
                  <w:shd w:val="clear" w:color="auto" w:fill="auto"/>
                  <w:vAlign w:val="center"/>
                </w:tcPr>
                <w:p w14:paraId="7CEE4984">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117" w:type="dxa"/>
                  <w:shd w:val="clear" w:color="auto" w:fill="auto"/>
                  <w:vAlign w:val="center"/>
                </w:tcPr>
                <w:p w14:paraId="69478EAC">
                  <w:pPr>
                    <w:pStyle w:val="49"/>
                    <w:snapToGrid/>
                    <w:spacing w:line="240" w:lineRule="auto"/>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80</w:t>
                  </w:r>
                </w:p>
              </w:tc>
              <w:tc>
                <w:tcPr>
                  <w:tcW w:w="1173" w:type="dxa"/>
                  <w:vAlign w:val="center"/>
                </w:tcPr>
                <w:p w14:paraId="3898F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101</w:t>
                  </w:r>
                </w:p>
              </w:tc>
              <w:tc>
                <w:tcPr>
                  <w:tcW w:w="944" w:type="dxa"/>
                  <w:vAlign w:val="center"/>
                </w:tcPr>
                <w:p w14:paraId="5D7AFBA0">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350" w:type="dxa"/>
                  <w:shd w:val="clear" w:color="auto" w:fill="auto"/>
                  <w:vAlign w:val="center"/>
                </w:tcPr>
                <w:p w14:paraId="06114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101</w:t>
                  </w:r>
                </w:p>
              </w:tc>
              <w:tc>
                <w:tcPr>
                  <w:tcW w:w="1148" w:type="dxa"/>
                  <w:shd w:val="clear" w:color="auto" w:fill="auto"/>
                  <w:vAlign w:val="center"/>
                </w:tcPr>
                <w:p w14:paraId="09B02180">
                  <w:pPr>
                    <w:pStyle w:val="34"/>
                    <w:widowControl w:val="0"/>
                    <w:spacing w:beforeLines="0" w:afterLines="0" w:line="240" w:lineRule="auto"/>
                    <w:ind w:firstLine="0" w:firstLineChars="0"/>
                    <w:jc w:val="center"/>
                    <w:textAlignment w:val="auto"/>
                    <w:rPr>
                      <w:rFonts w:hint="default" w:cs="Times New Roman"/>
                      <w:i w:val="0"/>
                      <w:iCs w:val="0"/>
                      <w:color w:val="auto"/>
                      <w:kern w:val="24"/>
                      <w:sz w:val="21"/>
                      <w:szCs w:val="21"/>
                      <w:u w:val="single" w:color="auto"/>
                      <w:lang w:val="en-US" w:eastAsia="zh-CN" w:bidi="ar-SA"/>
                    </w:rPr>
                  </w:pPr>
                  <w:r>
                    <w:rPr>
                      <w:rFonts w:hint="eastAsia" w:cs="Times New Roman"/>
                      <w:i w:val="0"/>
                      <w:iCs w:val="0"/>
                      <w:color w:val="auto"/>
                      <w:kern w:val="24"/>
                      <w:sz w:val="21"/>
                      <w:szCs w:val="21"/>
                      <w:u w:val="single" w:color="auto"/>
                      <w:lang w:val="en-US" w:eastAsia="zh-CN" w:bidi="ar"/>
                    </w:rPr>
                    <w:t>+21</w:t>
                  </w:r>
                </w:p>
              </w:tc>
            </w:tr>
            <w:tr w14:paraId="56C5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196AA66A">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7FC5493B">
                  <w:pPr>
                    <w:pStyle w:val="49"/>
                    <w:snapToGrid/>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rPr>
                    <w:t>未沾染有毒有害物质的废包装材料</w:t>
                  </w:r>
                </w:p>
              </w:tc>
              <w:tc>
                <w:tcPr>
                  <w:tcW w:w="910" w:type="dxa"/>
                  <w:shd w:val="clear" w:color="auto" w:fill="auto"/>
                  <w:vAlign w:val="center"/>
                </w:tcPr>
                <w:p w14:paraId="2411EE41">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117" w:type="dxa"/>
                  <w:shd w:val="clear" w:color="auto" w:fill="auto"/>
                  <w:vAlign w:val="center"/>
                </w:tcPr>
                <w:p w14:paraId="323302CE">
                  <w:pPr>
                    <w:pStyle w:val="49"/>
                    <w:snapToGrid/>
                    <w:spacing w:line="240" w:lineRule="auto"/>
                    <w:ind w:firstLine="0" w:firstLineChars="0"/>
                    <w:jc w:val="center"/>
                    <w:rPr>
                      <w:rFonts w:hint="default" w:cs="Times New Roman"/>
                      <w:color w:val="auto"/>
                      <w:spacing w:val="0"/>
                      <w:sz w:val="21"/>
                      <w:szCs w:val="21"/>
                      <w:u w:val="single" w:color="auto"/>
                      <w:lang w:val="en-US" w:eastAsia="zh-CN"/>
                    </w:rPr>
                  </w:pPr>
                  <w:r>
                    <w:rPr>
                      <w:rFonts w:hint="eastAsia" w:cs="Times New Roman"/>
                      <w:color w:val="auto"/>
                      <w:spacing w:val="0"/>
                      <w:sz w:val="21"/>
                      <w:szCs w:val="21"/>
                      <w:u w:val="single" w:color="auto"/>
                      <w:lang w:val="en-US" w:eastAsia="zh-CN"/>
                    </w:rPr>
                    <w:t>0.05</w:t>
                  </w:r>
                </w:p>
              </w:tc>
              <w:tc>
                <w:tcPr>
                  <w:tcW w:w="1173" w:type="dxa"/>
                  <w:vAlign w:val="center"/>
                </w:tcPr>
                <w:p w14:paraId="56649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0.06</w:t>
                  </w:r>
                </w:p>
              </w:tc>
              <w:tc>
                <w:tcPr>
                  <w:tcW w:w="944" w:type="dxa"/>
                  <w:vAlign w:val="center"/>
                </w:tcPr>
                <w:p w14:paraId="08B73676">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350" w:type="dxa"/>
                  <w:shd w:val="clear" w:color="auto" w:fill="auto"/>
                  <w:vAlign w:val="center"/>
                </w:tcPr>
                <w:p w14:paraId="233A4C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0.06</w:t>
                  </w:r>
                </w:p>
              </w:tc>
              <w:tc>
                <w:tcPr>
                  <w:tcW w:w="1148" w:type="dxa"/>
                  <w:shd w:val="clear" w:color="auto" w:fill="auto"/>
                  <w:vAlign w:val="center"/>
                </w:tcPr>
                <w:p w14:paraId="65BDCFC3">
                  <w:pPr>
                    <w:pStyle w:val="34"/>
                    <w:widowControl w:val="0"/>
                    <w:spacing w:beforeLines="0" w:afterLines="0" w:line="240" w:lineRule="auto"/>
                    <w:ind w:firstLine="0" w:firstLineChars="0"/>
                    <w:jc w:val="center"/>
                    <w:textAlignment w:val="auto"/>
                    <w:rPr>
                      <w:rFonts w:hint="eastAsia" w:cs="Times New Roman"/>
                      <w:i w:val="0"/>
                      <w:iCs w:val="0"/>
                      <w:color w:val="auto"/>
                      <w:kern w:val="24"/>
                      <w:sz w:val="21"/>
                      <w:szCs w:val="21"/>
                      <w:u w:val="single" w:color="auto"/>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0.01</w:t>
                  </w:r>
                </w:p>
              </w:tc>
            </w:tr>
            <w:tr w14:paraId="2A72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5C06BA43">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4FEB7989">
                  <w:pPr>
                    <w:pStyle w:val="49"/>
                    <w:snapToGrid/>
                    <w:spacing w:line="240" w:lineRule="auto"/>
                    <w:ind w:firstLine="0" w:firstLineChars="0"/>
                    <w:jc w:val="center"/>
                    <w:rPr>
                      <w:rFonts w:hint="default" w:ascii="Times New Roman" w:hAnsi="Times New Roman" w:eastAsia="宋体" w:cs="Times New Roman"/>
                      <w:b w:val="0"/>
                      <w:bCs/>
                      <w:color w:val="auto"/>
                      <w:kern w:val="0"/>
                      <w:sz w:val="21"/>
                      <w:szCs w:val="21"/>
                      <w:u w:val="single" w:color="auto"/>
                      <w:lang w:val="en-US" w:eastAsia="zh-CN" w:bidi="ar-SA"/>
                    </w:rPr>
                  </w:pPr>
                  <w:r>
                    <w:rPr>
                      <w:rFonts w:hint="eastAsia" w:cs="Times New Roman"/>
                      <w:color w:val="auto"/>
                      <w:kern w:val="2"/>
                      <w:sz w:val="21"/>
                      <w:szCs w:val="21"/>
                      <w:u w:val="single" w:color="auto"/>
                      <w:vertAlign w:val="baseline"/>
                      <w:lang w:val="en-US" w:eastAsia="zh-CN"/>
                    </w:rPr>
                    <w:t>锅炉炉渣</w:t>
                  </w:r>
                </w:p>
              </w:tc>
              <w:tc>
                <w:tcPr>
                  <w:tcW w:w="910" w:type="dxa"/>
                  <w:shd w:val="clear" w:color="auto" w:fill="auto"/>
                  <w:vAlign w:val="center"/>
                </w:tcPr>
                <w:p w14:paraId="6B8E3904">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68162C96">
                  <w:pPr>
                    <w:pStyle w:val="49"/>
                    <w:snapToGrid/>
                    <w:spacing w:line="240" w:lineRule="auto"/>
                    <w:ind w:firstLine="0" w:firstLineChars="0"/>
                    <w:jc w:val="center"/>
                    <w:rPr>
                      <w:rFonts w:hint="eastAsia" w:ascii="Times New Roman" w:hAnsi="Times New Roman" w:eastAsia="宋体" w:cs="Times New Roman"/>
                      <w:bCs/>
                      <w:color w:val="auto"/>
                      <w:kern w:val="2"/>
                      <w:sz w:val="21"/>
                      <w:szCs w:val="21"/>
                      <w:u w:val="single" w:color="auto"/>
                      <w:lang w:val="en-US" w:eastAsia="zh-CN" w:bidi="ar-SA"/>
                    </w:rPr>
                  </w:pPr>
                  <w:r>
                    <w:rPr>
                      <w:rFonts w:hint="eastAsia" w:cs="Times New Roman"/>
                      <w:color w:val="auto"/>
                      <w:spacing w:val="0"/>
                      <w:sz w:val="21"/>
                      <w:szCs w:val="21"/>
                      <w:u w:val="single" w:color="auto"/>
                      <w:lang w:val="en-US" w:eastAsia="zh-CN"/>
                    </w:rPr>
                    <w:t xml:space="preserve">18 </w:t>
                  </w:r>
                </w:p>
              </w:tc>
              <w:tc>
                <w:tcPr>
                  <w:tcW w:w="1173" w:type="dxa"/>
                  <w:vAlign w:val="center"/>
                </w:tcPr>
                <w:p w14:paraId="6EC19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w:t>
                  </w:r>
                </w:p>
              </w:tc>
              <w:tc>
                <w:tcPr>
                  <w:tcW w:w="944" w:type="dxa"/>
                  <w:vAlign w:val="center"/>
                </w:tcPr>
                <w:p w14:paraId="4B027E4A">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163A42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w:t>
                  </w:r>
                </w:p>
              </w:tc>
              <w:tc>
                <w:tcPr>
                  <w:tcW w:w="1148" w:type="dxa"/>
                  <w:shd w:val="clear" w:color="auto" w:fill="auto"/>
                  <w:vAlign w:val="center"/>
                </w:tcPr>
                <w:p w14:paraId="5EF45E1E">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vertAlign w:val="baseline"/>
                      <w:lang w:val="en-US" w:eastAsia="zh-CN" w:bidi="ar-SA"/>
                    </w:rPr>
                  </w:pPr>
                  <w:r>
                    <w:rPr>
                      <w:rFonts w:hint="eastAsia" w:ascii="Times New Roman" w:hAnsi="Times New Roman" w:eastAsia="宋体" w:cs="Times New Roman"/>
                      <w:i w:val="0"/>
                      <w:iCs w:val="0"/>
                      <w:color w:val="auto"/>
                      <w:kern w:val="24"/>
                      <w:sz w:val="21"/>
                      <w:szCs w:val="21"/>
                      <w:u w:val="single" w:color="auto"/>
                      <w:lang w:val="en-US" w:eastAsia="zh-CN" w:bidi="ar"/>
                    </w:rPr>
                    <w:t>-18</w:t>
                  </w:r>
                </w:p>
              </w:tc>
            </w:tr>
            <w:tr w14:paraId="048A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7DBFAE8E">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rPr>
                  </w:pPr>
                </w:p>
              </w:tc>
              <w:tc>
                <w:tcPr>
                  <w:tcW w:w="1538" w:type="dxa"/>
                  <w:shd w:val="clear" w:color="auto" w:fill="auto"/>
                  <w:vAlign w:val="center"/>
                </w:tcPr>
                <w:p w14:paraId="2BDBAD47">
                  <w:pPr>
                    <w:pStyle w:val="49"/>
                    <w:snapToGrid/>
                    <w:spacing w:line="240" w:lineRule="auto"/>
                    <w:ind w:firstLine="0" w:firstLineChars="0"/>
                    <w:jc w:val="center"/>
                    <w:rPr>
                      <w:rFonts w:hint="default" w:ascii="Times New Roman" w:hAnsi="Times New Roman" w:eastAsia="宋体" w:cs="Times New Roman"/>
                      <w:b w:val="0"/>
                      <w:bCs/>
                      <w:color w:val="auto"/>
                      <w:u w:val="single" w:color="auto"/>
                      <w:lang w:val="en-US" w:eastAsia="zh-CN"/>
                    </w:rPr>
                  </w:pPr>
                  <w:r>
                    <w:rPr>
                      <w:rFonts w:hint="eastAsia" w:cs="Times New Roman"/>
                      <w:color w:val="auto"/>
                      <w:kern w:val="2"/>
                      <w:sz w:val="21"/>
                      <w:szCs w:val="21"/>
                      <w:u w:val="single" w:color="auto"/>
                      <w:vertAlign w:val="baseline"/>
                      <w:lang w:val="en-US" w:eastAsia="zh-CN"/>
                    </w:rPr>
                    <w:t>实验室、检疫室废弃物</w:t>
                  </w:r>
                </w:p>
              </w:tc>
              <w:tc>
                <w:tcPr>
                  <w:tcW w:w="910" w:type="dxa"/>
                  <w:shd w:val="clear" w:color="auto" w:fill="auto"/>
                  <w:vAlign w:val="center"/>
                </w:tcPr>
                <w:p w14:paraId="20A5BF4F">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117" w:type="dxa"/>
                  <w:shd w:val="clear" w:color="auto" w:fill="auto"/>
                  <w:vAlign w:val="center"/>
                </w:tcPr>
                <w:p w14:paraId="5E651638">
                  <w:pPr>
                    <w:pStyle w:val="49"/>
                    <w:snapToGrid/>
                    <w:spacing w:line="240" w:lineRule="auto"/>
                    <w:ind w:firstLine="0" w:firstLineChars="0"/>
                    <w:jc w:val="center"/>
                    <w:rPr>
                      <w:rFonts w:hint="eastAsia" w:ascii="Times New Roman" w:hAnsi="Times New Roman" w:eastAsia="宋体" w:cs="Times New Roman"/>
                      <w:bCs/>
                      <w:color w:val="auto"/>
                      <w:kern w:val="2"/>
                      <w:sz w:val="21"/>
                      <w:szCs w:val="21"/>
                      <w:u w:val="single" w:color="auto"/>
                      <w:lang w:val="en-US" w:eastAsia="zh-CN" w:bidi="ar-SA"/>
                    </w:rPr>
                  </w:pPr>
                  <w:r>
                    <w:rPr>
                      <w:rFonts w:hint="eastAsia" w:cs="Times New Roman"/>
                      <w:color w:val="auto"/>
                      <w:spacing w:val="0"/>
                      <w:sz w:val="21"/>
                      <w:szCs w:val="21"/>
                      <w:u w:val="single" w:color="auto"/>
                      <w:lang w:val="en-US" w:eastAsia="zh-CN"/>
                    </w:rPr>
                    <w:t xml:space="preserve">5 </w:t>
                  </w:r>
                </w:p>
              </w:tc>
              <w:tc>
                <w:tcPr>
                  <w:tcW w:w="1173" w:type="dxa"/>
                  <w:vAlign w:val="center"/>
                </w:tcPr>
                <w:p w14:paraId="3CCA2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8</w:t>
                  </w:r>
                </w:p>
              </w:tc>
              <w:tc>
                <w:tcPr>
                  <w:tcW w:w="944" w:type="dxa"/>
                  <w:vAlign w:val="center"/>
                </w:tcPr>
                <w:p w14:paraId="363990AE">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w:t>
                  </w:r>
                </w:p>
              </w:tc>
              <w:tc>
                <w:tcPr>
                  <w:tcW w:w="1350" w:type="dxa"/>
                  <w:shd w:val="clear" w:color="auto" w:fill="auto"/>
                  <w:vAlign w:val="center"/>
                </w:tcPr>
                <w:p w14:paraId="170967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8</w:t>
                  </w:r>
                </w:p>
              </w:tc>
              <w:tc>
                <w:tcPr>
                  <w:tcW w:w="1148" w:type="dxa"/>
                  <w:shd w:val="clear" w:color="auto" w:fill="auto"/>
                  <w:vAlign w:val="center"/>
                </w:tcPr>
                <w:p w14:paraId="0C83CAD2">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3</w:t>
                  </w:r>
                </w:p>
              </w:tc>
            </w:tr>
            <w:tr w14:paraId="38F0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14:paraId="75E06ED8">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FF0000"/>
                      <w:sz w:val="21"/>
                      <w:szCs w:val="21"/>
                      <w:u w:val="single" w:color="auto"/>
                    </w:rPr>
                  </w:pPr>
                </w:p>
              </w:tc>
              <w:tc>
                <w:tcPr>
                  <w:tcW w:w="1538" w:type="dxa"/>
                  <w:shd w:val="clear" w:color="auto" w:fill="auto"/>
                  <w:vAlign w:val="center"/>
                </w:tcPr>
                <w:p w14:paraId="54090660">
                  <w:pPr>
                    <w:pStyle w:val="49"/>
                    <w:snapToGrid/>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rPr>
                    <w:t>沾染有毒有害物质的废包装材料</w:t>
                  </w:r>
                </w:p>
              </w:tc>
              <w:tc>
                <w:tcPr>
                  <w:tcW w:w="910" w:type="dxa"/>
                  <w:shd w:val="clear" w:color="auto" w:fill="auto"/>
                  <w:vAlign w:val="center"/>
                </w:tcPr>
                <w:p w14:paraId="75769C7A">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w:t>
                  </w:r>
                </w:p>
              </w:tc>
              <w:tc>
                <w:tcPr>
                  <w:tcW w:w="1117" w:type="dxa"/>
                  <w:shd w:val="clear" w:color="auto" w:fill="auto"/>
                  <w:vAlign w:val="center"/>
                </w:tcPr>
                <w:p w14:paraId="5DAC9CB3">
                  <w:pPr>
                    <w:pStyle w:val="49"/>
                    <w:snapToGrid/>
                    <w:spacing w:line="240" w:lineRule="auto"/>
                    <w:ind w:firstLine="0" w:firstLineChars="0"/>
                    <w:jc w:val="center"/>
                    <w:rPr>
                      <w:rFonts w:hint="default" w:ascii="Times New Roman" w:hAnsi="Times New Roman" w:eastAsia="宋体" w:cs="Times New Roman"/>
                      <w:bCs/>
                      <w:color w:val="auto"/>
                      <w:kern w:val="2"/>
                      <w:sz w:val="21"/>
                      <w:szCs w:val="21"/>
                      <w:u w:val="single" w:color="auto"/>
                      <w:lang w:val="en-US" w:eastAsia="zh-CN" w:bidi="ar-SA"/>
                    </w:rPr>
                  </w:pPr>
                  <w:r>
                    <w:rPr>
                      <w:rFonts w:hint="eastAsia" w:cs="Times New Roman"/>
                      <w:color w:val="auto"/>
                      <w:spacing w:val="0"/>
                      <w:sz w:val="21"/>
                      <w:szCs w:val="21"/>
                      <w:u w:val="single" w:color="auto"/>
                      <w:lang w:val="en-US" w:eastAsia="zh-CN"/>
                    </w:rPr>
                    <w:t xml:space="preserve">0.1 </w:t>
                  </w:r>
                </w:p>
              </w:tc>
              <w:tc>
                <w:tcPr>
                  <w:tcW w:w="1173" w:type="dxa"/>
                  <w:vAlign w:val="center"/>
                </w:tcPr>
                <w:p w14:paraId="5B299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0.3</w:t>
                  </w:r>
                </w:p>
              </w:tc>
              <w:tc>
                <w:tcPr>
                  <w:tcW w:w="944" w:type="dxa"/>
                  <w:vAlign w:val="center"/>
                </w:tcPr>
                <w:p w14:paraId="426426F0">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w:t>
                  </w:r>
                </w:p>
              </w:tc>
              <w:tc>
                <w:tcPr>
                  <w:tcW w:w="1350" w:type="dxa"/>
                  <w:shd w:val="clear" w:color="auto" w:fill="auto"/>
                  <w:vAlign w:val="center"/>
                </w:tcPr>
                <w:p w14:paraId="763E5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0.3</w:t>
                  </w:r>
                </w:p>
              </w:tc>
              <w:tc>
                <w:tcPr>
                  <w:tcW w:w="1148" w:type="dxa"/>
                  <w:shd w:val="clear" w:color="auto" w:fill="auto"/>
                  <w:vAlign w:val="center"/>
                </w:tcPr>
                <w:p w14:paraId="4CDD3FC3">
                  <w:pPr>
                    <w:pStyle w:val="34"/>
                    <w:widowControl w:val="0"/>
                    <w:spacing w:beforeLines="0" w:afterLines="0" w:line="240" w:lineRule="auto"/>
                    <w:ind w:firstLine="0" w:firstLineChars="0"/>
                    <w:jc w:val="center"/>
                    <w:textAlignment w:val="auto"/>
                    <w:rPr>
                      <w:rFonts w:hint="eastAsia" w:ascii="Times New Roman" w:hAnsi="Times New Roman" w:eastAsia="宋体" w:cs="Times New Roman"/>
                      <w:color w:val="auto"/>
                      <w:kern w:val="24"/>
                      <w:sz w:val="21"/>
                      <w:szCs w:val="21"/>
                      <w:u w:val="single" w:color="auto"/>
                      <w:vertAlign w:val="baseline"/>
                      <w:lang w:val="en-US" w:eastAsia="zh-CN" w:bidi="ar-SA"/>
                    </w:rPr>
                  </w:pPr>
                  <w:r>
                    <w:rPr>
                      <w:rFonts w:hint="eastAsia" w:cs="Times New Roman"/>
                      <w:i w:val="0"/>
                      <w:iCs w:val="0"/>
                      <w:color w:val="auto"/>
                      <w:kern w:val="24"/>
                      <w:sz w:val="21"/>
                      <w:szCs w:val="21"/>
                      <w:u w:val="single" w:color="auto"/>
                      <w:lang w:val="en-US" w:eastAsia="zh-CN" w:bidi="ar"/>
                    </w:rPr>
                    <w:t>+</w:t>
                  </w:r>
                  <w:r>
                    <w:rPr>
                      <w:rFonts w:hint="eastAsia" w:ascii="Times New Roman" w:hAnsi="Times New Roman" w:eastAsia="宋体" w:cs="Times New Roman"/>
                      <w:i w:val="0"/>
                      <w:iCs w:val="0"/>
                      <w:color w:val="auto"/>
                      <w:kern w:val="24"/>
                      <w:sz w:val="21"/>
                      <w:szCs w:val="21"/>
                      <w:u w:val="single" w:color="auto"/>
                      <w:lang w:val="en-US" w:eastAsia="zh-CN" w:bidi="ar"/>
                    </w:rPr>
                    <w:t>0.2</w:t>
                  </w:r>
                </w:p>
              </w:tc>
            </w:tr>
            <w:bookmarkEnd w:id="1857"/>
            <w:bookmarkEnd w:id="1858"/>
            <w:bookmarkEnd w:id="1859"/>
            <w:bookmarkEnd w:id="1861"/>
            <w:bookmarkEnd w:id="1862"/>
            <w:bookmarkEnd w:id="1863"/>
          </w:tbl>
          <w:p w14:paraId="0A420882">
            <w:pPr>
              <w:bidi w:val="0"/>
              <w:ind w:left="0" w:leftChars="0" w:firstLine="0" w:firstLineChars="0"/>
              <w:rPr>
                <w:rFonts w:hint="default" w:ascii="Times New Roman" w:hAnsi="Times New Roman" w:cs="Times New Roman"/>
                <w:color w:val="auto"/>
                <w:u w:val="none" w:color="auto"/>
                <w:lang w:val="en-US" w:eastAsia="zh-CN"/>
              </w:rPr>
            </w:pPr>
          </w:p>
        </w:tc>
      </w:tr>
    </w:tbl>
    <w:p w14:paraId="33E2FF7D">
      <w:pPr>
        <w:pStyle w:val="4"/>
        <w:ind w:firstLine="562" w:firstLineChars="200"/>
        <w:rPr>
          <w:rFonts w:hint="default" w:ascii="Times New Roman" w:hAnsi="Times New Roman" w:cs="Times New Roman"/>
          <w:color w:val="FF0000"/>
          <w:u w:val="none" w:color="auto"/>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53A027">
      <w:pPr>
        <w:pStyle w:val="2"/>
        <w:keepNext/>
        <w:keepLines/>
        <w:pageBreakBefore/>
        <w:widowControl/>
        <w:numPr>
          <w:ilvl w:val="0"/>
          <w:numId w:val="0"/>
        </w:numPr>
        <w:kinsoku/>
        <w:wordWrap/>
        <w:overflowPunct/>
        <w:topLinePunct w:val="0"/>
        <w:autoSpaceDE/>
        <w:autoSpaceDN/>
        <w:bidi w:val="0"/>
        <w:adjustRightInd/>
        <w:snapToGrid/>
        <w:ind w:leftChars="0" w:firstLine="0" w:firstLineChars="0"/>
        <w:jc w:val="left"/>
        <w:textAlignment w:val="auto"/>
        <w:rPr>
          <w:rFonts w:hint="default" w:ascii="Times New Roman" w:hAnsi="Times New Roman" w:cs="Times New Roman"/>
          <w:b/>
          <w:bCs/>
          <w:color w:val="auto"/>
          <w:u w:val="none" w:color="auto"/>
          <w:lang w:val="en-US" w:eastAsia="zh-CN"/>
        </w:rPr>
      </w:pPr>
      <w:bookmarkStart w:id="1864" w:name="_Toc1506"/>
      <w:bookmarkStart w:id="1865" w:name="_Toc17637"/>
      <w:bookmarkStart w:id="1866" w:name="_Toc7874"/>
      <w:bookmarkStart w:id="1867" w:name="_Toc5146"/>
      <w:bookmarkStart w:id="1868" w:name="_Toc117"/>
      <w:bookmarkStart w:id="1869" w:name="_Toc22319"/>
      <w:bookmarkStart w:id="1870" w:name="_Toc15976"/>
      <w:bookmarkStart w:id="1871" w:name="_Toc26970"/>
      <w:bookmarkStart w:id="1872" w:name="_Toc4706"/>
      <w:bookmarkStart w:id="1873" w:name="_Toc21834"/>
      <w:bookmarkStart w:id="1874" w:name="_Toc260"/>
      <w:bookmarkStart w:id="1875" w:name="_Toc25425"/>
      <w:bookmarkStart w:id="1876" w:name="_Toc28692"/>
      <w:bookmarkStart w:id="1877" w:name="_Toc21575"/>
      <w:bookmarkStart w:id="1878" w:name="_Toc1522"/>
      <w:bookmarkStart w:id="1879" w:name="_Toc23736"/>
      <w:bookmarkStart w:id="1880" w:name="_Toc25469"/>
      <w:bookmarkStart w:id="1881" w:name="_Toc17822"/>
      <w:bookmarkStart w:id="1882" w:name="_Toc28615"/>
      <w:bookmarkStart w:id="1883" w:name="_Toc18394"/>
      <w:bookmarkStart w:id="1884" w:name="_Toc25142"/>
      <w:bookmarkStart w:id="1885" w:name="_Toc26347"/>
      <w:bookmarkStart w:id="1886" w:name="_Toc18161"/>
      <w:bookmarkStart w:id="1887" w:name="_Toc2716"/>
      <w:bookmarkStart w:id="1888" w:name="_Toc1843"/>
      <w:r>
        <w:rPr>
          <w:rFonts w:hint="default" w:ascii="Times New Roman" w:hAnsi="Times New Roman" w:cs="Times New Roman"/>
          <w:b/>
          <w:bCs/>
          <w:color w:val="auto"/>
          <w:u w:val="none" w:color="auto"/>
          <w:lang w:val="en-US" w:eastAsia="zh-CN"/>
        </w:rPr>
        <w:t>五、环境保护措施督察检查清单</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
        <w:gridCol w:w="1162"/>
        <w:gridCol w:w="1462"/>
        <w:gridCol w:w="1778"/>
        <w:gridCol w:w="3117"/>
      </w:tblGrid>
      <w:tr w14:paraId="7566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14:paraId="5D3F9A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内容要素</w:t>
            </w:r>
          </w:p>
        </w:tc>
        <w:tc>
          <w:tcPr>
            <w:tcW w:w="1972" w:type="dxa"/>
            <w:gridSpan w:val="2"/>
            <w:tcBorders>
              <w:tl2br w:val="nil"/>
              <w:tr2bl w:val="nil"/>
            </w:tcBorders>
            <w:vAlign w:val="center"/>
          </w:tcPr>
          <w:p w14:paraId="6384D5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排放口（编号、名称）/污染源</w:t>
            </w:r>
          </w:p>
        </w:tc>
        <w:tc>
          <w:tcPr>
            <w:tcW w:w="1462" w:type="dxa"/>
            <w:tcBorders>
              <w:tl2br w:val="nil"/>
              <w:tr2bl w:val="nil"/>
            </w:tcBorders>
            <w:vAlign w:val="center"/>
          </w:tcPr>
          <w:p w14:paraId="3234FE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污染物项目</w:t>
            </w:r>
          </w:p>
        </w:tc>
        <w:tc>
          <w:tcPr>
            <w:tcW w:w="1778" w:type="dxa"/>
            <w:tcBorders>
              <w:tl2br w:val="nil"/>
              <w:tr2bl w:val="nil"/>
            </w:tcBorders>
            <w:vAlign w:val="center"/>
          </w:tcPr>
          <w:p w14:paraId="66336A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环境保护措施</w:t>
            </w:r>
          </w:p>
        </w:tc>
        <w:tc>
          <w:tcPr>
            <w:tcW w:w="3117" w:type="dxa"/>
            <w:tcBorders>
              <w:tl2br w:val="nil"/>
              <w:tr2bl w:val="nil"/>
            </w:tcBorders>
            <w:vAlign w:val="center"/>
          </w:tcPr>
          <w:p w14:paraId="06FB67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执行标准</w:t>
            </w:r>
          </w:p>
        </w:tc>
      </w:tr>
      <w:tr w14:paraId="71B3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59" w:type="dxa"/>
            <w:vMerge w:val="restart"/>
            <w:tcBorders>
              <w:tl2br w:val="nil"/>
              <w:tr2bl w:val="nil"/>
            </w:tcBorders>
            <w:vAlign w:val="center"/>
          </w:tcPr>
          <w:p w14:paraId="1E4B4E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bookmarkStart w:id="1889" w:name="OLE_LINK184" w:colFirst="1" w:colLast="4"/>
            <w:r>
              <w:rPr>
                <w:rFonts w:hint="default" w:ascii="Times New Roman" w:hAnsi="Times New Roman" w:eastAsia="宋体" w:cs="Times New Roman"/>
                <w:color w:val="auto"/>
                <w:sz w:val="24"/>
                <w:szCs w:val="24"/>
                <w:u w:val="none" w:color="auto"/>
                <w:vertAlign w:val="baseline"/>
                <w:lang w:val="en-US" w:eastAsia="zh-CN"/>
              </w:rPr>
              <w:t>大气环境</w:t>
            </w:r>
          </w:p>
        </w:tc>
        <w:tc>
          <w:tcPr>
            <w:tcW w:w="1972" w:type="dxa"/>
            <w:gridSpan w:val="2"/>
            <w:vMerge w:val="restart"/>
            <w:tcBorders>
              <w:tl2br w:val="nil"/>
              <w:tr2bl w:val="nil"/>
            </w:tcBorders>
            <w:vAlign w:val="center"/>
          </w:tcPr>
          <w:p w14:paraId="0BE776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无组织废气</w:t>
            </w:r>
          </w:p>
        </w:tc>
        <w:tc>
          <w:tcPr>
            <w:tcW w:w="1462" w:type="dxa"/>
            <w:tcBorders>
              <w:tl2br w:val="nil"/>
              <w:tr2bl w:val="nil"/>
            </w:tcBorders>
            <w:shd w:val="clear" w:color="auto" w:fill="auto"/>
            <w:vAlign w:val="center"/>
          </w:tcPr>
          <w:p w14:paraId="2D18182C">
            <w:pPr>
              <w:keepNext w:val="0"/>
              <w:keepLines w:val="0"/>
              <w:pageBreakBefore w:val="0"/>
              <w:widowControl w:val="0"/>
              <w:kinsoku/>
              <w:wordWrap/>
              <w:overflowPunct/>
              <w:topLinePunct w:val="0"/>
              <w:autoSpaceDE/>
              <w:autoSpaceDN/>
              <w:bidi w:val="0"/>
              <w:adjustRightInd/>
              <w:snapToGrid/>
              <w:spacing w:beforeLines="-2147483648" w:afterLines="-2147483648" w:line="360" w:lineRule="exact"/>
              <w:ind w:firstLine="0" w:firstLineChars="0"/>
              <w:jc w:val="center"/>
              <w:textAlignment w:val="auto"/>
              <w:rPr>
                <w:rFonts w:hint="eastAsia" w:ascii="Times New Roman" w:hAnsi="Times New Roman" w:eastAsia="宋体" w:cs="Times New Roman"/>
                <w:color w:val="auto"/>
                <w:kern w:val="2"/>
                <w:sz w:val="24"/>
                <w:szCs w:val="24"/>
                <w:u w:val="single" w:color="auto"/>
                <w:vertAlign w:val="baseline"/>
                <w:lang w:val="en-US" w:eastAsia="zh-CN" w:bidi="ar-SA"/>
              </w:rPr>
            </w:pPr>
            <w:r>
              <w:rPr>
                <w:rFonts w:hint="eastAsia" w:ascii="Times New Roman" w:hAnsi="Times New Roman" w:eastAsia="宋体" w:cs="Times New Roman"/>
                <w:color w:val="auto"/>
                <w:sz w:val="24"/>
                <w:szCs w:val="24"/>
                <w:u w:val="single" w:color="auto"/>
                <w:vertAlign w:val="baseline"/>
                <w:lang w:val="en-US" w:eastAsia="zh-CN"/>
              </w:rPr>
              <w:t>臭气浓度</w:t>
            </w:r>
          </w:p>
        </w:tc>
        <w:tc>
          <w:tcPr>
            <w:tcW w:w="1778" w:type="dxa"/>
            <w:vMerge w:val="restart"/>
            <w:tcBorders>
              <w:tl2br w:val="nil"/>
              <w:tr2bl w:val="nil"/>
            </w:tcBorders>
            <w:vAlign w:val="center"/>
          </w:tcPr>
          <w:p w14:paraId="6074E2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喷洒除臭剂+通风</w:t>
            </w:r>
          </w:p>
        </w:tc>
        <w:tc>
          <w:tcPr>
            <w:tcW w:w="3117" w:type="dxa"/>
            <w:vMerge w:val="restart"/>
            <w:tcBorders>
              <w:tl2br w:val="nil"/>
              <w:tr2bl w:val="nil"/>
            </w:tcBorders>
            <w:shd w:val="clear" w:color="auto" w:fill="auto"/>
            <w:vAlign w:val="center"/>
          </w:tcPr>
          <w:p w14:paraId="18FE84D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《恶臭污染物排放标准》（GB14554-93）表1恶臭污染物厂界标准值</w:t>
            </w:r>
          </w:p>
        </w:tc>
      </w:tr>
      <w:tr w14:paraId="7AB6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59" w:type="dxa"/>
            <w:vMerge w:val="continue"/>
            <w:tcBorders>
              <w:tl2br w:val="nil"/>
              <w:tr2bl w:val="nil"/>
            </w:tcBorders>
            <w:vAlign w:val="center"/>
          </w:tcPr>
          <w:p w14:paraId="358798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rPr>
            </w:pPr>
          </w:p>
        </w:tc>
        <w:tc>
          <w:tcPr>
            <w:tcW w:w="1972" w:type="dxa"/>
            <w:gridSpan w:val="2"/>
            <w:vMerge w:val="continue"/>
            <w:tcBorders>
              <w:tl2br w:val="nil"/>
              <w:tr2bl w:val="nil"/>
            </w:tcBorders>
            <w:vAlign w:val="center"/>
          </w:tcPr>
          <w:p w14:paraId="17C65F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1462" w:type="dxa"/>
            <w:tcBorders>
              <w:tl2br w:val="nil"/>
              <w:tr2bl w:val="nil"/>
            </w:tcBorders>
            <w:shd w:val="clear" w:color="auto" w:fill="auto"/>
            <w:vAlign w:val="center"/>
          </w:tcPr>
          <w:p w14:paraId="3D728D7D">
            <w:pPr>
              <w:keepNext w:val="0"/>
              <w:keepLines w:val="0"/>
              <w:pageBreakBefore w:val="0"/>
              <w:widowControl w:val="0"/>
              <w:kinsoku/>
              <w:wordWrap/>
              <w:overflowPunct/>
              <w:topLinePunct w:val="0"/>
              <w:autoSpaceDE/>
              <w:autoSpaceDN/>
              <w:bidi w:val="0"/>
              <w:adjustRightInd/>
              <w:snapToGrid/>
              <w:spacing w:beforeLines="-2147483648" w:afterLines="-2147483648" w:line="360" w:lineRule="exact"/>
              <w:ind w:firstLine="0" w:firstLineChars="0"/>
              <w:jc w:val="center"/>
              <w:textAlignment w:val="auto"/>
              <w:rPr>
                <w:rFonts w:hint="eastAsia" w:ascii="Times New Roman" w:hAnsi="Times New Roman" w:eastAsia="宋体" w:cs="Times New Roman"/>
                <w:color w:val="auto"/>
                <w:kern w:val="2"/>
                <w:sz w:val="24"/>
                <w:szCs w:val="24"/>
                <w:u w:val="single" w:color="auto"/>
                <w:vertAlign w:val="baseline"/>
                <w:lang w:val="en-US" w:eastAsia="zh-CN" w:bidi="ar-SA"/>
              </w:rPr>
            </w:pPr>
            <w:r>
              <w:rPr>
                <w:rFonts w:hint="eastAsia" w:ascii="Times New Roman" w:hAnsi="Times New Roman" w:eastAsia="宋体" w:cs="Times New Roman"/>
                <w:color w:val="auto"/>
                <w:sz w:val="24"/>
                <w:szCs w:val="24"/>
                <w:u w:val="single" w:color="auto"/>
                <w:vertAlign w:val="baseline"/>
                <w:lang w:val="en-US" w:eastAsia="zh-CN"/>
              </w:rPr>
              <w:t>硫化氢</w:t>
            </w:r>
          </w:p>
        </w:tc>
        <w:tc>
          <w:tcPr>
            <w:tcW w:w="1778" w:type="dxa"/>
            <w:vMerge w:val="continue"/>
            <w:tcBorders>
              <w:tl2br w:val="nil"/>
              <w:tr2bl w:val="nil"/>
            </w:tcBorders>
            <w:vAlign w:val="center"/>
          </w:tcPr>
          <w:p w14:paraId="7F18CF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highlight w:val="none"/>
                <w:u w:val="single" w:color="auto"/>
                <w:lang w:val="en-US" w:eastAsia="zh-CN"/>
              </w:rPr>
            </w:pPr>
          </w:p>
        </w:tc>
        <w:tc>
          <w:tcPr>
            <w:tcW w:w="3117" w:type="dxa"/>
            <w:vMerge w:val="continue"/>
            <w:tcBorders>
              <w:tl2br w:val="nil"/>
              <w:tr2bl w:val="nil"/>
            </w:tcBorders>
            <w:vAlign w:val="center"/>
          </w:tcPr>
          <w:p w14:paraId="4E8BC9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highlight w:val="none"/>
                <w:u w:val="single" w:color="auto"/>
                <w:lang w:val="en-US" w:eastAsia="zh-CN"/>
              </w:rPr>
            </w:pPr>
          </w:p>
        </w:tc>
      </w:tr>
      <w:tr w14:paraId="550C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59" w:type="dxa"/>
            <w:vMerge w:val="continue"/>
            <w:tcBorders>
              <w:tl2br w:val="nil"/>
              <w:tr2bl w:val="nil"/>
            </w:tcBorders>
            <w:vAlign w:val="center"/>
          </w:tcPr>
          <w:p w14:paraId="5E8B24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highlight w:val="none"/>
                <w:u w:val="none" w:color="auto"/>
                <w:lang w:val="en-US" w:eastAsia="zh-CN"/>
              </w:rPr>
            </w:pPr>
          </w:p>
        </w:tc>
        <w:tc>
          <w:tcPr>
            <w:tcW w:w="1972" w:type="dxa"/>
            <w:gridSpan w:val="2"/>
            <w:vMerge w:val="continue"/>
            <w:tcBorders>
              <w:tl2br w:val="nil"/>
              <w:tr2bl w:val="nil"/>
            </w:tcBorders>
            <w:vAlign w:val="center"/>
          </w:tcPr>
          <w:p w14:paraId="3D2CAB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highlight w:val="none"/>
                <w:u w:val="single" w:color="auto"/>
                <w:lang w:val="en-US" w:eastAsia="zh-CN"/>
              </w:rPr>
            </w:pPr>
          </w:p>
        </w:tc>
        <w:tc>
          <w:tcPr>
            <w:tcW w:w="1462" w:type="dxa"/>
            <w:tcBorders>
              <w:tl2br w:val="nil"/>
              <w:tr2bl w:val="nil"/>
            </w:tcBorders>
            <w:shd w:val="clear" w:color="auto" w:fill="auto"/>
            <w:vAlign w:val="center"/>
          </w:tcPr>
          <w:p w14:paraId="246445BC">
            <w:pPr>
              <w:keepNext w:val="0"/>
              <w:keepLines w:val="0"/>
              <w:pageBreakBefore w:val="0"/>
              <w:widowControl w:val="0"/>
              <w:kinsoku/>
              <w:wordWrap/>
              <w:overflowPunct/>
              <w:topLinePunct w:val="0"/>
              <w:autoSpaceDE/>
              <w:autoSpaceDN/>
              <w:bidi w:val="0"/>
              <w:adjustRightInd/>
              <w:snapToGrid/>
              <w:spacing w:beforeLines="-2147483648" w:afterLines="-2147483648" w:line="360" w:lineRule="exact"/>
              <w:ind w:firstLine="0" w:firstLineChars="0"/>
              <w:jc w:val="center"/>
              <w:textAlignment w:val="auto"/>
              <w:rPr>
                <w:rFonts w:hint="eastAsia" w:ascii="Times New Roman" w:hAnsi="Times New Roman" w:eastAsia="宋体" w:cs="Times New Roman"/>
                <w:color w:val="auto"/>
                <w:kern w:val="2"/>
                <w:sz w:val="24"/>
                <w:szCs w:val="24"/>
                <w:u w:val="single" w:color="auto"/>
                <w:vertAlign w:val="baseline"/>
                <w:lang w:val="en-US" w:eastAsia="zh-CN" w:bidi="ar-SA"/>
              </w:rPr>
            </w:pPr>
            <w:r>
              <w:rPr>
                <w:rFonts w:hint="eastAsia" w:ascii="Times New Roman" w:hAnsi="Times New Roman" w:eastAsia="宋体" w:cs="Times New Roman"/>
                <w:color w:val="auto"/>
                <w:sz w:val="24"/>
                <w:szCs w:val="24"/>
                <w:u w:val="single" w:color="auto"/>
                <w:vertAlign w:val="baseline"/>
                <w:lang w:val="en-US" w:eastAsia="zh-CN"/>
              </w:rPr>
              <w:t>氨</w:t>
            </w:r>
          </w:p>
        </w:tc>
        <w:tc>
          <w:tcPr>
            <w:tcW w:w="1778" w:type="dxa"/>
            <w:vMerge w:val="continue"/>
            <w:tcBorders>
              <w:tl2br w:val="nil"/>
              <w:tr2bl w:val="nil"/>
            </w:tcBorders>
            <w:vAlign w:val="center"/>
          </w:tcPr>
          <w:p w14:paraId="505378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highlight w:val="none"/>
                <w:u w:val="single" w:color="auto"/>
                <w:lang w:val="en-US" w:eastAsia="zh-CN"/>
              </w:rPr>
            </w:pPr>
          </w:p>
        </w:tc>
        <w:tc>
          <w:tcPr>
            <w:tcW w:w="3117" w:type="dxa"/>
            <w:vMerge w:val="continue"/>
            <w:tcBorders>
              <w:tl2br w:val="nil"/>
              <w:tr2bl w:val="nil"/>
            </w:tcBorders>
            <w:vAlign w:val="center"/>
          </w:tcPr>
          <w:p w14:paraId="64AD5A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highlight w:val="none"/>
                <w:u w:val="single" w:color="auto"/>
                <w:lang w:val="en-US" w:eastAsia="zh-CN"/>
              </w:rPr>
            </w:pPr>
          </w:p>
        </w:tc>
      </w:tr>
      <w:bookmarkEnd w:id="1889"/>
      <w:tr w14:paraId="71A7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959" w:type="dxa"/>
            <w:tcBorders>
              <w:tl2br w:val="nil"/>
              <w:tr2bl w:val="nil"/>
            </w:tcBorders>
            <w:vAlign w:val="center"/>
          </w:tcPr>
          <w:p w14:paraId="62EF21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地表水环境</w:t>
            </w:r>
          </w:p>
        </w:tc>
        <w:tc>
          <w:tcPr>
            <w:tcW w:w="1972" w:type="dxa"/>
            <w:gridSpan w:val="2"/>
            <w:tcBorders>
              <w:tl2br w:val="nil"/>
              <w:tr2bl w:val="nil"/>
            </w:tcBorders>
            <w:vAlign w:val="center"/>
          </w:tcPr>
          <w:p w14:paraId="7406A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DW001</w:t>
            </w:r>
          </w:p>
        </w:tc>
        <w:tc>
          <w:tcPr>
            <w:tcW w:w="1462" w:type="dxa"/>
            <w:tcBorders>
              <w:tl2br w:val="nil"/>
              <w:tr2bl w:val="nil"/>
            </w:tcBorders>
            <w:vAlign w:val="center"/>
          </w:tcPr>
          <w:p w14:paraId="515670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single" w:color="auto"/>
                <w:vertAlign w:val="baseline"/>
                <w:lang w:val="en-US" w:eastAsia="zh-CN" w:bidi="ar-SA"/>
              </w:rPr>
            </w:pPr>
            <w:r>
              <w:rPr>
                <w:rFonts w:hint="eastAsia" w:ascii="Times New Roman" w:hAnsi="Times New Roman" w:eastAsia="宋体" w:cs="Times New Roman"/>
                <w:color w:val="auto"/>
                <w:sz w:val="24"/>
                <w:szCs w:val="24"/>
                <w:u w:val="single" w:color="auto"/>
                <w:vertAlign w:val="baseline"/>
                <w:lang w:val="en-US" w:eastAsia="zh-CN"/>
              </w:rPr>
              <w:t>pH、化学需氧量、五日生化需氧量、悬浮物、氨氮、动植物油、总磷、总氮、石油类</w:t>
            </w:r>
          </w:p>
        </w:tc>
        <w:tc>
          <w:tcPr>
            <w:tcW w:w="1778" w:type="dxa"/>
            <w:tcBorders>
              <w:tl2br w:val="nil"/>
              <w:tr2bl w:val="nil"/>
            </w:tcBorders>
            <w:vAlign w:val="center"/>
          </w:tcPr>
          <w:p w14:paraId="6381D3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污水处理站（</w:t>
            </w:r>
            <w:r>
              <w:rPr>
                <w:rFonts w:hint="eastAsia" w:cstheme="minorBidi"/>
                <w:color w:val="auto"/>
                <w:sz w:val="24"/>
                <w:szCs w:val="24"/>
                <w:u w:val="single" w:color="auto"/>
                <w:lang w:val="en-US" w:eastAsia="zh-CN"/>
              </w:rPr>
              <w:t>格栅+隔油+曝气+气浮+厌氧+好氧+沉淀+消毒池</w:t>
            </w:r>
            <w:r>
              <w:rPr>
                <w:rFonts w:hint="eastAsia" w:cs="Times New Roman"/>
                <w:color w:val="auto"/>
                <w:sz w:val="24"/>
                <w:szCs w:val="24"/>
                <w:u w:val="single" w:color="auto"/>
                <w:vertAlign w:val="baseline"/>
                <w:lang w:val="en-US" w:eastAsia="zh-CN"/>
              </w:rPr>
              <w:t>）</w:t>
            </w:r>
          </w:p>
        </w:tc>
        <w:tc>
          <w:tcPr>
            <w:tcW w:w="3117" w:type="dxa"/>
            <w:tcBorders>
              <w:tl2br w:val="nil"/>
              <w:tr2bl w:val="nil"/>
            </w:tcBorders>
            <w:vAlign w:val="center"/>
          </w:tcPr>
          <w:p w14:paraId="61924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olor w:val="auto"/>
                <w:sz w:val="24"/>
                <w:szCs w:val="24"/>
                <w:u w:val="single" w:color="auto"/>
              </w:rPr>
              <w:t>《肉类加工工业水污染物排放标准》</w:t>
            </w:r>
            <w:r>
              <w:rPr>
                <w:rFonts w:hint="eastAsia"/>
                <w:color w:val="auto"/>
                <w:sz w:val="24"/>
                <w:szCs w:val="24"/>
                <w:u w:val="single" w:color="auto"/>
                <w:lang w:eastAsia="zh-CN"/>
              </w:rPr>
              <w:t>（GB</w:t>
            </w:r>
            <w:r>
              <w:rPr>
                <w:rFonts w:hint="eastAsia"/>
                <w:color w:val="auto"/>
                <w:sz w:val="24"/>
                <w:szCs w:val="24"/>
                <w:u w:val="single" w:color="auto"/>
                <w:lang w:val="en-US" w:eastAsia="zh-CN"/>
              </w:rPr>
              <w:t xml:space="preserve"> </w:t>
            </w:r>
            <w:r>
              <w:rPr>
                <w:rFonts w:hint="eastAsia"/>
                <w:color w:val="auto"/>
                <w:sz w:val="24"/>
                <w:szCs w:val="24"/>
                <w:u w:val="single" w:color="auto"/>
                <w:lang w:eastAsia="zh-CN"/>
              </w:rPr>
              <w:t>13457-92）</w:t>
            </w:r>
            <w:r>
              <w:rPr>
                <w:rFonts w:hint="eastAsia"/>
                <w:color w:val="auto"/>
                <w:sz w:val="24"/>
                <w:szCs w:val="24"/>
                <w:u w:val="single" w:color="auto"/>
              </w:rPr>
              <w:t>表3</w:t>
            </w:r>
            <w:r>
              <w:rPr>
                <w:rFonts w:hint="eastAsia"/>
                <w:color w:val="auto"/>
                <w:sz w:val="24"/>
                <w:szCs w:val="24"/>
                <w:u w:val="single" w:color="auto"/>
                <w:lang w:val="en-US" w:eastAsia="zh-CN"/>
              </w:rPr>
              <w:t>禽</w:t>
            </w:r>
            <w:r>
              <w:rPr>
                <w:rFonts w:hint="eastAsia"/>
                <w:color w:val="auto"/>
                <w:sz w:val="24"/>
                <w:szCs w:val="24"/>
                <w:u w:val="single" w:color="auto"/>
              </w:rPr>
              <w:t>类屠宰加工的三级标准</w:t>
            </w:r>
            <w:r>
              <w:rPr>
                <w:rFonts w:hint="eastAsia" w:ascii="Times New Roman" w:hAnsi="Times New Roman" w:cs="Times New Roman"/>
                <w:color w:val="auto"/>
                <w:u w:val="single" w:color="auto"/>
                <w:vertAlign w:val="baseline"/>
                <w:lang w:val="en-US" w:eastAsia="zh-CN"/>
              </w:rPr>
              <w:t>（氨氮</w:t>
            </w:r>
            <w:r>
              <w:rPr>
                <w:rFonts w:hint="eastAsia" w:cs="Times New Roman"/>
                <w:color w:val="auto"/>
                <w:u w:val="single" w:color="auto"/>
                <w:vertAlign w:val="baseline"/>
                <w:lang w:val="en-US" w:eastAsia="zh-CN"/>
              </w:rPr>
              <w:t>、总氮、总磷</w:t>
            </w:r>
            <w:r>
              <w:rPr>
                <w:rFonts w:hint="eastAsia" w:ascii="Times New Roman" w:hAnsi="Times New Roman" w:cs="Times New Roman"/>
                <w:color w:val="auto"/>
                <w:u w:val="single" w:color="auto"/>
                <w:vertAlign w:val="baseline"/>
                <w:lang w:val="en-US" w:eastAsia="zh-CN"/>
              </w:rPr>
              <w:t>执行</w:t>
            </w:r>
            <w:r>
              <w:rPr>
                <w:rFonts w:hint="default" w:ascii="Times New Roman" w:hAnsi="Times New Roman" w:cs="Times New Roman"/>
                <w:color w:val="auto"/>
                <w:u w:val="single" w:color="auto"/>
                <w:vertAlign w:val="baseline"/>
                <w:lang w:val="en-US" w:eastAsia="zh-CN"/>
              </w:rPr>
              <w:t>《污水排入城镇下水道水质标准》（GB/T 31962-2015）</w:t>
            </w:r>
            <w:r>
              <w:rPr>
                <w:rFonts w:hint="eastAsia" w:cs="Times New Roman"/>
                <w:color w:val="auto"/>
                <w:u w:val="single" w:color="auto"/>
                <w:vertAlign w:val="baseline"/>
                <w:lang w:val="en-US" w:eastAsia="zh-CN"/>
              </w:rPr>
              <w:t>B级</w:t>
            </w:r>
            <w:r>
              <w:rPr>
                <w:rFonts w:hint="default" w:ascii="Times New Roman" w:hAnsi="Times New Roman" w:eastAsia="宋体" w:cs="Times New Roman"/>
                <w:color w:val="auto"/>
                <w:u w:val="single" w:color="auto"/>
                <w:vertAlign w:val="baseline"/>
                <w:lang w:val="en-US" w:eastAsia="zh-CN"/>
              </w:rPr>
              <w:t>排放标准</w:t>
            </w:r>
            <w:r>
              <w:rPr>
                <w:rFonts w:hint="eastAsia" w:cs="Times New Roman"/>
                <w:color w:val="auto"/>
                <w:u w:val="single" w:color="auto"/>
                <w:vertAlign w:val="baseline"/>
                <w:lang w:val="en-US" w:eastAsia="zh-CN"/>
              </w:rPr>
              <w:t>、石油类执行</w:t>
            </w:r>
            <w:r>
              <w:rPr>
                <w:rFonts w:hint="eastAsia"/>
                <w:color w:val="auto"/>
                <w:u w:val="single" w:color="auto"/>
                <w:lang w:val="en-US" w:eastAsia="zh-CN"/>
              </w:rPr>
              <w:t>《污水综合排放标准》（GB 8978-1996）表4中三级标准</w:t>
            </w:r>
            <w:r>
              <w:rPr>
                <w:rFonts w:hint="eastAsia" w:ascii="Times New Roman" w:hAnsi="Times New Roman" w:cs="Times New Roman"/>
                <w:color w:val="auto"/>
                <w:u w:val="single" w:color="auto"/>
                <w:vertAlign w:val="baseline"/>
                <w:lang w:val="en-US" w:eastAsia="zh-CN"/>
              </w:rPr>
              <w:t>）</w:t>
            </w:r>
          </w:p>
        </w:tc>
      </w:tr>
      <w:tr w14:paraId="34C2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tcBorders>
              <w:tl2br w:val="nil"/>
              <w:tr2bl w:val="nil"/>
            </w:tcBorders>
            <w:vAlign w:val="center"/>
          </w:tcPr>
          <w:p w14:paraId="5ED7E1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声环境</w:t>
            </w:r>
          </w:p>
        </w:tc>
        <w:tc>
          <w:tcPr>
            <w:tcW w:w="1972" w:type="dxa"/>
            <w:gridSpan w:val="2"/>
            <w:tcBorders>
              <w:tl2br w:val="nil"/>
              <w:tr2bl w:val="nil"/>
            </w:tcBorders>
            <w:vAlign w:val="center"/>
          </w:tcPr>
          <w:p w14:paraId="4D0071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4"/>
                <w:szCs w:val="24"/>
                <w:u w:val="single" w:color="auto"/>
                <w:vertAlign w:val="baseline"/>
                <w:lang w:val="en-US" w:eastAsia="zh-CN"/>
              </w:rPr>
            </w:pPr>
            <w:r>
              <w:rPr>
                <w:rFonts w:hint="eastAsia" w:ascii="Times New Roman" w:hAnsi="Times New Roman" w:eastAsia="宋体" w:cs="Times New Roman"/>
                <w:color w:val="auto"/>
                <w:sz w:val="24"/>
                <w:szCs w:val="24"/>
                <w:u w:val="single" w:color="auto"/>
                <w:vertAlign w:val="baseline"/>
                <w:lang w:val="en-US" w:eastAsia="zh-CN"/>
              </w:rPr>
              <w:t>设备噪声、猪牛鸡鸭鹅叫</w:t>
            </w:r>
          </w:p>
        </w:tc>
        <w:tc>
          <w:tcPr>
            <w:tcW w:w="1462" w:type="dxa"/>
            <w:tcBorders>
              <w:tl2br w:val="nil"/>
              <w:tr2bl w:val="nil"/>
            </w:tcBorders>
            <w:vAlign w:val="center"/>
          </w:tcPr>
          <w:p w14:paraId="14BE11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等效连续A声级</w:t>
            </w:r>
          </w:p>
        </w:tc>
        <w:tc>
          <w:tcPr>
            <w:tcW w:w="1778" w:type="dxa"/>
            <w:tcBorders>
              <w:tl2br w:val="nil"/>
              <w:tr2bl w:val="nil"/>
            </w:tcBorders>
            <w:vAlign w:val="center"/>
          </w:tcPr>
          <w:p w14:paraId="5E4A5E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bookmarkStart w:id="1890" w:name="OLE_LINK279"/>
            <w:r>
              <w:rPr>
                <w:rFonts w:hint="default" w:ascii="Times New Roman" w:hAnsi="Times New Roman" w:eastAsia="宋体" w:cs="Times New Roman"/>
                <w:color w:val="auto"/>
                <w:sz w:val="24"/>
                <w:szCs w:val="24"/>
                <w:u w:val="single" w:color="auto"/>
                <w:vertAlign w:val="baseline"/>
                <w:lang w:val="en-US" w:eastAsia="zh-CN"/>
              </w:rPr>
              <w:t>选用低噪声设备，安装过程中采取减振措施；厂区合理布局、厂房隔声</w:t>
            </w:r>
            <w:bookmarkEnd w:id="1890"/>
            <w:r>
              <w:rPr>
                <w:rFonts w:hint="eastAsia" w:cs="Times New Roman"/>
                <w:color w:val="auto"/>
                <w:sz w:val="24"/>
                <w:szCs w:val="24"/>
                <w:u w:val="single" w:color="auto"/>
                <w:vertAlign w:val="baseline"/>
                <w:lang w:val="en-US" w:eastAsia="zh-CN"/>
              </w:rPr>
              <w:t>、加高厂区围墙</w:t>
            </w:r>
          </w:p>
        </w:tc>
        <w:tc>
          <w:tcPr>
            <w:tcW w:w="3117" w:type="dxa"/>
            <w:tcBorders>
              <w:tl2br w:val="nil"/>
              <w:tr2bl w:val="nil"/>
            </w:tcBorders>
            <w:vAlign w:val="center"/>
          </w:tcPr>
          <w:p w14:paraId="49593F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厂界东南西三侧执行</w:t>
            </w:r>
            <w:r>
              <w:rPr>
                <w:rFonts w:hint="default" w:ascii="Times New Roman" w:hAnsi="Times New Roman" w:eastAsia="宋体" w:cs="Times New Roman"/>
                <w:color w:val="auto"/>
                <w:sz w:val="24"/>
                <w:szCs w:val="24"/>
                <w:u w:val="single" w:color="auto"/>
                <w:vertAlign w:val="baseline"/>
                <w:lang w:val="en-US" w:eastAsia="zh-CN"/>
              </w:rPr>
              <w:t>《工业企业厂界环境噪声排放标准》（GB 12348-2008）中3类标准</w:t>
            </w:r>
            <w:r>
              <w:rPr>
                <w:rFonts w:hint="eastAsia" w:cs="Times New Roman"/>
                <w:color w:val="auto"/>
                <w:sz w:val="24"/>
                <w:szCs w:val="24"/>
                <w:u w:val="single" w:color="auto"/>
                <w:vertAlign w:val="baseline"/>
                <w:lang w:val="en-US" w:eastAsia="zh-CN"/>
              </w:rPr>
              <w:t>；厂界北侧执行</w:t>
            </w:r>
            <w:r>
              <w:rPr>
                <w:rFonts w:hint="default" w:ascii="Times New Roman" w:hAnsi="Times New Roman" w:eastAsia="宋体" w:cs="Times New Roman"/>
                <w:color w:val="auto"/>
                <w:sz w:val="24"/>
                <w:szCs w:val="24"/>
                <w:u w:val="single" w:color="auto"/>
                <w:vertAlign w:val="baseline"/>
                <w:lang w:val="en-US" w:eastAsia="zh-CN"/>
              </w:rPr>
              <w:t>《工业企业厂界环境噪声排放标准》（GB 12348-2008）中</w:t>
            </w:r>
            <w:r>
              <w:rPr>
                <w:rFonts w:hint="eastAsia" w:ascii="Times New Roman" w:hAnsi="Times New Roman" w:eastAsia="宋体" w:cs="Times New Roman"/>
                <w:color w:val="auto"/>
                <w:sz w:val="24"/>
                <w:szCs w:val="24"/>
                <w:u w:val="single" w:color="auto"/>
                <w:vertAlign w:val="baseline"/>
                <w:lang w:val="en-US" w:eastAsia="zh-CN"/>
              </w:rPr>
              <w:t>4</w:t>
            </w:r>
            <w:r>
              <w:rPr>
                <w:rFonts w:hint="default" w:ascii="Times New Roman" w:hAnsi="Times New Roman" w:eastAsia="宋体" w:cs="Times New Roman"/>
                <w:color w:val="auto"/>
                <w:sz w:val="24"/>
                <w:szCs w:val="24"/>
                <w:u w:val="single" w:color="auto"/>
                <w:vertAlign w:val="baseline"/>
                <w:lang w:val="en-US" w:eastAsia="zh-CN"/>
              </w:rPr>
              <w:t>类标准</w:t>
            </w:r>
          </w:p>
        </w:tc>
      </w:tr>
      <w:tr w14:paraId="0C01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14:paraId="45FA18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电磁辐射</w:t>
            </w:r>
          </w:p>
        </w:tc>
        <w:tc>
          <w:tcPr>
            <w:tcW w:w="1972" w:type="dxa"/>
            <w:gridSpan w:val="2"/>
            <w:tcBorders>
              <w:tl2br w:val="nil"/>
              <w:tr2bl w:val="nil"/>
            </w:tcBorders>
            <w:vAlign w:val="center"/>
          </w:tcPr>
          <w:p w14:paraId="76D191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c>
          <w:tcPr>
            <w:tcW w:w="1462" w:type="dxa"/>
            <w:tcBorders>
              <w:tl2br w:val="nil"/>
              <w:tr2bl w:val="nil"/>
            </w:tcBorders>
            <w:vAlign w:val="center"/>
          </w:tcPr>
          <w:p w14:paraId="171CED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c>
          <w:tcPr>
            <w:tcW w:w="1778" w:type="dxa"/>
            <w:tcBorders>
              <w:tl2br w:val="nil"/>
              <w:tr2bl w:val="nil"/>
            </w:tcBorders>
            <w:vAlign w:val="center"/>
          </w:tcPr>
          <w:p w14:paraId="5FD7D7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c>
          <w:tcPr>
            <w:tcW w:w="3117" w:type="dxa"/>
            <w:tcBorders>
              <w:tl2br w:val="nil"/>
              <w:tr2bl w:val="nil"/>
            </w:tcBorders>
            <w:vAlign w:val="center"/>
          </w:tcPr>
          <w:p w14:paraId="0D11B9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r>
      <w:tr w14:paraId="35C3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tcBorders>
              <w:tl2br w:val="nil"/>
              <w:tr2bl w:val="nil"/>
            </w:tcBorders>
            <w:vAlign w:val="center"/>
          </w:tcPr>
          <w:p w14:paraId="11FB1B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固体废物</w:t>
            </w:r>
          </w:p>
        </w:tc>
        <w:tc>
          <w:tcPr>
            <w:tcW w:w="810" w:type="dxa"/>
            <w:vMerge w:val="restart"/>
            <w:tcBorders>
              <w:tl2br w:val="nil"/>
              <w:tr2bl w:val="nil"/>
            </w:tcBorders>
            <w:vAlign w:val="center"/>
          </w:tcPr>
          <w:p w14:paraId="2FCB11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none" w:color="auto"/>
                <w:vertAlign w:val="baseline"/>
                <w:lang w:val="en-US" w:eastAsia="zh-CN" w:bidi="ar-SA"/>
              </w:rPr>
            </w:pPr>
            <w:r>
              <w:rPr>
                <w:rFonts w:hint="eastAsia" w:cs="Times New Roman"/>
                <w:color w:val="auto"/>
                <w:sz w:val="24"/>
                <w:szCs w:val="24"/>
                <w:u w:val="none" w:color="auto"/>
                <w:vertAlign w:val="baseline"/>
                <w:lang w:val="en-US" w:eastAsia="zh-CN"/>
              </w:rPr>
              <w:t>危险废物</w:t>
            </w:r>
          </w:p>
        </w:tc>
        <w:tc>
          <w:tcPr>
            <w:tcW w:w="2624" w:type="dxa"/>
            <w:gridSpan w:val="2"/>
            <w:tcBorders>
              <w:tl2br w:val="nil"/>
              <w:tr2bl w:val="nil"/>
            </w:tcBorders>
            <w:shd w:val="clear" w:color="auto" w:fill="auto"/>
            <w:vAlign w:val="center"/>
          </w:tcPr>
          <w:p w14:paraId="1426A2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kern w:val="2"/>
                <w:sz w:val="24"/>
                <w:szCs w:val="24"/>
                <w:u w:val="none" w:color="auto"/>
                <w:vertAlign w:val="baseline"/>
                <w:lang w:val="en-US" w:eastAsia="zh-CN"/>
              </w:rPr>
              <w:t>实验室、检疫室废弃物</w:t>
            </w:r>
          </w:p>
        </w:tc>
        <w:tc>
          <w:tcPr>
            <w:tcW w:w="1778" w:type="dxa"/>
            <w:vMerge w:val="restart"/>
            <w:tcBorders>
              <w:tl2br w:val="nil"/>
              <w:tr2bl w:val="nil"/>
            </w:tcBorders>
            <w:vAlign w:val="center"/>
          </w:tcPr>
          <w:p w14:paraId="51A15A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危废暂存间</w:t>
            </w:r>
          </w:p>
        </w:tc>
        <w:tc>
          <w:tcPr>
            <w:tcW w:w="3117" w:type="dxa"/>
            <w:vMerge w:val="restart"/>
            <w:tcBorders>
              <w:tl2br w:val="nil"/>
              <w:tr2bl w:val="nil"/>
            </w:tcBorders>
            <w:vAlign w:val="center"/>
          </w:tcPr>
          <w:p w14:paraId="6CB0DA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暂存在危险废物暂存间，委托有资质单位处置</w:t>
            </w:r>
          </w:p>
        </w:tc>
      </w:tr>
      <w:tr w14:paraId="2710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7D1E7C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vAlign w:val="center"/>
          </w:tcPr>
          <w:p w14:paraId="3376EB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p>
        </w:tc>
        <w:tc>
          <w:tcPr>
            <w:tcW w:w="2624" w:type="dxa"/>
            <w:gridSpan w:val="2"/>
            <w:tcBorders>
              <w:tl2br w:val="nil"/>
              <w:tr2bl w:val="nil"/>
            </w:tcBorders>
            <w:shd w:val="clear" w:color="auto" w:fill="auto"/>
            <w:vAlign w:val="center"/>
          </w:tcPr>
          <w:p w14:paraId="6A387D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cs="Times New Roman"/>
                <w:color w:val="auto"/>
                <w:sz w:val="24"/>
                <w:szCs w:val="24"/>
                <w:u w:val="none" w:color="auto"/>
                <w:vertAlign w:val="baseline"/>
                <w:lang w:val="en-US" w:eastAsia="zh-CN"/>
              </w:rPr>
              <w:t>沾染有毒有害物质的废包装材料</w:t>
            </w:r>
          </w:p>
        </w:tc>
        <w:tc>
          <w:tcPr>
            <w:tcW w:w="1778" w:type="dxa"/>
            <w:vMerge w:val="continue"/>
            <w:tcBorders>
              <w:tl2br w:val="nil"/>
              <w:tr2bl w:val="nil"/>
            </w:tcBorders>
            <w:vAlign w:val="center"/>
          </w:tcPr>
          <w:p w14:paraId="7DE4BA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vMerge w:val="continue"/>
            <w:tcBorders>
              <w:tl2br w:val="nil"/>
              <w:tr2bl w:val="nil"/>
            </w:tcBorders>
            <w:vAlign w:val="center"/>
          </w:tcPr>
          <w:p w14:paraId="00A0F5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r>
      <w:tr w14:paraId="06B0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18C223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restart"/>
            <w:tcBorders>
              <w:tl2br w:val="nil"/>
              <w:tr2bl w:val="nil"/>
            </w:tcBorders>
            <w:shd w:val="clear" w:color="auto" w:fill="auto"/>
            <w:vAlign w:val="center"/>
          </w:tcPr>
          <w:p w14:paraId="0535B5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kern w:val="2"/>
                <w:sz w:val="24"/>
                <w:szCs w:val="24"/>
                <w:u w:val="none" w:color="auto"/>
                <w:vertAlign w:val="baseline"/>
                <w:lang w:val="en-US" w:eastAsia="zh-CN"/>
              </w:rPr>
              <w:t>一般固废</w:t>
            </w:r>
          </w:p>
        </w:tc>
        <w:tc>
          <w:tcPr>
            <w:tcW w:w="2624" w:type="dxa"/>
            <w:gridSpan w:val="2"/>
            <w:tcBorders>
              <w:tl2br w:val="nil"/>
              <w:tr2bl w:val="nil"/>
            </w:tcBorders>
            <w:shd w:val="clear" w:color="auto" w:fill="auto"/>
            <w:vAlign w:val="center"/>
          </w:tcPr>
          <w:p w14:paraId="265D5A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kern w:val="2"/>
                <w:sz w:val="24"/>
                <w:szCs w:val="24"/>
                <w:u w:val="none" w:color="auto"/>
                <w:vertAlign w:val="baseline"/>
                <w:lang w:val="en-US" w:eastAsia="zh-CN"/>
              </w:rPr>
              <w:t>猪牛鸡鸭鹅胃内容物、不可食用部分（除胃内容物外）</w:t>
            </w:r>
          </w:p>
        </w:tc>
        <w:tc>
          <w:tcPr>
            <w:tcW w:w="1778" w:type="dxa"/>
            <w:vMerge w:val="restart"/>
            <w:tcBorders>
              <w:tl2br w:val="nil"/>
              <w:tr2bl w:val="nil"/>
            </w:tcBorders>
            <w:vAlign w:val="center"/>
          </w:tcPr>
          <w:p w14:paraId="14D053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一般固废暂存间</w:t>
            </w:r>
          </w:p>
        </w:tc>
        <w:tc>
          <w:tcPr>
            <w:tcW w:w="3117" w:type="dxa"/>
            <w:tcBorders>
              <w:tl2br w:val="nil"/>
              <w:tr2bl w:val="nil"/>
            </w:tcBorders>
            <w:vAlign w:val="center"/>
          </w:tcPr>
          <w:p w14:paraId="480B07F1">
            <w:pPr>
              <w:spacing w:line="360" w:lineRule="exact"/>
              <w:ind w:firstLine="0" w:firstLineChars="0"/>
              <w:jc w:val="center"/>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kern w:val="2"/>
                <w:sz w:val="24"/>
                <w:szCs w:val="24"/>
                <w:u w:val="none" w:color="auto"/>
                <w:vertAlign w:val="baseline"/>
                <w:lang w:val="en-US" w:eastAsia="zh-CN" w:bidi="ar"/>
              </w:rPr>
              <w:t>猪牛胃内容物</w:t>
            </w:r>
            <w:r>
              <w:rPr>
                <w:rFonts w:hint="default" w:ascii="Times New Roman" w:hAnsi="Times New Roman" w:eastAsia="宋体" w:cs="Times New Roman"/>
                <w:color w:val="auto"/>
                <w:kern w:val="2"/>
                <w:sz w:val="24"/>
                <w:szCs w:val="24"/>
                <w:u w:val="none" w:color="auto"/>
                <w:lang w:val="en-US" w:eastAsia="zh-CN" w:bidi="ar"/>
              </w:rPr>
              <w:t>，收集后外售给化肥厂综合利用；</w:t>
            </w:r>
            <w:r>
              <w:rPr>
                <w:rFonts w:hint="default" w:ascii="Times New Roman" w:hAnsi="Times New Roman" w:eastAsia="宋体" w:cs="Times New Roman"/>
                <w:color w:val="auto"/>
                <w:kern w:val="2"/>
                <w:sz w:val="24"/>
                <w:szCs w:val="24"/>
                <w:u w:val="none" w:color="auto"/>
                <w:vertAlign w:val="baseline"/>
                <w:lang w:val="en-US" w:eastAsia="zh-CN" w:bidi="ar"/>
              </w:rPr>
              <w:t>不可食用部分（除胃内容物外）交由有资质的单位进行无害化处理</w:t>
            </w:r>
          </w:p>
        </w:tc>
      </w:tr>
      <w:tr w14:paraId="5776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6F71FE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shd w:val="clear" w:color="auto" w:fill="auto"/>
            <w:vAlign w:val="center"/>
          </w:tcPr>
          <w:p w14:paraId="17A26B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2624" w:type="dxa"/>
            <w:gridSpan w:val="2"/>
            <w:tcBorders>
              <w:tl2br w:val="nil"/>
              <w:tr2bl w:val="nil"/>
            </w:tcBorders>
            <w:shd w:val="clear" w:color="auto" w:fill="auto"/>
            <w:vAlign w:val="center"/>
          </w:tcPr>
          <w:p w14:paraId="62CDC9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kern w:val="2"/>
                <w:sz w:val="24"/>
                <w:szCs w:val="24"/>
                <w:u w:val="none" w:color="auto"/>
                <w:vertAlign w:val="baseline"/>
                <w:lang w:val="en-US" w:eastAsia="zh-CN"/>
              </w:rPr>
              <w:t>碎肉渣</w:t>
            </w:r>
          </w:p>
        </w:tc>
        <w:tc>
          <w:tcPr>
            <w:tcW w:w="1778" w:type="dxa"/>
            <w:vMerge w:val="continue"/>
            <w:tcBorders>
              <w:tl2br w:val="nil"/>
              <w:tr2bl w:val="nil"/>
            </w:tcBorders>
            <w:vAlign w:val="center"/>
          </w:tcPr>
          <w:p w14:paraId="25902B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tcBorders>
              <w:tl2br w:val="nil"/>
              <w:tr2bl w:val="nil"/>
            </w:tcBorders>
            <w:vAlign w:val="center"/>
          </w:tcPr>
          <w:p w14:paraId="399BBAD4">
            <w:pPr>
              <w:spacing w:line="360" w:lineRule="exact"/>
              <w:ind w:firstLine="0" w:firstLineChars="0"/>
              <w:jc w:val="center"/>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kern w:val="2"/>
                <w:sz w:val="24"/>
                <w:szCs w:val="24"/>
                <w:u w:val="none" w:color="auto"/>
                <w:lang w:val="en-US" w:eastAsia="zh-CN" w:bidi="ar"/>
              </w:rPr>
              <w:t>外售给化肥厂综合利用</w:t>
            </w:r>
          </w:p>
        </w:tc>
      </w:tr>
      <w:tr w14:paraId="5255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040704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shd w:val="clear" w:color="auto" w:fill="auto"/>
            <w:vAlign w:val="center"/>
          </w:tcPr>
          <w:p w14:paraId="6741FB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2624" w:type="dxa"/>
            <w:gridSpan w:val="2"/>
            <w:tcBorders>
              <w:tl2br w:val="nil"/>
              <w:tr2bl w:val="nil"/>
            </w:tcBorders>
            <w:shd w:val="clear" w:color="auto" w:fill="auto"/>
            <w:vAlign w:val="center"/>
          </w:tcPr>
          <w:p w14:paraId="01951E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sz w:val="24"/>
                <w:szCs w:val="24"/>
                <w:u w:val="none" w:color="auto"/>
                <w:vertAlign w:val="baseline"/>
                <w:lang w:val="en-US" w:eastAsia="zh-CN"/>
              </w:rPr>
              <w:t>不合格品</w:t>
            </w:r>
          </w:p>
        </w:tc>
        <w:tc>
          <w:tcPr>
            <w:tcW w:w="1778" w:type="dxa"/>
            <w:vMerge w:val="continue"/>
            <w:tcBorders>
              <w:tl2br w:val="nil"/>
              <w:tr2bl w:val="nil"/>
            </w:tcBorders>
            <w:vAlign w:val="center"/>
          </w:tcPr>
          <w:p w14:paraId="372587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tcBorders>
              <w:tl2br w:val="nil"/>
              <w:tr2bl w:val="nil"/>
            </w:tcBorders>
            <w:vAlign w:val="center"/>
          </w:tcPr>
          <w:p w14:paraId="26A1AAB2">
            <w:pPr>
              <w:spacing w:line="360" w:lineRule="exact"/>
              <w:ind w:firstLine="0" w:firstLineChars="0"/>
              <w:jc w:val="center"/>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kern w:val="2"/>
                <w:sz w:val="24"/>
                <w:szCs w:val="24"/>
                <w:u w:val="none" w:color="auto"/>
                <w:vertAlign w:val="baseline"/>
                <w:lang w:val="en-US" w:eastAsia="zh-CN" w:bidi="ar"/>
              </w:rPr>
              <w:t>交由有资质的单位进行无害化处理</w:t>
            </w:r>
          </w:p>
        </w:tc>
      </w:tr>
      <w:tr w14:paraId="02C7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2034BF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shd w:val="clear" w:color="auto" w:fill="auto"/>
            <w:vAlign w:val="center"/>
          </w:tcPr>
          <w:p w14:paraId="5FE73E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2624" w:type="dxa"/>
            <w:gridSpan w:val="2"/>
            <w:tcBorders>
              <w:tl2br w:val="nil"/>
              <w:tr2bl w:val="nil"/>
            </w:tcBorders>
            <w:shd w:val="clear" w:color="auto" w:fill="auto"/>
            <w:vAlign w:val="center"/>
          </w:tcPr>
          <w:p w14:paraId="09934E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sz w:val="24"/>
                <w:szCs w:val="24"/>
                <w:u w:val="none" w:color="auto"/>
                <w:vertAlign w:val="baseline"/>
                <w:lang w:val="en-US" w:eastAsia="zh-CN"/>
              </w:rPr>
              <w:t>污水处理站污泥</w:t>
            </w:r>
          </w:p>
        </w:tc>
        <w:tc>
          <w:tcPr>
            <w:tcW w:w="1778" w:type="dxa"/>
            <w:vMerge w:val="continue"/>
            <w:tcBorders>
              <w:tl2br w:val="nil"/>
              <w:tr2bl w:val="nil"/>
            </w:tcBorders>
            <w:vAlign w:val="center"/>
          </w:tcPr>
          <w:p w14:paraId="7AA85D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tcBorders>
              <w:tl2br w:val="nil"/>
              <w:tr2bl w:val="nil"/>
            </w:tcBorders>
            <w:vAlign w:val="center"/>
          </w:tcPr>
          <w:p w14:paraId="1779030C">
            <w:pPr>
              <w:spacing w:line="360" w:lineRule="exact"/>
              <w:ind w:firstLine="0" w:firstLineChars="0"/>
              <w:jc w:val="center"/>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kern w:val="2"/>
                <w:sz w:val="24"/>
                <w:szCs w:val="24"/>
                <w:u w:val="none" w:color="auto"/>
                <w:lang w:val="en-US" w:eastAsia="zh-CN" w:bidi="ar"/>
              </w:rPr>
              <w:t>外售给化肥厂综合利用</w:t>
            </w:r>
          </w:p>
        </w:tc>
      </w:tr>
      <w:tr w14:paraId="6CD1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289F01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shd w:val="clear" w:color="auto" w:fill="auto"/>
            <w:vAlign w:val="center"/>
          </w:tcPr>
          <w:p w14:paraId="150CC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2624" w:type="dxa"/>
            <w:gridSpan w:val="2"/>
            <w:tcBorders>
              <w:tl2br w:val="nil"/>
              <w:tr2bl w:val="nil"/>
            </w:tcBorders>
            <w:shd w:val="clear" w:color="auto" w:fill="auto"/>
            <w:vAlign w:val="center"/>
          </w:tcPr>
          <w:p w14:paraId="1817CB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kern w:val="2"/>
                <w:sz w:val="24"/>
                <w:szCs w:val="24"/>
                <w:u w:val="none" w:color="auto"/>
                <w:vertAlign w:val="baseline"/>
                <w:lang w:val="en-US" w:eastAsia="zh-CN"/>
              </w:rPr>
              <w:t>猪牛鸡鸭鹅待宰期间产生的粪便</w:t>
            </w:r>
          </w:p>
        </w:tc>
        <w:tc>
          <w:tcPr>
            <w:tcW w:w="1778" w:type="dxa"/>
            <w:vMerge w:val="continue"/>
            <w:tcBorders>
              <w:tl2br w:val="nil"/>
              <w:tr2bl w:val="nil"/>
            </w:tcBorders>
            <w:vAlign w:val="center"/>
          </w:tcPr>
          <w:p w14:paraId="04E6F9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tcBorders>
              <w:tl2br w:val="nil"/>
              <w:tr2bl w:val="nil"/>
            </w:tcBorders>
            <w:vAlign w:val="center"/>
          </w:tcPr>
          <w:p w14:paraId="260E2006">
            <w:pPr>
              <w:spacing w:line="360" w:lineRule="exact"/>
              <w:ind w:firstLine="0" w:firstLineChars="0"/>
              <w:jc w:val="center"/>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kern w:val="2"/>
                <w:sz w:val="24"/>
                <w:szCs w:val="24"/>
                <w:u w:val="none" w:color="auto"/>
                <w:lang w:val="en-US" w:eastAsia="zh-CN" w:bidi="ar"/>
              </w:rPr>
              <w:t>外售给化肥厂综合利用</w:t>
            </w:r>
          </w:p>
        </w:tc>
      </w:tr>
      <w:tr w14:paraId="18A1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0F54D1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shd w:val="clear" w:color="auto" w:fill="auto"/>
            <w:vAlign w:val="center"/>
          </w:tcPr>
          <w:p w14:paraId="56242C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2624" w:type="dxa"/>
            <w:gridSpan w:val="2"/>
            <w:tcBorders>
              <w:tl2br w:val="nil"/>
              <w:tr2bl w:val="nil"/>
            </w:tcBorders>
            <w:shd w:val="clear" w:color="auto" w:fill="auto"/>
            <w:vAlign w:val="center"/>
          </w:tcPr>
          <w:p w14:paraId="38052D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u w:val="none" w:color="auto"/>
                <w:lang w:val="en-US" w:eastAsia="zh-CN"/>
              </w:rPr>
              <w:t>病死猪牛鸡鸭鹅</w:t>
            </w:r>
          </w:p>
        </w:tc>
        <w:tc>
          <w:tcPr>
            <w:tcW w:w="1778" w:type="dxa"/>
            <w:vMerge w:val="continue"/>
            <w:tcBorders>
              <w:tl2br w:val="nil"/>
              <w:tr2bl w:val="nil"/>
            </w:tcBorders>
            <w:vAlign w:val="center"/>
          </w:tcPr>
          <w:p w14:paraId="4A92AE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tcBorders>
              <w:tl2br w:val="nil"/>
              <w:tr2bl w:val="nil"/>
            </w:tcBorders>
            <w:vAlign w:val="center"/>
          </w:tcPr>
          <w:p w14:paraId="3EB7BE3D">
            <w:pPr>
              <w:pStyle w:val="49"/>
              <w:snapToGrid/>
              <w:spacing w:line="240" w:lineRule="auto"/>
              <w:ind w:firstLine="0" w:firstLineChars="0"/>
              <w:jc w:val="center"/>
              <w:rPr>
                <w:rFonts w:hint="default" w:ascii="Times New Roman" w:hAnsi="Times New Roman" w:eastAsia="宋体" w:cs="Times New Roman"/>
                <w:color w:val="auto"/>
                <w:kern w:val="2"/>
                <w:sz w:val="24"/>
                <w:szCs w:val="24"/>
                <w:u w:val="none" w:color="auto"/>
                <w:lang w:val="en-US" w:eastAsia="zh-CN" w:bidi="ar"/>
              </w:rPr>
            </w:pPr>
            <w:r>
              <w:rPr>
                <w:rFonts w:hint="eastAsia" w:cs="Times New Roman"/>
                <w:color w:val="auto"/>
                <w:kern w:val="2"/>
                <w:sz w:val="21"/>
                <w:szCs w:val="21"/>
                <w:u w:val="none" w:color="auto"/>
                <w:vertAlign w:val="baseline"/>
                <w:lang w:val="en-US" w:eastAsia="zh-CN" w:bidi="ar"/>
              </w:rPr>
              <w:t>交由有资质的单位进行无害化处理</w:t>
            </w:r>
          </w:p>
        </w:tc>
      </w:tr>
      <w:tr w14:paraId="4F8C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325470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shd w:val="clear" w:color="auto" w:fill="auto"/>
            <w:vAlign w:val="center"/>
          </w:tcPr>
          <w:p w14:paraId="48CD7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2624" w:type="dxa"/>
            <w:gridSpan w:val="2"/>
            <w:tcBorders>
              <w:tl2br w:val="nil"/>
              <w:tr2bl w:val="nil"/>
            </w:tcBorders>
            <w:shd w:val="clear" w:color="auto" w:fill="auto"/>
            <w:vAlign w:val="center"/>
          </w:tcPr>
          <w:p w14:paraId="70C85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4"/>
                <w:szCs w:val="24"/>
                <w:u w:val="none" w:color="auto"/>
                <w:vertAlign w:val="baseline"/>
                <w:lang w:val="en-US" w:eastAsia="zh-CN" w:bidi="ar"/>
              </w:rPr>
              <w:t>未沾染有</w:t>
            </w:r>
            <w:r>
              <w:rPr>
                <w:rFonts w:hint="eastAsia" w:cs="Times New Roman"/>
                <w:color w:val="auto"/>
                <w:kern w:val="2"/>
                <w:sz w:val="24"/>
                <w:szCs w:val="24"/>
                <w:u w:val="none" w:color="auto"/>
                <w:vertAlign w:val="baseline"/>
                <w:lang w:val="en-US" w:eastAsia="zh-CN"/>
              </w:rPr>
              <w:t>毒有害物质的废包装材料</w:t>
            </w:r>
          </w:p>
        </w:tc>
        <w:tc>
          <w:tcPr>
            <w:tcW w:w="1778" w:type="dxa"/>
            <w:vMerge w:val="continue"/>
            <w:tcBorders>
              <w:tl2br w:val="nil"/>
              <w:tr2bl w:val="nil"/>
            </w:tcBorders>
            <w:vAlign w:val="center"/>
          </w:tcPr>
          <w:p w14:paraId="186694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tcBorders>
              <w:tl2br w:val="nil"/>
              <w:tr2bl w:val="nil"/>
            </w:tcBorders>
            <w:vAlign w:val="center"/>
          </w:tcPr>
          <w:p w14:paraId="7297C483">
            <w:pPr>
              <w:pStyle w:val="49"/>
              <w:snapToGrid/>
              <w:spacing w:line="240" w:lineRule="auto"/>
              <w:ind w:firstLine="0" w:firstLineChars="0"/>
              <w:jc w:val="center"/>
              <w:rPr>
                <w:rFonts w:hint="default" w:ascii="Times New Roman" w:hAnsi="Times New Roman" w:eastAsia="宋体" w:cs="Times New Roman"/>
                <w:color w:val="auto"/>
                <w:kern w:val="2"/>
                <w:sz w:val="24"/>
                <w:szCs w:val="24"/>
                <w:u w:val="none" w:color="auto"/>
                <w:lang w:val="en-US" w:eastAsia="zh-CN" w:bidi="ar"/>
              </w:rPr>
            </w:pPr>
            <w:r>
              <w:rPr>
                <w:rFonts w:hint="eastAsia" w:cs="Times New Roman"/>
                <w:color w:val="auto"/>
                <w:spacing w:val="0"/>
                <w:sz w:val="21"/>
                <w:szCs w:val="21"/>
                <w:u w:val="none" w:color="auto"/>
                <w:lang w:val="en-US" w:eastAsia="zh-CN"/>
              </w:rPr>
              <w:t>交由物资回收部门综合利用</w:t>
            </w:r>
          </w:p>
        </w:tc>
      </w:tr>
      <w:tr w14:paraId="066C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14:paraId="0F2A0D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810" w:type="dxa"/>
            <w:vMerge w:val="continue"/>
            <w:tcBorders>
              <w:tl2br w:val="nil"/>
              <w:tr2bl w:val="nil"/>
            </w:tcBorders>
            <w:shd w:val="clear" w:color="auto" w:fill="auto"/>
            <w:vAlign w:val="center"/>
          </w:tcPr>
          <w:p w14:paraId="7BFA5F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2624" w:type="dxa"/>
            <w:gridSpan w:val="2"/>
            <w:tcBorders>
              <w:tl2br w:val="nil"/>
              <w:tr2bl w:val="nil"/>
            </w:tcBorders>
            <w:shd w:val="clear" w:color="auto" w:fill="auto"/>
            <w:vAlign w:val="center"/>
          </w:tcPr>
          <w:p w14:paraId="4FFA47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kern w:val="2"/>
                <w:sz w:val="24"/>
                <w:szCs w:val="24"/>
                <w:u w:val="none" w:color="auto"/>
                <w:vertAlign w:val="baseline"/>
                <w:lang w:val="en-US" w:eastAsia="zh-CN"/>
              </w:rPr>
              <w:t>格栅处理的废物</w:t>
            </w:r>
          </w:p>
        </w:tc>
        <w:tc>
          <w:tcPr>
            <w:tcW w:w="1778" w:type="dxa"/>
            <w:vMerge w:val="continue"/>
            <w:tcBorders>
              <w:tl2br w:val="nil"/>
              <w:tr2bl w:val="nil"/>
            </w:tcBorders>
            <w:vAlign w:val="center"/>
          </w:tcPr>
          <w:p w14:paraId="31A629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117" w:type="dxa"/>
            <w:tcBorders>
              <w:tl2br w:val="nil"/>
              <w:tr2bl w:val="nil"/>
            </w:tcBorders>
            <w:vAlign w:val="center"/>
          </w:tcPr>
          <w:p w14:paraId="59850055">
            <w:pPr>
              <w:spacing w:line="360" w:lineRule="exact"/>
              <w:ind w:firstLine="0" w:firstLineChars="0"/>
              <w:jc w:val="center"/>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pacing w:val="0"/>
                <w:sz w:val="24"/>
                <w:szCs w:val="24"/>
                <w:u w:val="none" w:color="auto"/>
                <w:lang w:val="en-US" w:eastAsia="zh-CN"/>
              </w:rPr>
              <w:t>交由物资回收部门综合利用</w:t>
            </w:r>
          </w:p>
        </w:tc>
      </w:tr>
      <w:tr w14:paraId="313D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14:paraId="213050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土壤及地下水污染防治措施</w:t>
            </w:r>
          </w:p>
        </w:tc>
        <w:tc>
          <w:tcPr>
            <w:tcW w:w="8329" w:type="dxa"/>
            <w:gridSpan w:val="5"/>
            <w:tcBorders>
              <w:tl2br w:val="nil"/>
              <w:tr2bl w:val="nil"/>
            </w:tcBorders>
            <w:vAlign w:val="center"/>
          </w:tcPr>
          <w:p w14:paraId="47F154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lang w:val="en-US" w:eastAsia="zh-CN"/>
              </w:rPr>
              <w:t>厂区地面硬化、防渗</w:t>
            </w:r>
          </w:p>
        </w:tc>
      </w:tr>
      <w:tr w14:paraId="3909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14:paraId="309807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生态保护措施</w:t>
            </w:r>
          </w:p>
        </w:tc>
        <w:tc>
          <w:tcPr>
            <w:tcW w:w="8329" w:type="dxa"/>
            <w:gridSpan w:val="5"/>
            <w:tcBorders>
              <w:tl2br w:val="nil"/>
              <w:tr2bl w:val="nil"/>
            </w:tcBorders>
            <w:vAlign w:val="center"/>
          </w:tcPr>
          <w:p w14:paraId="54B056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w:t>
            </w:r>
          </w:p>
        </w:tc>
      </w:tr>
      <w:tr w14:paraId="424A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59" w:type="dxa"/>
            <w:tcBorders>
              <w:tl2br w:val="nil"/>
              <w:tr2bl w:val="nil"/>
            </w:tcBorders>
            <w:vAlign w:val="center"/>
          </w:tcPr>
          <w:p w14:paraId="2ED3A8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环境风向防范措施</w:t>
            </w:r>
          </w:p>
        </w:tc>
        <w:tc>
          <w:tcPr>
            <w:tcW w:w="8329" w:type="dxa"/>
            <w:gridSpan w:val="5"/>
            <w:tcBorders>
              <w:tl2br w:val="nil"/>
              <w:tr2bl w:val="nil"/>
            </w:tcBorders>
            <w:vAlign w:val="center"/>
          </w:tcPr>
          <w:p w14:paraId="0E0756E3">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color w:val="auto"/>
                <w:sz w:val="24"/>
                <w:szCs w:val="24"/>
                <w:vertAlign w:val="baseline"/>
                <w:lang w:val="en-US" w:eastAsia="zh-CN"/>
              </w:rPr>
            </w:pPr>
            <w:r>
              <w:rPr>
                <w:rFonts w:hint="default"/>
                <w:color w:val="auto"/>
                <w:sz w:val="24"/>
                <w:szCs w:val="24"/>
                <w:vertAlign w:val="baseline"/>
                <w:lang w:val="en-US" w:eastAsia="zh-CN"/>
              </w:rPr>
              <w:t>①加强车间内部通风措施，确保全面通风，防止</w:t>
            </w:r>
            <w:r>
              <w:rPr>
                <w:rFonts w:hint="eastAsia"/>
                <w:color w:val="auto"/>
                <w:sz w:val="24"/>
                <w:szCs w:val="24"/>
                <w:vertAlign w:val="baseline"/>
                <w:lang w:val="en-US" w:eastAsia="zh-CN"/>
              </w:rPr>
              <w:t>无组织废气</w:t>
            </w:r>
            <w:r>
              <w:rPr>
                <w:rFonts w:hint="default"/>
                <w:color w:val="auto"/>
                <w:sz w:val="24"/>
                <w:szCs w:val="24"/>
                <w:vertAlign w:val="baseline"/>
                <w:lang w:val="en-US" w:eastAsia="zh-CN"/>
              </w:rPr>
              <w:t>累积；</w:t>
            </w:r>
          </w:p>
          <w:p w14:paraId="28B7F59B">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color w:val="auto"/>
                <w:sz w:val="24"/>
                <w:szCs w:val="24"/>
                <w:vertAlign w:val="baseline"/>
                <w:lang w:val="en-US" w:eastAsia="zh-CN"/>
              </w:rPr>
            </w:pPr>
            <w:r>
              <w:rPr>
                <w:rFonts w:hint="default"/>
                <w:color w:val="auto"/>
                <w:sz w:val="24"/>
                <w:szCs w:val="24"/>
                <w:vertAlign w:val="baseline"/>
                <w:lang w:val="en-US" w:eastAsia="zh-CN"/>
              </w:rPr>
              <w:t>②火灾发生时，先把总电源关掉，按响警铃以警示其他人员，同时联络消防</w:t>
            </w:r>
            <w:r>
              <w:rPr>
                <w:rFonts w:hint="eastAsia"/>
                <w:color w:val="auto"/>
                <w:sz w:val="24"/>
                <w:szCs w:val="24"/>
                <w:vertAlign w:val="baseline"/>
                <w:lang w:val="en-US" w:eastAsia="zh-CN"/>
              </w:rPr>
              <w:t>救援大</w:t>
            </w:r>
            <w:r>
              <w:rPr>
                <w:rFonts w:hint="default"/>
                <w:color w:val="auto"/>
                <w:sz w:val="24"/>
                <w:szCs w:val="24"/>
                <w:vertAlign w:val="baseline"/>
                <w:lang w:val="en-US" w:eastAsia="zh-CN"/>
              </w:rPr>
              <w:t>队，利用灭火装置尽量灭火，如果无效，应该马上离开现场到安全地点集合，在离开时确保所有人都已经离开</w:t>
            </w:r>
            <w:r>
              <w:rPr>
                <w:rFonts w:hint="eastAsia"/>
                <w:color w:val="auto"/>
                <w:sz w:val="24"/>
                <w:szCs w:val="24"/>
                <w:vertAlign w:val="baseline"/>
                <w:lang w:val="en-US" w:eastAsia="zh-CN"/>
              </w:rPr>
              <w:t>厂房</w:t>
            </w:r>
            <w:r>
              <w:rPr>
                <w:rFonts w:hint="default"/>
                <w:color w:val="auto"/>
                <w:sz w:val="24"/>
                <w:szCs w:val="24"/>
                <w:vertAlign w:val="baseline"/>
                <w:lang w:val="en-US" w:eastAsia="zh-CN"/>
              </w:rPr>
              <w:t>，同时与周边企业建立联动机制，一旦发生泄漏、消防事故，第一时间通知周边企业，迅速疏散人员</w:t>
            </w:r>
            <w:r>
              <w:rPr>
                <w:rFonts w:hint="eastAsia"/>
                <w:color w:val="auto"/>
                <w:lang w:val="en-US" w:eastAsia="zh-CN"/>
              </w:rPr>
              <w:t>；</w:t>
            </w:r>
          </w:p>
          <w:p w14:paraId="6285B20B">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color w:val="auto"/>
                <w:sz w:val="24"/>
                <w:szCs w:val="24"/>
                <w:vertAlign w:val="baseline"/>
                <w:lang w:val="en-US" w:eastAsia="zh-CN"/>
              </w:rPr>
            </w:pPr>
            <w:r>
              <w:rPr>
                <w:rFonts w:hint="default"/>
                <w:color w:val="auto"/>
                <w:sz w:val="24"/>
                <w:szCs w:val="24"/>
                <w:vertAlign w:val="baseline"/>
                <w:lang w:val="en-US" w:eastAsia="zh-CN"/>
              </w:rPr>
              <w:t>③</w:t>
            </w:r>
            <w:r>
              <w:rPr>
                <w:rFonts w:hint="eastAsia"/>
                <w:color w:val="auto"/>
                <w:sz w:val="24"/>
                <w:szCs w:val="24"/>
                <w:vertAlign w:val="baseline"/>
                <w:lang w:val="en-US" w:eastAsia="zh-CN"/>
              </w:rPr>
              <w:t>原辅材料等</w:t>
            </w:r>
            <w:r>
              <w:rPr>
                <w:rFonts w:hint="default"/>
                <w:color w:val="auto"/>
                <w:sz w:val="24"/>
                <w:szCs w:val="24"/>
                <w:vertAlign w:val="baseline"/>
                <w:lang w:val="en-US" w:eastAsia="zh-CN"/>
              </w:rPr>
              <w:t>泄漏时，使用应急空桶收集</w:t>
            </w:r>
            <w:r>
              <w:rPr>
                <w:rFonts w:hint="eastAsia"/>
                <w:color w:val="auto"/>
                <w:sz w:val="24"/>
                <w:szCs w:val="24"/>
                <w:vertAlign w:val="baseline"/>
                <w:lang w:val="en-US" w:eastAsia="zh-CN"/>
              </w:rPr>
              <w:t>泄漏</w:t>
            </w:r>
            <w:r>
              <w:rPr>
                <w:rFonts w:hint="default"/>
                <w:color w:val="auto"/>
                <w:sz w:val="24"/>
                <w:szCs w:val="24"/>
                <w:vertAlign w:val="baseline"/>
                <w:lang w:val="en-US" w:eastAsia="zh-CN"/>
              </w:rPr>
              <w:t>物料，并配备吸油海绵或抹布吸附泄漏物料，防止对</w:t>
            </w:r>
            <w:r>
              <w:rPr>
                <w:rFonts w:hint="eastAsia"/>
                <w:color w:val="auto"/>
                <w:sz w:val="24"/>
                <w:szCs w:val="24"/>
                <w:vertAlign w:val="baseline"/>
                <w:lang w:val="en-US" w:eastAsia="zh-CN"/>
              </w:rPr>
              <w:t>外</w:t>
            </w:r>
            <w:r>
              <w:rPr>
                <w:rFonts w:hint="default"/>
                <w:color w:val="auto"/>
                <w:sz w:val="24"/>
                <w:szCs w:val="24"/>
                <w:vertAlign w:val="baseline"/>
                <w:lang w:val="en-US" w:eastAsia="zh-CN"/>
              </w:rPr>
              <w:t>环境造成影响</w:t>
            </w:r>
            <w:r>
              <w:rPr>
                <w:rFonts w:hint="eastAsia"/>
                <w:color w:val="auto"/>
                <w:sz w:val="24"/>
                <w:szCs w:val="24"/>
                <w:vertAlign w:val="baseline"/>
                <w:lang w:val="en-US" w:eastAsia="zh-CN"/>
              </w:rPr>
              <w:t>；</w:t>
            </w:r>
          </w:p>
          <w:p w14:paraId="02EB1301">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color w:val="FF0000"/>
                <w:sz w:val="24"/>
                <w:szCs w:val="24"/>
                <w:u w:val="none" w:color="auto"/>
                <w:vertAlign w:val="baseline"/>
                <w:lang w:val="en-US" w:eastAsia="zh-CN"/>
              </w:rPr>
            </w:pPr>
            <w:r>
              <w:rPr>
                <w:rFonts w:hint="default"/>
                <w:color w:val="auto"/>
                <w:sz w:val="24"/>
                <w:szCs w:val="24"/>
                <w:vertAlign w:val="baseline"/>
                <w:lang w:val="en-US" w:eastAsia="zh-CN"/>
              </w:rPr>
              <w:t>④规范危险废物暂存间建设，完善危废暂存间标识标牌建设，危险废物暂存间地面需防腐、防渗、防泄漏，在液态危险废物下设置托盘，将事件控制在危险废物暂存间内。</w:t>
            </w:r>
          </w:p>
        </w:tc>
      </w:tr>
      <w:tr w14:paraId="3E6C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6" w:hRule="atLeast"/>
          <w:jc w:val="center"/>
        </w:trPr>
        <w:tc>
          <w:tcPr>
            <w:tcW w:w="959" w:type="dxa"/>
            <w:tcBorders>
              <w:tl2br w:val="nil"/>
              <w:tr2bl w:val="nil"/>
            </w:tcBorders>
            <w:vAlign w:val="center"/>
          </w:tcPr>
          <w:p w14:paraId="0ACB29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其他环境管理要求</w:t>
            </w:r>
          </w:p>
        </w:tc>
        <w:tc>
          <w:tcPr>
            <w:tcW w:w="8329" w:type="dxa"/>
            <w:gridSpan w:val="5"/>
            <w:tcBorders>
              <w:tl2br w:val="nil"/>
              <w:tr2bl w:val="nil"/>
            </w:tcBorders>
            <w:vAlign w:val="center"/>
          </w:tcPr>
          <w:p w14:paraId="77EBEDFF">
            <w:pPr>
              <w:numPr>
                <w:ilvl w:val="0"/>
                <w:numId w:val="7"/>
              </w:num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排污许可要求</w:t>
            </w:r>
          </w:p>
          <w:p w14:paraId="5175A9D7">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w:t>
            </w:r>
            <w:r>
              <w:rPr>
                <w:rFonts w:hint="default" w:ascii="Times New Roman" w:hAnsi="Times New Roman" w:cs="Times New Roman"/>
                <w:color w:val="auto"/>
                <w:sz w:val="24"/>
                <w:szCs w:val="24"/>
                <w:u w:val="none" w:color="auto"/>
                <w:lang w:eastAsia="zh-CN"/>
              </w:rPr>
              <w:t>《固定污染源排污许可分类管理名录（</w:t>
            </w:r>
            <w:r>
              <w:rPr>
                <w:rFonts w:hint="default" w:ascii="Times New Roman" w:hAnsi="Times New Roman" w:cs="Times New Roman"/>
                <w:color w:val="auto"/>
                <w:sz w:val="24"/>
                <w:szCs w:val="24"/>
                <w:u w:val="none" w:color="auto"/>
                <w:lang w:val="en-US" w:eastAsia="zh-CN"/>
              </w:rPr>
              <w:t>2019</w:t>
            </w:r>
            <w:r>
              <w:rPr>
                <w:rFonts w:hint="default" w:ascii="Times New Roman" w:hAnsi="Times New Roman" w:cs="Times New Roman"/>
                <w:color w:val="auto"/>
                <w:sz w:val="24"/>
                <w:szCs w:val="24"/>
                <w:u w:val="none" w:color="auto"/>
                <w:lang w:eastAsia="zh-CN"/>
              </w:rPr>
              <w:t>）》</w:t>
            </w:r>
            <w:r>
              <w:rPr>
                <w:rFonts w:hint="eastAsia" w:cs="Times New Roman"/>
                <w:color w:val="auto"/>
                <w:sz w:val="24"/>
                <w:szCs w:val="24"/>
                <w:u w:val="none" w:color="auto"/>
                <w:lang w:eastAsia="zh-CN"/>
              </w:rPr>
              <w:t>，</w:t>
            </w:r>
            <w:r>
              <w:rPr>
                <w:rFonts w:hint="default" w:ascii="Times New Roman" w:hAnsi="Times New Roman" w:cs="Times New Roman"/>
                <w:color w:val="auto"/>
                <w:sz w:val="24"/>
                <w:szCs w:val="24"/>
                <w:u w:val="none" w:color="auto"/>
                <w:lang w:val="en-US" w:eastAsia="zh-CN"/>
              </w:rPr>
              <w:t>本项目涉及的行业类别属于“</w:t>
            </w:r>
            <w:r>
              <w:rPr>
                <w:rFonts w:hint="eastAsia" w:cs="Times New Roman"/>
                <w:color w:val="auto"/>
                <w:sz w:val="24"/>
                <w:szCs w:val="24"/>
                <w:u w:val="none" w:color="auto"/>
                <w:lang w:val="en-US" w:eastAsia="zh-CN"/>
              </w:rPr>
              <w:t>简化</w:t>
            </w:r>
            <w:r>
              <w:rPr>
                <w:rFonts w:hint="default" w:ascii="Times New Roman" w:hAnsi="Times New Roman" w:cs="Times New Roman"/>
                <w:color w:val="auto"/>
                <w:sz w:val="24"/>
                <w:szCs w:val="24"/>
                <w:u w:val="none" w:color="auto"/>
                <w:lang w:val="en-US" w:eastAsia="zh-CN"/>
              </w:rPr>
              <w:t>管理”类别</w:t>
            </w:r>
            <w:r>
              <w:rPr>
                <w:rFonts w:hint="eastAsia" w:cs="Times New Roman"/>
                <w:color w:val="auto"/>
                <w:sz w:val="24"/>
                <w:szCs w:val="24"/>
                <w:u w:val="none" w:color="auto"/>
                <w:lang w:val="en-US" w:eastAsia="zh-CN"/>
              </w:rPr>
              <w:t>本项目建成后，</w:t>
            </w:r>
            <w:r>
              <w:rPr>
                <w:rFonts w:hint="default" w:ascii="Times New Roman" w:hAnsi="Times New Roman" w:cs="Times New Roman"/>
                <w:bCs/>
                <w:color w:val="auto"/>
                <w:szCs w:val="21"/>
                <w:u w:val="none" w:color="auto"/>
              </w:rPr>
              <w:t>企业应在项目建成投产前</w:t>
            </w:r>
            <w:r>
              <w:rPr>
                <w:rFonts w:hint="eastAsia" w:cs="Times New Roman"/>
                <w:bCs/>
                <w:color w:val="auto"/>
                <w:szCs w:val="21"/>
                <w:u w:val="none" w:color="auto"/>
                <w:lang w:val="en-US" w:eastAsia="zh-CN"/>
              </w:rPr>
              <w:t>对现有</w:t>
            </w:r>
            <w:r>
              <w:rPr>
                <w:rFonts w:hint="default" w:ascii="Times New Roman" w:hAnsi="Times New Roman" w:cs="Times New Roman"/>
                <w:bCs/>
                <w:color w:val="auto"/>
                <w:szCs w:val="21"/>
                <w:u w:val="none" w:color="auto"/>
              </w:rPr>
              <w:t>排污许可</w:t>
            </w:r>
            <w:r>
              <w:rPr>
                <w:rFonts w:hint="eastAsia" w:cs="Times New Roman"/>
                <w:bCs/>
                <w:color w:val="auto"/>
                <w:szCs w:val="21"/>
                <w:u w:val="none" w:color="auto"/>
                <w:lang w:val="en-US" w:eastAsia="zh-CN"/>
              </w:rPr>
              <w:t>进行重新申请</w:t>
            </w:r>
            <w:r>
              <w:rPr>
                <w:rFonts w:hint="default" w:ascii="Times New Roman" w:hAnsi="Times New Roman" w:cs="Times New Roman"/>
                <w:bCs/>
                <w:color w:val="auto"/>
                <w:szCs w:val="21"/>
                <w:u w:val="none" w:color="auto"/>
              </w:rPr>
              <w:t>。</w:t>
            </w:r>
          </w:p>
          <w:p w14:paraId="6039FD7A">
            <w:pPr>
              <w:keepNext w:val="0"/>
              <w:keepLines w:val="0"/>
              <w:pageBreakBefore w:val="0"/>
              <w:widowControl/>
              <w:tabs>
                <w:tab w:val="left" w:pos="331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color="auto"/>
                <w:lang w:eastAsia="zh-CN"/>
              </w:rPr>
            </w:pPr>
            <w:r>
              <w:rPr>
                <w:rFonts w:hint="default" w:ascii="Times New Roman" w:hAnsi="Times New Roman" w:cs="Times New Roman"/>
                <w:b w:val="0"/>
                <w:bCs w:val="0"/>
                <w:color w:val="auto"/>
                <w:sz w:val="24"/>
                <w:szCs w:val="24"/>
                <w:u w:val="none" w:color="auto"/>
                <w:lang w:val="en-US" w:eastAsia="zh-CN"/>
              </w:rPr>
              <w:t>2、</w:t>
            </w:r>
            <w:r>
              <w:rPr>
                <w:rFonts w:hint="default" w:ascii="Times New Roman" w:hAnsi="Times New Roman" w:cs="Times New Roman"/>
                <w:b w:val="0"/>
                <w:bCs w:val="0"/>
                <w:color w:val="auto"/>
                <w:sz w:val="24"/>
                <w:szCs w:val="24"/>
                <w:u w:val="none" w:color="auto"/>
              </w:rPr>
              <w:t>环境监测计划</w:t>
            </w:r>
          </w:p>
          <w:p w14:paraId="57D0B4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本项目运营期监测计划</w:t>
            </w:r>
            <w:r>
              <w:rPr>
                <w:rFonts w:hint="eastAsia" w:cs="Times New Roman"/>
                <w:color w:val="auto"/>
                <w:u w:val="single" w:color="auto"/>
                <w:lang w:val="en-US" w:eastAsia="zh-CN"/>
              </w:rPr>
              <w:t>详见表4.6-6、表4.7-14及表4.8-5</w:t>
            </w:r>
            <w:r>
              <w:rPr>
                <w:rFonts w:hint="default" w:ascii="Times New Roman" w:hAnsi="Times New Roman" w:cs="Times New Roman"/>
                <w:color w:val="auto"/>
                <w:u w:val="single" w:color="auto"/>
                <w:lang w:val="en-US" w:eastAsia="zh-CN"/>
              </w:rPr>
              <w:t>。</w:t>
            </w:r>
          </w:p>
          <w:p w14:paraId="3DB6837F">
            <w:pPr>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3、</w:t>
            </w:r>
            <w:r>
              <w:rPr>
                <w:rFonts w:hint="default" w:ascii="Times New Roman" w:hAnsi="Times New Roman" w:cs="Times New Roman"/>
                <w:color w:val="auto"/>
                <w:sz w:val="24"/>
                <w:szCs w:val="24"/>
                <w:u w:val="none" w:color="auto"/>
              </w:rPr>
              <w:t>排污口规范化</w:t>
            </w:r>
            <w:r>
              <w:rPr>
                <w:rFonts w:ascii="Times New Roman" w:hAnsi="Times New Roman" w:cs="Times New Roman"/>
                <w:color w:val="auto"/>
                <w:sz w:val="24"/>
                <w:szCs w:val="24"/>
                <w:u w:val="none" w:color="auto"/>
              </w:rPr>
              <w:t>管理</w:t>
            </w:r>
          </w:p>
          <w:p w14:paraId="481858A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sz w:val="24"/>
                <w:szCs w:val="24"/>
                <w:u w:val="none" w:color="auto"/>
                <w:lang w:val="en-US" w:eastAsia="zh-CN"/>
              </w:rPr>
            </w:pPr>
            <w:r>
              <w:rPr>
                <w:rFonts w:hint="eastAsia"/>
                <w:color w:val="auto"/>
                <w:sz w:val="24"/>
                <w:szCs w:val="24"/>
                <w:u w:val="none" w:color="auto"/>
                <w:lang w:eastAsia="zh-CN"/>
              </w:rPr>
              <w:t>（</w:t>
            </w:r>
            <w:r>
              <w:rPr>
                <w:rFonts w:hint="eastAsia"/>
                <w:color w:val="auto"/>
                <w:sz w:val="24"/>
                <w:szCs w:val="24"/>
                <w:u w:val="none" w:color="auto"/>
                <w:lang w:val="en-US" w:eastAsia="zh-CN"/>
              </w:rPr>
              <w:t>1</w:t>
            </w:r>
            <w:r>
              <w:rPr>
                <w:rFonts w:hint="eastAsia"/>
                <w:color w:val="auto"/>
                <w:sz w:val="24"/>
                <w:szCs w:val="24"/>
                <w:u w:val="none" w:color="auto"/>
                <w:lang w:eastAsia="zh-CN"/>
              </w:rPr>
              <w:t>）</w:t>
            </w:r>
            <w:r>
              <w:rPr>
                <w:rFonts w:hint="eastAsia"/>
                <w:color w:val="auto"/>
                <w:sz w:val="24"/>
                <w:szCs w:val="24"/>
                <w:u w:val="none" w:color="auto"/>
                <w:lang w:val="en-US" w:eastAsia="zh-CN"/>
              </w:rPr>
              <w:t>建设单位需要开设废气处理设施采样口（进气口、排气口），根据《固定污染源排气中颗粒物测定与气态污染物采样方法》（GB/T 16157-1996），采样口应优先选择在垂直管段，应避开烟道头和断面急剧变化的部位。采样位置应设置在距弯头、阀门、变径管下游方向不小于6倍直径，和距弯头、阀门、变径管上游方向不小于3倍直径处</w:t>
            </w:r>
            <w:r>
              <w:rPr>
                <w:rFonts w:hint="default" w:ascii="Times New Roman" w:hAnsi="Times New Roman" w:cs="Times New Roman"/>
                <w:color w:val="auto"/>
                <w:sz w:val="24"/>
                <w:szCs w:val="24"/>
                <w:u w:val="none" w:color="auto"/>
                <w:lang w:val="en-US" w:eastAsia="zh-CN"/>
              </w:rPr>
              <w:t>（待2027年1月1日实施《排污单位污染物排放口监测点位设置技术规范》</w:t>
            </w:r>
            <w:r>
              <w:rPr>
                <w:rFonts w:hint="default" w:ascii="Times New Roman" w:hAnsi="Times New Roman" w:cs="Times New Roman"/>
                <w:color w:val="auto"/>
                <w:sz w:val="24"/>
                <w:szCs w:val="24"/>
                <w:u w:val="none" w:color="auto"/>
                <w:lang w:val="en-US" w:eastAsia="zh-CN"/>
              </w:rPr>
              <w:fldChar w:fldCharType="begin"/>
            </w:r>
            <w:r>
              <w:rPr>
                <w:rFonts w:hint="default" w:ascii="Times New Roman" w:hAnsi="Times New Roman" w:cs="Times New Roman"/>
                <w:color w:val="auto"/>
                <w:sz w:val="24"/>
                <w:szCs w:val="24"/>
                <w:u w:val="none" w:color="auto"/>
                <w:lang w:val="en-US" w:eastAsia="zh-CN"/>
              </w:rPr>
              <w:instrText xml:space="preserve"> HYPERLINK "https://www.mee.gov.cn/ywgz/fgbz/bz/bzwb/jcffbz/202501/W020250126593804577890.pdf" </w:instrText>
            </w:r>
            <w:r>
              <w:rPr>
                <w:rFonts w:hint="default" w:ascii="Times New Roman" w:hAnsi="Times New Roman" w:cs="Times New Roman"/>
                <w:color w:val="auto"/>
                <w:sz w:val="24"/>
                <w:szCs w:val="24"/>
                <w:u w:val="none" w:color="auto"/>
                <w:lang w:val="en-US" w:eastAsia="zh-CN"/>
              </w:rPr>
              <w:fldChar w:fldCharType="separate"/>
            </w:r>
            <w:r>
              <w:rPr>
                <w:rFonts w:hint="default" w:ascii="Times New Roman" w:hAnsi="Times New Roman" w:cs="Times New Roman"/>
                <w:color w:val="auto"/>
                <w:sz w:val="24"/>
                <w:szCs w:val="24"/>
                <w:u w:val="none" w:color="auto"/>
                <w:lang w:val="en-US" w:eastAsia="zh-CN"/>
              </w:rPr>
              <w:t>（HJ 1405—2024）</w:t>
            </w:r>
            <w:r>
              <w:rPr>
                <w:rFonts w:hint="default" w:ascii="Times New Roman" w:hAnsi="Times New Roman" w:cs="Times New Roman"/>
                <w:color w:val="auto"/>
                <w:sz w:val="24"/>
                <w:szCs w:val="24"/>
                <w:u w:val="none" w:color="auto"/>
                <w:lang w:val="en-US" w:eastAsia="zh-CN"/>
              </w:rPr>
              <w:fldChar w:fldCharType="end"/>
            </w:r>
            <w:r>
              <w:rPr>
                <w:rFonts w:hint="default" w:ascii="Times New Roman" w:hAnsi="Times New Roman" w:cs="Times New Roman"/>
                <w:color w:val="auto"/>
                <w:sz w:val="24"/>
                <w:szCs w:val="24"/>
                <w:u w:val="none" w:color="auto"/>
                <w:lang w:val="en-US" w:eastAsia="zh-CN"/>
              </w:rPr>
              <w:t>后，从其规定）</w:t>
            </w:r>
            <w:r>
              <w:rPr>
                <w:rFonts w:hint="eastAsia"/>
                <w:color w:val="auto"/>
                <w:sz w:val="24"/>
                <w:szCs w:val="24"/>
                <w:u w:val="none" w:color="auto"/>
                <w:lang w:val="en-US" w:eastAsia="zh-CN"/>
              </w:rPr>
              <w:t>。</w:t>
            </w:r>
          </w:p>
          <w:p w14:paraId="0DE7C7B0">
            <w:pPr>
              <w:rPr>
                <w:rFonts w:hint="eastAsia" w:ascii="Times New Roman" w:hAnsi="Times New Roman" w:eastAsia="宋体" w:cs="Times New Roman"/>
                <w:color w:val="auto"/>
                <w:sz w:val="24"/>
                <w:szCs w:val="24"/>
                <w:u w:val="none" w:color="auto"/>
                <w:lang w:eastAsia="zh-CN"/>
              </w:rPr>
            </w:pPr>
            <w:r>
              <w:rPr>
                <w:rFonts w:hint="eastAsia"/>
                <w:color w:val="auto"/>
                <w:sz w:val="24"/>
                <w:szCs w:val="24"/>
                <w:u w:val="none" w:color="auto"/>
                <w:lang w:eastAsia="zh-CN"/>
              </w:rPr>
              <w:t>（</w:t>
            </w:r>
            <w:r>
              <w:rPr>
                <w:rFonts w:hint="eastAsia"/>
                <w:color w:val="auto"/>
                <w:sz w:val="24"/>
                <w:szCs w:val="24"/>
                <w:u w:val="none" w:color="auto"/>
                <w:lang w:val="en-US" w:eastAsia="zh-CN"/>
              </w:rPr>
              <w:t>2</w:t>
            </w:r>
            <w:r>
              <w:rPr>
                <w:rFonts w:hint="eastAsia"/>
                <w:color w:val="auto"/>
                <w:sz w:val="24"/>
                <w:szCs w:val="24"/>
                <w:u w:val="none" w:color="auto"/>
                <w:lang w:eastAsia="zh-CN"/>
              </w:rPr>
              <w:t>）</w:t>
            </w:r>
            <w:r>
              <w:rPr>
                <w:color w:val="auto"/>
                <w:sz w:val="24"/>
                <w:szCs w:val="24"/>
                <w:u w:val="none" w:color="auto"/>
              </w:rPr>
              <w:t>建设单位应如实填写《中华人民共和国规范化排污口标志登记证》的有关内容，由环保主管部门签发登记证。建设单位应把排污口情况如排污口的性质、编号、排污口的位置以及主要排放的污染物的各类、数量、浓度、排放规律、排放去向以及污染治理实施的运行情况建档管理，并报送环保主管部门备案。建设单位应该在排放口处设立或挂上标志牌，标志牌应注明污染物名称以警示周围群众，执行《环境图形标准排污口（源）》（</w:t>
            </w:r>
            <w:r>
              <w:rPr>
                <w:rFonts w:hint="eastAsia" w:ascii="Times New Roman" w:hAnsi="Times New Roman" w:eastAsia="宋体" w:cs="Times New Roman"/>
                <w:color w:val="auto"/>
                <w:sz w:val="24"/>
                <w:szCs w:val="24"/>
                <w:u w:val="none" w:color="auto"/>
              </w:rPr>
              <w:t>GB</w:t>
            </w:r>
            <w:r>
              <w:rPr>
                <w:rFonts w:hint="eastAsia" w:cs="Times New Roman"/>
                <w:color w:val="auto"/>
                <w:sz w:val="24"/>
                <w:szCs w:val="24"/>
                <w:u w:val="none" w:color="auto"/>
                <w:lang w:val="en-US" w:eastAsia="zh-CN"/>
              </w:rPr>
              <w:t xml:space="preserve"> </w:t>
            </w:r>
            <w:r>
              <w:rPr>
                <w:rFonts w:hint="eastAsia" w:ascii="Times New Roman" w:hAnsi="Times New Roman" w:eastAsia="宋体" w:cs="Times New Roman"/>
                <w:color w:val="auto"/>
                <w:sz w:val="24"/>
                <w:szCs w:val="24"/>
                <w:u w:val="none" w:color="auto"/>
              </w:rPr>
              <w:t>1556</w:t>
            </w:r>
            <w:r>
              <w:rPr>
                <w:rFonts w:hint="eastAsia" w:cs="Times New Roman"/>
                <w:color w:val="auto"/>
                <w:sz w:val="24"/>
                <w:szCs w:val="24"/>
                <w:u w:val="none" w:color="auto"/>
                <w:lang w:eastAsia="zh-CN"/>
              </w:rPr>
              <w:t>2</w:t>
            </w:r>
            <w:r>
              <w:rPr>
                <w:rFonts w:hint="eastAsia" w:cs="Times New Roman"/>
                <w:color w:val="auto"/>
                <w:sz w:val="24"/>
                <w:szCs w:val="24"/>
                <w:u w:val="none" w:color="auto"/>
                <w:lang w:val="en-US" w:eastAsia="zh-CN"/>
              </w:rPr>
              <w:t>.1</w:t>
            </w:r>
            <w:r>
              <w:rPr>
                <w:rFonts w:hint="eastAsia" w:ascii="Times New Roman" w:hAnsi="Times New Roman" w:eastAsia="宋体" w:cs="Times New Roman"/>
                <w:color w:val="auto"/>
                <w:sz w:val="24"/>
                <w:szCs w:val="24"/>
                <w:u w:val="none" w:color="auto"/>
              </w:rPr>
              <w:t>-1995），</w:t>
            </w:r>
            <w:r>
              <w:rPr>
                <w:color w:val="auto"/>
                <w:sz w:val="24"/>
                <w:szCs w:val="24"/>
                <w:u w:val="none" w:color="auto"/>
              </w:rPr>
              <w:t>详见下表</w:t>
            </w:r>
            <w:r>
              <w:rPr>
                <w:rFonts w:hint="eastAsia" w:cs="Times New Roman"/>
                <w:color w:val="auto"/>
                <w:sz w:val="24"/>
                <w:szCs w:val="24"/>
                <w:u w:val="none" w:color="auto"/>
                <w:lang w:eastAsia="zh-CN"/>
              </w:rPr>
              <w:t>。</w:t>
            </w:r>
          </w:p>
          <w:p w14:paraId="0B7542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表5-</w:t>
            </w:r>
            <w:r>
              <w:rPr>
                <w:rFonts w:hint="eastAsia" w:cs="Times New Roman"/>
                <w:color w:val="auto"/>
                <w:sz w:val="24"/>
                <w:szCs w:val="24"/>
                <w:u w:val="none" w:color="auto"/>
                <w:lang w:val="en-US" w:eastAsia="zh-CN"/>
              </w:rPr>
              <w:t>1</w:t>
            </w:r>
            <w:r>
              <w:rPr>
                <w:rFonts w:hint="default" w:ascii="Times New Roman" w:hAnsi="Times New Roman" w:cs="Times New Roman"/>
                <w:color w:val="auto"/>
                <w:sz w:val="24"/>
                <w:szCs w:val="24"/>
                <w:u w:val="none" w:color="auto"/>
                <w:lang w:val="en-US" w:eastAsia="zh-CN"/>
              </w:rPr>
              <w:t xml:space="preserve"> 各排污口（源）标识牌设置一览表</w:t>
            </w:r>
          </w:p>
          <w:tbl>
            <w:tblPr>
              <w:tblStyle w:val="22"/>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24"/>
              <w:gridCol w:w="1417"/>
              <w:gridCol w:w="1511"/>
              <w:gridCol w:w="1476"/>
              <w:gridCol w:w="1476"/>
              <w:gridCol w:w="1386"/>
            </w:tblGrid>
            <w:tr w14:paraId="1AC690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trPr>
              <w:tc>
                <w:tcPr>
                  <w:tcW w:w="509" w:type="pct"/>
                  <w:tcBorders>
                    <w:tl2br w:val="nil"/>
                    <w:tr2bl w:val="nil"/>
                  </w:tcBorders>
                  <w:noWrap w:val="0"/>
                  <w:vAlign w:val="center"/>
                </w:tcPr>
                <w:p w14:paraId="5BE2FEA2">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项目</w:t>
                  </w:r>
                </w:p>
              </w:tc>
              <w:tc>
                <w:tcPr>
                  <w:tcW w:w="875" w:type="pct"/>
                  <w:tcBorders>
                    <w:tl2br w:val="nil"/>
                    <w:tr2bl w:val="nil"/>
                  </w:tcBorders>
                  <w:noWrap w:val="0"/>
                  <w:vAlign w:val="center"/>
                </w:tcPr>
                <w:p w14:paraId="734BD730">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污水排放口</w:t>
                  </w:r>
                </w:p>
              </w:tc>
              <w:tc>
                <w:tcPr>
                  <w:tcW w:w="933" w:type="pct"/>
                  <w:tcBorders>
                    <w:tl2br w:val="nil"/>
                    <w:tr2bl w:val="nil"/>
                  </w:tcBorders>
                  <w:noWrap w:val="0"/>
                  <w:vAlign w:val="center"/>
                </w:tcPr>
                <w:p w14:paraId="76480318">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噪声排放源</w:t>
                  </w:r>
                </w:p>
              </w:tc>
              <w:tc>
                <w:tcPr>
                  <w:tcW w:w="912" w:type="pct"/>
                  <w:tcBorders>
                    <w:tl2br w:val="nil"/>
                    <w:tr2bl w:val="nil"/>
                  </w:tcBorders>
                  <w:noWrap w:val="0"/>
                  <w:vAlign w:val="center"/>
                </w:tcPr>
                <w:p w14:paraId="06EC86D3">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废气排放口</w:t>
                  </w:r>
                </w:p>
              </w:tc>
              <w:tc>
                <w:tcPr>
                  <w:tcW w:w="912" w:type="pct"/>
                  <w:tcBorders>
                    <w:tl2br w:val="nil"/>
                    <w:tr2bl w:val="nil"/>
                  </w:tcBorders>
                  <w:noWrap w:val="0"/>
                  <w:vAlign w:val="center"/>
                </w:tcPr>
                <w:p w14:paraId="5F4BFAF4">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一般固体废物堆场</w:t>
                  </w:r>
                </w:p>
              </w:tc>
              <w:tc>
                <w:tcPr>
                  <w:tcW w:w="857" w:type="pct"/>
                  <w:tcBorders>
                    <w:tl2br w:val="nil"/>
                    <w:tr2bl w:val="nil"/>
                  </w:tcBorders>
                  <w:noWrap w:val="0"/>
                  <w:vAlign w:val="center"/>
                </w:tcPr>
                <w:p w14:paraId="10D7D4AE">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cs="Times New Roman"/>
                      <w:b w:val="0"/>
                      <w:bCs w:val="0"/>
                      <w:color w:val="auto"/>
                      <w:sz w:val="21"/>
                      <w:szCs w:val="21"/>
                      <w:u w:val="single" w:color="auto"/>
                      <w:lang w:val="en-US" w:eastAsia="zh-CN"/>
                    </w:rPr>
                    <w:t>危险废物暂存间门口</w:t>
                  </w:r>
                </w:p>
              </w:tc>
            </w:tr>
            <w:tr w14:paraId="1E828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5" w:hRule="atLeast"/>
              </w:trPr>
              <w:tc>
                <w:tcPr>
                  <w:tcW w:w="509" w:type="pct"/>
                  <w:tcBorders>
                    <w:tl2br w:val="nil"/>
                    <w:tr2bl w:val="nil"/>
                  </w:tcBorders>
                  <w:noWrap w:val="0"/>
                  <w:vAlign w:val="center"/>
                </w:tcPr>
                <w:p w14:paraId="777A82EF">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图形</w:t>
                  </w:r>
                </w:p>
                <w:p w14:paraId="1CFD66C2">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符号</w:t>
                  </w:r>
                </w:p>
              </w:tc>
              <w:tc>
                <w:tcPr>
                  <w:tcW w:w="875" w:type="pct"/>
                  <w:tcBorders>
                    <w:tl2br w:val="nil"/>
                    <w:tr2bl w:val="nil"/>
                  </w:tcBorders>
                  <w:noWrap w:val="0"/>
                  <w:vAlign w:val="center"/>
                </w:tcPr>
                <w:p w14:paraId="5DA870C8">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drawing>
                      <wp:inline distT="0" distB="0" distL="114300" distR="114300">
                        <wp:extent cx="756920" cy="720090"/>
                        <wp:effectExtent l="0" t="0" r="5080" b="3810"/>
                        <wp:docPr id="57" name="图片 10" descr="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水"/>
                                <pic:cNvPicPr>
                                  <a:picLocks noChangeAspect="1"/>
                                </pic:cNvPicPr>
                              </pic:nvPicPr>
                              <pic:blipFill>
                                <a:blip r:embed="rId36"/>
                                <a:stretch>
                                  <a:fillRect/>
                                </a:stretch>
                              </pic:blipFill>
                              <pic:spPr>
                                <a:xfrm>
                                  <a:off x="0" y="0"/>
                                  <a:ext cx="756920" cy="720090"/>
                                </a:xfrm>
                                <a:prstGeom prst="rect">
                                  <a:avLst/>
                                </a:prstGeom>
                                <a:noFill/>
                                <a:ln>
                                  <a:noFill/>
                                </a:ln>
                              </pic:spPr>
                            </pic:pic>
                          </a:graphicData>
                        </a:graphic>
                      </wp:inline>
                    </w:drawing>
                  </w:r>
                </w:p>
              </w:tc>
              <w:tc>
                <w:tcPr>
                  <w:tcW w:w="933" w:type="pct"/>
                  <w:tcBorders>
                    <w:tl2br w:val="nil"/>
                    <w:tr2bl w:val="nil"/>
                  </w:tcBorders>
                  <w:noWrap w:val="0"/>
                  <w:vAlign w:val="center"/>
                </w:tcPr>
                <w:p w14:paraId="26B7DD73">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drawing>
                      <wp:inline distT="0" distB="0" distL="114300" distR="114300">
                        <wp:extent cx="766445" cy="702945"/>
                        <wp:effectExtent l="0" t="0" r="14605" b="1905"/>
                        <wp:docPr id="59" name="图片 11" descr="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声"/>
                                <pic:cNvPicPr>
                                  <a:picLocks noChangeAspect="1"/>
                                </pic:cNvPicPr>
                              </pic:nvPicPr>
                              <pic:blipFill>
                                <a:blip r:embed="rId37"/>
                                <a:stretch>
                                  <a:fillRect/>
                                </a:stretch>
                              </pic:blipFill>
                              <pic:spPr>
                                <a:xfrm>
                                  <a:off x="0" y="0"/>
                                  <a:ext cx="766445" cy="702945"/>
                                </a:xfrm>
                                <a:prstGeom prst="rect">
                                  <a:avLst/>
                                </a:prstGeom>
                                <a:noFill/>
                                <a:ln>
                                  <a:noFill/>
                                </a:ln>
                              </pic:spPr>
                            </pic:pic>
                          </a:graphicData>
                        </a:graphic>
                      </wp:inline>
                    </w:drawing>
                  </w:r>
                </w:p>
              </w:tc>
              <w:tc>
                <w:tcPr>
                  <w:tcW w:w="912" w:type="pct"/>
                  <w:tcBorders>
                    <w:tl2br w:val="nil"/>
                    <w:tr2bl w:val="nil"/>
                  </w:tcBorders>
                  <w:noWrap w:val="0"/>
                  <w:vAlign w:val="center"/>
                </w:tcPr>
                <w:p w14:paraId="0FF82050">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drawing>
                      <wp:inline distT="0" distB="0" distL="114300" distR="114300">
                        <wp:extent cx="791210" cy="647700"/>
                        <wp:effectExtent l="0" t="0" r="8890" b="0"/>
                        <wp:docPr id="65" name="图片 12" descr="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descr="气"/>
                                <pic:cNvPicPr>
                                  <a:picLocks noChangeAspect="1"/>
                                </pic:cNvPicPr>
                              </pic:nvPicPr>
                              <pic:blipFill>
                                <a:blip r:embed="rId38"/>
                                <a:stretch>
                                  <a:fillRect/>
                                </a:stretch>
                              </pic:blipFill>
                              <pic:spPr>
                                <a:xfrm>
                                  <a:off x="0" y="0"/>
                                  <a:ext cx="791210" cy="647700"/>
                                </a:xfrm>
                                <a:prstGeom prst="rect">
                                  <a:avLst/>
                                </a:prstGeom>
                                <a:noFill/>
                                <a:ln>
                                  <a:noFill/>
                                </a:ln>
                              </pic:spPr>
                            </pic:pic>
                          </a:graphicData>
                        </a:graphic>
                      </wp:inline>
                    </w:drawing>
                  </w:r>
                </w:p>
              </w:tc>
              <w:tc>
                <w:tcPr>
                  <w:tcW w:w="912" w:type="pct"/>
                  <w:tcBorders>
                    <w:tl2br w:val="nil"/>
                    <w:tr2bl w:val="nil"/>
                  </w:tcBorders>
                  <w:noWrap w:val="0"/>
                  <w:vAlign w:val="center"/>
                </w:tcPr>
                <w:p w14:paraId="60387397">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drawing>
                      <wp:inline distT="0" distB="0" distL="114300" distR="114300">
                        <wp:extent cx="783590" cy="703580"/>
                        <wp:effectExtent l="0" t="0" r="16510" b="1270"/>
                        <wp:docPr id="66" name="图片 13"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一般固废"/>
                                <pic:cNvPicPr>
                                  <a:picLocks noChangeAspect="1"/>
                                </pic:cNvPicPr>
                              </pic:nvPicPr>
                              <pic:blipFill>
                                <a:blip r:embed="rId39"/>
                                <a:stretch>
                                  <a:fillRect/>
                                </a:stretch>
                              </pic:blipFill>
                              <pic:spPr>
                                <a:xfrm>
                                  <a:off x="0" y="0"/>
                                  <a:ext cx="783590" cy="703580"/>
                                </a:xfrm>
                                <a:prstGeom prst="rect">
                                  <a:avLst/>
                                </a:prstGeom>
                                <a:noFill/>
                                <a:ln>
                                  <a:noFill/>
                                </a:ln>
                              </pic:spPr>
                            </pic:pic>
                          </a:graphicData>
                        </a:graphic>
                      </wp:inline>
                    </w:drawing>
                  </w:r>
                </w:p>
              </w:tc>
              <w:tc>
                <w:tcPr>
                  <w:tcW w:w="857" w:type="pct"/>
                  <w:tcBorders>
                    <w:tl2br w:val="nil"/>
                    <w:tr2bl w:val="nil"/>
                  </w:tcBorders>
                  <w:noWrap w:val="0"/>
                  <w:vAlign w:val="center"/>
                </w:tcPr>
                <w:p w14:paraId="1B92891C">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ascii="Times New Roman" w:hAnsi="Times New Roman" w:cs="Times New Roman"/>
                      <w:color w:val="auto"/>
                      <w:u w:val="single" w:color="auto"/>
                    </w:rPr>
                    <w:drawing>
                      <wp:inline distT="0" distB="0" distL="114300" distR="114300">
                        <wp:extent cx="669290" cy="768350"/>
                        <wp:effectExtent l="0" t="0" r="16510" b="1270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40"/>
                                <a:stretch>
                                  <a:fillRect/>
                                </a:stretch>
                              </pic:blipFill>
                              <pic:spPr>
                                <a:xfrm>
                                  <a:off x="0" y="0"/>
                                  <a:ext cx="669290" cy="768350"/>
                                </a:xfrm>
                                <a:prstGeom prst="rect">
                                  <a:avLst/>
                                </a:prstGeom>
                                <a:noFill/>
                                <a:ln>
                                  <a:noFill/>
                                </a:ln>
                              </pic:spPr>
                            </pic:pic>
                          </a:graphicData>
                        </a:graphic>
                      </wp:inline>
                    </w:drawing>
                  </w:r>
                </w:p>
              </w:tc>
            </w:tr>
            <w:tr w14:paraId="339C5C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7" w:hRule="atLeast"/>
              </w:trPr>
              <w:tc>
                <w:tcPr>
                  <w:tcW w:w="509" w:type="pct"/>
                  <w:tcBorders>
                    <w:tl2br w:val="nil"/>
                    <w:tr2bl w:val="nil"/>
                  </w:tcBorders>
                  <w:noWrap w:val="0"/>
                  <w:vAlign w:val="center"/>
                </w:tcPr>
                <w:p w14:paraId="184B3450">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形状</w:t>
                  </w:r>
                </w:p>
              </w:tc>
              <w:tc>
                <w:tcPr>
                  <w:tcW w:w="875" w:type="pct"/>
                  <w:tcBorders>
                    <w:tl2br w:val="nil"/>
                    <w:tr2bl w:val="nil"/>
                  </w:tcBorders>
                  <w:noWrap w:val="0"/>
                  <w:vAlign w:val="center"/>
                </w:tcPr>
                <w:p w14:paraId="29398B1D">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正方形边框</w:t>
                  </w:r>
                </w:p>
              </w:tc>
              <w:tc>
                <w:tcPr>
                  <w:tcW w:w="933" w:type="pct"/>
                  <w:tcBorders>
                    <w:tl2br w:val="nil"/>
                    <w:tr2bl w:val="nil"/>
                  </w:tcBorders>
                  <w:noWrap w:val="0"/>
                  <w:vAlign w:val="center"/>
                </w:tcPr>
                <w:p w14:paraId="47665E99">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正方形边框</w:t>
                  </w:r>
                </w:p>
              </w:tc>
              <w:tc>
                <w:tcPr>
                  <w:tcW w:w="912" w:type="pct"/>
                  <w:tcBorders>
                    <w:tl2br w:val="nil"/>
                    <w:tr2bl w:val="nil"/>
                  </w:tcBorders>
                  <w:noWrap w:val="0"/>
                  <w:vAlign w:val="center"/>
                </w:tcPr>
                <w:p w14:paraId="2EE4A1D2">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正方形边框</w:t>
                  </w:r>
                </w:p>
              </w:tc>
              <w:tc>
                <w:tcPr>
                  <w:tcW w:w="912" w:type="pct"/>
                  <w:tcBorders>
                    <w:tl2br w:val="nil"/>
                    <w:tr2bl w:val="nil"/>
                  </w:tcBorders>
                  <w:noWrap w:val="0"/>
                  <w:vAlign w:val="center"/>
                </w:tcPr>
                <w:p w14:paraId="72C59B2E">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三角形边框</w:t>
                  </w:r>
                </w:p>
              </w:tc>
              <w:tc>
                <w:tcPr>
                  <w:tcW w:w="857" w:type="pct"/>
                  <w:tcBorders>
                    <w:tl2br w:val="nil"/>
                    <w:tr2bl w:val="nil"/>
                  </w:tcBorders>
                  <w:noWrap w:val="0"/>
                  <w:vAlign w:val="center"/>
                </w:tcPr>
                <w:p w14:paraId="1454CAC6">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三角形边框</w:t>
                  </w:r>
                </w:p>
              </w:tc>
            </w:tr>
            <w:tr w14:paraId="466A59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1" w:hRule="atLeast"/>
              </w:trPr>
              <w:tc>
                <w:tcPr>
                  <w:tcW w:w="509" w:type="pct"/>
                  <w:tcBorders>
                    <w:tl2br w:val="nil"/>
                    <w:tr2bl w:val="nil"/>
                  </w:tcBorders>
                  <w:noWrap w:val="0"/>
                  <w:vAlign w:val="center"/>
                </w:tcPr>
                <w:p w14:paraId="773583D3">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背景颜色</w:t>
                  </w:r>
                </w:p>
              </w:tc>
              <w:tc>
                <w:tcPr>
                  <w:tcW w:w="875" w:type="pct"/>
                  <w:tcBorders>
                    <w:tl2br w:val="nil"/>
                    <w:tr2bl w:val="nil"/>
                  </w:tcBorders>
                  <w:noWrap w:val="0"/>
                  <w:vAlign w:val="center"/>
                </w:tcPr>
                <w:p w14:paraId="0570BAF7">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绿色</w:t>
                  </w:r>
                </w:p>
              </w:tc>
              <w:tc>
                <w:tcPr>
                  <w:tcW w:w="933" w:type="pct"/>
                  <w:tcBorders>
                    <w:tl2br w:val="nil"/>
                    <w:tr2bl w:val="nil"/>
                  </w:tcBorders>
                  <w:noWrap w:val="0"/>
                  <w:vAlign w:val="center"/>
                </w:tcPr>
                <w:p w14:paraId="15B41F32">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绿色</w:t>
                  </w:r>
                </w:p>
              </w:tc>
              <w:tc>
                <w:tcPr>
                  <w:tcW w:w="912" w:type="pct"/>
                  <w:tcBorders>
                    <w:tl2br w:val="nil"/>
                    <w:tr2bl w:val="nil"/>
                  </w:tcBorders>
                  <w:noWrap w:val="0"/>
                  <w:vAlign w:val="center"/>
                </w:tcPr>
                <w:p w14:paraId="6DFFD7A5">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绿色</w:t>
                  </w:r>
                </w:p>
              </w:tc>
              <w:tc>
                <w:tcPr>
                  <w:tcW w:w="912" w:type="pct"/>
                  <w:tcBorders>
                    <w:tl2br w:val="nil"/>
                    <w:tr2bl w:val="nil"/>
                  </w:tcBorders>
                  <w:noWrap w:val="0"/>
                  <w:vAlign w:val="center"/>
                </w:tcPr>
                <w:p w14:paraId="4A236363">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黄色</w:t>
                  </w:r>
                </w:p>
              </w:tc>
              <w:tc>
                <w:tcPr>
                  <w:tcW w:w="857" w:type="pct"/>
                  <w:tcBorders>
                    <w:tl2br w:val="nil"/>
                    <w:tr2bl w:val="nil"/>
                  </w:tcBorders>
                  <w:noWrap w:val="0"/>
                  <w:vAlign w:val="center"/>
                </w:tcPr>
                <w:p w14:paraId="6A3435ED">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黄色</w:t>
                  </w:r>
                </w:p>
              </w:tc>
            </w:tr>
            <w:tr w14:paraId="54D25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509" w:type="pct"/>
                  <w:tcBorders>
                    <w:tl2br w:val="nil"/>
                    <w:tr2bl w:val="nil"/>
                  </w:tcBorders>
                  <w:noWrap w:val="0"/>
                  <w:vAlign w:val="center"/>
                </w:tcPr>
                <w:p w14:paraId="10773FD2">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图形颜色</w:t>
                  </w:r>
                </w:p>
              </w:tc>
              <w:tc>
                <w:tcPr>
                  <w:tcW w:w="875" w:type="pct"/>
                  <w:tcBorders>
                    <w:tl2br w:val="nil"/>
                    <w:tr2bl w:val="nil"/>
                  </w:tcBorders>
                  <w:noWrap w:val="0"/>
                  <w:vAlign w:val="center"/>
                </w:tcPr>
                <w:p w14:paraId="0A8885D4">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白色</w:t>
                  </w:r>
                </w:p>
              </w:tc>
              <w:tc>
                <w:tcPr>
                  <w:tcW w:w="933" w:type="pct"/>
                  <w:tcBorders>
                    <w:tl2br w:val="nil"/>
                    <w:tr2bl w:val="nil"/>
                  </w:tcBorders>
                  <w:noWrap w:val="0"/>
                  <w:vAlign w:val="center"/>
                </w:tcPr>
                <w:p w14:paraId="50C55B0D">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白色</w:t>
                  </w:r>
                </w:p>
              </w:tc>
              <w:tc>
                <w:tcPr>
                  <w:tcW w:w="912" w:type="pct"/>
                  <w:tcBorders>
                    <w:tl2br w:val="nil"/>
                    <w:tr2bl w:val="nil"/>
                  </w:tcBorders>
                  <w:noWrap w:val="0"/>
                  <w:vAlign w:val="center"/>
                </w:tcPr>
                <w:p w14:paraId="3442B747">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白色</w:t>
                  </w:r>
                </w:p>
              </w:tc>
              <w:tc>
                <w:tcPr>
                  <w:tcW w:w="912" w:type="pct"/>
                  <w:tcBorders>
                    <w:tl2br w:val="nil"/>
                    <w:tr2bl w:val="nil"/>
                  </w:tcBorders>
                  <w:noWrap w:val="0"/>
                  <w:vAlign w:val="center"/>
                </w:tcPr>
                <w:p w14:paraId="73A81F05">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黑色</w:t>
                  </w:r>
                </w:p>
              </w:tc>
              <w:tc>
                <w:tcPr>
                  <w:tcW w:w="857" w:type="pct"/>
                  <w:tcBorders>
                    <w:tl2br w:val="nil"/>
                    <w:tr2bl w:val="nil"/>
                  </w:tcBorders>
                  <w:noWrap w:val="0"/>
                  <w:vAlign w:val="center"/>
                </w:tcPr>
                <w:p w14:paraId="693EEF77">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黑色</w:t>
                  </w:r>
                </w:p>
              </w:tc>
            </w:tr>
          </w:tbl>
          <w:p w14:paraId="09332FCF">
            <w:pPr>
              <w:keepNext w:val="0"/>
              <w:keepLines w:val="0"/>
              <w:pageBreakBefore w:val="0"/>
              <w:widowControl w:val="0"/>
              <w:numPr>
                <w:ilvl w:val="0"/>
                <w:numId w:val="0"/>
              </w:numPr>
              <w:kinsoku/>
              <w:wordWrap/>
              <w:overflowPunct/>
              <w:topLinePunct w:val="0"/>
              <w:autoSpaceDE/>
              <w:autoSpaceDN/>
              <w:bidi w:val="0"/>
              <w:ind w:left="480" w:leftChars="0"/>
              <w:textAlignment w:val="auto"/>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4、竣工验收</w:t>
            </w:r>
          </w:p>
          <w:p w14:paraId="4532598B">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建设项目竣工环境保护验收暂行办法》（国环规环评[2017]4号），建设单位自行验收。项目环保竣工验收由建设单位自行组织进行验收，企业加强项目环境管理，使项目的环境保护工作落到实处。项目竣工验收内容见下表。</w:t>
            </w:r>
          </w:p>
          <w:p w14:paraId="569DB324">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表5-</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 xml:space="preserve"> 项目竣工验收一览表</w:t>
            </w:r>
          </w:p>
          <w:tbl>
            <w:tblPr>
              <w:tblStyle w:val="23"/>
              <w:tblW w:w="811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02"/>
              <w:gridCol w:w="1351"/>
              <w:gridCol w:w="2550"/>
              <w:gridCol w:w="2710"/>
            </w:tblGrid>
            <w:tr w14:paraId="7110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6A9B6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项目</w:t>
                  </w:r>
                </w:p>
              </w:tc>
              <w:tc>
                <w:tcPr>
                  <w:tcW w:w="2153" w:type="dxa"/>
                  <w:gridSpan w:val="2"/>
                  <w:vAlign w:val="center"/>
                </w:tcPr>
                <w:p w14:paraId="798CAB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类别</w:t>
                  </w:r>
                </w:p>
              </w:tc>
              <w:tc>
                <w:tcPr>
                  <w:tcW w:w="2550" w:type="dxa"/>
                  <w:vAlign w:val="center"/>
                </w:tcPr>
                <w:p w14:paraId="21B1C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环境保护措施及检查内容</w:t>
                  </w:r>
                </w:p>
              </w:tc>
              <w:tc>
                <w:tcPr>
                  <w:tcW w:w="2710" w:type="dxa"/>
                  <w:vAlign w:val="center"/>
                </w:tcPr>
                <w:p w14:paraId="0CB65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效果及标准</w:t>
                  </w:r>
                </w:p>
              </w:tc>
            </w:tr>
            <w:tr w14:paraId="5036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00" w:type="dxa"/>
                  <w:vMerge w:val="restart"/>
                  <w:vAlign w:val="center"/>
                </w:tcPr>
                <w:p w14:paraId="0843A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废气治理</w:t>
                  </w:r>
                </w:p>
              </w:tc>
              <w:tc>
                <w:tcPr>
                  <w:tcW w:w="802" w:type="dxa"/>
                  <w:vMerge w:val="restart"/>
                  <w:vAlign w:val="center"/>
                </w:tcPr>
                <w:p w14:paraId="09B88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无组织</w:t>
                  </w:r>
                </w:p>
              </w:tc>
              <w:tc>
                <w:tcPr>
                  <w:tcW w:w="1351" w:type="dxa"/>
                  <w:vAlign w:val="center"/>
                </w:tcPr>
                <w:p w14:paraId="13FE15E5">
                  <w:pPr>
                    <w:keepNext w:val="0"/>
                    <w:keepLines w:val="0"/>
                    <w:pageBreakBefore w:val="0"/>
                    <w:widowControl w:val="0"/>
                    <w:kinsoku/>
                    <w:wordWrap/>
                    <w:overflowPunct/>
                    <w:topLinePunct w:val="0"/>
                    <w:autoSpaceDE/>
                    <w:autoSpaceDN/>
                    <w:bidi w:val="0"/>
                    <w:adjustRightInd/>
                    <w:snapToGrid/>
                    <w:spacing w:beforeLines="-2147483648" w:afterLines="-2147483648"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臭气浓度</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厂界）</w:t>
                  </w:r>
                </w:p>
              </w:tc>
              <w:tc>
                <w:tcPr>
                  <w:tcW w:w="2550" w:type="dxa"/>
                  <w:vMerge w:val="restart"/>
                  <w:vAlign w:val="center"/>
                </w:tcPr>
                <w:p w14:paraId="52FD3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喷洒除臭剂+通风</w:t>
                  </w:r>
                </w:p>
              </w:tc>
              <w:tc>
                <w:tcPr>
                  <w:tcW w:w="2710" w:type="dxa"/>
                  <w:vMerge w:val="restart"/>
                  <w:vAlign w:val="center"/>
                </w:tcPr>
                <w:p w14:paraId="7509645E">
                  <w:pPr>
                    <w:keepNext w:val="0"/>
                    <w:keepLines w:val="0"/>
                    <w:pageBreakBefore w:val="0"/>
                    <w:widowControl w:val="0"/>
                    <w:kinsoku/>
                    <w:wordWrap/>
                    <w:overflowPunct/>
                    <w:topLinePunct w:val="0"/>
                    <w:autoSpaceDE/>
                    <w:autoSpaceDN/>
                    <w:bidi w:val="0"/>
                    <w:adjustRightInd/>
                    <w:snapToGrid/>
                    <w:spacing w:beforeLines="-2147483648" w:afterLines="-2147483648"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2"/>
                      <w:sz w:val="21"/>
                      <w:szCs w:val="21"/>
                      <w:u w:val="none" w:color="auto"/>
                      <w:vertAlign w:val="baseline"/>
                      <w:lang w:val="en-US" w:eastAsia="zh-CN" w:bidi="ar-SA"/>
                    </w:rPr>
                    <w:t>《恶臭污染物排放标准》（GB14554-93）表1恶臭污染物厂界标准值</w:t>
                  </w:r>
                </w:p>
              </w:tc>
            </w:tr>
            <w:tr w14:paraId="7174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00" w:type="dxa"/>
                  <w:vMerge w:val="continue"/>
                  <w:vAlign w:val="center"/>
                </w:tcPr>
                <w:p w14:paraId="11D01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802" w:type="dxa"/>
                  <w:vMerge w:val="continue"/>
                  <w:vAlign w:val="center"/>
                </w:tcPr>
                <w:p w14:paraId="39FBB7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351" w:type="dxa"/>
                  <w:vAlign w:val="center"/>
                </w:tcPr>
                <w:p w14:paraId="5C3860CA">
                  <w:pPr>
                    <w:keepNext w:val="0"/>
                    <w:keepLines w:val="0"/>
                    <w:pageBreakBefore w:val="0"/>
                    <w:widowControl w:val="0"/>
                    <w:kinsoku/>
                    <w:wordWrap/>
                    <w:overflowPunct/>
                    <w:topLinePunct w:val="0"/>
                    <w:autoSpaceDE/>
                    <w:autoSpaceDN/>
                    <w:bidi w:val="0"/>
                    <w:adjustRightInd/>
                    <w:snapToGrid/>
                    <w:spacing w:beforeLines="-2147483648" w:afterLines="-2147483648"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硫化氢</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厂界）</w:t>
                  </w:r>
                </w:p>
              </w:tc>
              <w:tc>
                <w:tcPr>
                  <w:tcW w:w="2550" w:type="dxa"/>
                  <w:vMerge w:val="continue"/>
                  <w:vAlign w:val="center"/>
                </w:tcPr>
                <w:p w14:paraId="12FE9D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710" w:type="dxa"/>
                  <w:vMerge w:val="continue"/>
                  <w:vAlign w:val="center"/>
                </w:tcPr>
                <w:p w14:paraId="3C55C6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14:paraId="2BF6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00" w:type="dxa"/>
                  <w:vMerge w:val="continue"/>
                  <w:vAlign w:val="center"/>
                </w:tcPr>
                <w:p w14:paraId="70492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802" w:type="dxa"/>
                  <w:vMerge w:val="continue"/>
                  <w:vAlign w:val="center"/>
                </w:tcPr>
                <w:p w14:paraId="7101D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351" w:type="dxa"/>
                  <w:vAlign w:val="center"/>
                </w:tcPr>
                <w:p w14:paraId="235461B8">
                  <w:pPr>
                    <w:keepNext w:val="0"/>
                    <w:keepLines w:val="0"/>
                    <w:pageBreakBefore w:val="0"/>
                    <w:widowControl w:val="0"/>
                    <w:kinsoku/>
                    <w:wordWrap/>
                    <w:overflowPunct/>
                    <w:topLinePunct w:val="0"/>
                    <w:autoSpaceDE/>
                    <w:autoSpaceDN/>
                    <w:bidi w:val="0"/>
                    <w:adjustRightInd/>
                    <w:snapToGrid/>
                    <w:spacing w:beforeLines="-2147483648" w:afterLines="-2147483648"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氨</w:t>
                  </w:r>
                  <w:r>
                    <w:rPr>
                      <w:rFonts w:hint="eastAsia" w:ascii="Times New Roman" w:hAnsi="Times New Roman" w:eastAsia="宋体" w:cs="Times New Roman"/>
                      <w:color w:val="auto"/>
                      <w:sz w:val="21"/>
                      <w:szCs w:val="21"/>
                      <w:u w:val="none" w:color="auto"/>
                      <w:vertAlign w:val="baseline"/>
                      <w:lang w:val="en-US" w:eastAsia="zh-CN"/>
                    </w:rPr>
                    <w:t>（</w:t>
                  </w:r>
                  <w:r>
                    <w:rPr>
                      <w:rFonts w:hint="default" w:ascii="Times New Roman" w:hAnsi="Times New Roman" w:eastAsia="宋体" w:cs="Times New Roman"/>
                      <w:color w:val="auto"/>
                      <w:sz w:val="21"/>
                      <w:szCs w:val="21"/>
                      <w:u w:val="none" w:color="auto"/>
                      <w:vertAlign w:val="baseline"/>
                      <w:lang w:val="en-US" w:eastAsia="zh-CN"/>
                    </w:rPr>
                    <w:t>厂界）</w:t>
                  </w:r>
                </w:p>
              </w:tc>
              <w:tc>
                <w:tcPr>
                  <w:tcW w:w="2550" w:type="dxa"/>
                  <w:vMerge w:val="continue"/>
                  <w:vAlign w:val="center"/>
                </w:tcPr>
                <w:p w14:paraId="20714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2710" w:type="dxa"/>
                  <w:vMerge w:val="continue"/>
                  <w:vAlign w:val="center"/>
                </w:tcPr>
                <w:p w14:paraId="4F0BE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14:paraId="3058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00" w:type="dxa"/>
                  <w:vAlign w:val="center"/>
                </w:tcPr>
                <w:p w14:paraId="6DFDA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废水治理</w:t>
                  </w:r>
                </w:p>
              </w:tc>
              <w:tc>
                <w:tcPr>
                  <w:tcW w:w="802" w:type="dxa"/>
                  <w:vAlign w:val="center"/>
                </w:tcPr>
                <w:p w14:paraId="721566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DW001</w:t>
                  </w:r>
                </w:p>
              </w:tc>
              <w:tc>
                <w:tcPr>
                  <w:tcW w:w="1351" w:type="dxa"/>
                  <w:vAlign w:val="center"/>
                </w:tcPr>
                <w:p w14:paraId="1C65BD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pH、化学需氧量、五日生化需氧量、悬浮物、氨氮、动植物油、总磷、总氮、石油类</w:t>
                  </w:r>
                </w:p>
              </w:tc>
              <w:tc>
                <w:tcPr>
                  <w:tcW w:w="2550" w:type="dxa"/>
                  <w:vAlign w:val="center"/>
                </w:tcPr>
                <w:p w14:paraId="262448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污水处理站（</w:t>
                  </w:r>
                  <w:r>
                    <w:rPr>
                      <w:rFonts w:hint="eastAsia" w:cstheme="minorBidi"/>
                      <w:color w:val="auto"/>
                      <w:sz w:val="21"/>
                      <w:szCs w:val="21"/>
                      <w:u w:val="none" w:color="auto"/>
                      <w:lang w:val="en-US" w:eastAsia="zh-CN"/>
                    </w:rPr>
                    <w:t>格栅+隔油+曝气+气浮+厌氧+好氧+沉淀+消毒池</w:t>
                  </w:r>
                  <w:r>
                    <w:rPr>
                      <w:rFonts w:hint="eastAsia" w:cs="Times New Roman"/>
                      <w:color w:val="auto"/>
                      <w:sz w:val="21"/>
                      <w:szCs w:val="21"/>
                      <w:u w:val="none" w:color="auto"/>
                      <w:vertAlign w:val="baseline"/>
                      <w:lang w:val="en-US" w:eastAsia="zh-CN"/>
                    </w:rPr>
                    <w:t>）</w:t>
                  </w:r>
                </w:p>
              </w:tc>
              <w:tc>
                <w:tcPr>
                  <w:tcW w:w="2710" w:type="dxa"/>
                  <w:vAlign w:val="center"/>
                </w:tcPr>
                <w:p w14:paraId="4EFAE2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olor w:val="auto"/>
                      <w:sz w:val="21"/>
                      <w:szCs w:val="21"/>
                      <w:u w:val="none"/>
                    </w:rPr>
                    <w:t>《肉类加工工业水污染物排放标准》</w:t>
                  </w:r>
                  <w:r>
                    <w:rPr>
                      <w:rFonts w:hint="eastAsia"/>
                      <w:color w:val="auto"/>
                      <w:sz w:val="21"/>
                      <w:szCs w:val="21"/>
                      <w:u w:val="none"/>
                      <w:lang w:eastAsia="zh-CN"/>
                    </w:rPr>
                    <w:t>（GB</w:t>
                  </w:r>
                  <w:r>
                    <w:rPr>
                      <w:rFonts w:hint="eastAsia"/>
                      <w:color w:val="auto"/>
                      <w:sz w:val="21"/>
                      <w:szCs w:val="21"/>
                      <w:u w:val="none"/>
                      <w:lang w:val="en-US" w:eastAsia="zh-CN"/>
                    </w:rPr>
                    <w:t xml:space="preserve"> </w:t>
                  </w:r>
                  <w:r>
                    <w:rPr>
                      <w:rFonts w:hint="eastAsia"/>
                      <w:color w:val="auto"/>
                      <w:sz w:val="21"/>
                      <w:szCs w:val="21"/>
                      <w:u w:val="none"/>
                      <w:lang w:eastAsia="zh-CN"/>
                    </w:rPr>
                    <w:t>13457-92）</w:t>
                  </w:r>
                  <w:r>
                    <w:rPr>
                      <w:rFonts w:hint="eastAsia"/>
                      <w:color w:val="auto"/>
                      <w:sz w:val="21"/>
                      <w:szCs w:val="21"/>
                      <w:u w:val="none"/>
                    </w:rPr>
                    <w:t>表3</w:t>
                  </w:r>
                  <w:r>
                    <w:rPr>
                      <w:rFonts w:hint="eastAsia"/>
                      <w:color w:val="auto"/>
                      <w:sz w:val="21"/>
                      <w:szCs w:val="21"/>
                      <w:u w:val="none"/>
                      <w:lang w:val="en-US" w:eastAsia="zh-CN"/>
                    </w:rPr>
                    <w:t>禽</w:t>
                  </w:r>
                  <w:r>
                    <w:rPr>
                      <w:rFonts w:hint="eastAsia"/>
                      <w:color w:val="auto"/>
                      <w:sz w:val="21"/>
                      <w:szCs w:val="21"/>
                      <w:u w:val="none"/>
                    </w:rPr>
                    <w:t>类屠宰加工的三级标准</w:t>
                  </w:r>
                  <w:r>
                    <w:rPr>
                      <w:rFonts w:hint="eastAsia" w:ascii="Times New Roman" w:hAnsi="Times New Roman" w:cs="Times New Roman"/>
                      <w:color w:val="auto"/>
                      <w:sz w:val="21"/>
                      <w:szCs w:val="21"/>
                      <w:u w:val="none" w:color="auto"/>
                      <w:vertAlign w:val="baseline"/>
                      <w:lang w:val="en-US" w:eastAsia="zh-CN"/>
                    </w:rPr>
                    <w:t>（氨氮</w:t>
                  </w:r>
                  <w:r>
                    <w:rPr>
                      <w:rFonts w:hint="eastAsia" w:cs="Times New Roman"/>
                      <w:color w:val="auto"/>
                      <w:sz w:val="21"/>
                      <w:szCs w:val="21"/>
                      <w:u w:val="none" w:color="auto"/>
                      <w:vertAlign w:val="baseline"/>
                      <w:lang w:val="en-US" w:eastAsia="zh-CN"/>
                    </w:rPr>
                    <w:t>、总氮、总磷</w:t>
                  </w:r>
                  <w:r>
                    <w:rPr>
                      <w:rFonts w:hint="eastAsia" w:ascii="Times New Roman" w:hAnsi="Times New Roman" w:cs="Times New Roman"/>
                      <w:color w:val="auto"/>
                      <w:sz w:val="21"/>
                      <w:szCs w:val="21"/>
                      <w:u w:val="none" w:color="auto"/>
                      <w:vertAlign w:val="baseline"/>
                      <w:lang w:val="en-US" w:eastAsia="zh-CN"/>
                    </w:rPr>
                    <w:t>执行</w:t>
                  </w:r>
                  <w:r>
                    <w:rPr>
                      <w:rFonts w:hint="default" w:ascii="Times New Roman" w:hAnsi="Times New Roman" w:cs="Times New Roman"/>
                      <w:color w:val="auto"/>
                      <w:sz w:val="21"/>
                      <w:szCs w:val="21"/>
                      <w:u w:val="none" w:color="auto"/>
                      <w:vertAlign w:val="baseline"/>
                      <w:lang w:val="en-US" w:eastAsia="zh-CN"/>
                    </w:rPr>
                    <w:t>《污水排入城镇下水道水质标准》（GB/T 31962-2015）</w:t>
                  </w:r>
                  <w:r>
                    <w:rPr>
                      <w:rFonts w:hint="eastAsia" w:cs="Times New Roman"/>
                      <w:color w:val="auto"/>
                      <w:sz w:val="21"/>
                      <w:szCs w:val="21"/>
                      <w:u w:val="none" w:color="auto"/>
                      <w:vertAlign w:val="baseline"/>
                      <w:lang w:val="en-US" w:eastAsia="zh-CN"/>
                    </w:rPr>
                    <w:t>B级</w:t>
                  </w:r>
                  <w:r>
                    <w:rPr>
                      <w:rFonts w:hint="default" w:ascii="Times New Roman" w:hAnsi="Times New Roman" w:eastAsia="宋体" w:cs="Times New Roman"/>
                      <w:color w:val="auto"/>
                      <w:sz w:val="21"/>
                      <w:szCs w:val="21"/>
                      <w:u w:val="none" w:color="auto"/>
                      <w:vertAlign w:val="baseline"/>
                      <w:lang w:val="en-US" w:eastAsia="zh-CN"/>
                    </w:rPr>
                    <w:t>排放标准</w:t>
                  </w:r>
                  <w:r>
                    <w:rPr>
                      <w:rFonts w:hint="eastAsia" w:cs="Times New Roman"/>
                      <w:color w:val="auto"/>
                      <w:sz w:val="21"/>
                      <w:szCs w:val="21"/>
                      <w:u w:val="none" w:color="auto"/>
                      <w:vertAlign w:val="baseline"/>
                      <w:lang w:val="en-US" w:eastAsia="zh-CN"/>
                    </w:rPr>
                    <w:t>、石油类执行</w:t>
                  </w:r>
                  <w:r>
                    <w:rPr>
                      <w:rFonts w:hint="eastAsia"/>
                      <w:color w:val="auto"/>
                      <w:sz w:val="21"/>
                      <w:szCs w:val="21"/>
                      <w:u w:val="none" w:color="auto"/>
                      <w:lang w:val="en-US" w:eastAsia="zh-CN"/>
                    </w:rPr>
                    <w:t>《污水综合排放标准》（GB 8978-1996）表4中三级标准</w:t>
                  </w:r>
                  <w:r>
                    <w:rPr>
                      <w:rFonts w:hint="eastAsia" w:ascii="Times New Roman" w:hAnsi="Times New Roman" w:cs="Times New Roman"/>
                      <w:color w:val="auto"/>
                      <w:sz w:val="21"/>
                      <w:szCs w:val="21"/>
                      <w:u w:val="none" w:color="auto"/>
                      <w:vertAlign w:val="baseline"/>
                      <w:lang w:val="en-US" w:eastAsia="zh-CN"/>
                    </w:rPr>
                    <w:t>）</w:t>
                  </w:r>
                </w:p>
              </w:tc>
            </w:tr>
            <w:tr w14:paraId="6AEB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31289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噪声治理</w:t>
                  </w:r>
                </w:p>
              </w:tc>
              <w:tc>
                <w:tcPr>
                  <w:tcW w:w="2153" w:type="dxa"/>
                  <w:gridSpan w:val="2"/>
                  <w:vAlign w:val="center"/>
                </w:tcPr>
                <w:p w14:paraId="22726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设备噪声</w:t>
                  </w:r>
                  <w:r>
                    <w:rPr>
                      <w:rFonts w:hint="eastAsia" w:cs="Times New Roman"/>
                      <w:color w:val="auto"/>
                      <w:sz w:val="21"/>
                      <w:szCs w:val="21"/>
                      <w:u w:val="none" w:color="auto"/>
                      <w:vertAlign w:val="baseline"/>
                      <w:lang w:val="en-US" w:eastAsia="zh-CN"/>
                    </w:rPr>
                    <w:t>、猪牛鸡鸭鹅叫</w:t>
                  </w:r>
                </w:p>
              </w:tc>
              <w:tc>
                <w:tcPr>
                  <w:tcW w:w="2550" w:type="dxa"/>
                  <w:vAlign w:val="center"/>
                </w:tcPr>
                <w:p w14:paraId="616B5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采取减震、隔声等措施</w:t>
                  </w:r>
                </w:p>
              </w:tc>
              <w:tc>
                <w:tcPr>
                  <w:tcW w:w="2710" w:type="dxa"/>
                  <w:shd w:val="clear" w:color="auto" w:fill="auto"/>
                  <w:vAlign w:val="center"/>
                </w:tcPr>
                <w:p w14:paraId="228A8C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厂界东南西三侧执行</w:t>
                  </w:r>
                  <w:r>
                    <w:rPr>
                      <w:rFonts w:hint="default" w:ascii="Times New Roman" w:hAnsi="Times New Roman" w:eastAsia="宋体" w:cs="Times New Roman"/>
                      <w:color w:val="auto"/>
                      <w:sz w:val="21"/>
                      <w:szCs w:val="21"/>
                      <w:u w:val="none" w:color="auto"/>
                      <w:vertAlign w:val="baseline"/>
                      <w:lang w:val="en-US" w:eastAsia="zh-CN"/>
                    </w:rPr>
                    <w:t>《工业企业厂界环境噪声排放标准》（GB 12348-2008）中3类标准</w:t>
                  </w:r>
                  <w:r>
                    <w:rPr>
                      <w:rFonts w:hint="eastAsia" w:cs="Times New Roman"/>
                      <w:color w:val="auto"/>
                      <w:sz w:val="21"/>
                      <w:szCs w:val="21"/>
                      <w:u w:val="none" w:color="auto"/>
                      <w:vertAlign w:val="baseline"/>
                      <w:lang w:val="en-US" w:eastAsia="zh-CN"/>
                    </w:rPr>
                    <w:t>；厂界北侧执行</w:t>
                  </w:r>
                  <w:r>
                    <w:rPr>
                      <w:rFonts w:hint="default" w:ascii="Times New Roman" w:hAnsi="Times New Roman" w:eastAsia="宋体" w:cs="Times New Roman"/>
                      <w:color w:val="auto"/>
                      <w:sz w:val="21"/>
                      <w:szCs w:val="21"/>
                      <w:u w:val="none" w:color="auto"/>
                      <w:vertAlign w:val="baseline"/>
                      <w:lang w:val="en-US" w:eastAsia="zh-CN"/>
                    </w:rPr>
                    <w:t>《工业企业厂界环境噪声排放标准》（GB 12348-2008）中</w:t>
                  </w:r>
                  <w:r>
                    <w:rPr>
                      <w:rFonts w:hint="eastAsia" w:ascii="Times New Roman" w:hAnsi="Times New Roman" w:eastAsia="宋体" w:cs="Times New Roman"/>
                      <w:color w:val="auto"/>
                      <w:sz w:val="21"/>
                      <w:szCs w:val="21"/>
                      <w:u w:val="none" w:color="auto"/>
                      <w:vertAlign w:val="baseline"/>
                      <w:lang w:val="en-US" w:eastAsia="zh-CN"/>
                    </w:rPr>
                    <w:t>4</w:t>
                  </w:r>
                  <w:r>
                    <w:rPr>
                      <w:rFonts w:hint="default" w:ascii="Times New Roman" w:hAnsi="Times New Roman" w:eastAsia="宋体" w:cs="Times New Roman"/>
                      <w:color w:val="auto"/>
                      <w:sz w:val="21"/>
                      <w:szCs w:val="21"/>
                      <w:u w:val="none" w:color="auto"/>
                      <w:vertAlign w:val="baseline"/>
                      <w:lang w:val="en-US" w:eastAsia="zh-CN"/>
                    </w:rPr>
                    <w:t>类标准</w:t>
                  </w:r>
                </w:p>
              </w:tc>
            </w:tr>
            <w:tr w14:paraId="40C8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restart"/>
                  <w:vAlign w:val="center"/>
                </w:tcPr>
                <w:p w14:paraId="34173F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固废治理</w:t>
                  </w:r>
                </w:p>
              </w:tc>
              <w:tc>
                <w:tcPr>
                  <w:tcW w:w="802" w:type="dxa"/>
                  <w:vMerge w:val="restart"/>
                  <w:vAlign w:val="center"/>
                </w:tcPr>
                <w:p w14:paraId="6F1EF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危险废物</w:t>
                  </w:r>
                </w:p>
              </w:tc>
              <w:tc>
                <w:tcPr>
                  <w:tcW w:w="1351" w:type="dxa"/>
                  <w:shd w:val="clear" w:color="auto" w:fill="auto"/>
                  <w:vAlign w:val="center"/>
                </w:tcPr>
                <w:p w14:paraId="05D030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rPr>
                    <w:t>实验室、检疫室废弃物</w:t>
                  </w:r>
                </w:p>
              </w:tc>
              <w:tc>
                <w:tcPr>
                  <w:tcW w:w="2550" w:type="dxa"/>
                  <w:vMerge w:val="restart"/>
                  <w:vAlign w:val="center"/>
                </w:tcPr>
                <w:p w14:paraId="115F1E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危废暂存间</w:t>
                  </w:r>
                </w:p>
              </w:tc>
              <w:tc>
                <w:tcPr>
                  <w:tcW w:w="2710" w:type="dxa"/>
                  <w:vMerge w:val="restart"/>
                  <w:vAlign w:val="center"/>
                </w:tcPr>
                <w:p w14:paraId="66EED6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暂存在危险废物暂存间，委托有资质单位处置</w:t>
                  </w:r>
                </w:p>
              </w:tc>
            </w:tr>
            <w:tr w14:paraId="28B4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14:paraId="709B3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2ABD6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50DB6F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沾染有毒有害物质的废包装材料</w:t>
                  </w:r>
                </w:p>
              </w:tc>
              <w:tc>
                <w:tcPr>
                  <w:tcW w:w="2550" w:type="dxa"/>
                  <w:vMerge w:val="continue"/>
                  <w:vAlign w:val="center"/>
                </w:tcPr>
                <w:p w14:paraId="0E8C21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Merge w:val="continue"/>
                  <w:vAlign w:val="center"/>
                </w:tcPr>
                <w:p w14:paraId="00D785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14:paraId="43B9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6C48A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restart"/>
                  <w:vAlign w:val="center"/>
                </w:tcPr>
                <w:p w14:paraId="6EEAB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一般固废</w:t>
                  </w:r>
                </w:p>
              </w:tc>
              <w:tc>
                <w:tcPr>
                  <w:tcW w:w="1351" w:type="dxa"/>
                  <w:shd w:val="clear" w:color="auto" w:fill="auto"/>
                  <w:vAlign w:val="center"/>
                </w:tcPr>
                <w:p w14:paraId="5D6A30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2"/>
                      <w:sz w:val="21"/>
                      <w:szCs w:val="21"/>
                      <w:u w:val="none" w:color="auto"/>
                      <w:vertAlign w:val="baseline"/>
                      <w:lang w:val="en-US" w:eastAsia="zh-CN"/>
                    </w:rPr>
                    <w:t>猪牛鸡鸭鹅胃内容物、不可食用部分（除胃内容物外）</w:t>
                  </w:r>
                </w:p>
              </w:tc>
              <w:tc>
                <w:tcPr>
                  <w:tcW w:w="2550" w:type="dxa"/>
                  <w:vMerge w:val="restart"/>
                  <w:vAlign w:val="center"/>
                </w:tcPr>
                <w:p w14:paraId="1A6AF9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一般固废暂存间</w:t>
                  </w:r>
                </w:p>
              </w:tc>
              <w:tc>
                <w:tcPr>
                  <w:tcW w:w="2710" w:type="dxa"/>
                  <w:vAlign w:val="center"/>
                </w:tcPr>
                <w:p w14:paraId="2BEBCD56">
                  <w:pPr>
                    <w:spacing w:line="360" w:lineRule="exact"/>
                    <w:ind w:firstLine="0" w:firstLineChars="0"/>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2"/>
                      <w:sz w:val="21"/>
                      <w:szCs w:val="21"/>
                      <w:u w:val="none" w:color="auto"/>
                      <w:vertAlign w:val="baseline"/>
                      <w:lang w:val="en-US" w:eastAsia="zh-CN" w:bidi="ar"/>
                    </w:rPr>
                    <w:t>猪牛胃内容物</w:t>
                  </w:r>
                  <w:r>
                    <w:rPr>
                      <w:rFonts w:hint="default" w:ascii="Times New Roman" w:hAnsi="Times New Roman" w:eastAsia="宋体" w:cs="Times New Roman"/>
                      <w:color w:val="auto"/>
                      <w:kern w:val="2"/>
                      <w:sz w:val="21"/>
                      <w:szCs w:val="21"/>
                      <w:u w:val="none" w:color="auto"/>
                      <w:lang w:val="en-US" w:eastAsia="zh-CN" w:bidi="ar"/>
                    </w:rPr>
                    <w:t>，收集后外售给化肥厂综合利用；</w:t>
                  </w:r>
                  <w:r>
                    <w:rPr>
                      <w:rFonts w:hint="default" w:ascii="Times New Roman" w:hAnsi="Times New Roman" w:eastAsia="宋体" w:cs="Times New Roman"/>
                      <w:color w:val="auto"/>
                      <w:kern w:val="2"/>
                      <w:sz w:val="21"/>
                      <w:szCs w:val="21"/>
                      <w:u w:val="none" w:color="auto"/>
                      <w:vertAlign w:val="baseline"/>
                      <w:lang w:val="en-US" w:eastAsia="zh-CN" w:bidi="ar"/>
                    </w:rPr>
                    <w:t>不可食用部分（除胃内容物外）交由有资质的单位进行无害化处理</w:t>
                  </w:r>
                </w:p>
              </w:tc>
            </w:tr>
            <w:tr w14:paraId="4689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39E44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541C0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7E1C7F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2"/>
                      <w:sz w:val="21"/>
                      <w:szCs w:val="21"/>
                      <w:u w:val="none" w:color="auto"/>
                      <w:vertAlign w:val="baseline"/>
                      <w:lang w:val="en-US" w:eastAsia="zh-CN"/>
                    </w:rPr>
                    <w:t>碎肉渣</w:t>
                  </w:r>
                </w:p>
              </w:tc>
              <w:tc>
                <w:tcPr>
                  <w:tcW w:w="2550" w:type="dxa"/>
                  <w:vMerge w:val="continue"/>
                  <w:vAlign w:val="center"/>
                </w:tcPr>
                <w:p w14:paraId="48DDA9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Align w:val="center"/>
                </w:tcPr>
                <w:p w14:paraId="4A963BBD">
                  <w:pPr>
                    <w:spacing w:line="360" w:lineRule="exact"/>
                    <w:ind w:firstLine="0" w:firstLineChars="0"/>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2"/>
                      <w:sz w:val="21"/>
                      <w:szCs w:val="21"/>
                      <w:u w:val="none" w:color="auto"/>
                      <w:lang w:val="en-US" w:eastAsia="zh-CN" w:bidi="ar"/>
                    </w:rPr>
                    <w:t>外售给化肥厂综合利用</w:t>
                  </w:r>
                </w:p>
              </w:tc>
            </w:tr>
            <w:tr w14:paraId="1AE0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6CC48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66EA34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64E54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不合格品</w:t>
                  </w:r>
                </w:p>
              </w:tc>
              <w:tc>
                <w:tcPr>
                  <w:tcW w:w="2550" w:type="dxa"/>
                  <w:vMerge w:val="continue"/>
                  <w:vAlign w:val="center"/>
                </w:tcPr>
                <w:p w14:paraId="57ECBC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Align w:val="center"/>
                </w:tcPr>
                <w:p w14:paraId="3D3A8456">
                  <w:pPr>
                    <w:spacing w:line="360" w:lineRule="exact"/>
                    <w:ind w:firstLine="0" w:firstLineChars="0"/>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2"/>
                      <w:sz w:val="21"/>
                      <w:szCs w:val="21"/>
                      <w:u w:val="none" w:color="auto"/>
                      <w:vertAlign w:val="baseline"/>
                      <w:lang w:val="en-US" w:eastAsia="zh-CN" w:bidi="ar"/>
                    </w:rPr>
                    <w:t>交由有资质的单位进行无害化处理</w:t>
                  </w:r>
                </w:p>
              </w:tc>
            </w:tr>
            <w:tr w14:paraId="045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33F478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4DA00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626510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污水处理站污泥</w:t>
                  </w:r>
                </w:p>
              </w:tc>
              <w:tc>
                <w:tcPr>
                  <w:tcW w:w="2550" w:type="dxa"/>
                  <w:vMerge w:val="continue"/>
                  <w:vAlign w:val="center"/>
                </w:tcPr>
                <w:p w14:paraId="64FAD3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Align w:val="center"/>
                </w:tcPr>
                <w:p w14:paraId="78850147">
                  <w:pPr>
                    <w:spacing w:line="360" w:lineRule="exact"/>
                    <w:ind w:firstLine="0" w:firstLineChars="0"/>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2"/>
                      <w:sz w:val="21"/>
                      <w:szCs w:val="21"/>
                      <w:u w:val="none" w:color="auto"/>
                      <w:lang w:val="en-US" w:eastAsia="zh-CN" w:bidi="ar"/>
                    </w:rPr>
                    <w:t>外售给化肥厂综合利用</w:t>
                  </w:r>
                </w:p>
              </w:tc>
            </w:tr>
            <w:tr w14:paraId="59CA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679DD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4D8F5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480593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2"/>
                      <w:sz w:val="21"/>
                      <w:szCs w:val="21"/>
                      <w:u w:val="none" w:color="auto"/>
                      <w:vertAlign w:val="baseline"/>
                      <w:lang w:val="en-US" w:eastAsia="zh-CN"/>
                    </w:rPr>
                    <w:t>猪牛鸡鸭鹅待宰期间产生的粪便</w:t>
                  </w:r>
                </w:p>
              </w:tc>
              <w:tc>
                <w:tcPr>
                  <w:tcW w:w="2550" w:type="dxa"/>
                  <w:vMerge w:val="continue"/>
                  <w:vAlign w:val="center"/>
                </w:tcPr>
                <w:p w14:paraId="6E9BC3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Align w:val="center"/>
                </w:tcPr>
                <w:p w14:paraId="0BA91CFF">
                  <w:pPr>
                    <w:spacing w:line="360" w:lineRule="exact"/>
                    <w:ind w:firstLine="0" w:firstLineChars="0"/>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2"/>
                      <w:sz w:val="21"/>
                      <w:szCs w:val="21"/>
                      <w:u w:val="none" w:color="auto"/>
                      <w:lang w:val="en-US" w:eastAsia="zh-CN" w:bidi="ar"/>
                    </w:rPr>
                    <w:t>外售给化肥厂综合利用</w:t>
                  </w:r>
                </w:p>
              </w:tc>
            </w:tr>
            <w:tr w14:paraId="2CB0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71706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2C5B8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598AE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rPr>
                  </w:pPr>
                  <w:r>
                    <w:rPr>
                      <w:rFonts w:hint="eastAsia" w:cs="Times New Roman"/>
                      <w:color w:val="auto"/>
                      <w:u w:val="none" w:color="auto"/>
                      <w:lang w:val="en-US" w:eastAsia="zh-CN"/>
                    </w:rPr>
                    <w:t>病死猪牛鸡鸭鹅</w:t>
                  </w:r>
                </w:p>
              </w:tc>
              <w:tc>
                <w:tcPr>
                  <w:tcW w:w="2550" w:type="dxa"/>
                  <w:vMerge w:val="continue"/>
                  <w:vAlign w:val="center"/>
                </w:tcPr>
                <w:p w14:paraId="2BCAEA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Align w:val="center"/>
                </w:tcPr>
                <w:p w14:paraId="43633F58">
                  <w:pPr>
                    <w:pStyle w:val="49"/>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
                    </w:rPr>
                  </w:pPr>
                  <w:r>
                    <w:rPr>
                      <w:rFonts w:hint="eastAsia" w:cs="Times New Roman"/>
                      <w:color w:val="auto"/>
                      <w:kern w:val="2"/>
                      <w:sz w:val="21"/>
                      <w:szCs w:val="21"/>
                      <w:u w:val="none" w:color="auto"/>
                      <w:vertAlign w:val="baseline"/>
                      <w:lang w:val="en-US" w:eastAsia="zh-CN" w:bidi="ar"/>
                    </w:rPr>
                    <w:t>交由有资质的单位进行无害化处理</w:t>
                  </w:r>
                </w:p>
              </w:tc>
            </w:tr>
            <w:tr w14:paraId="40E8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7A65B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714687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384DA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rPr>
                  </w:pPr>
                  <w:r>
                    <w:rPr>
                      <w:rFonts w:hint="eastAsia" w:cs="Times New Roman"/>
                      <w:color w:val="auto"/>
                      <w:kern w:val="2"/>
                      <w:sz w:val="24"/>
                      <w:szCs w:val="24"/>
                      <w:u w:val="none" w:color="auto"/>
                      <w:vertAlign w:val="baseline"/>
                      <w:lang w:val="en-US" w:eastAsia="zh-CN" w:bidi="ar"/>
                    </w:rPr>
                    <w:t>未沾染有</w:t>
                  </w:r>
                  <w:r>
                    <w:rPr>
                      <w:rFonts w:hint="eastAsia" w:cs="Times New Roman"/>
                      <w:color w:val="auto"/>
                      <w:kern w:val="2"/>
                      <w:sz w:val="24"/>
                      <w:szCs w:val="24"/>
                      <w:u w:val="none" w:color="auto"/>
                      <w:vertAlign w:val="baseline"/>
                      <w:lang w:val="en-US" w:eastAsia="zh-CN"/>
                    </w:rPr>
                    <w:t>毒有害物质的废包装材料</w:t>
                  </w:r>
                </w:p>
              </w:tc>
              <w:tc>
                <w:tcPr>
                  <w:tcW w:w="2550" w:type="dxa"/>
                  <w:vMerge w:val="continue"/>
                  <w:vAlign w:val="center"/>
                </w:tcPr>
                <w:p w14:paraId="7D9EC2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Align w:val="center"/>
                </w:tcPr>
                <w:p w14:paraId="164A75B7">
                  <w:pPr>
                    <w:pStyle w:val="49"/>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
                    </w:rPr>
                  </w:pPr>
                  <w:r>
                    <w:rPr>
                      <w:rFonts w:hint="eastAsia" w:cs="Times New Roman"/>
                      <w:color w:val="auto"/>
                      <w:spacing w:val="0"/>
                      <w:sz w:val="21"/>
                      <w:szCs w:val="21"/>
                      <w:u w:val="none" w:color="auto"/>
                      <w:lang w:val="en-US" w:eastAsia="zh-CN"/>
                    </w:rPr>
                    <w:t>交由物资回收部门综合利用</w:t>
                  </w:r>
                </w:p>
              </w:tc>
            </w:tr>
            <w:tr w14:paraId="02D8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14:paraId="0F305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02" w:type="dxa"/>
                  <w:vMerge w:val="continue"/>
                  <w:vAlign w:val="center"/>
                </w:tcPr>
                <w:p w14:paraId="4D8F1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51" w:type="dxa"/>
                  <w:shd w:val="clear" w:color="auto" w:fill="auto"/>
                  <w:vAlign w:val="center"/>
                </w:tcPr>
                <w:p w14:paraId="72392C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u w:val="none" w:color="auto"/>
                      <w:vertAlign w:val="baseline"/>
                      <w:lang w:val="en-US" w:eastAsia="zh-CN"/>
                    </w:rPr>
                  </w:pPr>
                  <w:r>
                    <w:rPr>
                      <w:rFonts w:hint="eastAsia" w:ascii="Times New Roman" w:hAnsi="Times New Roman" w:eastAsia="宋体" w:cs="Times New Roman"/>
                      <w:color w:val="auto"/>
                      <w:kern w:val="2"/>
                      <w:sz w:val="21"/>
                      <w:szCs w:val="21"/>
                      <w:u w:val="none" w:color="auto"/>
                      <w:vertAlign w:val="baseline"/>
                      <w:lang w:val="en-US" w:eastAsia="zh-CN"/>
                    </w:rPr>
                    <w:t>格栅处理的废物</w:t>
                  </w:r>
                </w:p>
              </w:tc>
              <w:tc>
                <w:tcPr>
                  <w:tcW w:w="2550" w:type="dxa"/>
                  <w:vMerge w:val="continue"/>
                  <w:vAlign w:val="center"/>
                </w:tcPr>
                <w:p w14:paraId="2FE8F8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710" w:type="dxa"/>
                  <w:vAlign w:val="center"/>
                </w:tcPr>
                <w:p w14:paraId="308A3410">
                  <w:pPr>
                    <w:spacing w:line="360" w:lineRule="exact"/>
                    <w:ind w:firstLine="0" w:firstLineChars="0"/>
                    <w:jc w:val="center"/>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pacing w:val="0"/>
                      <w:sz w:val="21"/>
                      <w:szCs w:val="21"/>
                      <w:u w:val="none" w:color="auto"/>
                      <w:lang w:val="en-US" w:eastAsia="zh-CN"/>
                    </w:rPr>
                    <w:t>交由物资回收部门综合利用</w:t>
                  </w:r>
                </w:p>
              </w:tc>
            </w:tr>
          </w:tbl>
          <w:p w14:paraId="71B3DC92">
            <w:pPr>
              <w:keepNext w:val="0"/>
              <w:keepLines w:val="0"/>
              <w:pageBreakBefore w:val="0"/>
              <w:widowControl w:val="0"/>
              <w:kinsoku/>
              <w:wordWrap/>
              <w:overflowPunct/>
              <w:topLinePunct w:val="0"/>
              <w:autoSpaceDE/>
              <w:autoSpaceDN/>
              <w:bidi w:val="0"/>
              <w:textAlignment w:val="auto"/>
              <w:rPr>
                <w:rFonts w:hint="default"/>
                <w:color w:val="auto"/>
                <w:sz w:val="24"/>
                <w:szCs w:val="24"/>
                <w:lang w:val="en-US" w:eastAsia="zh-CN"/>
              </w:rPr>
            </w:pPr>
            <w:r>
              <w:rPr>
                <w:rFonts w:hint="eastAsia" w:cs="Times New Roman"/>
                <w:color w:val="auto"/>
                <w:sz w:val="24"/>
                <w:szCs w:val="24"/>
                <w:u w:val="none" w:color="auto"/>
                <w:lang w:val="en-US" w:eastAsia="zh-CN"/>
              </w:rPr>
              <w:t>5、</w:t>
            </w:r>
            <w:r>
              <w:rPr>
                <w:rFonts w:hint="eastAsia"/>
                <w:color w:val="auto"/>
                <w:sz w:val="24"/>
                <w:szCs w:val="24"/>
                <w:lang w:val="en-US" w:eastAsia="zh-CN"/>
              </w:rPr>
              <w:t>突发环境事件应急预案</w:t>
            </w:r>
          </w:p>
          <w:p w14:paraId="59DA0B1D">
            <w:pPr>
              <w:keepNext w:val="0"/>
              <w:keepLines w:val="0"/>
              <w:pageBreakBefore w:val="0"/>
              <w:widowControl w:val="0"/>
              <w:kinsoku/>
              <w:wordWrap/>
              <w:overflowPunct/>
              <w:topLinePunct w:val="0"/>
              <w:autoSpaceDE/>
              <w:autoSpaceDN/>
              <w:bidi w:val="0"/>
              <w:textAlignment w:val="auto"/>
              <w:rPr>
                <w:rFonts w:hint="eastAsia"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本</w:t>
            </w:r>
            <w:r>
              <w:rPr>
                <w:rFonts w:hint="default" w:cs="Times New Roman"/>
                <w:color w:val="auto"/>
                <w:sz w:val="24"/>
                <w:szCs w:val="24"/>
                <w:u w:val="single"/>
                <w:lang w:val="en-US" w:eastAsia="zh-CN"/>
              </w:rPr>
              <w:t>评价要求</w:t>
            </w:r>
            <w:r>
              <w:rPr>
                <w:rFonts w:hint="default" w:ascii="Times New Roman" w:hAnsi="Times New Roman" w:eastAsia="宋体" w:cs="Times New Roman"/>
                <w:color w:val="auto"/>
                <w:sz w:val="24"/>
                <w:szCs w:val="24"/>
                <w:u w:val="single"/>
                <w:lang w:val="en-US" w:eastAsia="zh-CN"/>
              </w:rPr>
              <w:t>，</w:t>
            </w:r>
            <w:r>
              <w:rPr>
                <w:rFonts w:hint="default" w:cs="Times New Roman"/>
                <w:color w:val="auto"/>
                <w:sz w:val="24"/>
                <w:szCs w:val="24"/>
                <w:u w:val="single"/>
                <w:lang w:val="en-US" w:eastAsia="zh-CN"/>
              </w:rPr>
              <w:t>本项目建成后，</w:t>
            </w:r>
            <w:r>
              <w:rPr>
                <w:rFonts w:hint="default" w:ascii="Times New Roman" w:hAnsi="Times New Roman" w:eastAsia="宋体" w:cs="Times New Roman"/>
                <w:color w:val="auto"/>
                <w:sz w:val="24"/>
                <w:szCs w:val="24"/>
                <w:u w:val="single"/>
                <w:lang w:val="en-US" w:eastAsia="zh-CN"/>
              </w:rPr>
              <w:t>建设单位</w:t>
            </w:r>
            <w:r>
              <w:rPr>
                <w:rFonts w:hint="default" w:cs="Times New Roman"/>
                <w:color w:val="auto"/>
                <w:sz w:val="24"/>
                <w:szCs w:val="24"/>
                <w:u w:val="single"/>
                <w:lang w:val="en-US" w:eastAsia="zh-CN"/>
              </w:rPr>
              <w:t>需</w:t>
            </w:r>
            <w:r>
              <w:rPr>
                <w:rFonts w:hint="default" w:ascii="Times New Roman" w:hAnsi="Times New Roman" w:eastAsia="宋体" w:cs="Times New Roman"/>
                <w:color w:val="auto"/>
                <w:sz w:val="24"/>
                <w:szCs w:val="24"/>
                <w:u w:val="single"/>
                <w:lang w:val="en-US" w:eastAsia="zh-CN"/>
              </w:rPr>
              <w:t>依据《湖南省生态环境厅</w:t>
            </w:r>
            <w:r>
              <w:rPr>
                <w:rFonts w:hint="default" w:ascii="Times New Roman" w:hAnsi="Times New Roman" w:eastAsia="宋体" w:cs="Times New Roman"/>
                <w:b w:val="0"/>
                <w:bCs w:val="0"/>
                <w:color w:val="auto"/>
                <w:sz w:val="24"/>
                <w:szCs w:val="24"/>
                <w:u w:val="single"/>
              </w:rPr>
              <w:t>关于印发</w:t>
            </w:r>
            <w:r>
              <w:rPr>
                <w:rFonts w:hint="default" w:ascii="Times New Roman" w:hAnsi="Times New Roman" w:eastAsia="宋体" w:cs="Times New Roman"/>
                <w:b w:val="0"/>
                <w:bCs w:val="0"/>
                <w:color w:val="auto"/>
                <w:sz w:val="24"/>
                <w:szCs w:val="24"/>
                <w:u w:val="single"/>
                <w:lang w:val="en-US" w:eastAsia="zh-CN"/>
              </w:rPr>
              <w:t>&lt;</w:t>
            </w:r>
            <w:r>
              <w:rPr>
                <w:rFonts w:hint="default" w:ascii="Times New Roman" w:hAnsi="Times New Roman" w:eastAsia="宋体" w:cs="Times New Roman"/>
                <w:b w:val="0"/>
                <w:bCs w:val="0"/>
                <w:color w:val="auto"/>
                <w:sz w:val="24"/>
                <w:szCs w:val="24"/>
                <w:u w:val="single"/>
              </w:rPr>
              <w:t>湖南省突发环境事件应急预案管理办法（修订版）</w:t>
            </w:r>
            <w:r>
              <w:rPr>
                <w:rFonts w:hint="default" w:ascii="Times New Roman" w:hAnsi="Times New Roman" w:eastAsia="宋体" w:cs="Times New Roman"/>
                <w:b w:val="0"/>
                <w:bCs w:val="0"/>
                <w:color w:val="auto"/>
                <w:sz w:val="24"/>
                <w:szCs w:val="24"/>
                <w:u w:val="single"/>
                <w:lang w:val="en-US" w:eastAsia="zh-CN"/>
              </w:rPr>
              <w:t>&gt;</w:t>
            </w:r>
            <w:r>
              <w:rPr>
                <w:rFonts w:hint="default" w:ascii="Times New Roman" w:hAnsi="Times New Roman" w:eastAsia="宋体" w:cs="Times New Roman"/>
                <w:b w:val="0"/>
                <w:bCs w:val="0"/>
                <w:color w:val="auto"/>
                <w:sz w:val="24"/>
                <w:szCs w:val="24"/>
                <w:u w:val="single"/>
              </w:rPr>
              <w:t>的通知</w:t>
            </w:r>
            <w:r>
              <w:rPr>
                <w:rFonts w:hint="default" w:ascii="Times New Roman" w:hAnsi="Times New Roman" w:eastAsia="宋体" w:cs="Times New Roman"/>
                <w:b w:val="0"/>
                <w:bCs w:val="0"/>
                <w:color w:val="auto"/>
                <w:sz w:val="24"/>
                <w:szCs w:val="24"/>
                <w:u w:val="single"/>
                <w:lang w:eastAsia="zh-CN"/>
              </w:rPr>
              <w:t>》（</w:t>
            </w:r>
            <w:r>
              <w:rPr>
                <w:rFonts w:hint="default" w:ascii="Times New Roman" w:hAnsi="Times New Roman" w:eastAsia="宋体" w:cs="Times New Roman"/>
                <w:b w:val="0"/>
                <w:bCs w:val="0"/>
                <w:color w:val="auto"/>
                <w:sz w:val="24"/>
                <w:szCs w:val="24"/>
                <w:u w:val="single"/>
                <w:lang w:val="en-US" w:eastAsia="zh-CN"/>
              </w:rPr>
              <w:t>湘环发[2024]49号）</w:t>
            </w:r>
            <w:r>
              <w:rPr>
                <w:rFonts w:hint="default" w:ascii="Times New Roman" w:hAnsi="Times New Roman" w:eastAsia="宋体" w:cs="Times New Roman"/>
                <w:color w:val="auto"/>
                <w:sz w:val="24"/>
                <w:szCs w:val="24"/>
                <w:u w:val="single"/>
                <w:lang w:val="en-US" w:eastAsia="zh-CN"/>
              </w:rPr>
              <w:t>及时编制突发环境事件应急预案</w:t>
            </w:r>
            <w:r>
              <w:rPr>
                <w:rFonts w:hint="eastAsia" w:cs="Times New Roman"/>
                <w:color w:val="auto"/>
                <w:sz w:val="24"/>
                <w:szCs w:val="24"/>
                <w:u w:val="single"/>
                <w:lang w:val="en-US" w:eastAsia="zh-CN"/>
              </w:rPr>
              <w:t>。</w:t>
            </w:r>
          </w:p>
          <w:p w14:paraId="296DBCE2">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u w:val="none" w:color="auto"/>
              </w:rPr>
            </w:pPr>
            <w:r>
              <w:rPr>
                <w:rFonts w:hint="eastAsia" w:cs="Times New Roman"/>
                <w:color w:val="auto"/>
                <w:sz w:val="24"/>
                <w:szCs w:val="24"/>
                <w:u w:val="none" w:color="auto"/>
                <w:lang w:val="en-US" w:eastAsia="zh-CN"/>
              </w:rPr>
              <w:t>6</w:t>
            </w:r>
            <w:r>
              <w:rPr>
                <w:rFonts w:hint="default" w:ascii="Times New Roman" w:hAnsi="Times New Roman" w:cs="Times New Roman"/>
                <w:color w:val="auto"/>
                <w:sz w:val="24"/>
                <w:szCs w:val="24"/>
                <w:u w:val="none" w:color="auto"/>
                <w:lang w:val="en-US" w:eastAsia="zh-CN"/>
              </w:rPr>
              <w:t>、</w:t>
            </w:r>
            <w:r>
              <w:rPr>
                <w:rFonts w:hint="default" w:ascii="Times New Roman" w:hAnsi="Times New Roman" w:cs="Times New Roman"/>
                <w:color w:val="auto"/>
                <w:sz w:val="24"/>
                <w:szCs w:val="24"/>
                <w:u w:val="none" w:color="auto"/>
              </w:rPr>
              <w:t>环保投资</w:t>
            </w:r>
          </w:p>
          <w:p w14:paraId="72F3F007">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本项目总投资</w:t>
            </w:r>
            <w:r>
              <w:rPr>
                <w:rFonts w:hint="eastAsia" w:cs="Times New Roman"/>
                <w:color w:val="auto"/>
                <w:sz w:val="24"/>
                <w:szCs w:val="24"/>
                <w:u w:val="none" w:color="auto"/>
                <w:lang w:val="en-US" w:eastAsia="zh-CN"/>
              </w:rPr>
              <w:t>2000</w:t>
            </w:r>
            <w:r>
              <w:rPr>
                <w:rFonts w:hint="default" w:ascii="Times New Roman" w:hAnsi="Times New Roman" w:cs="Times New Roman"/>
                <w:color w:val="auto"/>
                <w:sz w:val="24"/>
                <w:szCs w:val="24"/>
                <w:u w:val="none" w:color="auto"/>
              </w:rPr>
              <w:t>万元，其中环保总</w:t>
            </w:r>
            <w:r>
              <w:rPr>
                <w:rFonts w:hint="default" w:ascii="Times New Roman" w:hAnsi="Times New Roman" w:cs="Times New Roman"/>
                <w:color w:val="auto"/>
                <w:sz w:val="24"/>
                <w:szCs w:val="24"/>
                <w:u w:val="none" w:color="auto"/>
                <w:lang w:val="en-US" w:eastAsia="zh-CN"/>
              </w:rPr>
              <w:t>投资</w:t>
            </w:r>
            <w:r>
              <w:rPr>
                <w:rFonts w:hint="eastAsia" w:cs="Times New Roman"/>
                <w:color w:val="auto"/>
                <w:sz w:val="24"/>
                <w:szCs w:val="24"/>
                <w:highlight w:val="none"/>
                <w:u w:val="none" w:color="auto"/>
                <w:lang w:val="en-US" w:eastAsia="zh-CN"/>
              </w:rPr>
              <w:t>240</w:t>
            </w:r>
            <w:r>
              <w:rPr>
                <w:rFonts w:hint="default" w:ascii="Times New Roman" w:hAnsi="Times New Roman" w:cs="Times New Roman"/>
                <w:color w:val="auto"/>
                <w:sz w:val="24"/>
                <w:szCs w:val="24"/>
                <w:u w:val="none" w:color="auto"/>
              </w:rPr>
              <w:t>万元，</w:t>
            </w:r>
            <w:r>
              <w:rPr>
                <w:rFonts w:hint="default" w:ascii="Times New Roman" w:hAnsi="Times New Roman" w:cs="Times New Roman"/>
                <w:color w:val="auto"/>
                <w:sz w:val="24"/>
                <w:szCs w:val="24"/>
                <w:u w:val="none" w:color="auto"/>
                <w:lang w:val="en-US" w:eastAsia="zh-CN"/>
              </w:rPr>
              <w:t>环保投资占比为</w:t>
            </w:r>
            <w:r>
              <w:rPr>
                <w:rFonts w:hint="eastAsia" w:cs="Times New Roman"/>
                <w:color w:val="auto"/>
                <w:sz w:val="24"/>
                <w:szCs w:val="24"/>
                <w:u w:val="none" w:color="auto"/>
                <w:lang w:val="en-US" w:eastAsia="zh-CN"/>
              </w:rPr>
              <w:t>12</w:t>
            </w:r>
            <w:r>
              <w:rPr>
                <w:rFonts w:hint="default" w:ascii="Times New Roman" w:hAnsi="Times New Roman" w:cs="Times New Roman"/>
                <w:color w:val="auto"/>
                <w:sz w:val="24"/>
                <w:szCs w:val="24"/>
                <w:u w:val="none" w:color="auto"/>
              </w:rPr>
              <w:t>%，具体明细见</w:t>
            </w:r>
            <w:r>
              <w:rPr>
                <w:rFonts w:hint="default" w:ascii="Times New Roman" w:hAnsi="Times New Roman" w:cs="Times New Roman"/>
                <w:color w:val="auto"/>
                <w:sz w:val="24"/>
                <w:szCs w:val="24"/>
                <w:u w:val="none" w:color="auto"/>
                <w:lang w:val="en-US" w:eastAsia="zh-CN"/>
              </w:rPr>
              <w:t>下</w:t>
            </w:r>
            <w:r>
              <w:rPr>
                <w:rFonts w:hint="default" w:ascii="Times New Roman" w:hAnsi="Times New Roman" w:cs="Times New Roman"/>
                <w:color w:val="auto"/>
                <w:sz w:val="24"/>
                <w:szCs w:val="24"/>
                <w:u w:val="none" w:color="auto"/>
              </w:rPr>
              <w:t>表。</w:t>
            </w:r>
          </w:p>
          <w:p w14:paraId="4AA2A4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表5-</w:t>
            </w:r>
            <w:r>
              <w:rPr>
                <w:rFonts w:hint="eastAsia" w:cs="Times New Roman"/>
                <w:color w:val="auto"/>
                <w:sz w:val="24"/>
                <w:szCs w:val="24"/>
                <w:highlight w:val="none"/>
                <w:u w:val="none" w:color="auto"/>
                <w:lang w:val="en-US" w:eastAsia="zh-CN"/>
              </w:rPr>
              <w:t>3</w:t>
            </w:r>
            <w:r>
              <w:rPr>
                <w:rFonts w:hint="default" w:ascii="Times New Roman" w:hAnsi="Times New Roman" w:cs="Times New Roman"/>
                <w:color w:val="auto"/>
                <w:sz w:val="24"/>
                <w:szCs w:val="24"/>
                <w:highlight w:val="none"/>
                <w:u w:val="none" w:color="auto"/>
                <w:lang w:val="en-US" w:eastAsia="zh-CN"/>
              </w:rPr>
              <w:t xml:space="preserve"> 环保投资一览表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5025"/>
              <w:gridCol w:w="1705"/>
            </w:tblGrid>
            <w:tr w14:paraId="40A2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845" w:type="pct"/>
                  <w:noWrap w:val="0"/>
                  <w:vAlign w:val="center"/>
                </w:tcPr>
                <w:p w14:paraId="265D6EFD">
                  <w:pPr>
                    <w:pStyle w:val="41"/>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名称</w:t>
                  </w:r>
                </w:p>
              </w:tc>
              <w:tc>
                <w:tcPr>
                  <w:tcW w:w="3101" w:type="pct"/>
                  <w:noWrap w:val="0"/>
                  <w:vAlign w:val="center"/>
                </w:tcPr>
                <w:p w14:paraId="220851A8">
                  <w:pPr>
                    <w:pStyle w:val="41"/>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明细</w:t>
                  </w:r>
                </w:p>
              </w:tc>
              <w:tc>
                <w:tcPr>
                  <w:tcW w:w="1052" w:type="pct"/>
                  <w:noWrap w:val="0"/>
                  <w:vAlign w:val="center"/>
                </w:tcPr>
                <w:p w14:paraId="2D0C885F">
                  <w:pPr>
                    <w:pStyle w:val="41"/>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投资估算（万元）</w:t>
                  </w:r>
                </w:p>
              </w:tc>
            </w:tr>
            <w:tr w14:paraId="4D95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45" w:type="pct"/>
                  <w:noWrap w:val="0"/>
                  <w:vAlign w:val="center"/>
                </w:tcPr>
                <w:p w14:paraId="73A4E415">
                  <w:pPr>
                    <w:pStyle w:val="41"/>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废气处理</w:t>
                  </w:r>
                </w:p>
              </w:tc>
              <w:tc>
                <w:tcPr>
                  <w:tcW w:w="3101" w:type="pct"/>
                  <w:noWrap w:val="0"/>
                  <w:vAlign w:val="center"/>
                </w:tcPr>
                <w:p w14:paraId="69FD1977">
                  <w:pPr>
                    <w:pStyle w:val="41"/>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除臭剂</w:t>
                  </w:r>
                </w:p>
              </w:tc>
              <w:tc>
                <w:tcPr>
                  <w:tcW w:w="1052" w:type="pct"/>
                  <w:noWrap w:val="0"/>
                  <w:vAlign w:val="center"/>
                </w:tcPr>
                <w:p w14:paraId="3BDFD516">
                  <w:pPr>
                    <w:pStyle w:val="41"/>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3</w:t>
                  </w:r>
                </w:p>
              </w:tc>
            </w:tr>
            <w:tr w14:paraId="32FB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45" w:type="pct"/>
                  <w:noWrap w:val="0"/>
                  <w:vAlign w:val="center"/>
                </w:tcPr>
                <w:p w14:paraId="069A056B">
                  <w:pPr>
                    <w:pStyle w:val="41"/>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废水处理</w:t>
                  </w:r>
                </w:p>
              </w:tc>
              <w:tc>
                <w:tcPr>
                  <w:tcW w:w="3101" w:type="pct"/>
                  <w:noWrap w:val="0"/>
                  <w:vAlign w:val="center"/>
                </w:tcPr>
                <w:p w14:paraId="41D0BCB6">
                  <w:pPr>
                    <w:pStyle w:val="41"/>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污水处理站+雨污管网建设</w:t>
                  </w:r>
                </w:p>
              </w:tc>
              <w:tc>
                <w:tcPr>
                  <w:tcW w:w="1052" w:type="pct"/>
                  <w:noWrap w:val="0"/>
                  <w:vAlign w:val="center"/>
                </w:tcPr>
                <w:p w14:paraId="4F11FD0B">
                  <w:pPr>
                    <w:pStyle w:val="41"/>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200</w:t>
                  </w:r>
                </w:p>
              </w:tc>
            </w:tr>
            <w:tr w14:paraId="1684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45" w:type="pct"/>
                  <w:noWrap w:val="0"/>
                  <w:vAlign w:val="center"/>
                </w:tcPr>
                <w:p w14:paraId="1FAD06E7">
                  <w:pPr>
                    <w:pStyle w:val="41"/>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噪声处置</w:t>
                  </w:r>
                </w:p>
              </w:tc>
              <w:tc>
                <w:tcPr>
                  <w:tcW w:w="3101" w:type="pct"/>
                  <w:noWrap w:val="0"/>
                  <w:vAlign w:val="center"/>
                </w:tcPr>
                <w:p w14:paraId="1BA93DDF">
                  <w:pPr>
                    <w:pStyle w:val="41"/>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基础减震、厂房隔声、厂区围墙加高</w:t>
                  </w:r>
                </w:p>
              </w:tc>
              <w:tc>
                <w:tcPr>
                  <w:tcW w:w="1052" w:type="pct"/>
                  <w:noWrap w:val="0"/>
                  <w:vAlign w:val="center"/>
                </w:tcPr>
                <w:p w14:paraId="414E3EB4">
                  <w:pPr>
                    <w:pStyle w:val="41"/>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30</w:t>
                  </w:r>
                </w:p>
              </w:tc>
            </w:tr>
            <w:tr w14:paraId="0A32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45" w:type="pct"/>
                  <w:noWrap w:val="0"/>
                  <w:vAlign w:val="center"/>
                </w:tcPr>
                <w:p w14:paraId="323252C0">
                  <w:pPr>
                    <w:pStyle w:val="41"/>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固废处置</w:t>
                  </w:r>
                </w:p>
              </w:tc>
              <w:tc>
                <w:tcPr>
                  <w:tcW w:w="3101" w:type="pct"/>
                  <w:noWrap w:val="0"/>
                  <w:vAlign w:val="center"/>
                </w:tcPr>
                <w:p w14:paraId="6D7A8F85">
                  <w:pPr>
                    <w:pStyle w:val="41"/>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一般固废暂存间、危废暂存间、危废处置</w:t>
                  </w:r>
                </w:p>
              </w:tc>
              <w:tc>
                <w:tcPr>
                  <w:tcW w:w="1052" w:type="pct"/>
                  <w:noWrap w:val="0"/>
                  <w:vAlign w:val="center"/>
                </w:tcPr>
                <w:p w14:paraId="3A20F3E6">
                  <w:pPr>
                    <w:pStyle w:val="41"/>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7</w:t>
                  </w:r>
                </w:p>
              </w:tc>
            </w:tr>
            <w:tr w14:paraId="0B7A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7" w:type="pct"/>
                  <w:gridSpan w:val="2"/>
                  <w:noWrap w:val="0"/>
                  <w:vAlign w:val="center"/>
                </w:tcPr>
                <w:p w14:paraId="3A8A5242">
                  <w:pPr>
                    <w:pStyle w:val="41"/>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合计</w:t>
                  </w:r>
                </w:p>
              </w:tc>
              <w:tc>
                <w:tcPr>
                  <w:tcW w:w="1052" w:type="pct"/>
                  <w:noWrap w:val="0"/>
                  <w:vAlign w:val="center"/>
                </w:tcPr>
                <w:p w14:paraId="48276D4C">
                  <w:pPr>
                    <w:pStyle w:val="41"/>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240</w:t>
                  </w:r>
                </w:p>
              </w:tc>
            </w:tr>
          </w:tbl>
          <w:p w14:paraId="15794D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FF0000"/>
                <w:sz w:val="24"/>
                <w:szCs w:val="24"/>
                <w:u w:val="none" w:color="auto"/>
                <w:vertAlign w:val="baseline"/>
                <w:lang w:val="en-US" w:eastAsia="zh-CN"/>
              </w:rPr>
            </w:pPr>
          </w:p>
        </w:tc>
      </w:tr>
    </w:tbl>
    <w:p w14:paraId="29151CAD">
      <w:pPr>
        <w:rPr>
          <w:rFonts w:hint="default" w:ascii="Times New Roman" w:hAnsi="Times New Roman" w:cs="Times New Roman"/>
          <w:color w:val="FF0000"/>
          <w:u w:val="none" w:color="auto"/>
          <w:lang w:val="en-US" w:eastAsia="zh-CN"/>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D48526B">
      <w:pPr>
        <w:pStyle w:val="2"/>
        <w:bidi w:val="0"/>
        <w:ind w:firstLine="0" w:firstLineChars="0"/>
        <w:jc w:val="left"/>
        <w:rPr>
          <w:rFonts w:hint="default" w:ascii="Times New Roman" w:hAnsi="Times New Roman" w:cs="Times New Roman"/>
          <w:b/>
          <w:bCs/>
          <w:color w:val="auto"/>
          <w:u w:val="none" w:color="auto"/>
          <w:lang w:val="en-US" w:eastAsia="zh-CN"/>
        </w:rPr>
      </w:pPr>
      <w:bookmarkStart w:id="1891" w:name="_Toc10108"/>
      <w:bookmarkStart w:id="1892" w:name="_Toc30918"/>
      <w:bookmarkStart w:id="1893" w:name="_Toc19193"/>
      <w:bookmarkStart w:id="1894" w:name="_Toc3225"/>
      <w:bookmarkStart w:id="1895" w:name="_Toc26737"/>
      <w:bookmarkStart w:id="1896" w:name="_Toc19276"/>
      <w:bookmarkStart w:id="1897" w:name="_Toc16"/>
      <w:bookmarkStart w:id="1898" w:name="_Toc12375"/>
      <w:bookmarkStart w:id="1899" w:name="_Toc18283"/>
      <w:bookmarkStart w:id="1900" w:name="_Toc15327"/>
      <w:bookmarkStart w:id="1901" w:name="_Toc20777"/>
      <w:bookmarkStart w:id="1902" w:name="_Toc23027"/>
      <w:bookmarkStart w:id="1903" w:name="_Toc20273"/>
      <w:bookmarkStart w:id="1904" w:name="_Toc624"/>
      <w:bookmarkStart w:id="1905" w:name="_Toc3673"/>
      <w:bookmarkStart w:id="1906" w:name="_Toc19001"/>
      <w:bookmarkStart w:id="1907" w:name="_Toc27596"/>
      <w:bookmarkStart w:id="1908" w:name="_Toc7748"/>
      <w:bookmarkStart w:id="1909" w:name="_Toc15235"/>
      <w:bookmarkStart w:id="1910" w:name="_Toc2312"/>
      <w:bookmarkStart w:id="1911" w:name="_Toc6637"/>
      <w:bookmarkStart w:id="1912" w:name="_Toc14234"/>
      <w:bookmarkStart w:id="1913" w:name="_Toc20184"/>
      <w:bookmarkStart w:id="1914" w:name="_Toc18601"/>
      <w:r>
        <w:rPr>
          <w:rFonts w:hint="default" w:ascii="Times New Roman" w:hAnsi="Times New Roman" w:cs="Times New Roman"/>
          <w:b/>
          <w:bCs/>
          <w:color w:val="auto"/>
          <w:u w:val="none" w:color="auto"/>
          <w:lang w:val="en-US" w:eastAsia="zh-CN"/>
        </w:rPr>
        <w:t>六、结论</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A70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14:paraId="35F8DB85">
            <w:pPr>
              <w:bidi w:val="0"/>
              <w:rPr>
                <w:rFonts w:hint="default" w:ascii="Times New Roman" w:hAnsi="Times New Roman" w:cs="Times New Roman"/>
                <w:color w:val="auto"/>
                <w:u w:val="none" w:color="auto"/>
                <w:lang w:val="en-US" w:eastAsia="zh-CN"/>
              </w:rPr>
            </w:pPr>
            <w:r>
              <w:rPr>
                <w:rFonts w:hint="eastAsia" w:cs="Times New Roman"/>
                <w:color w:val="auto"/>
                <w:sz w:val="24"/>
                <w:szCs w:val="24"/>
                <w:u w:val="none" w:color="auto"/>
                <w:vertAlign w:val="baseline"/>
                <w:lang w:val="en-US" w:eastAsia="zh-CN"/>
              </w:rPr>
              <w:t>溆浦县金中定点屠宰场升级改造建设项目</w:t>
            </w:r>
            <w:r>
              <w:rPr>
                <w:rFonts w:hint="eastAsia" w:ascii="Times New Roman" w:hAnsi="Times New Roman" w:cs="Times New Roman"/>
                <w:color w:val="auto"/>
                <w:u w:val="none" w:color="auto"/>
                <w:lang w:val="en-US" w:eastAsia="zh-CN"/>
              </w:rPr>
              <w:t>位于</w:t>
            </w:r>
            <w:r>
              <w:rPr>
                <w:rFonts w:hint="eastAsia" w:ascii="Times New Roman" w:hAnsi="Times New Roman" w:cs="Times New Roman"/>
                <w:color w:val="auto"/>
                <w:sz w:val="24"/>
                <w:szCs w:val="24"/>
                <w:u w:val="none" w:color="auto"/>
                <w:vertAlign w:val="baseline"/>
                <w:lang w:val="en-US" w:eastAsia="zh-CN"/>
              </w:rPr>
              <w:t>湖南省</w:t>
            </w:r>
            <w:r>
              <w:rPr>
                <w:rFonts w:hint="eastAsia" w:ascii="Times New Roman" w:hAnsi="Times New Roman" w:eastAsia="宋体" w:cs="Times New Roman"/>
                <w:color w:val="auto"/>
                <w:sz w:val="24"/>
                <w:u w:val="none" w:color="auto"/>
                <w:lang w:eastAsia="zh-CN"/>
              </w:rPr>
              <w:t>怀化市溆浦县卢峰镇</w:t>
            </w:r>
            <w:r>
              <w:rPr>
                <w:rFonts w:hint="eastAsia" w:cs="Times New Roman"/>
                <w:color w:val="auto"/>
                <w:sz w:val="24"/>
                <w:u w:val="none" w:color="auto"/>
                <w:lang w:eastAsia="zh-CN"/>
              </w:rPr>
              <w:t>水田垅村</w:t>
            </w:r>
            <w:r>
              <w:rPr>
                <w:rFonts w:hint="eastAsia" w:ascii="Times New Roman" w:hAnsi="Times New Roman" w:cs="Times New Roman"/>
                <w:color w:val="auto"/>
                <w:u w:val="none" w:color="auto"/>
                <w:lang w:val="en-US" w:eastAsia="zh-CN"/>
              </w:rPr>
              <w:t>，符合国家当前产业政策的要求</w:t>
            </w: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项目</w:t>
            </w:r>
            <w:r>
              <w:rPr>
                <w:rFonts w:hint="eastAsia" w:cs="Times New Roman"/>
                <w:color w:val="auto"/>
                <w:sz w:val="24"/>
                <w:szCs w:val="24"/>
                <w:u w:val="none" w:color="auto"/>
                <w:vertAlign w:val="baseline"/>
                <w:lang w:val="en-US" w:eastAsia="zh-CN"/>
              </w:rPr>
              <w:t>污水处理</w:t>
            </w:r>
            <w:r>
              <w:rPr>
                <w:rFonts w:hint="eastAsia" w:cs="Times New Roman"/>
                <w:color w:val="auto"/>
                <w:sz w:val="24"/>
                <w:szCs w:val="24"/>
                <w:u w:val="none" w:color="auto"/>
                <w:lang w:val="en-US" w:eastAsia="zh-CN"/>
              </w:rPr>
              <w:t>站</w:t>
            </w:r>
            <w:r>
              <w:rPr>
                <w:rFonts w:hint="eastAsia" w:cs="Times New Roman"/>
                <w:color w:val="auto"/>
                <w:sz w:val="24"/>
                <w:szCs w:val="24"/>
                <w:u w:val="none" w:color="auto"/>
                <w:vertAlign w:val="baseline"/>
                <w:lang w:val="en-US" w:eastAsia="zh-CN"/>
              </w:rPr>
              <w:t>恶臭、危废暂存间废气进行无组织排放，</w:t>
            </w:r>
            <w:r>
              <w:rPr>
                <w:rFonts w:hint="eastAsia" w:cs="Times New Roman"/>
                <w:color w:val="auto"/>
                <w:sz w:val="24"/>
                <w:szCs w:val="24"/>
                <w:u w:val="none" w:color="auto"/>
                <w:lang w:val="en-US" w:eastAsia="zh-CN"/>
              </w:rPr>
              <w:t>待宰间恶臭及屠宰间、急宰间恶臭喷洒除臭剂后无组织排放，本项目使用电锅炉提供蒸汽，不产生锅炉废气</w:t>
            </w:r>
            <w:r>
              <w:rPr>
                <w:rFonts w:hint="eastAsia" w:ascii="Times New Roman" w:hAnsi="Times New Roman" w:eastAsia="宋体" w:cs="Times New Roman"/>
                <w:color w:val="auto"/>
                <w:u w:val="none" w:color="auto"/>
                <w:lang w:val="en-US" w:eastAsia="zh-CN"/>
              </w:rPr>
              <w:t>，对周边环境影响较小；本项目</w:t>
            </w:r>
            <w:r>
              <w:rPr>
                <w:rFonts w:hint="eastAsia" w:ascii="Times New Roman" w:hAnsi="Times New Roman" w:eastAsia="宋体" w:cs="Times New Roman"/>
                <w:color w:val="auto"/>
                <w:sz w:val="24"/>
                <w:szCs w:val="24"/>
                <w:u w:val="none" w:color="auto"/>
                <w:vertAlign w:val="baseline"/>
                <w:lang w:val="en-US" w:eastAsia="zh-CN"/>
              </w:rPr>
              <w:t>项目</w:t>
            </w:r>
            <w:r>
              <w:rPr>
                <w:rFonts w:hint="eastAsia" w:cs="Times New Roman"/>
                <w:color w:val="auto"/>
                <w:sz w:val="24"/>
                <w:szCs w:val="24"/>
                <w:u w:val="none" w:color="auto"/>
                <w:vertAlign w:val="baseline"/>
                <w:lang w:val="en-US" w:eastAsia="zh-CN"/>
              </w:rPr>
              <w:t>不新增生活污水，</w:t>
            </w:r>
            <w:r>
              <w:rPr>
                <w:rFonts w:hint="eastAsia" w:cs="Times New Roman"/>
                <w:color w:val="auto"/>
                <w:kern w:val="2"/>
                <w:sz w:val="24"/>
                <w:szCs w:val="24"/>
                <w:u w:val="none" w:color="auto"/>
                <w:lang w:val="en-US" w:eastAsia="zh-CN" w:bidi="ar"/>
              </w:rPr>
              <w:t>经</w:t>
            </w:r>
            <w:r>
              <w:rPr>
                <w:rFonts w:hint="eastAsia" w:ascii="Times New Roman" w:hAnsi="Times New Roman" w:eastAsia="宋体" w:cs="Times New Roman"/>
                <w:color w:val="auto"/>
                <w:kern w:val="2"/>
                <w:sz w:val="24"/>
                <w:szCs w:val="24"/>
                <w:u w:val="none" w:color="auto"/>
                <w:lang w:val="en-US" w:eastAsia="zh-CN" w:bidi="ar"/>
              </w:rPr>
              <w:t>污水处理站（</w:t>
            </w:r>
            <w:r>
              <w:rPr>
                <w:rFonts w:hint="eastAsia" w:cs="Times New Roman"/>
                <w:color w:val="auto"/>
                <w:sz w:val="24"/>
                <w:szCs w:val="24"/>
                <w:u w:val="none" w:color="auto"/>
                <w:lang w:val="en-US" w:eastAsia="zh-CN"/>
              </w:rPr>
              <w:t>格栅+隔油+曝气+气浮+厌氧+好氧+沉淀+消毒池</w:t>
            </w:r>
            <w:r>
              <w:rPr>
                <w:rFonts w:hint="eastAsia" w:ascii="Times New Roman" w:hAnsi="Times New Roman" w:eastAsia="宋体" w:cs="Times New Roman"/>
                <w:color w:val="auto"/>
                <w:kern w:val="2"/>
                <w:sz w:val="24"/>
                <w:szCs w:val="24"/>
                <w:u w:val="none" w:color="auto"/>
                <w:lang w:val="en-US" w:eastAsia="zh-CN" w:bidi="ar"/>
              </w:rPr>
              <w:t>）处理后的屠宰生产废水及车辆清洗废水一起进入市政污水管网，排入卢峰镇污水处理厂处理，</w:t>
            </w:r>
            <w:r>
              <w:rPr>
                <w:rFonts w:hint="eastAsia" w:ascii="Times New Roman" w:hAnsi="Times New Roman" w:eastAsia="宋体" w:cs="Times New Roman"/>
                <w:color w:val="auto"/>
                <w:sz w:val="24"/>
                <w:szCs w:val="24"/>
                <w:u w:val="none" w:color="auto"/>
                <w:lang w:val="en-US" w:eastAsia="zh-CN"/>
              </w:rPr>
              <w:t>设备选用低噪声设备。本项目各类固体废物均能得到有效、合法的处置。</w:t>
            </w:r>
            <w:r>
              <w:rPr>
                <w:rFonts w:hint="eastAsia" w:ascii="Times New Roman" w:hAnsi="Times New Roman" w:eastAsia="宋体" w:cs="Times New Roman"/>
                <w:color w:val="auto"/>
                <w:u w:val="none" w:color="auto"/>
                <w:lang w:val="en-US" w:eastAsia="zh-CN"/>
              </w:rPr>
              <w:t>建设单位在认真落实报告中提出的各项环保治理措施，严格执行“三同时”制度和加强管理、监督，</w:t>
            </w:r>
            <w:r>
              <w:rPr>
                <w:rFonts w:hint="default" w:ascii="Times New Roman" w:hAnsi="Times New Roman" w:eastAsia="宋体" w:cs="Times New Roman"/>
                <w:color w:val="auto"/>
                <w:u w:val="none" w:color="auto"/>
                <w:lang w:val="en-US" w:eastAsia="zh-CN"/>
              </w:rPr>
              <w:t>确保各项污染物达标排放的前提下，本项目的建设对周边环境的影响可控，从环境保护角度分析，本项目建设可行。</w:t>
            </w:r>
          </w:p>
          <w:p w14:paraId="29AEB5BE">
            <w:pPr>
              <w:bidi w:val="0"/>
              <w:rPr>
                <w:rFonts w:hint="default" w:ascii="Times New Roman" w:hAnsi="Times New Roman" w:cs="Times New Roman"/>
                <w:color w:val="FF0000"/>
                <w:u w:val="none" w:color="auto"/>
                <w:lang w:val="en-US" w:eastAsia="zh-CN"/>
              </w:rPr>
            </w:pPr>
          </w:p>
          <w:p w14:paraId="42D7EE25">
            <w:pPr>
              <w:widowControl w:val="0"/>
              <w:rPr>
                <w:rFonts w:hint="default" w:ascii="Times New Roman" w:hAnsi="Times New Roman" w:cs="Times New Roman"/>
                <w:color w:val="FF0000"/>
                <w:u w:val="none" w:color="auto"/>
                <w:lang w:val="en-US" w:eastAsia="zh-CN"/>
              </w:rPr>
            </w:pPr>
          </w:p>
          <w:p w14:paraId="2CD4A385">
            <w:pPr>
              <w:widowControl w:val="0"/>
              <w:rPr>
                <w:rFonts w:hint="default" w:ascii="Times New Roman" w:hAnsi="Times New Roman" w:cs="Times New Roman"/>
                <w:color w:val="FF0000"/>
                <w:u w:val="none" w:color="auto"/>
                <w:lang w:val="en-US" w:eastAsia="zh-CN"/>
              </w:rPr>
            </w:pPr>
          </w:p>
          <w:p w14:paraId="7275DF4C">
            <w:pPr>
              <w:widowControl w:val="0"/>
              <w:rPr>
                <w:rFonts w:hint="default" w:ascii="Times New Roman" w:hAnsi="Times New Roman" w:cs="Times New Roman"/>
                <w:color w:val="FF0000"/>
                <w:u w:val="none" w:color="auto"/>
                <w:lang w:val="en-US" w:eastAsia="zh-CN"/>
              </w:rPr>
            </w:pPr>
          </w:p>
          <w:p w14:paraId="5CFD4361">
            <w:pPr>
              <w:widowControl w:val="0"/>
              <w:rPr>
                <w:rFonts w:hint="default" w:ascii="Times New Roman" w:hAnsi="Times New Roman" w:cs="Times New Roman"/>
                <w:color w:val="FF0000"/>
                <w:u w:val="none" w:color="auto"/>
                <w:lang w:val="en-US" w:eastAsia="zh-CN"/>
              </w:rPr>
            </w:pPr>
          </w:p>
          <w:p w14:paraId="24A0E19B">
            <w:pPr>
              <w:widowControl w:val="0"/>
              <w:rPr>
                <w:rFonts w:hint="default" w:ascii="Times New Roman" w:hAnsi="Times New Roman" w:cs="Times New Roman"/>
                <w:color w:val="FF0000"/>
                <w:u w:val="none" w:color="auto"/>
                <w:lang w:val="en-US" w:eastAsia="zh-CN"/>
              </w:rPr>
            </w:pPr>
          </w:p>
          <w:p w14:paraId="31D86AA9">
            <w:pPr>
              <w:widowControl w:val="0"/>
              <w:rPr>
                <w:rFonts w:hint="default" w:ascii="Times New Roman" w:hAnsi="Times New Roman" w:cs="Times New Roman"/>
                <w:color w:val="FF0000"/>
                <w:u w:val="none" w:color="auto"/>
                <w:lang w:val="en-US" w:eastAsia="zh-CN"/>
              </w:rPr>
            </w:pPr>
          </w:p>
          <w:p w14:paraId="40EE38EE">
            <w:pPr>
              <w:widowControl w:val="0"/>
              <w:rPr>
                <w:rFonts w:hint="default" w:ascii="Times New Roman" w:hAnsi="Times New Roman" w:cs="Times New Roman"/>
                <w:color w:val="FF0000"/>
                <w:u w:val="none" w:color="auto"/>
                <w:lang w:val="en-US" w:eastAsia="zh-CN"/>
              </w:rPr>
            </w:pPr>
          </w:p>
          <w:p w14:paraId="7F7AB39A">
            <w:pPr>
              <w:widowControl w:val="0"/>
              <w:rPr>
                <w:rFonts w:hint="default" w:ascii="Times New Roman" w:hAnsi="Times New Roman" w:cs="Times New Roman"/>
                <w:color w:val="FF0000"/>
                <w:u w:val="none" w:color="auto"/>
                <w:lang w:val="en-US" w:eastAsia="zh-CN"/>
              </w:rPr>
            </w:pPr>
          </w:p>
          <w:p w14:paraId="536AC55A">
            <w:pPr>
              <w:widowControl w:val="0"/>
              <w:rPr>
                <w:rFonts w:hint="default" w:ascii="Times New Roman" w:hAnsi="Times New Roman" w:cs="Times New Roman"/>
                <w:color w:val="FF0000"/>
                <w:u w:val="none" w:color="auto"/>
                <w:lang w:val="en-US" w:eastAsia="zh-CN"/>
              </w:rPr>
            </w:pPr>
          </w:p>
          <w:p w14:paraId="16099B36">
            <w:pPr>
              <w:widowControl w:val="0"/>
              <w:rPr>
                <w:rFonts w:hint="default" w:ascii="Times New Roman" w:hAnsi="Times New Roman" w:cs="Times New Roman"/>
                <w:color w:val="FF0000"/>
                <w:u w:val="none" w:color="auto"/>
                <w:lang w:val="en-US" w:eastAsia="zh-CN"/>
              </w:rPr>
            </w:pPr>
          </w:p>
          <w:p w14:paraId="5484A28B">
            <w:pPr>
              <w:widowControl w:val="0"/>
              <w:rPr>
                <w:rFonts w:hint="default" w:ascii="Times New Roman" w:hAnsi="Times New Roman" w:cs="Times New Roman"/>
                <w:color w:val="FF0000"/>
                <w:u w:val="none" w:color="auto"/>
                <w:lang w:val="en-US" w:eastAsia="zh-CN"/>
              </w:rPr>
            </w:pPr>
          </w:p>
          <w:p w14:paraId="557CF68C">
            <w:pPr>
              <w:widowControl w:val="0"/>
              <w:rPr>
                <w:rFonts w:hint="default" w:ascii="Times New Roman" w:hAnsi="Times New Roman" w:cs="Times New Roman"/>
                <w:color w:val="FF0000"/>
                <w:u w:val="none" w:color="auto"/>
                <w:lang w:val="en-US" w:eastAsia="zh-CN"/>
              </w:rPr>
            </w:pPr>
          </w:p>
          <w:p w14:paraId="551A7D35">
            <w:pPr>
              <w:widowControl w:val="0"/>
              <w:rPr>
                <w:rFonts w:hint="default" w:ascii="Times New Roman" w:hAnsi="Times New Roman" w:cs="Times New Roman"/>
                <w:color w:val="FF0000"/>
                <w:u w:val="none" w:color="auto"/>
                <w:lang w:val="en-US" w:eastAsia="zh-CN"/>
              </w:rPr>
            </w:pPr>
          </w:p>
          <w:p w14:paraId="02FDD373">
            <w:pPr>
              <w:widowControl w:val="0"/>
              <w:rPr>
                <w:rFonts w:hint="default" w:ascii="Times New Roman" w:hAnsi="Times New Roman" w:cs="Times New Roman"/>
                <w:color w:val="FF0000"/>
                <w:u w:val="none" w:color="auto"/>
                <w:lang w:val="en-US" w:eastAsia="zh-CN"/>
              </w:rPr>
            </w:pPr>
          </w:p>
          <w:p w14:paraId="3293E0AD">
            <w:pPr>
              <w:widowControl w:val="0"/>
              <w:rPr>
                <w:rFonts w:hint="default" w:ascii="Times New Roman" w:hAnsi="Times New Roman" w:cs="Times New Roman"/>
                <w:color w:val="FF0000"/>
                <w:u w:val="none" w:color="auto"/>
                <w:lang w:val="en-US" w:eastAsia="zh-CN"/>
              </w:rPr>
            </w:pPr>
          </w:p>
          <w:p w14:paraId="1909A94E">
            <w:pPr>
              <w:widowControl w:val="0"/>
              <w:ind w:left="0" w:leftChars="0" w:firstLine="0" w:firstLineChars="0"/>
              <w:jc w:val="both"/>
              <w:rPr>
                <w:rFonts w:hint="default" w:ascii="Times New Roman" w:hAnsi="Times New Roman" w:cs="Times New Roman"/>
                <w:color w:val="FF0000"/>
                <w:u w:val="none" w:color="auto"/>
                <w:lang w:val="en-US" w:eastAsia="zh-CN"/>
              </w:rPr>
            </w:pPr>
          </w:p>
        </w:tc>
      </w:tr>
    </w:tbl>
    <w:p w14:paraId="09679FC0">
      <w:pPr>
        <w:rPr>
          <w:rFonts w:hint="default" w:ascii="Times New Roman" w:hAnsi="Times New Roman" w:cs="Times New Roman"/>
          <w:color w:val="FF0000"/>
          <w:u w:val="none" w:color="auto"/>
          <w:lang w:val="en-US" w:eastAsia="zh-CN"/>
        </w:rPr>
        <w:sectPr>
          <w:headerReference r:id="rId8" w:type="default"/>
          <w:footerReference r:id="rId9"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B86204B">
      <w:pPr>
        <w:pStyle w:val="20"/>
        <w:spacing w:before="0" w:beforeAutospacing="0" w:after="0" w:afterAutospacing="0" w:line="360" w:lineRule="auto"/>
        <w:ind w:firstLine="0" w:firstLineChars="0"/>
        <w:jc w:val="center"/>
        <w:outlineLvl w:val="0"/>
        <w:rPr>
          <w:rFonts w:hint="default" w:ascii="Times New Roman" w:hAnsi="Times New Roman" w:eastAsia="黑体" w:cs="Times New Roman"/>
          <w:b w:val="0"/>
          <w:bCs/>
          <w:color w:val="auto"/>
          <w:kern w:val="44"/>
          <w:sz w:val="28"/>
          <w:szCs w:val="30"/>
          <w:u w:val="none" w:color="auto"/>
          <w:lang w:val="en-US" w:eastAsia="zh-CN" w:bidi="ar-SA"/>
        </w:rPr>
      </w:pPr>
      <w:bookmarkStart w:id="1915" w:name="_Toc21640"/>
      <w:bookmarkStart w:id="1916" w:name="_Toc1369"/>
      <w:bookmarkStart w:id="1917" w:name="_Toc28231"/>
      <w:bookmarkStart w:id="1918" w:name="_Toc26374"/>
      <w:bookmarkStart w:id="1919" w:name="_Toc10172"/>
      <w:bookmarkStart w:id="1920" w:name="_Toc25713"/>
      <w:bookmarkStart w:id="1921" w:name="_Toc27585"/>
      <w:bookmarkStart w:id="1922" w:name="_Toc7562"/>
      <w:bookmarkStart w:id="1923" w:name="_Toc18727"/>
      <w:bookmarkStart w:id="1924" w:name="_Toc4191"/>
      <w:bookmarkStart w:id="1925" w:name="_Toc13120"/>
      <w:bookmarkStart w:id="1926" w:name="_Toc18423"/>
      <w:bookmarkStart w:id="1927" w:name="_Toc19111"/>
      <w:bookmarkStart w:id="1928" w:name="_Toc15768"/>
      <w:bookmarkStart w:id="1929" w:name="_Toc32056"/>
      <w:bookmarkStart w:id="1930" w:name="_Toc15954"/>
      <w:bookmarkStart w:id="1931" w:name="_Toc29829"/>
      <w:bookmarkStart w:id="1932" w:name="_Toc29387"/>
      <w:bookmarkStart w:id="1933" w:name="_Toc17017"/>
      <w:bookmarkStart w:id="1934" w:name="_Toc24658"/>
      <w:bookmarkStart w:id="1935" w:name="_Toc26674"/>
      <w:bookmarkStart w:id="1936" w:name="_Toc4911"/>
      <w:bookmarkStart w:id="1937" w:name="_Toc5521"/>
      <w:bookmarkStart w:id="1938" w:name="_Toc27734"/>
      <w:bookmarkStart w:id="1939" w:name="_Toc2966"/>
      <w:bookmarkStart w:id="1940" w:name="_Toc32469"/>
      <w:bookmarkStart w:id="1941" w:name="_Toc15107"/>
      <w:bookmarkStart w:id="1942" w:name="_Toc31407"/>
      <w:r>
        <w:rPr>
          <w:rFonts w:hint="default" w:ascii="Times New Roman" w:hAnsi="Times New Roman" w:eastAsia="黑体" w:cs="Times New Roman"/>
          <w:b w:val="0"/>
          <w:bCs/>
          <w:color w:val="auto"/>
          <w:kern w:val="44"/>
          <w:sz w:val="28"/>
          <w:szCs w:val="30"/>
          <w:u w:val="none" w:color="auto"/>
          <w:lang w:val="en-US" w:eastAsia="zh-CN" w:bidi="ar-SA"/>
        </w:rPr>
        <w:t>建设项目污染物排放量汇总表</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tbl>
      <w:tblPr>
        <w:tblStyle w:val="22"/>
        <w:tblpPr w:leftFromText="180" w:rightFromText="180" w:vertAnchor="text" w:tblpXSpec="center" w:tblpY="1"/>
        <w:tblOverlap w:val="never"/>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2795"/>
        <w:gridCol w:w="1744"/>
        <w:gridCol w:w="1220"/>
        <w:gridCol w:w="1682"/>
        <w:gridCol w:w="1338"/>
        <w:gridCol w:w="1307"/>
        <w:gridCol w:w="1963"/>
        <w:gridCol w:w="1122"/>
      </w:tblGrid>
      <w:tr w14:paraId="1DAD9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 w:type="pct"/>
            <w:tcBorders>
              <w:tl2br w:val="single" w:color="auto" w:sz="4" w:space="0"/>
            </w:tcBorders>
            <w:noWrap w:val="0"/>
            <w:tcMar>
              <w:left w:w="28" w:type="dxa"/>
              <w:right w:w="28" w:type="dxa"/>
            </w:tcMar>
            <w:vAlign w:val="center"/>
          </w:tcPr>
          <w:p w14:paraId="1E41E35E">
            <w:pPr>
              <w:pStyle w:val="44"/>
              <w:spacing w:line="240" w:lineRule="auto"/>
              <w:rPr>
                <w:rFonts w:hint="default" w:ascii="Times New Roman" w:hAnsi="Times New Roman" w:cs="Times New Roman"/>
                <w:color w:val="auto"/>
                <w:sz w:val="18"/>
                <w:szCs w:val="18"/>
                <w:u w:val="none" w:color="auto"/>
                <w:lang w:val="en-US" w:eastAsia="zh-CN"/>
              </w:rPr>
            </w:pPr>
            <w:bookmarkStart w:id="1943" w:name="_Toc18150"/>
            <w:bookmarkStart w:id="1944" w:name="_Toc31532"/>
            <w:bookmarkStart w:id="1945" w:name="_Toc25889"/>
            <w:bookmarkStart w:id="1946" w:name="_Toc11878"/>
            <w:bookmarkStart w:id="1947" w:name="_Toc2515"/>
            <w:bookmarkStart w:id="1948" w:name="_Toc16029"/>
            <w:bookmarkStart w:id="1949" w:name="_Toc1904"/>
            <w:bookmarkStart w:id="1950" w:name="_Toc15755"/>
            <w:bookmarkStart w:id="1951" w:name="_Toc20782"/>
            <w:bookmarkStart w:id="1952" w:name="_Toc7278"/>
            <w:bookmarkStart w:id="1953" w:name="_Toc22234"/>
            <w:bookmarkStart w:id="1954" w:name="_Toc31466"/>
            <w:bookmarkStart w:id="1955" w:name="_Toc10238"/>
            <w:bookmarkStart w:id="1956" w:name="_Toc15123"/>
            <w:bookmarkStart w:id="1957" w:name="_Toc28497"/>
            <w:bookmarkStart w:id="1958" w:name="_Toc25421"/>
            <w:bookmarkStart w:id="1959" w:name="_Toc3894"/>
            <w:bookmarkStart w:id="1960" w:name="_Toc26362"/>
            <w:bookmarkStart w:id="1961" w:name="_Toc30983"/>
            <w:bookmarkStart w:id="1962" w:name="_Toc3544"/>
            <w:bookmarkStart w:id="1963" w:name="_Toc8371"/>
            <w:bookmarkStart w:id="1964" w:name="_Toc25720"/>
            <w:bookmarkStart w:id="1965" w:name="_Toc13625"/>
            <w:r>
              <w:rPr>
                <w:rFonts w:hint="default" w:ascii="Times New Roman" w:hAnsi="Times New Roman" w:cs="Times New Roman"/>
                <w:color w:val="auto"/>
                <w:sz w:val="18"/>
                <w:szCs w:val="18"/>
                <w:u w:val="none" w:color="auto"/>
                <w:lang w:val="en-US" w:eastAsia="zh-CN"/>
              </w:rPr>
              <w:t>项目</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4AA72905">
            <w:pPr>
              <w:pStyle w:val="44"/>
              <w:spacing w:line="240" w:lineRule="auto"/>
              <w:jc w:val="center"/>
              <w:rPr>
                <w:rFonts w:hint="default" w:ascii="Times New Roman" w:hAnsi="Times New Roman" w:cs="Times New Roman"/>
                <w:color w:val="auto"/>
                <w:sz w:val="18"/>
                <w:szCs w:val="18"/>
                <w:u w:val="none" w:color="auto"/>
                <w:lang w:val="en-US" w:eastAsia="zh-CN"/>
              </w:rPr>
            </w:pPr>
            <w:bookmarkStart w:id="1966" w:name="_Toc29965"/>
            <w:bookmarkStart w:id="1967" w:name="_Toc30988"/>
            <w:bookmarkStart w:id="1968" w:name="_Toc13582"/>
            <w:bookmarkStart w:id="1969" w:name="_Toc15059"/>
            <w:bookmarkStart w:id="1970" w:name="_Toc6910"/>
            <w:bookmarkStart w:id="1971" w:name="_Toc11234"/>
            <w:bookmarkStart w:id="1972" w:name="_Toc20158"/>
            <w:bookmarkStart w:id="1973" w:name="_Toc13072"/>
            <w:bookmarkStart w:id="1974" w:name="_Toc12820"/>
            <w:bookmarkStart w:id="1975" w:name="_Toc5075"/>
            <w:bookmarkStart w:id="1976" w:name="_Toc9996"/>
            <w:bookmarkStart w:id="1977" w:name="_Toc27251"/>
            <w:bookmarkStart w:id="1978" w:name="_Toc15677"/>
            <w:bookmarkStart w:id="1979" w:name="_Toc3261"/>
            <w:bookmarkStart w:id="1980" w:name="_Toc28998"/>
            <w:bookmarkStart w:id="1981" w:name="_Toc18231"/>
            <w:bookmarkStart w:id="1982" w:name="_Toc23622"/>
            <w:bookmarkStart w:id="1983" w:name="_Toc10715"/>
            <w:bookmarkStart w:id="1984" w:name="_Toc26941"/>
            <w:bookmarkStart w:id="1985" w:name="_Toc23510"/>
            <w:bookmarkStart w:id="1986" w:name="_Toc7359"/>
            <w:bookmarkStart w:id="1987" w:name="_Toc8250"/>
            <w:bookmarkStart w:id="1988" w:name="_Toc22351"/>
            <w:r>
              <w:rPr>
                <w:rFonts w:hint="default" w:ascii="Times New Roman" w:hAnsi="Times New Roman" w:cs="Times New Roman"/>
                <w:color w:val="auto"/>
                <w:sz w:val="18"/>
                <w:szCs w:val="18"/>
                <w:u w:val="none" w:color="auto"/>
                <w:lang w:val="en-US" w:eastAsia="zh-CN"/>
              </w:rPr>
              <w:t>分类</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tc>
        <w:tc>
          <w:tcPr>
            <w:tcW w:w="997" w:type="pct"/>
            <w:noWrap w:val="0"/>
            <w:tcMar>
              <w:left w:w="28" w:type="dxa"/>
              <w:right w:w="28" w:type="dxa"/>
            </w:tcMar>
            <w:vAlign w:val="center"/>
          </w:tcPr>
          <w:p w14:paraId="5DFD41F5">
            <w:pPr>
              <w:pStyle w:val="44"/>
              <w:spacing w:line="240" w:lineRule="auto"/>
              <w:rPr>
                <w:rFonts w:hint="default" w:ascii="Times New Roman" w:hAnsi="Times New Roman" w:cs="Times New Roman"/>
                <w:color w:val="auto"/>
                <w:sz w:val="18"/>
                <w:szCs w:val="18"/>
                <w:u w:val="none" w:color="auto"/>
                <w:lang w:val="en-US" w:eastAsia="zh-CN"/>
              </w:rPr>
            </w:pPr>
            <w:bookmarkStart w:id="1989" w:name="_Toc13481"/>
            <w:bookmarkStart w:id="1990" w:name="_Toc13529"/>
            <w:bookmarkStart w:id="1991" w:name="_Toc10060"/>
            <w:bookmarkStart w:id="1992" w:name="_Toc7075"/>
            <w:bookmarkStart w:id="1993" w:name="_Toc3165"/>
            <w:bookmarkStart w:id="1994" w:name="_Toc12338"/>
            <w:bookmarkStart w:id="1995" w:name="_Toc4997"/>
            <w:bookmarkStart w:id="1996" w:name="_Toc22280"/>
            <w:bookmarkStart w:id="1997" w:name="_Toc13574"/>
            <w:bookmarkStart w:id="1998" w:name="_Toc6944"/>
            <w:bookmarkStart w:id="1999" w:name="_Toc10186"/>
            <w:bookmarkStart w:id="2000" w:name="_Toc1296"/>
            <w:bookmarkStart w:id="2001" w:name="_Toc7268"/>
            <w:bookmarkStart w:id="2002" w:name="_Toc13845"/>
            <w:bookmarkStart w:id="2003" w:name="_Toc7669"/>
            <w:bookmarkStart w:id="2004" w:name="_Toc3462"/>
            <w:bookmarkStart w:id="2005" w:name="_Toc8130"/>
            <w:bookmarkStart w:id="2006" w:name="_Toc3800"/>
            <w:bookmarkStart w:id="2007" w:name="_Toc16497"/>
            <w:bookmarkStart w:id="2008" w:name="_Toc25316"/>
            <w:bookmarkStart w:id="2009" w:name="_Toc3540"/>
            <w:bookmarkStart w:id="2010" w:name="_Toc1947"/>
            <w:bookmarkStart w:id="2011" w:name="_Toc29561"/>
            <w:r>
              <w:rPr>
                <w:rFonts w:hint="default" w:ascii="Times New Roman" w:hAnsi="Times New Roman" w:cs="Times New Roman"/>
                <w:color w:val="auto"/>
                <w:sz w:val="18"/>
                <w:szCs w:val="18"/>
                <w:u w:val="none" w:color="auto"/>
                <w:lang w:val="en-US" w:eastAsia="zh-CN"/>
              </w:rPr>
              <w:t>污染物名称</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tc>
        <w:tc>
          <w:tcPr>
            <w:tcW w:w="622" w:type="pct"/>
            <w:noWrap w:val="0"/>
            <w:tcMar>
              <w:left w:w="28" w:type="dxa"/>
              <w:right w:w="28" w:type="dxa"/>
            </w:tcMar>
            <w:vAlign w:val="center"/>
          </w:tcPr>
          <w:p w14:paraId="3E976C26">
            <w:pPr>
              <w:pStyle w:val="44"/>
              <w:spacing w:line="240" w:lineRule="auto"/>
              <w:rPr>
                <w:rFonts w:hint="default" w:ascii="Times New Roman" w:hAnsi="Times New Roman" w:cs="Times New Roman"/>
                <w:color w:val="auto"/>
                <w:sz w:val="18"/>
                <w:szCs w:val="18"/>
                <w:u w:val="none" w:color="auto"/>
                <w:lang w:val="en-US" w:eastAsia="zh-CN"/>
              </w:rPr>
            </w:pPr>
            <w:bookmarkStart w:id="2012" w:name="_Toc1154"/>
            <w:bookmarkStart w:id="2013" w:name="_Toc20585"/>
            <w:bookmarkStart w:id="2014" w:name="_Toc7366"/>
            <w:bookmarkStart w:id="2015" w:name="_Toc24344"/>
            <w:bookmarkStart w:id="2016" w:name="_Toc19995"/>
            <w:bookmarkStart w:id="2017" w:name="_Toc6948"/>
            <w:bookmarkStart w:id="2018" w:name="_Toc25251"/>
            <w:bookmarkStart w:id="2019" w:name="_Toc2971"/>
            <w:bookmarkStart w:id="2020" w:name="_Toc30445"/>
            <w:bookmarkStart w:id="2021" w:name="_Toc29613"/>
            <w:bookmarkStart w:id="2022" w:name="_Toc1340"/>
            <w:bookmarkStart w:id="2023" w:name="_Toc28544"/>
            <w:bookmarkStart w:id="2024" w:name="_Toc23302"/>
            <w:bookmarkStart w:id="2025" w:name="_Toc20387"/>
            <w:bookmarkStart w:id="2026" w:name="_Toc1739"/>
            <w:bookmarkStart w:id="2027" w:name="_Toc27059"/>
            <w:bookmarkStart w:id="2028" w:name="_Toc23540"/>
            <w:bookmarkStart w:id="2029" w:name="_Toc30696"/>
            <w:bookmarkStart w:id="2030" w:name="_Toc20371"/>
            <w:bookmarkStart w:id="2031" w:name="_Toc6807"/>
            <w:bookmarkStart w:id="2032" w:name="_Toc23931"/>
            <w:bookmarkStart w:id="2033" w:name="_Toc6466"/>
            <w:bookmarkStart w:id="2034" w:name="_Toc5455"/>
            <w:r>
              <w:rPr>
                <w:rFonts w:hint="default" w:ascii="Times New Roman" w:hAnsi="Times New Roman" w:cs="Times New Roman"/>
                <w:color w:val="auto"/>
                <w:sz w:val="18"/>
                <w:szCs w:val="18"/>
                <w:u w:val="none" w:color="auto"/>
                <w:lang w:val="en-US" w:eastAsia="zh-CN"/>
              </w:rPr>
              <w:t>现有工程</w:t>
            </w:r>
            <w:bookmarkEnd w:id="2012"/>
            <w:bookmarkEnd w:id="2013"/>
            <w:bookmarkEnd w:id="2014"/>
            <w:bookmarkEnd w:id="2015"/>
            <w:bookmarkEnd w:id="2016"/>
            <w:bookmarkEnd w:id="2017"/>
            <w:bookmarkEnd w:id="2018"/>
            <w:bookmarkEnd w:id="2019"/>
            <w:bookmarkStart w:id="2035" w:name="_Toc18936"/>
            <w:bookmarkStart w:id="2036" w:name="_Toc13136"/>
            <w:bookmarkStart w:id="2037" w:name="_Toc15292"/>
            <w:bookmarkStart w:id="2038" w:name="_Toc8515"/>
            <w:bookmarkStart w:id="2039" w:name="_Toc26353"/>
            <w:bookmarkStart w:id="2040" w:name="_Toc325"/>
            <w:bookmarkStart w:id="2041" w:name="_Toc28482"/>
            <w:bookmarkStart w:id="2042" w:name="_Toc16484"/>
            <w:r>
              <w:rPr>
                <w:rFonts w:hint="default" w:ascii="Times New Roman" w:hAnsi="Times New Roman" w:cs="Times New Roman"/>
                <w:color w:val="auto"/>
                <w:sz w:val="18"/>
                <w:szCs w:val="18"/>
                <w:u w:val="none" w:color="auto"/>
                <w:lang w:val="en-US" w:eastAsia="zh-CN"/>
              </w:rPr>
              <w:t>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1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①</w:t>
            </w:r>
            <w:r>
              <w:rPr>
                <w:rFonts w:hint="default" w:ascii="Times New Roman" w:hAnsi="Times New Roman" w:cs="Times New Roman"/>
                <w:color w:val="auto"/>
                <w:sz w:val="18"/>
                <w:szCs w:val="18"/>
                <w:u w:val="none" w:color="auto"/>
                <w:lang w:val="en-US" w:eastAsia="zh-CN"/>
              </w:rPr>
              <w:fldChar w:fldCharType="end"/>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tc>
        <w:tc>
          <w:tcPr>
            <w:tcW w:w="435" w:type="pct"/>
            <w:noWrap w:val="0"/>
            <w:tcMar>
              <w:left w:w="28" w:type="dxa"/>
              <w:right w:w="28" w:type="dxa"/>
            </w:tcMar>
            <w:vAlign w:val="center"/>
          </w:tcPr>
          <w:p w14:paraId="2AB714D6">
            <w:pPr>
              <w:pStyle w:val="44"/>
              <w:spacing w:line="240" w:lineRule="auto"/>
              <w:rPr>
                <w:rFonts w:hint="default" w:ascii="Times New Roman" w:hAnsi="Times New Roman" w:cs="Times New Roman"/>
                <w:color w:val="auto"/>
                <w:sz w:val="18"/>
                <w:szCs w:val="18"/>
                <w:u w:val="none" w:color="auto"/>
                <w:lang w:val="en-US" w:eastAsia="zh-CN"/>
              </w:rPr>
            </w:pPr>
            <w:bookmarkStart w:id="2043" w:name="_Toc29991"/>
            <w:bookmarkStart w:id="2044" w:name="_Toc8847"/>
            <w:bookmarkStart w:id="2045" w:name="_Toc9954"/>
            <w:bookmarkStart w:id="2046" w:name="_Toc24094"/>
            <w:bookmarkStart w:id="2047" w:name="_Toc4280"/>
            <w:bookmarkStart w:id="2048" w:name="_Toc4037"/>
            <w:bookmarkStart w:id="2049" w:name="_Toc10061"/>
            <w:bookmarkStart w:id="2050" w:name="_Toc1401"/>
            <w:bookmarkStart w:id="2051" w:name="_Toc23777"/>
            <w:bookmarkStart w:id="2052" w:name="_Toc19781"/>
            <w:bookmarkStart w:id="2053" w:name="_Toc10824"/>
            <w:bookmarkStart w:id="2054" w:name="_Toc11113"/>
            <w:bookmarkStart w:id="2055" w:name="_Toc2284"/>
            <w:bookmarkStart w:id="2056" w:name="_Toc22378"/>
            <w:bookmarkStart w:id="2057" w:name="_Toc29543"/>
            <w:bookmarkStart w:id="2058" w:name="_Toc6785"/>
            <w:bookmarkStart w:id="2059" w:name="_Toc8927"/>
            <w:bookmarkStart w:id="2060" w:name="_Toc19150"/>
            <w:bookmarkStart w:id="2061" w:name="_Toc25963"/>
            <w:bookmarkStart w:id="2062" w:name="_Toc29573"/>
            <w:bookmarkStart w:id="2063" w:name="_Toc32315"/>
            <w:bookmarkStart w:id="2064" w:name="_Toc14893"/>
            <w:bookmarkStart w:id="2065" w:name="_Toc32551"/>
            <w:r>
              <w:rPr>
                <w:rFonts w:hint="default" w:ascii="Times New Roman" w:hAnsi="Times New Roman" w:cs="Times New Roman"/>
                <w:color w:val="auto"/>
                <w:sz w:val="18"/>
                <w:szCs w:val="18"/>
                <w:u w:val="none" w:color="auto"/>
                <w:lang w:val="en-US" w:eastAsia="zh-CN"/>
              </w:rPr>
              <w:t>现有工程</w:t>
            </w:r>
            <w:bookmarkEnd w:id="2043"/>
            <w:bookmarkEnd w:id="2044"/>
            <w:bookmarkEnd w:id="2045"/>
            <w:bookmarkEnd w:id="2046"/>
            <w:bookmarkEnd w:id="2047"/>
            <w:bookmarkEnd w:id="2048"/>
            <w:bookmarkEnd w:id="2049"/>
            <w:bookmarkEnd w:id="2050"/>
            <w:bookmarkStart w:id="2066" w:name="_Toc3491"/>
            <w:bookmarkStart w:id="2067" w:name="_Toc8322"/>
            <w:bookmarkStart w:id="2068" w:name="_Toc21588"/>
            <w:bookmarkStart w:id="2069" w:name="_Toc19867"/>
            <w:bookmarkStart w:id="2070" w:name="_Toc28859"/>
            <w:bookmarkStart w:id="2071" w:name="_Toc13627"/>
            <w:bookmarkStart w:id="2072" w:name="_Toc8698"/>
            <w:bookmarkStart w:id="2073" w:name="_Toc19208"/>
            <w:r>
              <w:rPr>
                <w:rFonts w:hint="default" w:ascii="Times New Roman" w:hAnsi="Times New Roman" w:cs="Times New Roman"/>
                <w:color w:val="auto"/>
                <w:sz w:val="18"/>
                <w:szCs w:val="18"/>
                <w:u w:val="none" w:color="auto"/>
                <w:lang w:val="en-US" w:eastAsia="zh-CN"/>
              </w:rPr>
              <w:t>许可排放量</w:t>
            </w:r>
            <w:bookmarkEnd w:id="2066"/>
            <w:bookmarkEnd w:id="2067"/>
            <w:bookmarkEnd w:id="2068"/>
            <w:bookmarkEnd w:id="2069"/>
            <w:bookmarkEnd w:id="2070"/>
            <w:bookmarkEnd w:id="2071"/>
            <w:bookmarkEnd w:id="2072"/>
            <w:bookmarkEnd w:id="2073"/>
            <w:bookmarkStart w:id="2074" w:name="_Toc13954"/>
            <w:bookmarkStart w:id="2075" w:name="_Toc18952"/>
            <w:bookmarkStart w:id="2076" w:name="_Toc29706"/>
            <w:bookmarkStart w:id="2077" w:name="_Toc18626"/>
            <w:bookmarkStart w:id="2078" w:name="_Toc658"/>
            <w:bookmarkStart w:id="2079" w:name="_Toc15430"/>
            <w:bookmarkStart w:id="2080" w:name="_Toc23542"/>
            <w:bookmarkStart w:id="2081" w:name="_Toc2768"/>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2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②</w:t>
            </w:r>
            <w:r>
              <w:rPr>
                <w:rFonts w:hint="default" w:ascii="Times New Roman" w:hAnsi="Times New Roman" w:cs="Times New Roman"/>
                <w:color w:val="auto"/>
                <w:sz w:val="18"/>
                <w:szCs w:val="18"/>
                <w:u w:val="none" w:color="auto"/>
                <w:lang w:val="en-US" w:eastAsia="zh-CN"/>
              </w:rPr>
              <w:fldChar w:fldCharType="end"/>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74"/>
            <w:bookmarkEnd w:id="2075"/>
            <w:bookmarkEnd w:id="2076"/>
            <w:bookmarkEnd w:id="2077"/>
            <w:bookmarkEnd w:id="2078"/>
            <w:bookmarkEnd w:id="2079"/>
            <w:bookmarkEnd w:id="2080"/>
            <w:bookmarkEnd w:id="2081"/>
          </w:p>
        </w:tc>
        <w:tc>
          <w:tcPr>
            <w:tcW w:w="600" w:type="pct"/>
            <w:noWrap w:val="0"/>
            <w:tcMar>
              <w:left w:w="28" w:type="dxa"/>
              <w:right w:w="28" w:type="dxa"/>
            </w:tcMar>
            <w:vAlign w:val="center"/>
          </w:tcPr>
          <w:p w14:paraId="48402671">
            <w:pPr>
              <w:pStyle w:val="44"/>
              <w:spacing w:line="240" w:lineRule="auto"/>
              <w:rPr>
                <w:rFonts w:hint="default" w:ascii="Times New Roman" w:hAnsi="Times New Roman" w:cs="Times New Roman"/>
                <w:color w:val="auto"/>
                <w:sz w:val="18"/>
                <w:szCs w:val="18"/>
                <w:u w:val="none" w:color="auto"/>
                <w:lang w:val="en-US" w:eastAsia="zh-CN"/>
              </w:rPr>
            </w:pPr>
            <w:bookmarkStart w:id="2082" w:name="_Toc15388"/>
            <w:bookmarkStart w:id="2083" w:name="_Toc30055"/>
            <w:bookmarkStart w:id="2084" w:name="_Toc25021"/>
            <w:bookmarkStart w:id="2085" w:name="_Toc16456"/>
            <w:bookmarkStart w:id="2086" w:name="_Toc27257"/>
            <w:bookmarkStart w:id="2087" w:name="_Toc19187"/>
            <w:bookmarkStart w:id="2088" w:name="_Toc12419"/>
            <w:bookmarkStart w:id="2089" w:name="_Toc9426"/>
            <w:bookmarkStart w:id="2090" w:name="_Toc10220"/>
            <w:bookmarkStart w:id="2091" w:name="_Toc5478"/>
            <w:bookmarkStart w:id="2092" w:name="_Toc25268"/>
            <w:bookmarkStart w:id="2093" w:name="_Toc11937"/>
            <w:bookmarkStart w:id="2094" w:name="_Toc3974"/>
            <w:bookmarkStart w:id="2095" w:name="_Toc18230"/>
            <w:bookmarkStart w:id="2096" w:name="_Toc32221"/>
            <w:bookmarkStart w:id="2097" w:name="_Toc12410"/>
            <w:bookmarkStart w:id="2098" w:name="_Toc28121"/>
            <w:bookmarkStart w:id="2099" w:name="_Toc2266"/>
            <w:bookmarkStart w:id="2100" w:name="_Toc23478"/>
            <w:bookmarkStart w:id="2101" w:name="_Toc12346"/>
            <w:bookmarkStart w:id="2102" w:name="_Toc13505"/>
            <w:bookmarkStart w:id="2103" w:name="_Toc17161"/>
            <w:bookmarkStart w:id="2104" w:name="_Toc26993"/>
            <w:r>
              <w:rPr>
                <w:rFonts w:hint="default" w:ascii="Times New Roman" w:hAnsi="Times New Roman" w:cs="Times New Roman"/>
                <w:color w:val="auto"/>
                <w:sz w:val="18"/>
                <w:szCs w:val="18"/>
                <w:u w:val="none" w:color="auto"/>
                <w:lang w:val="en-US" w:eastAsia="zh-CN"/>
              </w:rPr>
              <w:t>在建工程</w:t>
            </w:r>
            <w:bookmarkEnd w:id="2082"/>
            <w:bookmarkEnd w:id="2083"/>
            <w:bookmarkEnd w:id="2084"/>
            <w:bookmarkEnd w:id="2085"/>
            <w:bookmarkEnd w:id="2086"/>
            <w:bookmarkEnd w:id="2087"/>
            <w:bookmarkEnd w:id="2088"/>
            <w:bookmarkEnd w:id="2089"/>
            <w:bookmarkStart w:id="2105" w:name="_Toc5615"/>
            <w:bookmarkStart w:id="2106" w:name="_Toc7286"/>
            <w:bookmarkStart w:id="2107" w:name="_Toc13353"/>
            <w:bookmarkStart w:id="2108" w:name="_Toc26984"/>
            <w:bookmarkStart w:id="2109" w:name="_Toc14972"/>
            <w:bookmarkStart w:id="2110" w:name="_Toc7784"/>
            <w:bookmarkStart w:id="2111" w:name="_Toc13466"/>
            <w:bookmarkStart w:id="2112" w:name="_Toc10321"/>
            <w:r>
              <w:rPr>
                <w:rFonts w:hint="default" w:ascii="Times New Roman" w:hAnsi="Times New Roman" w:cs="Times New Roman"/>
                <w:color w:val="auto"/>
                <w:sz w:val="18"/>
                <w:szCs w:val="18"/>
                <w:u w:val="none" w:color="auto"/>
                <w:lang w:val="en-US" w:eastAsia="zh-CN"/>
              </w:rPr>
              <w:t>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3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③</w:t>
            </w:r>
            <w:r>
              <w:rPr>
                <w:rFonts w:hint="default" w:ascii="Times New Roman" w:hAnsi="Times New Roman" w:cs="Times New Roman"/>
                <w:color w:val="auto"/>
                <w:sz w:val="18"/>
                <w:szCs w:val="18"/>
                <w:u w:val="none" w:color="auto"/>
                <w:lang w:val="en-US" w:eastAsia="zh-CN"/>
              </w:rPr>
              <w:fldChar w:fldCharType="end"/>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tc>
        <w:tc>
          <w:tcPr>
            <w:tcW w:w="477" w:type="pct"/>
            <w:noWrap w:val="0"/>
            <w:tcMar>
              <w:left w:w="28" w:type="dxa"/>
              <w:right w:w="28" w:type="dxa"/>
            </w:tcMar>
            <w:vAlign w:val="center"/>
          </w:tcPr>
          <w:p w14:paraId="197F6E7C">
            <w:pPr>
              <w:pStyle w:val="44"/>
              <w:spacing w:line="240" w:lineRule="auto"/>
              <w:rPr>
                <w:rFonts w:hint="default" w:ascii="Times New Roman" w:hAnsi="Times New Roman" w:cs="Times New Roman"/>
                <w:color w:val="auto"/>
                <w:sz w:val="18"/>
                <w:szCs w:val="18"/>
                <w:u w:val="none" w:color="auto"/>
                <w:lang w:val="en-US" w:eastAsia="zh-CN"/>
              </w:rPr>
            </w:pPr>
            <w:bookmarkStart w:id="2113" w:name="_Toc31266"/>
            <w:bookmarkStart w:id="2114" w:name="_Toc4849"/>
            <w:bookmarkStart w:id="2115" w:name="_Toc32758"/>
            <w:bookmarkStart w:id="2116" w:name="_Toc22368"/>
            <w:bookmarkStart w:id="2117" w:name="_Toc20463"/>
            <w:bookmarkStart w:id="2118" w:name="_Toc7922"/>
            <w:bookmarkStart w:id="2119" w:name="_Toc19056"/>
            <w:bookmarkStart w:id="2120" w:name="_Toc19692"/>
            <w:bookmarkStart w:id="2121" w:name="_Toc16488"/>
            <w:bookmarkStart w:id="2122" w:name="_Toc8361"/>
            <w:bookmarkStart w:id="2123" w:name="_Toc12340"/>
            <w:bookmarkStart w:id="2124" w:name="_Toc24237"/>
            <w:bookmarkStart w:id="2125" w:name="_Toc16266"/>
            <w:bookmarkStart w:id="2126" w:name="_Toc26493"/>
            <w:bookmarkStart w:id="2127" w:name="_Toc15947"/>
            <w:bookmarkStart w:id="2128" w:name="_Toc31336"/>
            <w:bookmarkStart w:id="2129" w:name="_Toc15658"/>
            <w:bookmarkStart w:id="2130" w:name="_Toc26236"/>
            <w:bookmarkStart w:id="2131" w:name="_Toc23361"/>
            <w:bookmarkStart w:id="2132" w:name="_Toc6603"/>
            <w:bookmarkStart w:id="2133" w:name="_Toc12035"/>
            <w:bookmarkStart w:id="2134" w:name="_Toc18762"/>
            <w:bookmarkStart w:id="2135" w:name="_Toc26107"/>
            <w:r>
              <w:rPr>
                <w:rFonts w:hint="default" w:ascii="Times New Roman" w:hAnsi="Times New Roman" w:cs="Times New Roman"/>
                <w:color w:val="auto"/>
                <w:sz w:val="18"/>
                <w:szCs w:val="18"/>
                <w:u w:val="none" w:color="auto"/>
                <w:lang w:val="en-US" w:eastAsia="zh-CN"/>
              </w:rPr>
              <w:t>本项目</w:t>
            </w:r>
            <w:bookmarkEnd w:id="2113"/>
            <w:bookmarkEnd w:id="2114"/>
            <w:bookmarkEnd w:id="2115"/>
            <w:bookmarkEnd w:id="2116"/>
            <w:bookmarkEnd w:id="2117"/>
            <w:bookmarkEnd w:id="2118"/>
            <w:bookmarkEnd w:id="2119"/>
            <w:bookmarkEnd w:id="2120"/>
            <w:bookmarkStart w:id="2136" w:name="_Toc10522"/>
            <w:bookmarkStart w:id="2137" w:name="_Toc18171"/>
            <w:bookmarkStart w:id="2138" w:name="_Toc26034"/>
            <w:bookmarkStart w:id="2139" w:name="_Toc28816"/>
            <w:bookmarkStart w:id="2140" w:name="_Toc7083"/>
            <w:bookmarkStart w:id="2141" w:name="_Toc11370"/>
            <w:bookmarkStart w:id="2142" w:name="_Toc965"/>
            <w:bookmarkStart w:id="2143" w:name="_Toc21209"/>
            <w:r>
              <w:rPr>
                <w:rFonts w:hint="default" w:ascii="Times New Roman" w:hAnsi="Times New Roman" w:cs="Times New Roman"/>
                <w:color w:val="auto"/>
                <w:sz w:val="18"/>
                <w:szCs w:val="18"/>
                <w:u w:val="none" w:color="auto"/>
                <w:lang w:val="en-US" w:eastAsia="zh-CN"/>
              </w:rPr>
              <w:t>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4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④</w:t>
            </w:r>
            <w:r>
              <w:rPr>
                <w:rFonts w:hint="default" w:ascii="Times New Roman" w:hAnsi="Times New Roman" w:cs="Times New Roman"/>
                <w:color w:val="auto"/>
                <w:sz w:val="18"/>
                <w:szCs w:val="18"/>
                <w:u w:val="none" w:color="auto"/>
                <w:lang w:val="en-US" w:eastAsia="zh-CN"/>
              </w:rPr>
              <w:fldChar w:fldCharType="end"/>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tc>
        <w:tc>
          <w:tcPr>
            <w:tcW w:w="466" w:type="pct"/>
            <w:noWrap w:val="0"/>
            <w:tcMar>
              <w:left w:w="28" w:type="dxa"/>
              <w:right w:w="28" w:type="dxa"/>
            </w:tcMar>
            <w:vAlign w:val="center"/>
          </w:tcPr>
          <w:p w14:paraId="711946A2">
            <w:pPr>
              <w:pStyle w:val="44"/>
              <w:spacing w:line="240" w:lineRule="auto"/>
              <w:rPr>
                <w:rFonts w:hint="default" w:ascii="Times New Roman" w:hAnsi="Times New Roman" w:cs="Times New Roman"/>
                <w:color w:val="auto"/>
                <w:sz w:val="18"/>
                <w:szCs w:val="18"/>
                <w:u w:val="none" w:color="auto"/>
                <w:lang w:val="en-US" w:eastAsia="zh-CN"/>
              </w:rPr>
            </w:pPr>
            <w:bookmarkStart w:id="2144" w:name="_Toc23490"/>
            <w:bookmarkStart w:id="2145" w:name="_Toc14526"/>
            <w:bookmarkStart w:id="2146" w:name="_Toc32434"/>
            <w:bookmarkStart w:id="2147" w:name="_Toc16383"/>
            <w:bookmarkStart w:id="2148" w:name="_Toc17732"/>
            <w:bookmarkStart w:id="2149" w:name="_Toc29050"/>
            <w:bookmarkStart w:id="2150" w:name="_Toc23924"/>
            <w:bookmarkStart w:id="2151" w:name="_Toc25188"/>
            <w:bookmarkStart w:id="2152" w:name="_Toc18752"/>
            <w:bookmarkStart w:id="2153" w:name="_Toc2375"/>
            <w:bookmarkStart w:id="2154" w:name="_Toc13601"/>
            <w:bookmarkStart w:id="2155" w:name="_Toc29278"/>
            <w:bookmarkStart w:id="2156" w:name="_Toc28273"/>
            <w:bookmarkStart w:id="2157" w:name="_Toc16401"/>
            <w:bookmarkStart w:id="2158" w:name="_Toc1181"/>
            <w:bookmarkStart w:id="2159" w:name="_Toc14412"/>
            <w:bookmarkStart w:id="2160" w:name="_Toc19599"/>
            <w:bookmarkStart w:id="2161" w:name="_Toc22169"/>
            <w:bookmarkStart w:id="2162" w:name="_Toc6947"/>
            <w:bookmarkStart w:id="2163" w:name="_Toc1289"/>
            <w:bookmarkStart w:id="2164" w:name="_Toc7348"/>
            <w:bookmarkStart w:id="2165" w:name="_Toc16631"/>
            <w:bookmarkStart w:id="2166" w:name="_Toc17986"/>
            <w:r>
              <w:rPr>
                <w:rFonts w:hint="default" w:ascii="Times New Roman" w:hAnsi="Times New Roman" w:cs="Times New Roman"/>
                <w:color w:val="auto"/>
                <w:sz w:val="18"/>
                <w:szCs w:val="18"/>
                <w:u w:val="none" w:color="auto"/>
                <w:lang w:val="en-US" w:eastAsia="zh-CN"/>
              </w:rPr>
              <w:t>以新带老削减量</w:t>
            </w:r>
            <w:bookmarkEnd w:id="2144"/>
            <w:bookmarkEnd w:id="2145"/>
            <w:bookmarkEnd w:id="2146"/>
            <w:bookmarkEnd w:id="2147"/>
            <w:bookmarkEnd w:id="2148"/>
            <w:bookmarkEnd w:id="2149"/>
            <w:bookmarkEnd w:id="2150"/>
            <w:bookmarkEnd w:id="2151"/>
            <w:bookmarkStart w:id="2167" w:name="_Toc22743"/>
            <w:bookmarkStart w:id="2168" w:name="_Toc24694"/>
            <w:bookmarkStart w:id="2169" w:name="_Toc14977"/>
            <w:bookmarkStart w:id="2170" w:name="_Toc27950"/>
            <w:bookmarkStart w:id="2171" w:name="_Toc17226"/>
            <w:bookmarkStart w:id="2172" w:name="_Toc26980"/>
            <w:bookmarkStart w:id="2173" w:name="_Toc4385"/>
            <w:bookmarkStart w:id="2174" w:name="_Toc5135"/>
            <w:r>
              <w:rPr>
                <w:rFonts w:hint="default" w:ascii="Times New Roman" w:hAnsi="Times New Roman" w:cs="Times New Roman"/>
                <w:color w:val="auto"/>
                <w:sz w:val="18"/>
                <w:szCs w:val="18"/>
                <w:u w:val="none" w:color="auto"/>
                <w:lang w:val="en-US" w:eastAsia="zh-CN"/>
              </w:rPr>
              <w:t>（新建项目不填）</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5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⑤</w:t>
            </w:r>
            <w:r>
              <w:rPr>
                <w:rFonts w:hint="default" w:ascii="Times New Roman" w:hAnsi="Times New Roman" w:cs="Times New Roman"/>
                <w:color w:val="auto"/>
                <w:sz w:val="18"/>
                <w:szCs w:val="18"/>
                <w:u w:val="none" w:color="auto"/>
                <w:lang w:val="en-US" w:eastAsia="zh-CN"/>
              </w:rPr>
              <w:fldChar w:fldCharType="end"/>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tc>
        <w:tc>
          <w:tcPr>
            <w:tcW w:w="700" w:type="pct"/>
            <w:noWrap w:val="0"/>
            <w:tcMar>
              <w:left w:w="28" w:type="dxa"/>
              <w:right w:w="28" w:type="dxa"/>
            </w:tcMar>
            <w:vAlign w:val="center"/>
          </w:tcPr>
          <w:p w14:paraId="31ADECCE">
            <w:pPr>
              <w:pStyle w:val="44"/>
              <w:spacing w:line="240" w:lineRule="auto"/>
              <w:rPr>
                <w:rFonts w:hint="default" w:ascii="Times New Roman" w:hAnsi="Times New Roman" w:cs="Times New Roman"/>
                <w:color w:val="auto"/>
                <w:sz w:val="18"/>
                <w:szCs w:val="18"/>
                <w:u w:val="none" w:color="auto"/>
                <w:lang w:val="en-US" w:eastAsia="zh-CN"/>
              </w:rPr>
            </w:pPr>
            <w:bookmarkStart w:id="2175" w:name="_Toc15912"/>
            <w:bookmarkStart w:id="2176" w:name="_Toc2407"/>
            <w:bookmarkStart w:id="2177" w:name="_Toc1176"/>
            <w:bookmarkStart w:id="2178" w:name="_Toc26005"/>
            <w:bookmarkStart w:id="2179" w:name="_Toc31182"/>
            <w:bookmarkStart w:id="2180" w:name="_Toc7523"/>
            <w:bookmarkStart w:id="2181" w:name="_Toc23295"/>
            <w:bookmarkStart w:id="2182" w:name="_Toc32491"/>
            <w:bookmarkStart w:id="2183" w:name="_Toc29537"/>
            <w:bookmarkStart w:id="2184" w:name="_Toc7113"/>
            <w:bookmarkStart w:id="2185" w:name="_Toc16444"/>
            <w:bookmarkStart w:id="2186" w:name="_Toc199"/>
            <w:bookmarkStart w:id="2187" w:name="_Toc957"/>
            <w:bookmarkStart w:id="2188" w:name="_Toc32262"/>
            <w:bookmarkStart w:id="2189" w:name="_Toc17814"/>
            <w:bookmarkStart w:id="2190" w:name="_Toc31727"/>
            <w:bookmarkStart w:id="2191" w:name="_Toc27520"/>
            <w:bookmarkStart w:id="2192" w:name="_Toc13944"/>
            <w:bookmarkStart w:id="2193" w:name="_Toc27215"/>
            <w:bookmarkStart w:id="2194" w:name="_Toc107"/>
            <w:bookmarkStart w:id="2195" w:name="_Toc16666"/>
            <w:bookmarkStart w:id="2196" w:name="_Toc21317"/>
            <w:bookmarkStart w:id="2197" w:name="_Toc6269"/>
            <w:r>
              <w:rPr>
                <w:rFonts w:hint="default" w:ascii="Times New Roman" w:hAnsi="Times New Roman" w:cs="Times New Roman"/>
                <w:color w:val="auto"/>
                <w:sz w:val="18"/>
                <w:szCs w:val="18"/>
                <w:u w:val="none" w:color="auto"/>
                <w:lang w:val="en-US" w:eastAsia="zh-CN"/>
              </w:rPr>
              <w:t>本项目建成后</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54F1E5A7">
            <w:pPr>
              <w:pStyle w:val="44"/>
              <w:spacing w:line="240" w:lineRule="auto"/>
              <w:rPr>
                <w:rFonts w:hint="default" w:ascii="Times New Roman" w:hAnsi="Times New Roman" w:cs="Times New Roman"/>
                <w:color w:val="auto"/>
                <w:sz w:val="18"/>
                <w:szCs w:val="18"/>
                <w:u w:val="none" w:color="auto"/>
                <w:lang w:val="en-US" w:eastAsia="zh-CN"/>
              </w:rPr>
            </w:pPr>
            <w:bookmarkStart w:id="2198" w:name="_Toc7654"/>
            <w:bookmarkStart w:id="2199" w:name="_Toc19282"/>
            <w:bookmarkStart w:id="2200" w:name="_Toc31137"/>
            <w:bookmarkStart w:id="2201" w:name="_Toc29846"/>
            <w:bookmarkStart w:id="2202" w:name="_Toc9342"/>
            <w:bookmarkStart w:id="2203" w:name="_Toc4380"/>
            <w:bookmarkStart w:id="2204" w:name="_Toc30642"/>
            <w:bookmarkStart w:id="2205" w:name="_Toc29225"/>
            <w:bookmarkStart w:id="2206" w:name="_Toc19287"/>
            <w:bookmarkStart w:id="2207" w:name="_Toc6150"/>
            <w:bookmarkStart w:id="2208" w:name="_Toc2362"/>
            <w:bookmarkStart w:id="2209" w:name="_Toc5903"/>
            <w:bookmarkStart w:id="2210" w:name="_Toc3664"/>
            <w:bookmarkStart w:id="2211" w:name="_Toc12362"/>
            <w:bookmarkStart w:id="2212" w:name="_Toc31286"/>
            <w:bookmarkStart w:id="2213" w:name="_Toc24776"/>
            <w:bookmarkStart w:id="2214" w:name="_Toc24242"/>
            <w:bookmarkStart w:id="2215" w:name="_Toc11692"/>
            <w:bookmarkStart w:id="2216" w:name="_Toc12612"/>
            <w:bookmarkStart w:id="2217" w:name="_Toc22916"/>
            <w:bookmarkStart w:id="2218" w:name="_Toc6066"/>
            <w:bookmarkStart w:id="2219" w:name="_Toc24866"/>
            <w:bookmarkStart w:id="2220" w:name="_Toc28452"/>
            <w:r>
              <w:rPr>
                <w:rFonts w:hint="default" w:ascii="Times New Roman" w:hAnsi="Times New Roman" w:cs="Times New Roman"/>
                <w:color w:val="auto"/>
                <w:sz w:val="18"/>
                <w:szCs w:val="18"/>
                <w:u w:val="none" w:color="auto"/>
                <w:lang w:val="en-US" w:eastAsia="zh-CN"/>
              </w:rPr>
              <w:t>全厂排放量（固体废物产生量）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6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⑥</w:t>
            </w:r>
            <w:r>
              <w:rPr>
                <w:rFonts w:hint="default" w:ascii="Times New Roman" w:hAnsi="Times New Roman" w:cs="Times New Roman"/>
                <w:color w:val="auto"/>
                <w:sz w:val="18"/>
                <w:szCs w:val="18"/>
                <w:u w:val="none" w:color="auto"/>
                <w:lang w:val="en-US" w:eastAsia="zh-CN"/>
              </w:rPr>
              <w:fldChar w:fldCharType="end"/>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tc>
        <w:tc>
          <w:tcPr>
            <w:tcW w:w="400" w:type="pct"/>
            <w:noWrap w:val="0"/>
            <w:tcMar>
              <w:left w:w="28" w:type="dxa"/>
              <w:right w:w="28" w:type="dxa"/>
            </w:tcMar>
            <w:vAlign w:val="center"/>
          </w:tcPr>
          <w:p w14:paraId="632CF336">
            <w:pPr>
              <w:pStyle w:val="44"/>
              <w:spacing w:line="240" w:lineRule="auto"/>
              <w:rPr>
                <w:rFonts w:hint="default" w:ascii="Times New Roman" w:hAnsi="Times New Roman" w:cs="Times New Roman"/>
                <w:color w:val="auto"/>
                <w:sz w:val="18"/>
                <w:szCs w:val="18"/>
                <w:u w:val="none" w:color="auto"/>
                <w:lang w:val="en-US" w:eastAsia="zh-CN"/>
              </w:rPr>
            </w:pPr>
            <w:bookmarkStart w:id="2221" w:name="_Toc474"/>
            <w:bookmarkStart w:id="2222" w:name="_Toc2886"/>
            <w:bookmarkStart w:id="2223" w:name="_Toc12026"/>
            <w:bookmarkStart w:id="2224" w:name="_Toc32706"/>
            <w:bookmarkStart w:id="2225" w:name="_Toc5202"/>
            <w:bookmarkStart w:id="2226" w:name="_Toc2958"/>
            <w:bookmarkStart w:id="2227" w:name="_Toc19674"/>
            <w:bookmarkStart w:id="2228" w:name="_Toc10476"/>
            <w:bookmarkStart w:id="2229" w:name="_Toc4305"/>
            <w:bookmarkStart w:id="2230" w:name="_Toc15454"/>
            <w:bookmarkStart w:id="2231" w:name="_Toc30539"/>
            <w:bookmarkStart w:id="2232" w:name="_Toc12327"/>
            <w:bookmarkStart w:id="2233" w:name="_Toc27534"/>
            <w:bookmarkStart w:id="2234" w:name="_Toc15897"/>
            <w:bookmarkStart w:id="2235" w:name="_Toc23474"/>
            <w:bookmarkStart w:id="2236" w:name="_Toc11215"/>
            <w:bookmarkStart w:id="2237" w:name="_Toc22738"/>
            <w:bookmarkStart w:id="2238" w:name="_Toc16626"/>
            <w:bookmarkStart w:id="2239" w:name="_Toc20928"/>
            <w:bookmarkStart w:id="2240" w:name="_Toc1476"/>
            <w:bookmarkStart w:id="2241" w:name="_Toc26215"/>
            <w:bookmarkStart w:id="2242" w:name="_Toc11627"/>
            <w:bookmarkStart w:id="2243" w:name="_Toc31513"/>
            <w:r>
              <w:rPr>
                <w:rFonts w:hint="default" w:ascii="Times New Roman" w:hAnsi="Times New Roman" w:cs="Times New Roman"/>
                <w:color w:val="auto"/>
                <w:sz w:val="18"/>
                <w:szCs w:val="18"/>
                <w:u w:val="none" w:color="auto"/>
                <w:lang w:val="en-US" w:eastAsia="zh-CN"/>
              </w:rPr>
              <w:t>变化量</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3D271BFE">
            <w:pPr>
              <w:pStyle w:val="44"/>
              <w:spacing w:line="240" w:lineRule="auto"/>
              <w:rPr>
                <w:rFonts w:hint="default" w:ascii="Times New Roman" w:hAnsi="Times New Roman" w:cs="Times New Roman"/>
                <w:color w:val="auto"/>
                <w:sz w:val="18"/>
                <w:szCs w:val="18"/>
                <w:u w:val="none" w:color="auto"/>
                <w:lang w:val="en-US" w:eastAsia="zh-CN"/>
              </w:rPr>
            </w:pPr>
            <w:bookmarkStart w:id="2244" w:name="_Toc10751"/>
            <w:bookmarkStart w:id="2245" w:name="_Toc11830"/>
            <w:bookmarkStart w:id="2246" w:name="_Toc6737"/>
            <w:bookmarkStart w:id="2247" w:name="_Toc10547"/>
            <w:bookmarkStart w:id="2248" w:name="_Toc15999"/>
            <w:bookmarkStart w:id="2249" w:name="_Toc4014"/>
            <w:bookmarkStart w:id="2250" w:name="_Toc2745"/>
            <w:bookmarkStart w:id="2251" w:name="_Toc6029"/>
            <w:bookmarkStart w:id="2252" w:name="_Toc28327"/>
            <w:bookmarkStart w:id="2253" w:name="_Toc12107"/>
            <w:bookmarkStart w:id="2254" w:name="_Toc10956"/>
            <w:bookmarkStart w:id="2255" w:name="_Toc3601"/>
            <w:bookmarkStart w:id="2256" w:name="_Toc5046"/>
            <w:bookmarkStart w:id="2257" w:name="_Toc23927"/>
            <w:bookmarkStart w:id="2258" w:name="_Toc4590"/>
            <w:bookmarkStart w:id="2259" w:name="_Toc26532"/>
            <w:bookmarkStart w:id="2260" w:name="_Toc32055"/>
            <w:bookmarkStart w:id="2261" w:name="_Toc13623"/>
            <w:bookmarkStart w:id="2262" w:name="_Toc15067"/>
            <w:bookmarkStart w:id="2263" w:name="_Toc27236"/>
            <w:bookmarkStart w:id="2264" w:name="_Toc27790"/>
            <w:bookmarkStart w:id="2265" w:name="_Toc23794"/>
            <w:bookmarkStart w:id="2266" w:name="_Toc14007"/>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7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⑦</w:t>
            </w:r>
            <w:r>
              <w:rPr>
                <w:rFonts w:hint="default" w:ascii="Times New Roman" w:hAnsi="Times New Roman" w:cs="Times New Roman"/>
                <w:color w:val="auto"/>
                <w:sz w:val="18"/>
                <w:szCs w:val="18"/>
                <w:u w:val="none" w:color="auto"/>
                <w:lang w:val="en-US" w:eastAsia="zh-CN"/>
              </w:rPr>
              <w:fldChar w:fldCharType="end"/>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tc>
      </w:tr>
      <w:tr w14:paraId="36075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98" w:type="pct"/>
            <w:vMerge w:val="restart"/>
            <w:noWrap w:val="0"/>
            <w:vAlign w:val="center"/>
          </w:tcPr>
          <w:p w14:paraId="40748D75">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废气</w:t>
            </w:r>
          </w:p>
        </w:tc>
        <w:tc>
          <w:tcPr>
            <w:tcW w:w="997" w:type="pct"/>
            <w:shd w:val="clear" w:color="auto" w:fill="auto"/>
            <w:noWrap w:val="0"/>
            <w:vAlign w:val="center"/>
          </w:tcPr>
          <w:p w14:paraId="3F8450E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硫化氢</w:t>
            </w:r>
          </w:p>
        </w:tc>
        <w:tc>
          <w:tcPr>
            <w:tcW w:w="622" w:type="pct"/>
            <w:shd w:val="clear" w:color="auto" w:fill="auto"/>
            <w:noWrap w:val="0"/>
            <w:vAlign w:val="center"/>
          </w:tcPr>
          <w:p w14:paraId="18F444B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0.028</w:t>
            </w:r>
          </w:p>
        </w:tc>
        <w:tc>
          <w:tcPr>
            <w:tcW w:w="435" w:type="pct"/>
            <w:shd w:val="clear" w:color="auto" w:fill="auto"/>
            <w:noWrap w:val="0"/>
            <w:vAlign w:val="center"/>
          </w:tcPr>
          <w:p w14:paraId="045D5770">
            <w:pPr>
              <w:keepNext w:val="0"/>
              <w:keepLines w:val="0"/>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bookmarkStart w:id="2267" w:name="_Toc18809"/>
            <w:bookmarkStart w:id="2268" w:name="_Toc2239"/>
            <w:bookmarkStart w:id="2269" w:name="_Toc1448"/>
            <w:bookmarkStart w:id="2270" w:name="_Toc7954"/>
            <w:bookmarkStart w:id="2271" w:name="_Toc20351"/>
            <w:bookmarkStart w:id="2272" w:name="_Toc9722"/>
            <w:bookmarkStart w:id="2273" w:name="_Toc25537"/>
            <w:bookmarkStart w:id="2274" w:name="_Toc31868"/>
            <w:bookmarkStart w:id="2275" w:name="_Toc17376"/>
            <w:bookmarkStart w:id="2276" w:name="_Toc8662"/>
            <w:bookmarkStart w:id="2277" w:name="_Toc14834"/>
            <w:bookmarkStart w:id="2278" w:name="_Toc21859"/>
            <w:bookmarkStart w:id="2279" w:name="_Toc19723"/>
            <w:bookmarkStart w:id="2280" w:name="_Toc28416"/>
            <w:bookmarkStart w:id="2281" w:name="_Toc13675"/>
            <w:bookmarkStart w:id="2282" w:name="_Toc14462"/>
            <w:bookmarkStart w:id="2283" w:name="_Toc6314"/>
            <w:bookmarkStart w:id="2284" w:name="_Toc6319"/>
            <w:bookmarkStart w:id="2285" w:name="_Toc16607"/>
            <w:bookmarkStart w:id="2286" w:name="_Toc9859"/>
            <w:bookmarkStart w:id="2287" w:name="_Toc15960"/>
            <w:bookmarkStart w:id="2288" w:name="_Toc14541"/>
            <w:r>
              <w:rPr>
                <w:rFonts w:hint="eastAsia" w:cs="Times New Roman"/>
                <w:color w:val="auto"/>
                <w:sz w:val="18"/>
                <w:szCs w:val="18"/>
                <w:highlight w:val="none"/>
                <w:u w:val="none" w:color="auto"/>
                <w:lang w:val="en-US" w:eastAsia="zh-CN"/>
              </w:rPr>
              <w:t>/</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tc>
        <w:tc>
          <w:tcPr>
            <w:tcW w:w="600" w:type="pct"/>
            <w:shd w:val="clear" w:color="auto" w:fill="auto"/>
            <w:noWrap w:val="0"/>
            <w:vAlign w:val="center"/>
          </w:tcPr>
          <w:p w14:paraId="11AF71D5">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7D3BF477">
            <w:pPr>
              <w:keepNext w:val="0"/>
              <w:keepLines w:val="0"/>
              <w:pageBreakBefore w:val="0"/>
              <w:widowControl/>
              <w:suppressLineNumbers w:val="0"/>
              <w:kinsoku/>
              <w:wordWrap/>
              <w:overflowPunct/>
              <w:topLinePunct w:val="0"/>
              <w:autoSpaceDE/>
              <w:autoSpaceDN/>
              <w:bidi w:val="0"/>
              <w:snapToGrid/>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cs="Times New Roman"/>
                <w:i w:val="0"/>
                <w:iCs w:val="0"/>
                <w:color w:val="auto"/>
                <w:kern w:val="2"/>
                <w:sz w:val="18"/>
                <w:szCs w:val="18"/>
                <w:highlight w:val="none"/>
                <w:u w:val="none" w:color="auto"/>
                <w:lang w:val="en-US" w:eastAsia="zh-CN" w:bidi="ar"/>
              </w:rPr>
              <w:t>0.0301</w:t>
            </w:r>
          </w:p>
        </w:tc>
        <w:tc>
          <w:tcPr>
            <w:tcW w:w="466" w:type="pct"/>
            <w:shd w:val="clear" w:color="auto" w:fill="auto"/>
            <w:noWrap w:val="0"/>
            <w:vAlign w:val="center"/>
          </w:tcPr>
          <w:p w14:paraId="7AE58C88">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-0.0021</w:t>
            </w:r>
          </w:p>
        </w:tc>
        <w:tc>
          <w:tcPr>
            <w:tcW w:w="700" w:type="pct"/>
            <w:shd w:val="clear" w:color="auto" w:fill="auto"/>
            <w:noWrap w:val="0"/>
            <w:vAlign w:val="center"/>
          </w:tcPr>
          <w:p w14:paraId="4560D9C6">
            <w:pPr>
              <w:keepNext w:val="0"/>
              <w:keepLines w:val="0"/>
              <w:pageBreakBefore w:val="0"/>
              <w:widowControl/>
              <w:suppressLineNumbers w:val="0"/>
              <w:kinsoku/>
              <w:wordWrap/>
              <w:overflowPunct/>
              <w:topLinePunct w:val="0"/>
              <w:autoSpaceDE/>
              <w:autoSpaceDN/>
              <w:bidi w:val="0"/>
              <w:snapToGrid/>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cs="Times New Roman"/>
                <w:i w:val="0"/>
                <w:iCs w:val="0"/>
                <w:color w:val="auto"/>
                <w:kern w:val="2"/>
                <w:sz w:val="18"/>
                <w:szCs w:val="18"/>
                <w:highlight w:val="none"/>
                <w:u w:val="none" w:color="auto"/>
                <w:lang w:val="en-US" w:eastAsia="zh-CN" w:bidi="ar"/>
              </w:rPr>
              <w:t>0.0301</w:t>
            </w:r>
          </w:p>
        </w:tc>
        <w:tc>
          <w:tcPr>
            <w:tcW w:w="400" w:type="pct"/>
            <w:shd w:val="clear" w:color="auto" w:fill="auto"/>
            <w:noWrap w:val="0"/>
            <w:vAlign w:val="center"/>
          </w:tcPr>
          <w:p w14:paraId="3C9D47C8">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+0.0021</w:t>
            </w:r>
          </w:p>
        </w:tc>
      </w:tr>
      <w:tr w14:paraId="6956A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98" w:type="pct"/>
            <w:vMerge w:val="continue"/>
            <w:noWrap w:val="0"/>
            <w:vAlign w:val="center"/>
          </w:tcPr>
          <w:p w14:paraId="07C462EE">
            <w:pPr>
              <w:pStyle w:val="34"/>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997" w:type="pct"/>
            <w:noWrap w:val="0"/>
            <w:vAlign w:val="center"/>
          </w:tcPr>
          <w:p w14:paraId="7A9DCD9B">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氨</w:t>
            </w:r>
          </w:p>
        </w:tc>
        <w:tc>
          <w:tcPr>
            <w:tcW w:w="622" w:type="pct"/>
            <w:shd w:val="clear" w:color="auto" w:fill="auto"/>
            <w:noWrap w:val="0"/>
            <w:vAlign w:val="center"/>
          </w:tcPr>
          <w:p w14:paraId="5C2E4C4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0.685</w:t>
            </w:r>
          </w:p>
        </w:tc>
        <w:tc>
          <w:tcPr>
            <w:tcW w:w="435" w:type="pct"/>
            <w:noWrap w:val="0"/>
            <w:vAlign w:val="center"/>
          </w:tcPr>
          <w:p w14:paraId="5D78A986">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bookmarkStart w:id="2289" w:name="_Toc13053"/>
            <w:bookmarkStart w:id="2290" w:name="_Toc20126"/>
            <w:bookmarkStart w:id="2291" w:name="_Toc7173"/>
            <w:bookmarkStart w:id="2292" w:name="_Toc29018"/>
            <w:bookmarkStart w:id="2293" w:name="_Toc10669"/>
            <w:bookmarkStart w:id="2294" w:name="_Toc24771"/>
            <w:bookmarkStart w:id="2295" w:name="_Toc15028"/>
            <w:bookmarkStart w:id="2296" w:name="_Toc7355"/>
            <w:bookmarkStart w:id="2297" w:name="_Toc23716"/>
            <w:bookmarkStart w:id="2298" w:name="_Toc22221"/>
            <w:bookmarkStart w:id="2299" w:name="_Toc31732"/>
            <w:bookmarkStart w:id="2300" w:name="_Toc16893"/>
            <w:bookmarkStart w:id="2301" w:name="_Toc25594"/>
            <w:bookmarkStart w:id="2302" w:name="_Toc31187"/>
            <w:bookmarkStart w:id="2303" w:name="_Toc24958"/>
            <w:bookmarkStart w:id="2304" w:name="_Toc30308"/>
            <w:r>
              <w:rPr>
                <w:rFonts w:hint="eastAsia" w:cs="Times New Roman"/>
                <w:color w:val="auto"/>
                <w:sz w:val="18"/>
                <w:szCs w:val="18"/>
                <w:highlight w:val="none"/>
                <w:u w:val="none" w:color="auto"/>
                <w:lang w:val="en-US" w:eastAsia="zh-CN"/>
              </w:rPr>
              <w:t>/</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tc>
        <w:tc>
          <w:tcPr>
            <w:tcW w:w="600" w:type="pct"/>
            <w:noWrap w:val="0"/>
            <w:vAlign w:val="center"/>
          </w:tcPr>
          <w:p w14:paraId="080250F8">
            <w:pPr>
              <w:widowControl/>
              <w:adjustRightInd/>
              <w:snapToGrid/>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4DA8F675">
            <w:pPr>
              <w:keepNext w:val="0"/>
              <w:keepLines w:val="0"/>
              <w:pageBreakBefore w:val="0"/>
              <w:widowControl/>
              <w:suppressLineNumbers w:val="0"/>
              <w:kinsoku/>
              <w:wordWrap/>
              <w:overflowPunct/>
              <w:topLinePunct w:val="0"/>
              <w:autoSpaceDE/>
              <w:autoSpaceDN/>
              <w:bidi w:val="0"/>
              <w:snapToGrid/>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cs="Times New Roman"/>
                <w:i w:val="0"/>
                <w:iCs w:val="0"/>
                <w:color w:val="auto"/>
                <w:kern w:val="2"/>
                <w:sz w:val="18"/>
                <w:szCs w:val="18"/>
                <w:highlight w:val="none"/>
                <w:u w:val="none" w:color="auto"/>
                <w:lang w:val="en-US" w:eastAsia="zh-CN" w:bidi="ar"/>
              </w:rPr>
              <w:t>0.789</w:t>
            </w:r>
          </w:p>
        </w:tc>
        <w:tc>
          <w:tcPr>
            <w:tcW w:w="466" w:type="pct"/>
            <w:shd w:val="clear" w:color="auto" w:fill="auto"/>
            <w:noWrap w:val="0"/>
            <w:vAlign w:val="center"/>
          </w:tcPr>
          <w:p w14:paraId="16494A91">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-0.104</w:t>
            </w:r>
          </w:p>
        </w:tc>
        <w:tc>
          <w:tcPr>
            <w:tcW w:w="700" w:type="pct"/>
            <w:shd w:val="clear" w:color="auto" w:fill="auto"/>
            <w:noWrap w:val="0"/>
            <w:vAlign w:val="center"/>
          </w:tcPr>
          <w:p w14:paraId="17ADBF16">
            <w:pPr>
              <w:keepNext w:val="0"/>
              <w:keepLines w:val="0"/>
              <w:pageBreakBefore w:val="0"/>
              <w:widowControl/>
              <w:suppressLineNumbers w:val="0"/>
              <w:kinsoku/>
              <w:wordWrap/>
              <w:overflowPunct/>
              <w:topLinePunct w:val="0"/>
              <w:autoSpaceDE/>
              <w:autoSpaceDN/>
              <w:bidi w:val="0"/>
              <w:snapToGrid/>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cs="Times New Roman"/>
                <w:i w:val="0"/>
                <w:iCs w:val="0"/>
                <w:color w:val="auto"/>
                <w:kern w:val="2"/>
                <w:sz w:val="18"/>
                <w:szCs w:val="18"/>
                <w:highlight w:val="none"/>
                <w:u w:val="none" w:color="auto"/>
                <w:lang w:val="en-US" w:eastAsia="zh-CN" w:bidi="ar"/>
              </w:rPr>
              <w:t>0.789</w:t>
            </w:r>
          </w:p>
        </w:tc>
        <w:tc>
          <w:tcPr>
            <w:tcW w:w="400" w:type="pct"/>
            <w:shd w:val="clear" w:color="auto" w:fill="auto"/>
            <w:noWrap w:val="0"/>
            <w:vAlign w:val="center"/>
          </w:tcPr>
          <w:p w14:paraId="449DE3CF">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+0.104</w:t>
            </w:r>
          </w:p>
        </w:tc>
      </w:tr>
      <w:tr w14:paraId="63B65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98" w:type="pct"/>
            <w:vMerge w:val="restart"/>
            <w:noWrap w:val="0"/>
            <w:vAlign w:val="center"/>
          </w:tcPr>
          <w:p w14:paraId="7651A4F2">
            <w:pPr>
              <w:pStyle w:val="44"/>
              <w:spacing w:line="240" w:lineRule="auto"/>
              <w:ind w:firstLine="0" w:firstLineChars="0"/>
              <w:outlineLvl w:val="9"/>
              <w:rPr>
                <w:rFonts w:hint="default" w:ascii="Times New Roman" w:hAnsi="Times New Roman" w:eastAsia="宋体" w:cs="Times New Roman"/>
                <w:color w:val="auto"/>
                <w:kern w:val="2"/>
                <w:sz w:val="18"/>
                <w:szCs w:val="18"/>
                <w:u w:val="none" w:color="auto"/>
                <w:lang w:val="en-US" w:eastAsia="zh-CN" w:bidi="ar-SA"/>
              </w:rPr>
            </w:pPr>
            <w:bookmarkStart w:id="2305" w:name="_Toc860"/>
            <w:bookmarkStart w:id="2306" w:name="_Toc27240"/>
            <w:bookmarkStart w:id="2307" w:name="_Toc13451"/>
            <w:bookmarkStart w:id="2308" w:name="_Toc8736"/>
            <w:bookmarkStart w:id="2309" w:name="_Toc16103"/>
            <w:bookmarkStart w:id="2310" w:name="_Toc20469"/>
            <w:bookmarkStart w:id="2311" w:name="_Toc15318"/>
            <w:bookmarkStart w:id="2312" w:name="_Toc149"/>
            <w:r>
              <w:rPr>
                <w:rFonts w:hint="default" w:ascii="Times New Roman" w:hAnsi="Times New Roman" w:cs="Times New Roman"/>
                <w:color w:val="auto"/>
                <w:sz w:val="18"/>
                <w:szCs w:val="18"/>
                <w:u w:val="none" w:color="auto"/>
                <w:lang w:val="en-US" w:eastAsia="zh-CN"/>
              </w:rPr>
              <w:t>废水</w:t>
            </w:r>
            <w:bookmarkEnd w:id="2305"/>
            <w:bookmarkEnd w:id="2306"/>
            <w:bookmarkEnd w:id="2307"/>
            <w:bookmarkEnd w:id="2308"/>
            <w:bookmarkEnd w:id="2309"/>
            <w:bookmarkEnd w:id="2310"/>
            <w:bookmarkEnd w:id="2311"/>
            <w:bookmarkEnd w:id="2312"/>
          </w:p>
        </w:tc>
        <w:tc>
          <w:tcPr>
            <w:tcW w:w="997" w:type="pct"/>
            <w:noWrap w:val="0"/>
            <w:vAlign w:val="center"/>
          </w:tcPr>
          <w:p w14:paraId="320B44BF">
            <w:pPr>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废水量</w:t>
            </w:r>
          </w:p>
        </w:tc>
        <w:tc>
          <w:tcPr>
            <w:tcW w:w="622" w:type="pct"/>
            <w:shd w:val="clear" w:color="auto" w:fill="auto"/>
            <w:noWrap w:val="0"/>
            <w:vAlign w:val="center"/>
          </w:tcPr>
          <w:p w14:paraId="1017F471">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53433.06</w:t>
            </w:r>
          </w:p>
        </w:tc>
        <w:tc>
          <w:tcPr>
            <w:tcW w:w="435" w:type="pct"/>
            <w:noWrap w:val="0"/>
            <w:vAlign w:val="center"/>
          </w:tcPr>
          <w:p w14:paraId="28F41FDA">
            <w:pPr>
              <w:keepNext w:val="0"/>
              <w:keepLines w:val="0"/>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bookmarkStart w:id="2313" w:name="_Toc7251"/>
            <w:bookmarkStart w:id="2314" w:name="_Toc18700"/>
            <w:bookmarkStart w:id="2315" w:name="_Toc11790"/>
            <w:bookmarkStart w:id="2316" w:name="_Toc11800"/>
            <w:bookmarkStart w:id="2317" w:name="_Toc25132"/>
            <w:bookmarkStart w:id="2318" w:name="_Toc324"/>
            <w:bookmarkStart w:id="2319" w:name="_Toc18173"/>
            <w:bookmarkStart w:id="2320" w:name="_Toc12512"/>
            <w:bookmarkStart w:id="2321" w:name="_Toc29697"/>
            <w:bookmarkStart w:id="2322" w:name="_Toc15648"/>
            <w:bookmarkStart w:id="2323" w:name="_Toc1432"/>
            <w:bookmarkStart w:id="2324" w:name="_Toc7951"/>
            <w:bookmarkStart w:id="2325" w:name="_Toc17651"/>
            <w:bookmarkStart w:id="2326" w:name="_Toc6869"/>
            <w:bookmarkStart w:id="2327" w:name="_Toc31438"/>
            <w:bookmarkStart w:id="2328" w:name="_Toc17284"/>
            <w:bookmarkStart w:id="2329" w:name="_Toc2930"/>
            <w:bookmarkStart w:id="2330" w:name="_Toc7694"/>
            <w:bookmarkStart w:id="2331" w:name="_Toc16089"/>
            <w:bookmarkStart w:id="2332" w:name="_Toc17580"/>
            <w:bookmarkStart w:id="2333" w:name="_Toc19970"/>
            <w:bookmarkStart w:id="2334" w:name="_Toc26712"/>
            <w:r>
              <w:rPr>
                <w:rFonts w:hint="eastAsia" w:cs="Times New Roman"/>
                <w:color w:val="auto"/>
                <w:sz w:val="18"/>
                <w:szCs w:val="18"/>
                <w:highlight w:val="none"/>
                <w:u w:val="none" w:color="auto"/>
                <w:lang w:val="en-US" w:eastAsia="zh-CN"/>
              </w:rPr>
              <w:t>/</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tc>
        <w:tc>
          <w:tcPr>
            <w:tcW w:w="600" w:type="pct"/>
            <w:noWrap w:val="0"/>
            <w:vAlign w:val="center"/>
          </w:tcPr>
          <w:p w14:paraId="3AF22A56">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35F0567B">
            <w:pPr>
              <w:widowControl/>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65047.575</w:t>
            </w:r>
          </w:p>
        </w:tc>
        <w:tc>
          <w:tcPr>
            <w:tcW w:w="466" w:type="pct"/>
            <w:shd w:val="clear" w:color="auto" w:fill="auto"/>
            <w:noWrap w:val="0"/>
            <w:vAlign w:val="center"/>
          </w:tcPr>
          <w:p w14:paraId="1F66DABB">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w:t>
            </w:r>
          </w:p>
        </w:tc>
        <w:tc>
          <w:tcPr>
            <w:tcW w:w="700" w:type="pct"/>
            <w:shd w:val="clear" w:color="auto" w:fill="auto"/>
            <w:noWrap w:val="0"/>
            <w:vAlign w:val="center"/>
          </w:tcPr>
          <w:p w14:paraId="4DC8C603">
            <w:pPr>
              <w:widowControl/>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65047.575</w:t>
            </w:r>
          </w:p>
        </w:tc>
        <w:tc>
          <w:tcPr>
            <w:tcW w:w="400" w:type="pct"/>
            <w:shd w:val="clear" w:color="auto" w:fill="auto"/>
            <w:noWrap w:val="0"/>
            <w:vAlign w:val="center"/>
          </w:tcPr>
          <w:p w14:paraId="053C109C">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11614.5</w:t>
            </w:r>
            <w:r>
              <w:rPr>
                <w:rFonts w:hint="eastAsia" w:cs="Times New Roman"/>
                <w:i w:val="0"/>
                <w:iCs w:val="0"/>
                <w:color w:val="auto"/>
                <w:kern w:val="2"/>
                <w:sz w:val="18"/>
                <w:szCs w:val="18"/>
                <w:highlight w:val="none"/>
                <w:u w:val="none" w:color="auto"/>
                <w:lang w:val="en-US" w:eastAsia="zh-CN" w:bidi="ar"/>
              </w:rPr>
              <w:t>2</w:t>
            </w:r>
          </w:p>
        </w:tc>
      </w:tr>
      <w:tr w14:paraId="1B346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98" w:type="pct"/>
            <w:vMerge w:val="continue"/>
            <w:noWrap w:val="0"/>
            <w:vAlign w:val="center"/>
          </w:tcPr>
          <w:p w14:paraId="37CCC1AC">
            <w:pPr>
              <w:pStyle w:val="44"/>
              <w:spacing w:line="240" w:lineRule="auto"/>
              <w:ind w:firstLine="0" w:firstLineChars="0"/>
              <w:outlineLvl w:val="9"/>
              <w:rPr>
                <w:rFonts w:hint="default" w:ascii="Times New Roman" w:hAnsi="Times New Roman" w:cs="Times New Roman"/>
                <w:color w:val="auto"/>
                <w:sz w:val="18"/>
                <w:szCs w:val="18"/>
                <w:u w:val="none" w:color="auto"/>
                <w:lang w:val="en-US" w:eastAsia="zh-CN"/>
              </w:rPr>
            </w:pPr>
            <w:bookmarkStart w:id="2335" w:name="OLE_LINK256" w:colFirst="5" w:colLast="5"/>
          </w:p>
        </w:tc>
        <w:tc>
          <w:tcPr>
            <w:tcW w:w="997" w:type="pct"/>
            <w:shd w:val="clear" w:color="auto" w:fill="auto"/>
            <w:noWrap w:val="0"/>
            <w:vAlign w:val="center"/>
          </w:tcPr>
          <w:p w14:paraId="07827030">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z w:val="18"/>
                <w:szCs w:val="18"/>
                <w:highlight w:val="none"/>
                <w:u w:val="none" w:color="auto"/>
              </w:rPr>
              <w:t>COD</w:t>
            </w:r>
            <w:r>
              <w:rPr>
                <w:rFonts w:hint="eastAsia" w:cs="Times New Roman"/>
                <w:color w:val="auto"/>
                <w:sz w:val="18"/>
                <w:szCs w:val="18"/>
                <w:highlight w:val="none"/>
                <w:u w:val="none" w:color="auto"/>
                <w:vertAlign w:val="baseline"/>
              </w:rPr>
              <w:t>Cr</w:t>
            </w:r>
          </w:p>
        </w:tc>
        <w:tc>
          <w:tcPr>
            <w:tcW w:w="622" w:type="pct"/>
            <w:shd w:val="clear" w:color="auto" w:fill="auto"/>
            <w:noWrap w:val="0"/>
            <w:vAlign w:val="center"/>
          </w:tcPr>
          <w:p w14:paraId="1F98F3B2">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21.0161</w:t>
            </w:r>
          </w:p>
        </w:tc>
        <w:tc>
          <w:tcPr>
            <w:tcW w:w="435" w:type="pct"/>
            <w:noWrap w:val="0"/>
            <w:vAlign w:val="center"/>
          </w:tcPr>
          <w:p w14:paraId="236E0CAF">
            <w:pPr>
              <w:keepNext w:val="0"/>
              <w:keepLines w:val="0"/>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bookmarkStart w:id="2336" w:name="_Toc1822"/>
            <w:bookmarkStart w:id="2337" w:name="_Toc28445"/>
            <w:bookmarkStart w:id="2338" w:name="_Toc26076"/>
            <w:bookmarkStart w:id="2339" w:name="_Toc23781"/>
            <w:bookmarkStart w:id="2340" w:name="_Toc31964"/>
            <w:bookmarkStart w:id="2341" w:name="_Toc29548"/>
            <w:bookmarkStart w:id="2342" w:name="_Toc9016"/>
            <w:bookmarkStart w:id="2343" w:name="_Toc10079"/>
            <w:bookmarkStart w:id="2344" w:name="_Toc29091"/>
            <w:bookmarkStart w:id="2345" w:name="_Toc8152"/>
            <w:bookmarkStart w:id="2346" w:name="_Toc15864"/>
            <w:bookmarkStart w:id="2347" w:name="_Toc23890"/>
            <w:bookmarkStart w:id="2348" w:name="_Toc4456"/>
            <w:bookmarkStart w:id="2349" w:name="_Toc8331"/>
            <w:bookmarkStart w:id="2350" w:name="_Toc22858"/>
            <w:r>
              <w:rPr>
                <w:rFonts w:hint="eastAsia" w:ascii="Times New Roman" w:hAnsi="Times New Roman" w:cs="Times New Roman"/>
                <w:color w:val="auto"/>
                <w:sz w:val="18"/>
                <w:szCs w:val="18"/>
                <w:highlight w:val="none"/>
                <w:u w:val="none" w:color="auto"/>
                <w:lang w:val="en-US" w:eastAsia="zh-CN"/>
              </w:rPr>
              <w:t>/</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tc>
        <w:tc>
          <w:tcPr>
            <w:tcW w:w="600" w:type="pct"/>
            <w:noWrap w:val="0"/>
            <w:vAlign w:val="center"/>
          </w:tcPr>
          <w:p w14:paraId="4AD3E7C9">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cs="Times New Roman"/>
                <w:color w:val="auto"/>
                <w:sz w:val="18"/>
                <w:szCs w:val="18"/>
                <w:highlight w:val="none"/>
                <w:u w:val="none" w:color="auto"/>
              </w:rPr>
              <w:t>/</w:t>
            </w:r>
          </w:p>
        </w:tc>
        <w:tc>
          <w:tcPr>
            <w:tcW w:w="477" w:type="pct"/>
            <w:shd w:val="clear" w:color="auto" w:fill="auto"/>
            <w:noWrap w:val="0"/>
            <w:vAlign w:val="center"/>
          </w:tcPr>
          <w:p w14:paraId="748E5261">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8.0758</w:t>
            </w:r>
          </w:p>
        </w:tc>
        <w:tc>
          <w:tcPr>
            <w:tcW w:w="466" w:type="pct"/>
            <w:shd w:val="clear" w:color="auto" w:fill="auto"/>
            <w:noWrap w:val="0"/>
            <w:vAlign w:val="center"/>
          </w:tcPr>
          <w:p w14:paraId="0BA1083F">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12.9403</w:t>
            </w:r>
          </w:p>
        </w:tc>
        <w:tc>
          <w:tcPr>
            <w:tcW w:w="700" w:type="pct"/>
            <w:shd w:val="clear" w:color="auto" w:fill="auto"/>
            <w:noWrap w:val="0"/>
            <w:vAlign w:val="center"/>
          </w:tcPr>
          <w:p w14:paraId="59A194E5">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8.0758</w:t>
            </w:r>
          </w:p>
        </w:tc>
        <w:tc>
          <w:tcPr>
            <w:tcW w:w="400" w:type="pct"/>
            <w:shd w:val="clear" w:color="auto" w:fill="auto"/>
            <w:noWrap w:val="0"/>
            <w:vAlign w:val="center"/>
          </w:tcPr>
          <w:p w14:paraId="219A13C9">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-12.9403</w:t>
            </w:r>
          </w:p>
        </w:tc>
      </w:tr>
      <w:bookmarkEnd w:id="2335"/>
      <w:tr w14:paraId="499E3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98" w:type="pct"/>
            <w:vMerge w:val="continue"/>
            <w:noWrap w:val="0"/>
            <w:vAlign w:val="center"/>
          </w:tcPr>
          <w:p w14:paraId="7C0FC2A9">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28E8CC3F">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z w:val="18"/>
                <w:szCs w:val="18"/>
                <w:highlight w:val="none"/>
                <w:u w:val="none" w:color="auto"/>
              </w:rPr>
              <w:t>BOD</w:t>
            </w:r>
            <w:r>
              <w:rPr>
                <w:rFonts w:hint="eastAsia" w:cs="Times New Roman"/>
                <w:color w:val="auto"/>
                <w:sz w:val="18"/>
                <w:szCs w:val="18"/>
                <w:highlight w:val="none"/>
                <w:u w:val="none" w:color="auto"/>
                <w:vertAlign w:val="baseline"/>
              </w:rPr>
              <w:t>5</w:t>
            </w:r>
          </w:p>
        </w:tc>
        <w:tc>
          <w:tcPr>
            <w:tcW w:w="622" w:type="pct"/>
            <w:shd w:val="clear" w:color="auto" w:fill="auto"/>
            <w:noWrap w:val="0"/>
            <w:vAlign w:val="center"/>
          </w:tcPr>
          <w:p w14:paraId="19CAE877">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12.9871</w:t>
            </w:r>
          </w:p>
        </w:tc>
        <w:tc>
          <w:tcPr>
            <w:tcW w:w="435" w:type="pct"/>
            <w:noWrap w:val="0"/>
            <w:vAlign w:val="center"/>
          </w:tcPr>
          <w:p w14:paraId="25E50054">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51" w:name="_Toc32108"/>
            <w:bookmarkStart w:id="2352" w:name="_Toc18397"/>
            <w:bookmarkStart w:id="2353" w:name="_Toc26345"/>
            <w:bookmarkStart w:id="2354" w:name="_Toc3481"/>
            <w:r>
              <w:rPr>
                <w:rFonts w:hint="eastAsia" w:cs="Times New Roman"/>
                <w:color w:val="auto"/>
                <w:sz w:val="18"/>
                <w:szCs w:val="18"/>
                <w:highlight w:val="none"/>
                <w:u w:val="none" w:color="auto"/>
                <w:lang w:val="en-US" w:eastAsia="zh-CN"/>
              </w:rPr>
              <w:t>/</w:t>
            </w:r>
            <w:bookmarkEnd w:id="2351"/>
            <w:bookmarkEnd w:id="2352"/>
            <w:bookmarkEnd w:id="2353"/>
            <w:bookmarkEnd w:id="2354"/>
          </w:p>
        </w:tc>
        <w:tc>
          <w:tcPr>
            <w:tcW w:w="600" w:type="pct"/>
            <w:noWrap w:val="0"/>
            <w:vAlign w:val="center"/>
          </w:tcPr>
          <w:p w14:paraId="55DB57E1">
            <w:pPr>
              <w:widowControl/>
              <w:adjustRightInd/>
              <w:snapToGrid/>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rPr>
              <w:t>/</w:t>
            </w:r>
          </w:p>
        </w:tc>
        <w:tc>
          <w:tcPr>
            <w:tcW w:w="477" w:type="pct"/>
            <w:shd w:val="clear" w:color="auto" w:fill="auto"/>
            <w:noWrap w:val="0"/>
            <w:vAlign w:val="center"/>
          </w:tcPr>
          <w:p w14:paraId="0641054E">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4.7798</w:t>
            </w:r>
          </w:p>
        </w:tc>
        <w:tc>
          <w:tcPr>
            <w:tcW w:w="466" w:type="pct"/>
            <w:shd w:val="clear" w:color="auto" w:fill="auto"/>
            <w:noWrap w:val="0"/>
            <w:vAlign w:val="center"/>
          </w:tcPr>
          <w:p w14:paraId="63474D12">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8.2073</w:t>
            </w:r>
          </w:p>
        </w:tc>
        <w:tc>
          <w:tcPr>
            <w:tcW w:w="700" w:type="pct"/>
            <w:shd w:val="clear" w:color="auto" w:fill="auto"/>
            <w:noWrap w:val="0"/>
            <w:vAlign w:val="center"/>
          </w:tcPr>
          <w:p w14:paraId="0EE7BCB7">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4.7798</w:t>
            </w:r>
          </w:p>
        </w:tc>
        <w:tc>
          <w:tcPr>
            <w:tcW w:w="400" w:type="pct"/>
            <w:shd w:val="clear" w:color="auto" w:fill="auto"/>
            <w:noWrap w:val="0"/>
            <w:vAlign w:val="center"/>
          </w:tcPr>
          <w:p w14:paraId="7C0733DB">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-8.2073</w:t>
            </w:r>
          </w:p>
        </w:tc>
      </w:tr>
      <w:tr w14:paraId="2C2A0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98" w:type="pct"/>
            <w:vMerge w:val="continue"/>
            <w:noWrap w:val="0"/>
            <w:vAlign w:val="center"/>
          </w:tcPr>
          <w:p w14:paraId="1886A888">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39FF7E7D">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z w:val="18"/>
                <w:szCs w:val="18"/>
                <w:highlight w:val="none"/>
                <w:u w:val="none" w:color="auto"/>
              </w:rPr>
              <w:t>SS</w:t>
            </w:r>
          </w:p>
        </w:tc>
        <w:tc>
          <w:tcPr>
            <w:tcW w:w="622" w:type="pct"/>
            <w:shd w:val="clear" w:color="auto" w:fill="auto"/>
            <w:noWrap w:val="0"/>
            <w:vAlign w:val="center"/>
          </w:tcPr>
          <w:p w14:paraId="72F336F7">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10.4881</w:t>
            </w:r>
          </w:p>
        </w:tc>
        <w:tc>
          <w:tcPr>
            <w:tcW w:w="435" w:type="pct"/>
            <w:noWrap w:val="0"/>
            <w:vAlign w:val="center"/>
          </w:tcPr>
          <w:p w14:paraId="21FC1089">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55" w:name="_Toc21058"/>
            <w:bookmarkStart w:id="2356" w:name="_Toc1220"/>
            <w:bookmarkStart w:id="2357" w:name="_Toc24028"/>
            <w:bookmarkStart w:id="2358" w:name="_Toc7786"/>
            <w:r>
              <w:rPr>
                <w:rFonts w:hint="eastAsia" w:cs="Times New Roman"/>
                <w:color w:val="auto"/>
                <w:sz w:val="18"/>
                <w:szCs w:val="18"/>
                <w:highlight w:val="none"/>
                <w:u w:val="none" w:color="auto"/>
                <w:lang w:val="en-US" w:eastAsia="zh-CN"/>
              </w:rPr>
              <w:t>/</w:t>
            </w:r>
            <w:bookmarkEnd w:id="2355"/>
            <w:bookmarkEnd w:id="2356"/>
            <w:bookmarkEnd w:id="2357"/>
            <w:bookmarkEnd w:id="2358"/>
          </w:p>
        </w:tc>
        <w:tc>
          <w:tcPr>
            <w:tcW w:w="600" w:type="pct"/>
            <w:noWrap w:val="0"/>
            <w:vAlign w:val="center"/>
          </w:tcPr>
          <w:p w14:paraId="0ABC7F46">
            <w:pPr>
              <w:widowControl/>
              <w:adjustRightInd/>
              <w:snapToGrid/>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rPr>
              <w:t>/</w:t>
            </w:r>
          </w:p>
        </w:tc>
        <w:tc>
          <w:tcPr>
            <w:tcW w:w="477" w:type="pct"/>
            <w:shd w:val="clear" w:color="auto" w:fill="auto"/>
            <w:noWrap w:val="0"/>
            <w:vAlign w:val="center"/>
          </w:tcPr>
          <w:p w14:paraId="5122FB1E">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8.5733</w:t>
            </w:r>
          </w:p>
        </w:tc>
        <w:tc>
          <w:tcPr>
            <w:tcW w:w="466" w:type="pct"/>
            <w:shd w:val="clear" w:color="auto" w:fill="auto"/>
            <w:noWrap w:val="0"/>
            <w:vAlign w:val="center"/>
          </w:tcPr>
          <w:p w14:paraId="4CABECE2">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1.9148</w:t>
            </w:r>
          </w:p>
        </w:tc>
        <w:tc>
          <w:tcPr>
            <w:tcW w:w="700" w:type="pct"/>
            <w:shd w:val="clear" w:color="auto" w:fill="auto"/>
            <w:noWrap w:val="0"/>
            <w:vAlign w:val="center"/>
          </w:tcPr>
          <w:p w14:paraId="65E55AAA">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8.5733</w:t>
            </w:r>
          </w:p>
        </w:tc>
        <w:tc>
          <w:tcPr>
            <w:tcW w:w="400" w:type="pct"/>
            <w:shd w:val="clear" w:color="auto" w:fill="auto"/>
            <w:noWrap w:val="0"/>
            <w:vAlign w:val="center"/>
          </w:tcPr>
          <w:p w14:paraId="1BC40D82">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-1.9148</w:t>
            </w:r>
          </w:p>
        </w:tc>
      </w:tr>
      <w:tr w14:paraId="313C4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98" w:type="pct"/>
            <w:vMerge w:val="continue"/>
            <w:noWrap w:val="0"/>
            <w:vAlign w:val="center"/>
          </w:tcPr>
          <w:p w14:paraId="64F9B545">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6C4BE7DC">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bCs w:val="0"/>
                <w:color w:val="auto"/>
                <w:sz w:val="18"/>
                <w:szCs w:val="18"/>
                <w:highlight w:val="none"/>
                <w:u w:val="none" w:color="auto"/>
              </w:rPr>
            </w:pPr>
            <w:r>
              <w:rPr>
                <w:rFonts w:hint="eastAsia" w:cs="Times New Roman"/>
                <w:color w:val="auto"/>
                <w:sz w:val="18"/>
                <w:szCs w:val="18"/>
                <w:highlight w:val="none"/>
                <w:u w:val="none" w:color="auto"/>
              </w:rPr>
              <w:t>NH</w:t>
            </w:r>
            <w:r>
              <w:rPr>
                <w:rFonts w:hint="eastAsia" w:cs="Times New Roman"/>
                <w:color w:val="auto"/>
                <w:sz w:val="18"/>
                <w:szCs w:val="18"/>
                <w:highlight w:val="none"/>
                <w:u w:val="none" w:color="auto"/>
                <w:vertAlign w:val="baseline"/>
              </w:rPr>
              <w:t>3</w:t>
            </w:r>
            <w:r>
              <w:rPr>
                <w:rFonts w:hint="eastAsia" w:cs="Times New Roman"/>
                <w:color w:val="auto"/>
                <w:sz w:val="18"/>
                <w:szCs w:val="18"/>
                <w:highlight w:val="none"/>
                <w:u w:val="none" w:color="auto"/>
              </w:rPr>
              <w:t>-N</w:t>
            </w:r>
          </w:p>
        </w:tc>
        <w:tc>
          <w:tcPr>
            <w:tcW w:w="622" w:type="pct"/>
            <w:shd w:val="clear" w:color="auto" w:fill="auto"/>
            <w:noWrap w:val="0"/>
            <w:vAlign w:val="center"/>
          </w:tcPr>
          <w:p w14:paraId="2C8D4BCD">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1.9938</w:t>
            </w:r>
          </w:p>
        </w:tc>
        <w:tc>
          <w:tcPr>
            <w:tcW w:w="435" w:type="pct"/>
            <w:noWrap w:val="0"/>
            <w:vAlign w:val="center"/>
          </w:tcPr>
          <w:p w14:paraId="38F60138">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59" w:name="_Toc10025"/>
            <w:bookmarkStart w:id="2360" w:name="_Toc31017"/>
            <w:bookmarkStart w:id="2361" w:name="_Toc26"/>
            <w:bookmarkStart w:id="2362" w:name="_Toc22655"/>
            <w:r>
              <w:rPr>
                <w:rFonts w:hint="eastAsia" w:cs="Times New Roman"/>
                <w:color w:val="auto"/>
                <w:sz w:val="18"/>
                <w:szCs w:val="18"/>
                <w:highlight w:val="none"/>
                <w:u w:val="none" w:color="auto"/>
                <w:lang w:val="en-US" w:eastAsia="zh-CN"/>
              </w:rPr>
              <w:t>/</w:t>
            </w:r>
            <w:bookmarkEnd w:id="2359"/>
            <w:bookmarkEnd w:id="2360"/>
            <w:bookmarkEnd w:id="2361"/>
            <w:bookmarkEnd w:id="2362"/>
          </w:p>
        </w:tc>
        <w:tc>
          <w:tcPr>
            <w:tcW w:w="600" w:type="pct"/>
            <w:noWrap w:val="0"/>
            <w:vAlign w:val="center"/>
          </w:tcPr>
          <w:p w14:paraId="5B0EAF15">
            <w:pPr>
              <w:widowControl/>
              <w:adjustRightInd/>
              <w:snapToGrid/>
              <w:spacing w:beforeLines="0" w:afterLines="0"/>
              <w:ind w:firstLine="0" w:firstLineChars="0"/>
              <w:jc w:val="center"/>
              <w:rPr>
                <w:rFonts w:hint="eastAsia" w:ascii="Times New Roman" w:hAnsi="Times New Roman" w:cs="Times New Roman"/>
                <w:color w:val="auto"/>
                <w:sz w:val="18"/>
                <w:szCs w:val="18"/>
                <w:highlight w:val="none"/>
                <w:u w:val="none" w:color="auto"/>
              </w:rPr>
            </w:pPr>
          </w:p>
        </w:tc>
        <w:tc>
          <w:tcPr>
            <w:tcW w:w="477" w:type="pct"/>
            <w:shd w:val="clear" w:color="auto" w:fill="auto"/>
            <w:noWrap w:val="0"/>
            <w:vAlign w:val="center"/>
          </w:tcPr>
          <w:p w14:paraId="63C86F26">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1.0858</w:t>
            </w:r>
          </w:p>
        </w:tc>
        <w:tc>
          <w:tcPr>
            <w:tcW w:w="466" w:type="pct"/>
            <w:shd w:val="clear" w:color="auto" w:fill="auto"/>
            <w:noWrap w:val="0"/>
            <w:vAlign w:val="center"/>
          </w:tcPr>
          <w:p w14:paraId="026B73A7">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0.908</w:t>
            </w:r>
          </w:p>
        </w:tc>
        <w:tc>
          <w:tcPr>
            <w:tcW w:w="700" w:type="pct"/>
            <w:shd w:val="clear" w:color="auto" w:fill="auto"/>
            <w:noWrap w:val="0"/>
            <w:vAlign w:val="center"/>
          </w:tcPr>
          <w:p w14:paraId="12A837C6">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1.0858</w:t>
            </w:r>
          </w:p>
        </w:tc>
        <w:tc>
          <w:tcPr>
            <w:tcW w:w="400" w:type="pct"/>
            <w:shd w:val="clear" w:color="auto" w:fill="auto"/>
            <w:noWrap w:val="0"/>
            <w:vAlign w:val="center"/>
          </w:tcPr>
          <w:p w14:paraId="22AB834A">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-0.908</w:t>
            </w:r>
          </w:p>
        </w:tc>
      </w:tr>
      <w:tr w14:paraId="79F3D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98" w:type="pct"/>
            <w:vMerge w:val="continue"/>
            <w:noWrap w:val="0"/>
            <w:vAlign w:val="center"/>
          </w:tcPr>
          <w:p w14:paraId="32A60D07">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5AFCE276">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动植物油</w:t>
            </w:r>
          </w:p>
        </w:tc>
        <w:tc>
          <w:tcPr>
            <w:tcW w:w="622" w:type="pct"/>
            <w:shd w:val="clear" w:color="auto" w:fill="auto"/>
            <w:noWrap w:val="0"/>
            <w:vAlign w:val="center"/>
          </w:tcPr>
          <w:p w14:paraId="0864919C">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4.6548</w:t>
            </w:r>
          </w:p>
        </w:tc>
        <w:tc>
          <w:tcPr>
            <w:tcW w:w="435" w:type="pct"/>
            <w:noWrap w:val="0"/>
            <w:vAlign w:val="center"/>
          </w:tcPr>
          <w:p w14:paraId="6C08D3D9">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63" w:name="_Toc10615"/>
            <w:bookmarkStart w:id="2364" w:name="_Toc9560"/>
            <w:bookmarkStart w:id="2365" w:name="_Toc4197"/>
            <w:bookmarkStart w:id="2366" w:name="_Toc8830"/>
            <w:r>
              <w:rPr>
                <w:rFonts w:hint="eastAsia" w:cs="Times New Roman"/>
                <w:color w:val="auto"/>
                <w:sz w:val="18"/>
                <w:szCs w:val="18"/>
                <w:highlight w:val="none"/>
                <w:u w:val="none" w:color="auto"/>
                <w:lang w:val="en-US" w:eastAsia="zh-CN"/>
              </w:rPr>
              <w:t>/</w:t>
            </w:r>
            <w:bookmarkEnd w:id="2363"/>
            <w:bookmarkEnd w:id="2364"/>
            <w:bookmarkEnd w:id="2365"/>
            <w:bookmarkEnd w:id="2366"/>
          </w:p>
        </w:tc>
        <w:tc>
          <w:tcPr>
            <w:tcW w:w="600" w:type="pct"/>
            <w:noWrap w:val="0"/>
            <w:vAlign w:val="center"/>
          </w:tcPr>
          <w:p w14:paraId="6CBDED7A">
            <w:pPr>
              <w:widowControl/>
              <w:adjustRightInd/>
              <w:snapToGrid/>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rPr>
              <w:t>/</w:t>
            </w:r>
          </w:p>
        </w:tc>
        <w:tc>
          <w:tcPr>
            <w:tcW w:w="477" w:type="pct"/>
            <w:shd w:val="clear" w:color="auto" w:fill="auto"/>
            <w:noWrap w:val="0"/>
            <w:vAlign w:val="center"/>
          </w:tcPr>
          <w:p w14:paraId="47468C37">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0.1271</w:t>
            </w:r>
          </w:p>
        </w:tc>
        <w:tc>
          <w:tcPr>
            <w:tcW w:w="466" w:type="pct"/>
            <w:shd w:val="clear" w:color="auto" w:fill="auto"/>
            <w:noWrap w:val="0"/>
            <w:vAlign w:val="center"/>
          </w:tcPr>
          <w:p w14:paraId="75D27FFD">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4.5277</w:t>
            </w:r>
          </w:p>
        </w:tc>
        <w:tc>
          <w:tcPr>
            <w:tcW w:w="700" w:type="pct"/>
            <w:shd w:val="clear" w:color="auto" w:fill="auto"/>
            <w:noWrap w:val="0"/>
            <w:vAlign w:val="center"/>
          </w:tcPr>
          <w:p w14:paraId="0EB66E14">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0.1271</w:t>
            </w:r>
          </w:p>
        </w:tc>
        <w:tc>
          <w:tcPr>
            <w:tcW w:w="400" w:type="pct"/>
            <w:shd w:val="clear" w:color="auto" w:fill="auto"/>
            <w:noWrap w:val="0"/>
            <w:vAlign w:val="center"/>
          </w:tcPr>
          <w:p w14:paraId="3682BD9A">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-4.5277</w:t>
            </w:r>
          </w:p>
        </w:tc>
      </w:tr>
      <w:tr w14:paraId="5F049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98" w:type="pct"/>
            <w:vMerge w:val="continue"/>
            <w:noWrap w:val="0"/>
            <w:vAlign w:val="center"/>
          </w:tcPr>
          <w:p w14:paraId="3A3FFAA2">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408095F8">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TN</w:t>
            </w:r>
          </w:p>
        </w:tc>
        <w:tc>
          <w:tcPr>
            <w:tcW w:w="622" w:type="pct"/>
            <w:shd w:val="clear" w:color="auto" w:fill="auto"/>
            <w:noWrap w:val="0"/>
            <w:vAlign w:val="center"/>
          </w:tcPr>
          <w:p w14:paraId="6505E07F">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3.5761</w:t>
            </w:r>
          </w:p>
        </w:tc>
        <w:tc>
          <w:tcPr>
            <w:tcW w:w="435" w:type="pct"/>
            <w:noWrap w:val="0"/>
            <w:vAlign w:val="center"/>
          </w:tcPr>
          <w:p w14:paraId="421F2ED3">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67" w:name="_Toc3766"/>
            <w:bookmarkStart w:id="2368" w:name="_Toc11661"/>
            <w:bookmarkStart w:id="2369" w:name="_Toc29852"/>
            <w:bookmarkStart w:id="2370" w:name="_Toc20300"/>
            <w:r>
              <w:rPr>
                <w:rFonts w:hint="eastAsia" w:cs="Times New Roman"/>
                <w:color w:val="auto"/>
                <w:sz w:val="18"/>
                <w:szCs w:val="18"/>
                <w:highlight w:val="none"/>
                <w:u w:val="none" w:color="auto"/>
                <w:lang w:val="en-US" w:eastAsia="zh-CN"/>
              </w:rPr>
              <w:t>/</w:t>
            </w:r>
            <w:bookmarkEnd w:id="2367"/>
            <w:bookmarkEnd w:id="2368"/>
            <w:bookmarkEnd w:id="2369"/>
            <w:bookmarkEnd w:id="2370"/>
          </w:p>
        </w:tc>
        <w:tc>
          <w:tcPr>
            <w:tcW w:w="600" w:type="pct"/>
            <w:noWrap w:val="0"/>
            <w:vAlign w:val="center"/>
          </w:tcPr>
          <w:p w14:paraId="514657FE">
            <w:pPr>
              <w:widowControl/>
              <w:adjustRightInd/>
              <w:snapToGrid/>
              <w:spacing w:beforeLines="0" w:afterLines="0"/>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3991DFCE">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ascii="Times New Roman" w:hAnsi="Times New Roman" w:eastAsia="宋体" w:cs="Times New Roman"/>
                <w:i w:val="0"/>
                <w:iCs w:val="0"/>
                <w:color w:val="auto"/>
                <w:kern w:val="2"/>
                <w:sz w:val="18"/>
                <w:szCs w:val="18"/>
                <w:highlight w:val="none"/>
                <w:u w:val="none" w:color="auto"/>
                <w:lang w:val="en-US" w:eastAsia="zh-CN" w:bidi="ar"/>
              </w:rPr>
              <w:t>2.7667</w:t>
            </w:r>
          </w:p>
        </w:tc>
        <w:tc>
          <w:tcPr>
            <w:tcW w:w="466" w:type="pct"/>
            <w:shd w:val="clear" w:color="auto" w:fill="auto"/>
            <w:noWrap w:val="0"/>
            <w:vAlign w:val="center"/>
          </w:tcPr>
          <w:p w14:paraId="166DCA72">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0.8094</w:t>
            </w:r>
          </w:p>
        </w:tc>
        <w:tc>
          <w:tcPr>
            <w:tcW w:w="700" w:type="pct"/>
            <w:shd w:val="clear" w:color="auto" w:fill="auto"/>
            <w:noWrap w:val="0"/>
            <w:vAlign w:val="center"/>
          </w:tcPr>
          <w:p w14:paraId="1C35898B">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ascii="Times New Roman" w:hAnsi="Times New Roman" w:eastAsia="宋体" w:cs="Times New Roman"/>
                <w:i w:val="0"/>
                <w:iCs w:val="0"/>
                <w:color w:val="auto"/>
                <w:kern w:val="2"/>
                <w:sz w:val="18"/>
                <w:szCs w:val="18"/>
                <w:highlight w:val="none"/>
                <w:u w:val="none" w:color="auto"/>
                <w:lang w:val="en-US" w:eastAsia="zh-CN" w:bidi="ar"/>
              </w:rPr>
              <w:t>2.7667</w:t>
            </w:r>
          </w:p>
        </w:tc>
        <w:tc>
          <w:tcPr>
            <w:tcW w:w="400" w:type="pct"/>
            <w:shd w:val="clear" w:color="auto" w:fill="auto"/>
            <w:noWrap w:val="0"/>
            <w:vAlign w:val="center"/>
          </w:tcPr>
          <w:p w14:paraId="13AD6CB8">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-0.8094</w:t>
            </w:r>
          </w:p>
        </w:tc>
      </w:tr>
      <w:tr w14:paraId="388FC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98" w:type="pct"/>
            <w:vMerge w:val="continue"/>
            <w:noWrap w:val="0"/>
            <w:vAlign w:val="center"/>
          </w:tcPr>
          <w:p w14:paraId="4FBF654D">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6F13B608">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TP</w:t>
            </w:r>
          </w:p>
        </w:tc>
        <w:tc>
          <w:tcPr>
            <w:tcW w:w="622" w:type="pct"/>
            <w:shd w:val="clear" w:color="auto" w:fill="auto"/>
            <w:noWrap w:val="0"/>
            <w:vAlign w:val="center"/>
          </w:tcPr>
          <w:p w14:paraId="55E33224">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0.3848</w:t>
            </w:r>
          </w:p>
        </w:tc>
        <w:tc>
          <w:tcPr>
            <w:tcW w:w="435" w:type="pct"/>
            <w:noWrap w:val="0"/>
            <w:vAlign w:val="center"/>
          </w:tcPr>
          <w:p w14:paraId="52FFDD5F">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bookmarkStart w:id="2371" w:name="_Toc7988"/>
            <w:bookmarkStart w:id="2372" w:name="_Toc5032"/>
            <w:bookmarkStart w:id="2373" w:name="_Toc4171"/>
            <w:bookmarkStart w:id="2374" w:name="_Toc26101"/>
            <w:r>
              <w:rPr>
                <w:rFonts w:hint="eastAsia" w:cs="Times New Roman"/>
                <w:color w:val="auto"/>
                <w:sz w:val="18"/>
                <w:szCs w:val="18"/>
                <w:highlight w:val="none"/>
                <w:u w:val="none" w:color="auto"/>
                <w:lang w:val="en-US" w:eastAsia="zh-CN"/>
              </w:rPr>
              <w:t>/</w:t>
            </w:r>
            <w:bookmarkEnd w:id="2371"/>
            <w:bookmarkEnd w:id="2372"/>
            <w:bookmarkEnd w:id="2373"/>
            <w:bookmarkEnd w:id="2374"/>
          </w:p>
        </w:tc>
        <w:tc>
          <w:tcPr>
            <w:tcW w:w="600" w:type="pct"/>
            <w:noWrap w:val="0"/>
            <w:vAlign w:val="center"/>
          </w:tcPr>
          <w:p w14:paraId="2F0E6357">
            <w:pPr>
              <w:widowControl/>
              <w:adjustRightInd/>
              <w:snapToGrid/>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7BD1B927">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0.4158</w:t>
            </w:r>
          </w:p>
        </w:tc>
        <w:tc>
          <w:tcPr>
            <w:tcW w:w="466" w:type="pct"/>
            <w:shd w:val="clear" w:color="auto" w:fill="auto"/>
            <w:noWrap w:val="0"/>
            <w:vAlign w:val="center"/>
          </w:tcPr>
          <w:p w14:paraId="7A11FBBB">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0.031</w:t>
            </w:r>
          </w:p>
        </w:tc>
        <w:tc>
          <w:tcPr>
            <w:tcW w:w="700" w:type="pct"/>
            <w:shd w:val="clear" w:color="auto" w:fill="auto"/>
            <w:noWrap w:val="0"/>
            <w:vAlign w:val="center"/>
          </w:tcPr>
          <w:p w14:paraId="2BD302F6">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i w:val="0"/>
                <w:iCs w:val="0"/>
                <w:color w:val="auto"/>
                <w:kern w:val="2"/>
                <w:sz w:val="18"/>
                <w:szCs w:val="18"/>
                <w:highlight w:val="none"/>
                <w:u w:val="none" w:color="auto"/>
                <w:lang w:val="en-US" w:eastAsia="zh-CN" w:bidi="ar"/>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0.4158</w:t>
            </w:r>
          </w:p>
        </w:tc>
        <w:tc>
          <w:tcPr>
            <w:tcW w:w="400" w:type="pct"/>
            <w:shd w:val="clear" w:color="auto" w:fill="auto"/>
            <w:noWrap w:val="0"/>
            <w:vAlign w:val="center"/>
          </w:tcPr>
          <w:p w14:paraId="6EFD9B2E">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0.031</w:t>
            </w:r>
          </w:p>
        </w:tc>
      </w:tr>
      <w:tr w14:paraId="20BD4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 w:type="pct"/>
            <w:vMerge w:val="continue"/>
            <w:noWrap w:val="0"/>
            <w:vAlign w:val="center"/>
          </w:tcPr>
          <w:p w14:paraId="69A7FE25">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3FDF65AC">
            <w:pPr>
              <w:keepNext w:val="0"/>
              <w:keepLines w:val="0"/>
              <w:pageBreakBefore w:val="0"/>
              <w:widowControl/>
              <w:kinsoku/>
              <w:wordWrap/>
              <w:overflowPunct/>
              <w:topLinePunct w:val="0"/>
              <w:autoSpaceDE/>
              <w:autoSpaceDN/>
              <w:bidi w:val="0"/>
              <w:adjustRightInd/>
              <w:snapToGrid/>
              <w:spacing w:beforeLines="0" w:afterLines="0"/>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石油类</w:t>
            </w:r>
          </w:p>
        </w:tc>
        <w:tc>
          <w:tcPr>
            <w:tcW w:w="622" w:type="pct"/>
            <w:shd w:val="clear" w:color="auto" w:fill="auto"/>
            <w:noWrap w:val="0"/>
            <w:vAlign w:val="center"/>
          </w:tcPr>
          <w:p w14:paraId="3CDF86A9">
            <w:pPr>
              <w:keepNext w:val="0"/>
              <w:keepLines w:val="0"/>
              <w:widowControl/>
              <w:suppressLineNumbers w:val="0"/>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SA"/>
              </w:rPr>
              <w:t>0.0263</w:t>
            </w:r>
          </w:p>
        </w:tc>
        <w:tc>
          <w:tcPr>
            <w:tcW w:w="435" w:type="pct"/>
            <w:noWrap w:val="0"/>
            <w:vAlign w:val="center"/>
          </w:tcPr>
          <w:p w14:paraId="7BFAA6CA">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75" w:name="_Toc17125"/>
            <w:bookmarkStart w:id="2376" w:name="_Toc22068"/>
            <w:bookmarkStart w:id="2377" w:name="_Toc20055"/>
            <w:bookmarkStart w:id="2378" w:name="_Toc13780"/>
            <w:r>
              <w:rPr>
                <w:rFonts w:hint="eastAsia" w:cs="Times New Roman"/>
                <w:color w:val="auto"/>
                <w:sz w:val="18"/>
                <w:szCs w:val="18"/>
                <w:highlight w:val="none"/>
                <w:u w:val="none" w:color="auto"/>
                <w:lang w:val="en-US" w:eastAsia="zh-CN"/>
              </w:rPr>
              <w:t>/</w:t>
            </w:r>
            <w:bookmarkEnd w:id="2375"/>
            <w:bookmarkEnd w:id="2376"/>
            <w:bookmarkEnd w:id="2377"/>
            <w:bookmarkEnd w:id="2378"/>
          </w:p>
        </w:tc>
        <w:tc>
          <w:tcPr>
            <w:tcW w:w="600" w:type="pct"/>
            <w:noWrap w:val="0"/>
            <w:vAlign w:val="center"/>
          </w:tcPr>
          <w:p w14:paraId="17D4F101">
            <w:pPr>
              <w:widowControl/>
              <w:adjustRightInd/>
              <w:snapToGrid/>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rPr>
              <w:t>/</w:t>
            </w:r>
          </w:p>
        </w:tc>
        <w:tc>
          <w:tcPr>
            <w:tcW w:w="477" w:type="pct"/>
            <w:shd w:val="clear" w:color="auto" w:fill="auto"/>
            <w:noWrap w:val="0"/>
            <w:vAlign w:val="center"/>
          </w:tcPr>
          <w:p w14:paraId="67533C44">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0.0073</w:t>
            </w:r>
          </w:p>
        </w:tc>
        <w:tc>
          <w:tcPr>
            <w:tcW w:w="466" w:type="pct"/>
            <w:shd w:val="clear" w:color="auto" w:fill="auto"/>
            <w:noWrap w:val="0"/>
            <w:vAlign w:val="center"/>
          </w:tcPr>
          <w:p w14:paraId="179D2136">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0.019</w:t>
            </w:r>
          </w:p>
        </w:tc>
        <w:tc>
          <w:tcPr>
            <w:tcW w:w="700" w:type="pct"/>
            <w:shd w:val="clear" w:color="auto" w:fill="auto"/>
            <w:noWrap w:val="0"/>
            <w:vAlign w:val="center"/>
          </w:tcPr>
          <w:p w14:paraId="14E8E3C5">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0.0073</w:t>
            </w:r>
          </w:p>
        </w:tc>
        <w:tc>
          <w:tcPr>
            <w:tcW w:w="400" w:type="pct"/>
            <w:shd w:val="clear" w:color="auto" w:fill="auto"/>
            <w:noWrap w:val="0"/>
            <w:vAlign w:val="center"/>
          </w:tcPr>
          <w:p w14:paraId="1503CF30">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-0.019</w:t>
            </w:r>
          </w:p>
        </w:tc>
      </w:tr>
      <w:tr w14:paraId="4E18A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295" w:type="pct"/>
            <w:gridSpan w:val="2"/>
            <w:noWrap w:val="0"/>
            <w:vAlign w:val="center"/>
          </w:tcPr>
          <w:p w14:paraId="3B229A0B">
            <w:pPr>
              <w:widowControl/>
              <w:spacing w:beforeLines="0" w:afterLines="0"/>
              <w:ind w:firstLine="0" w:firstLineChars="0"/>
              <w:jc w:val="center"/>
              <w:rPr>
                <w:rFonts w:hint="eastAsia" w:ascii="Times New Roman" w:hAnsi="Times New Roman" w:cs="Times New Roman"/>
                <w:color w:val="auto"/>
                <w:sz w:val="18"/>
                <w:szCs w:val="18"/>
                <w:highlight w:val="none"/>
                <w:u w:val="none" w:color="auto"/>
              </w:rPr>
            </w:pPr>
            <w:bookmarkStart w:id="2379" w:name="_Toc1226"/>
            <w:bookmarkStart w:id="2380" w:name="_Toc5329"/>
            <w:bookmarkStart w:id="2381" w:name="_Toc6085"/>
            <w:bookmarkStart w:id="2382" w:name="_Toc973"/>
            <w:bookmarkStart w:id="2383" w:name="_Toc24240"/>
            <w:bookmarkStart w:id="2384" w:name="_Toc4475"/>
            <w:bookmarkStart w:id="2385" w:name="_Toc4142"/>
            <w:bookmarkStart w:id="2386" w:name="_Toc13495"/>
            <w:r>
              <w:rPr>
                <w:rFonts w:hint="eastAsia" w:cs="Times New Roman"/>
                <w:color w:val="auto"/>
                <w:sz w:val="18"/>
                <w:szCs w:val="18"/>
                <w:highlight w:val="none"/>
                <w:u w:val="none" w:color="auto"/>
                <w:lang w:val="en-US" w:eastAsia="zh-CN"/>
              </w:rPr>
              <w:t>生活垃圾</w:t>
            </w:r>
          </w:p>
        </w:tc>
        <w:tc>
          <w:tcPr>
            <w:tcW w:w="622" w:type="pct"/>
            <w:noWrap w:val="0"/>
            <w:vAlign w:val="center"/>
          </w:tcPr>
          <w:p w14:paraId="2EBC71DE">
            <w:pPr>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r>
              <w:rPr>
                <w:rFonts w:hint="eastAsia" w:cs="Times New Roman"/>
                <w:color w:val="auto"/>
                <w:spacing w:val="0"/>
                <w:sz w:val="18"/>
                <w:szCs w:val="18"/>
                <w:highlight w:val="none"/>
                <w:u w:val="none" w:color="auto"/>
                <w:lang w:val="en-US" w:eastAsia="zh-CN"/>
              </w:rPr>
              <w:t>6.9</w:t>
            </w:r>
          </w:p>
        </w:tc>
        <w:tc>
          <w:tcPr>
            <w:tcW w:w="435" w:type="pct"/>
            <w:noWrap w:val="0"/>
            <w:vAlign w:val="center"/>
          </w:tcPr>
          <w:p w14:paraId="7F528A12">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87" w:name="_Toc32002"/>
            <w:bookmarkStart w:id="2388" w:name="_Toc1127"/>
            <w:bookmarkStart w:id="2389" w:name="_Toc22896"/>
            <w:bookmarkStart w:id="2390" w:name="_Toc6748"/>
            <w:r>
              <w:rPr>
                <w:rFonts w:hint="eastAsia" w:cs="Times New Roman"/>
                <w:color w:val="auto"/>
                <w:sz w:val="18"/>
                <w:szCs w:val="18"/>
                <w:highlight w:val="none"/>
                <w:u w:val="none" w:color="auto"/>
                <w:lang w:val="en-US" w:eastAsia="zh-CN"/>
              </w:rPr>
              <w:t>/</w:t>
            </w:r>
            <w:bookmarkEnd w:id="2387"/>
            <w:bookmarkEnd w:id="2388"/>
            <w:bookmarkEnd w:id="2389"/>
            <w:bookmarkEnd w:id="2390"/>
          </w:p>
        </w:tc>
        <w:tc>
          <w:tcPr>
            <w:tcW w:w="600" w:type="pct"/>
            <w:noWrap w:val="0"/>
            <w:vAlign w:val="center"/>
          </w:tcPr>
          <w:p w14:paraId="18E02EF1">
            <w:pPr>
              <w:widowControl/>
              <w:adjustRightInd/>
              <w:snapToGrid/>
              <w:spacing w:beforeLines="0" w:afterLines="0"/>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477" w:type="pct"/>
            <w:noWrap w:val="0"/>
            <w:vAlign w:val="center"/>
          </w:tcPr>
          <w:p w14:paraId="4C563DE5">
            <w:pPr>
              <w:widowControl/>
              <w:adjustRightInd/>
              <w:snapToGrid/>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0</w:t>
            </w:r>
          </w:p>
        </w:tc>
        <w:tc>
          <w:tcPr>
            <w:tcW w:w="466" w:type="pct"/>
            <w:noWrap w:val="0"/>
            <w:vAlign w:val="center"/>
          </w:tcPr>
          <w:p w14:paraId="2F757BE9">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391" w:name="_Toc23443"/>
            <w:bookmarkStart w:id="2392" w:name="_Toc26126"/>
            <w:bookmarkStart w:id="2393" w:name="_Toc17717"/>
            <w:bookmarkStart w:id="2394" w:name="_Toc26610"/>
            <w:bookmarkStart w:id="2395" w:name="_Toc29192"/>
            <w:bookmarkStart w:id="2396" w:name="_Toc9979"/>
            <w:bookmarkStart w:id="2397" w:name="_Toc5356"/>
            <w:bookmarkStart w:id="2398" w:name="_Toc22037"/>
            <w:bookmarkStart w:id="2399" w:name="_Toc1072"/>
            <w:bookmarkStart w:id="2400" w:name="_Toc21825"/>
            <w:bookmarkStart w:id="2401" w:name="_Toc29457"/>
            <w:bookmarkStart w:id="2402" w:name="_Toc27395"/>
            <w:bookmarkStart w:id="2403" w:name="_Toc3424"/>
            <w:bookmarkStart w:id="2404" w:name="_Toc316"/>
            <w:r>
              <w:rPr>
                <w:rFonts w:hint="eastAsia" w:cs="Times New Roman"/>
                <w:color w:val="auto"/>
                <w:sz w:val="18"/>
                <w:szCs w:val="18"/>
                <w:highlight w:val="none"/>
                <w:u w:val="none" w:color="auto"/>
                <w:lang w:val="en-US" w:eastAsia="zh-CN"/>
              </w:rPr>
              <w:t>/</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tc>
        <w:tc>
          <w:tcPr>
            <w:tcW w:w="700" w:type="pct"/>
            <w:shd w:val="clear" w:color="auto" w:fill="auto"/>
            <w:noWrap w:val="0"/>
            <w:vAlign w:val="center"/>
          </w:tcPr>
          <w:p w14:paraId="35D27ABA">
            <w:pPr>
              <w:keepNext w:val="0"/>
              <w:keepLines w:val="0"/>
              <w:widowControl/>
              <w:suppressLineNumbers w:val="0"/>
              <w:autoSpaceDE/>
              <w:spacing w:beforeLines="0" w:afterLines="0" w:line="240" w:lineRule="auto"/>
              <w:ind w:firstLine="0" w:firstLineChars="0"/>
              <w:jc w:val="center"/>
              <w:textAlignment w:val="auto"/>
              <w:rPr>
                <w:rFonts w:hint="eastAsia" w:ascii="Times New Roman" w:hAnsi="Times New Roman" w:cs="Times New Roman"/>
                <w:color w:val="auto"/>
                <w:sz w:val="18"/>
                <w:szCs w:val="18"/>
                <w:highlight w:val="none"/>
                <w:u w:val="none" w:color="auto"/>
                <w:lang w:val="en-US" w:eastAsia="zh-CN"/>
              </w:rPr>
            </w:pPr>
            <w:r>
              <w:rPr>
                <w:rFonts w:hint="eastAsia" w:ascii="Times New Roman" w:hAnsi="Times New Roman" w:eastAsia="宋体" w:cs="Times New Roman"/>
                <w:i w:val="0"/>
                <w:iCs w:val="0"/>
                <w:color w:val="auto"/>
                <w:kern w:val="2"/>
                <w:sz w:val="18"/>
                <w:szCs w:val="18"/>
                <w:highlight w:val="none"/>
                <w:u w:val="none" w:color="auto"/>
                <w:lang w:val="en-US" w:eastAsia="zh-CN" w:bidi="ar"/>
              </w:rPr>
              <w:t>6.9</w:t>
            </w:r>
          </w:p>
        </w:tc>
        <w:tc>
          <w:tcPr>
            <w:tcW w:w="400" w:type="pct"/>
            <w:shd w:val="clear" w:color="auto" w:fill="auto"/>
            <w:noWrap w:val="0"/>
            <w:vAlign w:val="center"/>
          </w:tcPr>
          <w:p w14:paraId="2C4D2C60">
            <w:pPr>
              <w:keepNext w:val="0"/>
              <w:keepLines w:val="0"/>
              <w:widowControl/>
              <w:suppressLineNumbers w:val="0"/>
              <w:autoSpaceDE/>
              <w:spacing w:beforeLines="0" w:afterLines="0" w:line="240" w:lineRule="auto"/>
              <w:ind w:firstLine="0" w:firstLineChars="0"/>
              <w:jc w:val="center"/>
              <w:textAlignment w:val="auto"/>
              <w:rPr>
                <w:rFonts w:hint="eastAsia" w:cs="Times New Roman"/>
                <w:color w:val="auto"/>
                <w:sz w:val="18"/>
                <w:szCs w:val="18"/>
                <w:highlight w:val="none"/>
                <w:u w:val="none" w:color="auto"/>
                <w:lang w:val="en-US" w:eastAsia="zh-CN"/>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w:t>
            </w:r>
          </w:p>
        </w:tc>
      </w:tr>
      <w:tr w14:paraId="49914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298" w:type="pct"/>
            <w:vMerge w:val="restart"/>
            <w:noWrap w:val="0"/>
            <w:vAlign w:val="center"/>
          </w:tcPr>
          <w:p w14:paraId="76CC1617">
            <w:pPr>
              <w:pStyle w:val="44"/>
              <w:spacing w:line="240" w:lineRule="auto"/>
              <w:rPr>
                <w:rFonts w:hint="default" w:ascii="Times New Roman" w:hAnsi="Times New Roman" w:cs="Times New Roman"/>
                <w:color w:val="auto"/>
                <w:sz w:val="18"/>
                <w:szCs w:val="18"/>
                <w:u w:val="none" w:color="auto"/>
                <w:lang w:val="en-US" w:eastAsia="zh-CN"/>
              </w:rPr>
            </w:pPr>
            <w:bookmarkStart w:id="2405" w:name="_Toc29043"/>
            <w:bookmarkStart w:id="2406" w:name="_Toc25657"/>
            <w:bookmarkStart w:id="2407" w:name="_Toc27418"/>
            <w:bookmarkStart w:id="2408" w:name="_Toc28850"/>
            <w:bookmarkStart w:id="2409" w:name="_Toc29736"/>
            <w:bookmarkStart w:id="2410" w:name="_Toc11658"/>
            <w:bookmarkStart w:id="2411" w:name="_Toc27053"/>
            <w:bookmarkStart w:id="2412" w:name="_Toc12136"/>
            <w:bookmarkStart w:id="2413" w:name="_Toc373"/>
            <w:bookmarkStart w:id="2414" w:name="_Toc7626"/>
            <w:bookmarkStart w:id="2415" w:name="_Toc8787"/>
            <w:bookmarkStart w:id="2416" w:name="_Toc4282"/>
            <w:bookmarkStart w:id="2417" w:name="_Toc5029"/>
            <w:bookmarkStart w:id="2418" w:name="_Toc9762"/>
            <w:bookmarkStart w:id="2419" w:name="_Toc7996"/>
            <w:r>
              <w:rPr>
                <w:rFonts w:hint="default" w:ascii="Times New Roman" w:hAnsi="Times New Roman" w:cs="Times New Roman"/>
                <w:color w:val="auto"/>
                <w:sz w:val="18"/>
                <w:szCs w:val="18"/>
                <w:u w:val="none" w:color="auto"/>
                <w:lang w:val="en-US" w:eastAsia="zh-CN"/>
              </w:rPr>
              <w:t>一般</w:t>
            </w:r>
            <w:bookmarkEnd w:id="2379"/>
            <w:bookmarkEnd w:id="2380"/>
            <w:bookmarkEnd w:id="2381"/>
            <w:bookmarkEnd w:id="2382"/>
            <w:bookmarkEnd w:id="2383"/>
            <w:bookmarkEnd w:id="2384"/>
            <w:bookmarkEnd w:id="2385"/>
            <w:bookmarkEnd w:id="2386"/>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00F31909">
            <w:pPr>
              <w:pStyle w:val="44"/>
              <w:spacing w:line="240" w:lineRule="auto"/>
              <w:rPr>
                <w:rFonts w:hint="default" w:ascii="Times New Roman" w:hAnsi="Times New Roman" w:cs="Times New Roman"/>
                <w:color w:val="auto"/>
                <w:sz w:val="18"/>
                <w:szCs w:val="18"/>
                <w:u w:val="none" w:color="auto"/>
                <w:lang w:val="en-US" w:eastAsia="zh-CN"/>
              </w:rPr>
            </w:pPr>
            <w:bookmarkStart w:id="2420" w:name="_Toc3013"/>
            <w:bookmarkStart w:id="2421" w:name="_Toc9745"/>
            <w:bookmarkStart w:id="2422" w:name="_Toc14437"/>
            <w:bookmarkStart w:id="2423" w:name="_Toc30840"/>
            <w:bookmarkStart w:id="2424" w:name="_Toc12624"/>
            <w:bookmarkStart w:id="2425" w:name="_Toc25746"/>
            <w:bookmarkStart w:id="2426" w:name="_Toc13865"/>
            <w:bookmarkStart w:id="2427" w:name="_Toc19838"/>
            <w:bookmarkStart w:id="2428" w:name="_Toc7172"/>
            <w:bookmarkStart w:id="2429" w:name="_Toc14544"/>
            <w:bookmarkStart w:id="2430" w:name="_Toc14840"/>
            <w:bookmarkStart w:id="2431" w:name="_Toc4135"/>
            <w:bookmarkStart w:id="2432" w:name="_Toc14362"/>
            <w:bookmarkStart w:id="2433" w:name="_Toc10125"/>
            <w:bookmarkStart w:id="2434" w:name="_Toc20254"/>
            <w:bookmarkStart w:id="2435" w:name="_Toc20731"/>
            <w:bookmarkStart w:id="2436" w:name="_Toc29587"/>
            <w:bookmarkStart w:id="2437" w:name="_Toc29068"/>
            <w:bookmarkStart w:id="2438" w:name="_Toc8487"/>
            <w:bookmarkStart w:id="2439" w:name="_Toc541"/>
            <w:bookmarkStart w:id="2440" w:name="_Toc31533"/>
            <w:bookmarkStart w:id="2441" w:name="_Toc30980"/>
            <w:bookmarkStart w:id="2442" w:name="_Toc24621"/>
            <w:r>
              <w:rPr>
                <w:rFonts w:hint="default" w:ascii="Times New Roman" w:hAnsi="Times New Roman" w:cs="Times New Roman"/>
                <w:color w:val="auto"/>
                <w:sz w:val="18"/>
                <w:szCs w:val="18"/>
                <w:u w:val="none" w:color="auto"/>
                <w:lang w:val="en-US" w:eastAsia="zh-CN"/>
              </w:rPr>
              <w:t>工业</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14:paraId="5E13984B">
            <w:pPr>
              <w:pStyle w:val="44"/>
              <w:spacing w:line="240" w:lineRule="auto"/>
              <w:rPr>
                <w:rFonts w:hint="default" w:ascii="Times New Roman" w:hAnsi="Times New Roman" w:cs="Times New Roman"/>
                <w:color w:val="auto"/>
                <w:sz w:val="18"/>
                <w:szCs w:val="18"/>
                <w:u w:val="none" w:color="auto"/>
                <w:lang w:val="en-US" w:eastAsia="zh-CN"/>
              </w:rPr>
            </w:pPr>
            <w:bookmarkStart w:id="2443" w:name="_Toc28438"/>
            <w:bookmarkStart w:id="2444" w:name="_Toc19538"/>
            <w:bookmarkStart w:id="2445" w:name="_Toc32680"/>
            <w:bookmarkStart w:id="2446" w:name="_Toc9828"/>
            <w:bookmarkStart w:id="2447" w:name="_Toc1166"/>
            <w:bookmarkStart w:id="2448" w:name="_Toc29180"/>
            <w:bookmarkStart w:id="2449" w:name="_Toc2939"/>
            <w:bookmarkStart w:id="2450" w:name="_Toc28523"/>
            <w:bookmarkStart w:id="2451" w:name="_Toc25576"/>
            <w:bookmarkStart w:id="2452" w:name="_Toc19322"/>
            <w:bookmarkStart w:id="2453" w:name="_Toc10309"/>
            <w:bookmarkStart w:id="2454" w:name="_Toc24083"/>
            <w:bookmarkStart w:id="2455" w:name="_Toc1012"/>
            <w:bookmarkStart w:id="2456" w:name="_Toc30848"/>
            <w:bookmarkStart w:id="2457" w:name="_Toc19909"/>
            <w:bookmarkStart w:id="2458" w:name="_Toc20639"/>
            <w:bookmarkStart w:id="2459" w:name="_Toc14771"/>
            <w:bookmarkStart w:id="2460" w:name="_Toc13006"/>
            <w:bookmarkStart w:id="2461" w:name="_Toc28707"/>
            <w:bookmarkStart w:id="2462" w:name="_Toc1356"/>
            <w:bookmarkStart w:id="2463" w:name="_Toc2440"/>
            <w:bookmarkStart w:id="2464" w:name="_Toc10450"/>
            <w:bookmarkStart w:id="2465" w:name="_Toc27583"/>
            <w:r>
              <w:rPr>
                <w:rFonts w:hint="default" w:ascii="Times New Roman" w:hAnsi="Times New Roman" w:cs="Times New Roman"/>
                <w:color w:val="auto"/>
                <w:sz w:val="18"/>
                <w:szCs w:val="18"/>
                <w:u w:val="none" w:color="auto"/>
                <w:lang w:val="en-US" w:eastAsia="zh-CN"/>
              </w:rPr>
              <w:t>固体</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6D2EE480">
            <w:pPr>
              <w:pStyle w:val="44"/>
              <w:spacing w:line="240" w:lineRule="auto"/>
              <w:rPr>
                <w:rFonts w:hint="default" w:ascii="Times New Roman" w:hAnsi="Times New Roman" w:cs="Times New Roman"/>
                <w:color w:val="auto"/>
                <w:sz w:val="18"/>
                <w:szCs w:val="18"/>
                <w:u w:val="none" w:color="auto"/>
                <w:lang w:val="en-US" w:eastAsia="zh-CN"/>
              </w:rPr>
            </w:pPr>
            <w:bookmarkStart w:id="2466" w:name="_Toc11572"/>
            <w:bookmarkStart w:id="2467" w:name="_Toc13303"/>
            <w:bookmarkStart w:id="2468" w:name="_Toc25175"/>
            <w:bookmarkStart w:id="2469" w:name="_Toc26877"/>
            <w:bookmarkStart w:id="2470" w:name="_Toc3665"/>
            <w:bookmarkStart w:id="2471" w:name="_Toc18966"/>
            <w:bookmarkStart w:id="2472" w:name="_Toc32750"/>
            <w:bookmarkStart w:id="2473" w:name="_Toc27241"/>
            <w:bookmarkStart w:id="2474" w:name="_Toc24436"/>
            <w:bookmarkStart w:id="2475" w:name="_Toc16614"/>
            <w:bookmarkStart w:id="2476" w:name="_Toc26159"/>
            <w:bookmarkStart w:id="2477" w:name="_Toc9383"/>
            <w:bookmarkStart w:id="2478" w:name="_Toc16205"/>
            <w:bookmarkStart w:id="2479" w:name="_Toc5181"/>
            <w:bookmarkStart w:id="2480" w:name="_Toc28528"/>
            <w:bookmarkStart w:id="2481" w:name="_Toc22252"/>
            <w:bookmarkStart w:id="2482" w:name="_Toc15047"/>
            <w:bookmarkStart w:id="2483" w:name="_Toc19660"/>
            <w:bookmarkStart w:id="2484" w:name="_Toc2384"/>
            <w:bookmarkStart w:id="2485" w:name="_Toc29513"/>
            <w:bookmarkStart w:id="2486" w:name="_Toc28053"/>
            <w:bookmarkStart w:id="2487" w:name="_Toc26829"/>
            <w:bookmarkStart w:id="2488" w:name="_Toc10208"/>
            <w:r>
              <w:rPr>
                <w:rFonts w:hint="default" w:ascii="Times New Roman" w:hAnsi="Times New Roman" w:cs="Times New Roman"/>
                <w:color w:val="auto"/>
                <w:sz w:val="18"/>
                <w:szCs w:val="18"/>
                <w:u w:val="none" w:color="auto"/>
                <w:lang w:val="en-US" w:eastAsia="zh-CN"/>
              </w:rPr>
              <w:t>废物</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p>
        </w:tc>
        <w:tc>
          <w:tcPr>
            <w:tcW w:w="997" w:type="pct"/>
            <w:shd w:val="clear" w:color="auto" w:fill="auto"/>
            <w:noWrap w:val="0"/>
            <w:vAlign w:val="center"/>
          </w:tcPr>
          <w:p w14:paraId="08BD59D9">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猪牛胃内容物不可食用部分（除胃内容物外）</w:t>
            </w:r>
          </w:p>
        </w:tc>
        <w:tc>
          <w:tcPr>
            <w:tcW w:w="622" w:type="pct"/>
            <w:shd w:val="clear" w:color="auto" w:fill="auto"/>
            <w:noWrap w:val="0"/>
            <w:vAlign w:val="center"/>
          </w:tcPr>
          <w:p w14:paraId="5A232A0C">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153.2</w:t>
            </w:r>
          </w:p>
        </w:tc>
        <w:tc>
          <w:tcPr>
            <w:tcW w:w="435" w:type="pct"/>
            <w:noWrap w:val="0"/>
            <w:vAlign w:val="center"/>
          </w:tcPr>
          <w:p w14:paraId="29F8FC81">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489" w:name="_Toc31016"/>
            <w:bookmarkStart w:id="2490" w:name="_Toc2800"/>
            <w:bookmarkStart w:id="2491" w:name="_Toc31270"/>
            <w:bookmarkStart w:id="2492" w:name="_Toc15195"/>
            <w:r>
              <w:rPr>
                <w:rFonts w:hint="eastAsia" w:cs="Times New Roman"/>
                <w:color w:val="auto"/>
                <w:sz w:val="18"/>
                <w:szCs w:val="18"/>
                <w:highlight w:val="none"/>
                <w:u w:val="none" w:color="auto"/>
                <w:lang w:val="en-US" w:eastAsia="zh-CN"/>
              </w:rPr>
              <w:t>/</w:t>
            </w:r>
            <w:bookmarkEnd w:id="2489"/>
            <w:bookmarkEnd w:id="2490"/>
            <w:bookmarkEnd w:id="2491"/>
            <w:bookmarkEnd w:id="2492"/>
          </w:p>
        </w:tc>
        <w:tc>
          <w:tcPr>
            <w:tcW w:w="600" w:type="pct"/>
            <w:noWrap w:val="0"/>
            <w:vAlign w:val="center"/>
          </w:tcPr>
          <w:p w14:paraId="11DA4CFF">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493" w:name="_Toc2211"/>
            <w:bookmarkStart w:id="2494" w:name="_Toc25604"/>
            <w:bookmarkStart w:id="2495" w:name="_Toc9904"/>
            <w:bookmarkStart w:id="2496" w:name="_Toc15895"/>
            <w:bookmarkStart w:id="2497" w:name="_Toc23726"/>
            <w:bookmarkStart w:id="2498" w:name="_Toc15664"/>
            <w:bookmarkStart w:id="2499" w:name="_Toc3154"/>
            <w:bookmarkStart w:id="2500" w:name="_Toc17659"/>
            <w:bookmarkStart w:id="2501" w:name="_Toc27858"/>
            <w:bookmarkStart w:id="2502" w:name="_Toc19518"/>
            <w:bookmarkStart w:id="2503" w:name="_Toc20109"/>
            <w:bookmarkStart w:id="2504" w:name="_Toc820"/>
            <w:bookmarkStart w:id="2505" w:name="_Toc26295"/>
            <w:bookmarkStart w:id="2506" w:name="_Toc28769"/>
            <w:r>
              <w:rPr>
                <w:rFonts w:hint="eastAsia" w:ascii="Times New Roman" w:hAnsi="Times New Roman" w:cs="Times New Roman"/>
                <w:color w:val="auto"/>
                <w:sz w:val="18"/>
                <w:szCs w:val="18"/>
                <w:highlight w:val="none"/>
                <w:u w:val="none" w:color="auto"/>
                <w:lang w:val="en-US" w:eastAsia="zh-CN"/>
              </w:rPr>
              <w:t>/</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tc>
        <w:tc>
          <w:tcPr>
            <w:tcW w:w="477" w:type="pct"/>
            <w:shd w:val="clear" w:color="auto" w:fill="auto"/>
            <w:noWrap w:val="0"/>
            <w:vAlign w:val="center"/>
          </w:tcPr>
          <w:p w14:paraId="0E247C7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187</w:t>
            </w:r>
          </w:p>
        </w:tc>
        <w:tc>
          <w:tcPr>
            <w:tcW w:w="466" w:type="pct"/>
            <w:noWrap w:val="0"/>
            <w:vAlign w:val="center"/>
          </w:tcPr>
          <w:p w14:paraId="658DC924">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07" w:name="_Toc12969"/>
            <w:bookmarkStart w:id="2508" w:name="_Toc31865"/>
            <w:bookmarkStart w:id="2509" w:name="_Toc3654"/>
            <w:bookmarkStart w:id="2510" w:name="_Toc24900"/>
            <w:bookmarkStart w:id="2511" w:name="_Toc9811"/>
            <w:bookmarkStart w:id="2512" w:name="_Toc7182"/>
            <w:bookmarkStart w:id="2513" w:name="_Toc338"/>
            <w:bookmarkStart w:id="2514" w:name="_Toc20461"/>
            <w:bookmarkStart w:id="2515" w:name="_Toc12607"/>
            <w:bookmarkStart w:id="2516" w:name="_Toc23870"/>
            <w:bookmarkStart w:id="2517" w:name="_Toc3898"/>
            <w:bookmarkStart w:id="2518" w:name="_Toc1732"/>
            <w:bookmarkStart w:id="2519" w:name="_Toc29372"/>
            <w:bookmarkStart w:id="2520" w:name="_Toc14902"/>
            <w:r>
              <w:rPr>
                <w:rFonts w:hint="eastAsia" w:ascii="Times New Roman" w:hAnsi="Times New Roman" w:cs="Times New Roman"/>
                <w:color w:val="auto"/>
                <w:sz w:val="18"/>
                <w:szCs w:val="18"/>
                <w:highlight w:val="none"/>
                <w:u w:val="none" w:color="auto"/>
                <w:lang w:val="en-US" w:eastAsia="zh-CN"/>
              </w:rPr>
              <w:t>/</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tc>
        <w:tc>
          <w:tcPr>
            <w:tcW w:w="700" w:type="pct"/>
            <w:shd w:val="clear" w:color="auto" w:fill="auto"/>
            <w:noWrap w:val="0"/>
            <w:vAlign w:val="center"/>
          </w:tcPr>
          <w:p w14:paraId="16FCF9E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z w:val="18"/>
                <w:szCs w:val="18"/>
                <w:highlight w:val="none"/>
                <w:u w:val="none" w:color="auto"/>
                <w:vertAlign w:val="baseline"/>
                <w:lang w:val="en-US" w:eastAsia="zh-CN"/>
              </w:rPr>
              <w:t>187</w:t>
            </w:r>
          </w:p>
        </w:tc>
        <w:tc>
          <w:tcPr>
            <w:tcW w:w="400" w:type="pct"/>
            <w:shd w:val="clear" w:color="auto" w:fill="auto"/>
            <w:noWrap w:val="0"/>
            <w:vAlign w:val="center"/>
          </w:tcPr>
          <w:p w14:paraId="12D973AF">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33.8</w:t>
            </w:r>
          </w:p>
        </w:tc>
      </w:tr>
      <w:tr w14:paraId="560DC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98" w:type="pct"/>
            <w:vMerge w:val="continue"/>
            <w:noWrap w:val="0"/>
            <w:vAlign w:val="center"/>
          </w:tcPr>
          <w:p w14:paraId="43E85A6A">
            <w:pPr>
              <w:pStyle w:val="44"/>
              <w:spacing w:line="240" w:lineRule="auto"/>
              <w:outlineLvl w:val="9"/>
              <w:rPr>
                <w:rFonts w:hint="default" w:ascii="Times New Roman" w:hAnsi="Times New Roman" w:cs="Times New Roman"/>
                <w:color w:val="auto"/>
                <w:sz w:val="18"/>
                <w:szCs w:val="18"/>
                <w:u w:val="none" w:color="auto"/>
              </w:rPr>
            </w:pPr>
          </w:p>
        </w:tc>
        <w:tc>
          <w:tcPr>
            <w:tcW w:w="997" w:type="pct"/>
            <w:shd w:val="clear" w:color="auto" w:fill="auto"/>
            <w:noWrap w:val="0"/>
            <w:vAlign w:val="center"/>
          </w:tcPr>
          <w:p w14:paraId="5BB585AE">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碎肉渣</w:t>
            </w:r>
          </w:p>
        </w:tc>
        <w:tc>
          <w:tcPr>
            <w:tcW w:w="622" w:type="pct"/>
            <w:shd w:val="clear" w:color="auto" w:fill="auto"/>
            <w:noWrap w:val="0"/>
            <w:vAlign w:val="center"/>
          </w:tcPr>
          <w:p w14:paraId="6F43E183">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0.8</w:t>
            </w:r>
          </w:p>
        </w:tc>
        <w:tc>
          <w:tcPr>
            <w:tcW w:w="435" w:type="pct"/>
            <w:noWrap w:val="0"/>
            <w:vAlign w:val="center"/>
          </w:tcPr>
          <w:p w14:paraId="07271131">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21" w:name="_Toc10569"/>
            <w:bookmarkStart w:id="2522" w:name="_Toc15088"/>
            <w:bookmarkStart w:id="2523" w:name="_Toc24997"/>
            <w:bookmarkStart w:id="2524" w:name="_Toc18101"/>
            <w:r>
              <w:rPr>
                <w:rFonts w:hint="eastAsia" w:cs="Times New Roman"/>
                <w:color w:val="auto"/>
                <w:sz w:val="18"/>
                <w:szCs w:val="18"/>
                <w:highlight w:val="none"/>
                <w:u w:val="none" w:color="auto"/>
                <w:lang w:val="en-US" w:eastAsia="zh-CN"/>
              </w:rPr>
              <w:t>/</w:t>
            </w:r>
            <w:bookmarkEnd w:id="2521"/>
            <w:bookmarkEnd w:id="2522"/>
            <w:bookmarkEnd w:id="2523"/>
            <w:bookmarkEnd w:id="2524"/>
          </w:p>
        </w:tc>
        <w:tc>
          <w:tcPr>
            <w:tcW w:w="600" w:type="pct"/>
            <w:noWrap w:val="0"/>
            <w:vAlign w:val="center"/>
          </w:tcPr>
          <w:p w14:paraId="5E417BD1">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25" w:name="_Toc3123"/>
            <w:bookmarkStart w:id="2526" w:name="_Toc25412"/>
            <w:bookmarkStart w:id="2527" w:name="_Toc14805"/>
            <w:bookmarkStart w:id="2528" w:name="_Toc17495"/>
            <w:bookmarkStart w:id="2529" w:name="_Toc3984"/>
            <w:bookmarkStart w:id="2530" w:name="_Toc2805"/>
            <w:bookmarkStart w:id="2531" w:name="_Toc9483"/>
            <w:bookmarkStart w:id="2532" w:name="_Toc6800"/>
            <w:bookmarkStart w:id="2533" w:name="_Toc13746"/>
            <w:bookmarkStart w:id="2534" w:name="_Toc9096"/>
            <w:bookmarkStart w:id="2535" w:name="_Toc20675"/>
            <w:bookmarkStart w:id="2536" w:name="_Toc25830"/>
            <w:bookmarkStart w:id="2537" w:name="_Toc26010"/>
            <w:bookmarkStart w:id="2538" w:name="_Toc4772"/>
            <w:r>
              <w:rPr>
                <w:rFonts w:hint="eastAsia" w:ascii="Times New Roman" w:hAnsi="Times New Roman" w:cs="Times New Roman"/>
                <w:color w:val="auto"/>
                <w:sz w:val="18"/>
                <w:szCs w:val="18"/>
                <w:highlight w:val="none"/>
                <w:u w:val="none" w:color="auto"/>
                <w:lang w:val="en-US" w:eastAsia="zh-CN"/>
              </w:rPr>
              <w:t>/</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tc>
        <w:tc>
          <w:tcPr>
            <w:tcW w:w="477" w:type="pct"/>
            <w:shd w:val="clear" w:color="auto" w:fill="auto"/>
            <w:noWrap w:val="0"/>
            <w:vAlign w:val="center"/>
          </w:tcPr>
          <w:p w14:paraId="63B1CFC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1.1</w:t>
            </w:r>
          </w:p>
        </w:tc>
        <w:tc>
          <w:tcPr>
            <w:tcW w:w="466" w:type="pct"/>
            <w:noWrap w:val="0"/>
            <w:vAlign w:val="center"/>
          </w:tcPr>
          <w:p w14:paraId="3E30D5A1">
            <w:pPr>
              <w:keepNext w:val="0"/>
              <w:keepLines w:val="0"/>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bookmarkStart w:id="2539" w:name="_Toc11778"/>
            <w:bookmarkStart w:id="2540" w:name="_Toc21630"/>
            <w:bookmarkStart w:id="2541" w:name="_Toc14536"/>
            <w:bookmarkStart w:id="2542" w:name="_Toc13063"/>
            <w:bookmarkStart w:id="2543" w:name="_Toc27787"/>
            <w:bookmarkStart w:id="2544" w:name="_Toc1292"/>
            <w:bookmarkStart w:id="2545" w:name="_Toc27975"/>
            <w:bookmarkStart w:id="2546" w:name="_Toc12204"/>
            <w:bookmarkStart w:id="2547" w:name="_Toc8562"/>
            <w:bookmarkStart w:id="2548" w:name="_Toc24172"/>
            <w:bookmarkStart w:id="2549" w:name="_Toc23280"/>
            <w:bookmarkStart w:id="2550" w:name="_Toc19932"/>
            <w:bookmarkStart w:id="2551" w:name="_Toc21808"/>
            <w:bookmarkStart w:id="2552" w:name="_Toc1275"/>
            <w:r>
              <w:rPr>
                <w:rFonts w:hint="eastAsia" w:ascii="Times New Roman" w:hAnsi="Times New Roman" w:cs="Times New Roman"/>
                <w:color w:val="auto"/>
                <w:sz w:val="18"/>
                <w:szCs w:val="18"/>
                <w:highlight w:val="none"/>
                <w:u w:val="none" w:color="auto"/>
                <w:lang w:val="en-US" w:eastAsia="zh-CN"/>
              </w:rPr>
              <w:t>/</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tc>
        <w:tc>
          <w:tcPr>
            <w:tcW w:w="700" w:type="pct"/>
            <w:shd w:val="clear" w:color="auto" w:fill="auto"/>
            <w:noWrap w:val="0"/>
            <w:vAlign w:val="center"/>
          </w:tcPr>
          <w:p w14:paraId="752E9AFF">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1.1</w:t>
            </w:r>
          </w:p>
        </w:tc>
        <w:tc>
          <w:tcPr>
            <w:tcW w:w="400" w:type="pct"/>
            <w:shd w:val="clear" w:color="auto" w:fill="auto"/>
            <w:noWrap w:val="0"/>
            <w:vAlign w:val="center"/>
          </w:tcPr>
          <w:p w14:paraId="4BA59C96">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0.3</w:t>
            </w:r>
          </w:p>
        </w:tc>
      </w:tr>
      <w:tr w14:paraId="3870C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98" w:type="pct"/>
            <w:vMerge w:val="continue"/>
            <w:noWrap w:val="0"/>
            <w:vAlign w:val="center"/>
          </w:tcPr>
          <w:p w14:paraId="7407BF58">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774F5E93">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猪牛待宰期间产生的粪便</w:t>
            </w:r>
          </w:p>
        </w:tc>
        <w:tc>
          <w:tcPr>
            <w:tcW w:w="622" w:type="pct"/>
            <w:shd w:val="clear" w:color="auto" w:fill="auto"/>
            <w:noWrap w:val="0"/>
            <w:vAlign w:val="center"/>
          </w:tcPr>
          <w:p w14:paraId="4CAD7626">
            <w:pPr>
              <w:widowControl/>
              <w:spacing w:beforeLines="0" w:afterLines="0"/>
              <w:ind w:firstLine="0" w:firstLineChars="0"/>
              <w:jc w:val="center"/>
              <w:rPr>
                <w:rFonts w:hint="eastAsia" w:ascii="Times New Roman" w:hAnsi="Times New Roman" w:eastAsia="宋体" w:cs="Times New Roman"/>
                <w:color w:val="auto"/>
                <w:spacing w:val="0"/>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146</w:t>
            </w:r>
          </w:p>
        </w:tc>
        <w:tc>
          <w:tcPr>
            <w:tcW w:w="435" w:type="pct"/>
            <w:noWrap w:val="0"/>
            <w:vAlign w:val="center"/>
          </w:tcPr>
          <w:p w14:paraId="134178FD">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53" w:name="_Toc10006"/>
            <w:bookmarkStart w:id="2554" w:name="_Toc10838"/>
            <w:bookmarkStart w:id="2555" w:name="_Toc15712"/>
            <w:bookmarkStart w:id="2556" w:name="_Toc30100"/>
            <w:r>
              <w:rPr>
                <w:rFonts w:hint="eastAsia" w:cs="Times New Roman"/>
                <w:color w:val="auto"/>
                <w:sz w:val="18"/>
                <w:szCs w:val="18"/>
                <w:highlight w:val="none"/>
                <w:u w:val="none" w:color="auto"/>
                <w:lang w:val="en-US" w:eastAsia="zh-CN"/>
              </w:rPr>
              <w:t>/</w:t>
            </w:r>
            <w:bookmarkEnd w:id="2553"/>
            <w:bookmarkEnd w:id="2554"/>
            <w:bookmarkEnd w:id="2555"/>
            <w:bookmarkEnd w:id="2556"/>
          </w:p>
        </w:tc>
        <w:tc>
          <w:tcPr>
            <w:tcW w:w="600" w:type="pct"/>
            <w:noWrap w:val="0"/>
            <w:vAlign w:val="center"/>
          </w:tcPr>
          <w:p w14:paraId="7815484C">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57" w:name="_Toc8295"/>
            <w:bookmarkStart w:id="2558" w:name="_Toc21687"/>
            <w:bookmarkStart w:id="2559" w:name="_Toc26760"/>
            <w:bookmarkStart w:id="2560" w:name="_Toc32287"/>
            <w:bookmarkStart w:id="2561" w:name="_Toc10587"/>
            <w:bookmarkStart w:id="2562" w:name="_Toc19703"/>
            <w:bookmarkStart w:id="2563" w:name="_Toc1459"/>
            <w:bookmarkStart w:id="2564" w:name="_Toc1944"/>
            <w:bookmarkStart w:id="2565" w:name="_Toc295"/>
            <w:bookmarkStart w:id="2566" w:name="_Toc28967"/>
            <w:bookmarkStart w:id="2567" w:name="_Toc12572"/>
            <w:bookmarkStart w:id="2568" w:name="_Toc12880"/>
            <w:bookmarkStart w:id="2569" w:name="_Toc6455"/>
            <w:bookmarkStart w:id="2570" w:name="_Toc11566"/>
            <w:r>
              <w:rPr>
                <w:rFonts w:hint="eastAsia" w:ascii="Times New Roman" w:hAnsi="Times New Roman" w:cs="Times New Roman"/>
                <w:color w:val="auto"/>
                <w:sz w:val="18"/>
                <w:szCs w:val="18"/>
                <w:highlight w:val="none"/>
                <w:u w:val="none" w:color="auto"/>
                <w:lang w:val="en-US" w:eastAsia="zh-CN"/>
              </w:rPr>
              <w:t>/</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tc>
        <w:tc>
          <w:tcPr>
            <w:tcW w:w="477" w:type="pct"/>
            <w:shd w:val="clear" w:color="auto" w:fill="auto"/>
            <w:noWrap w:val="0"/>
            <w:vAlign w:val="center"/>
          </w:tcPr>
          <w:p w14:paraId="3DC1901D">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189.6</w:t>
            </w:r>
          </w:p>
        </w:tc>
        <w:tc>
          <w:tcPr>
            <w:tcW w:w="466" w:type="pct"/>
            <w:noWrap w:val="0"/>
            <w:vAlign w:val="center"/>
          </w:tcPr>
          <w:p w14:paraId="7B8CB831">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71" w:name="_Toc21967"/>
            <w:bookmarkStart w:id="2572" w:name="_Toc11787"/>
            <w:bookmarkStart w:id="2573" w:name="_Toc24902"/>
            <w:bookmarkStart w:id="2574" w:name="_Toc1346"/>
            <w:bookmarkStart w:id="2575" w:name="_Toc301"/>
            <w:bookmarkStart w:id="2576" w:name="_Toc20856"/>
            <w:bookmarkStart w:id="2577" w:name="_Toc25600"/>
            <w:bookmarkStart w:id="2578" w:name="_Toc890"/>
            <w:bookmarkStart w:id="2579" w:name="_Toc10409"/>
            <w:bookmarkStart w:id="2580" w:name="_Toc31159"/>
            <w:bookmarkStart w:id="2581" w:name="_Toc29456"/>
            <w:bookmarkStart w:id="2582" w:name="_Toc8864"/>
            <w:bookmarkStart w:id="2583" w:name="_Toc3904"/>
            <w:bookmarkStart w:id="2584" w:name="_Toc26661"/>
            <w:r>
              <w:rPr>
                <w:rFonts w:hint="eastAsia" w:ascii="Times New Roman" w:hAnsi="Times New Roman" w:cs="Times New Roman"/>
                <w:color w:val="auto"/>
                <w:sz w:val="18"/>
                <w:szCs w:val="18"/>
                <w:highlight w:val="none"/>
                <w:u w:val="none" w:color="auto"/>
                <w:lang w:val="en-US" w:eastAsia="zh-CN"/>
              </w:rPr>
              <w:t>/</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tc>
        <w:tc>
          <w:tcPr>
            <w:tcW w:w="700" w:type="pct"/>
            <w:shd w:val="clear" w:color="auto" w:fill="auto"/>
            <w:noWrap w:val="0"/>
            <w:vAlign w:val="center"/>
          </w:tcPr>
          <w:p w14:paraId="11E3BAD6">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189.6</w:t>
            </w:r>
          </w:p>
        </w:tc>
        <w:tc>
          <w:tcPr>
            <w:tcW w:w="400" w:type="pct"/>
            <w:shd w:val="clear" w:color="auto" w:fill="auto"/>
            <w:noWrap w:val="0"/>
            <w:vAlign w:val="center"/>
          </w:tcPr>
          <w:p w14:paraId="3AF76965">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43.6</w:t>
            </w:r>
          </w:p>
        </w:tc>
      </w:tr>
      <w:tr w14:paraId="547E7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98" w:type="pct"/>
            <w:vMerge w:val="continue"/>
            <w:noWrap w:val="0"/>
            <w:vAlign w:val="center"/>
          </w:tcPr>
          <w:p w14:paraId="209B957C">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46F9F03C">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污水处理站污泥</w:t>
            </w:r>
          </w:p>
        </w:tc>
        <w:tc>
          <w:tcPr>
            <w:tcW w:w="622" w:type="pct"/>
            <w:shd w:val="clear" w:color="auto" w:fill="auto"/>
            <w:noWrap w:val="0"/>
            <w:vAlign w:val="center"/>
          </w:tcPr>
          <w:p w14:paraId="3C9BF2CE">
            <w:pPr>
              <w:widowControl/>
              <w:spacing w:beforeLines="0" w:afterLines="0"/>
              <w:ind w:firstLine="0" w:firstLineChars="0"/>
              <w:jc w:val="center"/>
              <w:rPr>
                <w:rFonts w:hint="eastAsia" w:ascii="Times New Roman" w:hAnsi="Times New Roman" w:eastAsia="宋体" w:cs="Times New Roman"/>
                <w:color w:val="auto"/>
                <w:spacing w:val="0"/>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5</w:t>
            </w:r>
          </w:p>
        </w:tc>
        <w:tc>
          <w:tcPr>
            <w:tcW w:w="435" w:type="pct"/>
            <w:noWrap w:val="0"/>
            <w:vAlign w:val="center"/>
          </w:tcPr>
          <w:p w14:paraId="2DE603E4">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85" w:name="_Toc13951"/>
            <w:bookmarkStart w:id="2586" w:name="_Toc10894"/>
            <w:bookmarkStart w:id="2587" w:name="_Toc31897"/>
            <w:bookmarkStart w:id="2588" w:name="_Toc13125"/>
            <w:r>
              <w:rPr>
                <w:rFonts w:hint="eastAsia" w:cs="Times New Roman"/>
                <w:color w:val="auto"/>
                <w:sz w:val="18"/>
                <w:szCs w:val="18"/>
                <w:highlight w:val="none"/>
                <w:u w:val="none" w:color="auto"/>
                <w:lang w:val="en-US" w:eastAsia="zh-CN"/>
              </w:rPr>
              <w:t>/</w:t>
            </w:r>
            <w:bookmarkEnd w:id="2585"/>
            <w:bookmarkEnd w:id="2586"/>
            <w:bookmarkEnd w:id="2587"/>
            <w:bookmarkEnd w:id="2588"/>
          </w:p>
        </w:tc>
        <w:tc>
          <w:tcPr>
            <w:tcW w:w="600" w:type="pct"/>
            <w:noWrap w:val="0"/>
            <w:vAlign w:val="center"/>
          </w:tcPr>
          <w:p w14:paraId="6C5247BF">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89" w:name="_Toc18447"/>
            <w:bookmarkStart w:id="2590" w:name="_Toc29311"/>
            <w:bookmarkStart w:id="2591" w:name="_Toc29535"/>
            <w:r>
              <w:rPr>
                <w:rFonts w:hint="eastAsia" w:cs="Times New Roman"/>
                <w:color w:val="auto"/>
                <w:sz w:val="18"/>
                <w:szCs w:val="18"/>
                <w:highlight w:val="none"/>
                <w:u w:val="none" w:color="auto"/>
                <w:lang w:val="en-US" w:eastAsia="zh-CN"/>
              </w:rPr>
              <w:t>/</w:t>
            </w:r>
            <w:bookmarkEnd w:id="2589"/>
            <w:bookmarkEnd w:id="2590"/>
            <w:bookmarkEnd w:id="2591"/>
          </w:p>
        </w:tc>
        <w:tc>
          <w:tcPr>
            <w:tcW w:w="477" w:type="pct"/>
            <w:shd w:val="clear" w:color="auto" w:fill="auto"/>
            <w:noWrap w:val="0"/>
            <w:vAlign w:val="center"/>
          </w:tcPr>
          <w:p w14:paraId="3E645D06">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6</w:t>
            </w:r>
          </w:p>
        </w:tc>
        <w:tc>
          <w:tcPr>
            <w:tcW w:w="466" w:type="pct"/>
            <w:noWrap w:val="0"/>
            <w:vAlign w:val="center"/>
          </w:tcPr>
          <w:p w14:paraId="550A721E">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92" w:name="_Toc29710"/>
            <w:bookmarkStart w:id="2593" w:name="_Toc13068"/>
            <w:bookmarkStart w:id="2594" w:name="_Toc25910"/>
            <w:bookmarkStart w:id="2595" w:name="_Toc28593"/>
            <w:r>
              <w:rPr>
                <w:rFonts w:hint="eastAsia" w:cs="Times New Roman"/>
                <w:color w:val="auto"/>
                <w:sz w:val="18"/>
                <w:szCs w:val="18"/>
                <w:highlight w:val="none"/>
                <w:u w:val="none" w:color="auto"/>
                <w:lang w:val="en-US" w:eastAsia="zh-CN"/>
              </w:rPr>
              <w:t>/</w:t>
            </w:r>
            <w:bookmarkEnd w:id="2592"/>
            <w:bookmarkEnd w:id="2593"/>
            <w:bookmarkEnd w:id="2594"/>
            <w:bookmarkEnd w:id="2595"/>
          </w:p>
        </w:tc>
        <w:tc>
          <w:tcPr>
            <w:tcW w:w="700" w:type="pct"/>
            <w:shd w:val="clear" w:color="auto" w:fill="auto"/>
            <w:noWrap w:val="0"/>
            <w:vAlign w:val="center"/>
          </w:tcPr>
          <w:p w14:paraId="227E37E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bCs w:val="0"/>
                <w:color w:val="auto"/>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6</w:t>
            </w:r>
          </w:p>
        </w:tc>
        <w:tc>
          <w:tcPr>
            <w:tcW w:w="400" w:type="pct"/>
            <w:shd w:val="clear" w:color="auto" w:fill="auto"/>
            <w:noWrap w:val="0"/>
            <w:vAlign w:val="center"/>
          </w:tcPr>
          <w:p w14:paraId="1E7B7F90">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1</w:t>
            </w:r>
          </w:p>
        </w:tc>
      </w:tr>
      <w:tr w14:paraId="0DEA9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98" w:type="pct"/>
            <w:vMerge w:val="continue"/>
            <w:noWrap w:val="0"/>
            <w:vAlign w:val="center"/>
          </w:tcPr>
          <w:p w14:paraId="526FE461">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38319CD0">
            <w:pPr>
              <w:widowControl/>
              <w:spacing w:beforeLines="0" w:afterLines="0"/>
              <w:ind w:firstLine="0" w:firstLineChars="0"/>
              <w:jc w:val="center"/>
              <w:rPr>
                <w:rFonts w:hint="eastAsia" w:ascii="Times New Roman" w:hAnsi="Times New Roman" w:eastAsia="宋体" w:cs="Times New Roman"/>
                <w:b w:val="0"/>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不合格品</w:t>
            </w:r>
          </w:p>
        </w:tc>
        <w:tc>
          <w:tcPr>
            <w:tcW w:w="622" w:type="pct"/>
            <w:shd w:val="clear" w:color="auto" w:fill="auto"/>
            <w:noWrap w:val="0"/>
            <w:vAlign w:val="center"/>
          </w:tcPr>
          <w:p w14:paraId="56B1FBF0">
            <w:pPr>
              <w:widowControl/>
              <w:spacing w:beforeLines="0" w:afterLines="0"/>
              <w:ind w:firstLine="0" w:firstLineChars="0"/>
              <w:jc w:val="center"/>
              <w:rPr>
                <w:rFonts w:hint="eastAsia" w:ascii="Times New Roman" w:hAnsi="Times New Roman" w:eastAsia="宋体" w:cs="Times New Roman"/>
                <w:color w:val="auto"/>
                <w:spacing w:val="0"/>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8</w:t>
            </w:r>
          </w:p>
        </w:tc>
        <w:tc>
          <w:tcPr>
            <w:tcW w:w="435" w:type="pct"/>
            <w:noWrap w:val="0"/>
            <w:vAlign w:val="center"/>
          </w:tcPr>
          <w:p w14:paraId="15C4E738">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596" w:name="_Toc15603"/>
            <w:bookmarkStart w:id="2597" w:name="_Toc16799"/>
            <w:bookmarkStart w:id="2598" w:name="_Toc22769"/>
            <w:bookmarkStart w:id="2599" w:name="_Toc10702"/>
            <w:r>
              <w:rPr>
                <w:rFonts w:hint="eastAsia" w:cs="Times New Roman"/>
                <w:color w:val="auto"/>
                <w:sz w:val="18"/>
                <w:szCs w:val="18"/>
                <w:highlight w:val="none"/>
                <w:u w:val="none" w:color="auto"/>
                <w:lang w:val="en-US" w:eastAsia="zh-CN"/>
              </w:rPr>
              <w:t>/</w:t>
            </w:r>
            <w:bookmarkEnd w:id="2596"/>
            <w:bookmarkEnd w:id="2597"/>
            <w:bookmarkEnd w:id="2598"/>
            <w:bookmarkEnd w:id="2599"/>
          </w:p>
        </w:tc>
        <w:tc>
          <w:tcPr>
            <w:tcW w:w="600" w:type="pct"/>
            <w:noWrap w:val="0"/>
            <w:vAlign w:val="center"/>
          </w:tcPr>
          <w:p w14:paraId="43036AA6">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600" w:name="_Toc18911"/>
            <w:bookmarkStart w:id="2601" w:name="_Toc31926"/>
            <w:bookmarkStart w:id="2602" w:name="_Toc17812"/>
            <w:r>
              <w:rPr>
                <w:rFonts w:hint="eastAsia" w:cs="Times New Roman"/>
                <w:color w:val="auto"/>
                <w:sz w:val="18"/>
                <w:szCs w:val="18"/>
                <w:highlight w:val="none"/>
                <w:u w:val="none" w:color="auto"/>
                <w:lang w:val="en-US" w:eastAsia="zh-CN"/>
              </w:rPr>
              <w:t>/</w:t>
            </w:r>
            <w:bookmarkEnd w:id="2600"/>
            <w:bookmarkEnd w:id="2601"/>
            <w:bookmarkEnd w:id="2602"/>
          </w:p>
        </w:tc>
        <w:tc>
          <w:tcPr>
            <w:tcW w:w="477" w:type="pct"/>
            <w:shd w:val="clear" w:color="auto" w:fill="auto"/>
            <w:noWrap w:val="0"/>
            <w:vAlign w:val="center"/>
          </w:tcPr>
          <w:p w14:paraId="53A4BB7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15.1</w:t>
            </w:r>
          </w:p>
        </w:tc>
        <w:tc>
          <w:tcPr>
            <w:tcW w:w="466" w:type="pct"/>
            <w:noWrap w:val="0"/>
            <w:vAlign w:val="center"/>
          </w:tcPr>
          <w:p w14:paraId="780E6EF1">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603" w:name="_Toc20604"/>
            <w:bookmarkStart w:id="2604" w:name="_Toc19940"/>
            <w:bookmarkStart w:id="2605" w:name="_Toc31230"/>
            <w:bookmarkStart w:id="2606" w:name="_Toc18867"/>
            <w:r>
              <w:rPr>
                <w:rFonts w:hint="eastAsia" w:cs="Times New Roman"/>
                <w:color w:val="auto"/>
                <w:sz w:val="18"/>
                <w:szCs w:val="18"/>
                <w:highlight w:val="none"/>
                <w:u w:val="none" w:color="auto"/>
                <w:lang w:val="en-US" w:eastAsia="zh-CN"/>
              </w:rPr>
              <w:t>/</w:t>
            </w:r>
            <w:bookmarkEnd w:id="2603"/>
            <w:bookmarkEnd w:id="2604"/>
            <w:bookmarkEnd w:id="2605"/>
            <w:bookmarkEnd w:id="2606"/>
          </w:p>
        </w:tc>
        <w:tc>
          <w:tcPr>
            <w:tcW w:w="700" w:type="pct"/>
            <w:shd w:val="clear" w:color="auto" w:fill="auto"/>
            <w:noWrap w:val="0"/>
            <w:vAlign w:val="center"/>
          </w:tcPr>
          <w:p w14:paraId="0472B49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bCs w:val="0"/>
                <w:color w:val="auto"/>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15.1</w:t>
            </w:r>
          </w:p>
        </w:tc>
        <w:tc>
          <w:tcPr>
            <w:tcW w:w="400" w:type="pct"/>
            <w:shd w:val="clear" w:color="auto" w:fill="auto"/>
            <w:noWrap w:val="0"/>
            <w:vAlign w:val="center"/>
          </w:tcPr>
          <w:p w14:paraId="515BA59F">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7.1</w:t>
            </w:r>
          </w:p>
        </w:tc>
      </w:tr>
      <w:tr w14:paraId="22BD4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98" w:type="pct"/>
            <w:vMerge w:val="continue"/>
            <w:noWrap w:val="0"/>
            <w:vAlign w:val="center"/>
          </w:tcPr>
          <w:p w14:paraId="55D2941F">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180F97B7">
            <w:pPr>
              <w:widowControl/>
              <w:spacing w:beforeLines="0" w:afterLines="0"/>
              <w:ind w:firstLine="0" w:firstLineChars="0"/>
              <w:jc w:val="center"/>
              <w:rPr>
                <w:rFonts w:hint="eastAsia" w:ascii="Times New Roman" w:hAnsi="Times New Roman" w:eastAsia="宋体" w:cs="Times New Roman"/>
                <w:b w:val="0"/>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格栅处理的废物</w:t>
            </w:r>
          </w:p>
        </w:tc>
        <w:tc>
          <w:tcPr>
            <w:tcW w:w="622" w:type="pct"/>
            <w:shd w:val="clear" w:color="auto" w:fill="auto"/>
            <w:noWrap w:val="0"/>
            <w:vAlign w:val="center"/>
          </w:tcPr>
          <w:p w14:paraId="738C5D49">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39.14</w:t>
            </w:r>
          </w:p>
        </w:tc>
        <w:tc>
          <w:tcPr>
            <w:tcW w:w="435" w:type="pct"/>
            <w:noWrap w:val="0"/>
            <w:vAlign w:val="center"/>
          </w:tcPr>
          <w:p w14:paraId="50923195">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600" w:type="pct"/>
            <w:noWrap w:val="0"/>
            <w:vAlign w:val="center"/>
          </w:tcPr>
          <w:p w14:paraId="36D5CFC3">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62593EF5">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56</w:t>
            </w:r>
          </w:p>
        </w:tc>
        <w:tc>
          <w:tcPr>
            <w:tcW w:w="466" w:type="pct"/>
            <w:noWrap w:val="0"/>
            <w:vAlign w:val="center"/>
          </w:tcPr>
          <w:p w14:paraId="36DD2655">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700" w:type="pct"/>
            <w:shd w:val="clear" w:color="auto" w:fill="auto"/>
            <w:noWrap w:val="0"/>
            <w:vAlign w:val="center"/>
          </w:tcPr>
          <w:p w14:paraId="66871B5E">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bCs w:val="0"/>
                <w:color w:val="auto"/>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56</w:t>
            </w:r>
          </w:p>
        </w:tc>
        <w:tc>
          <w:tcPr>
            <w:tcW w:w="400" w:type="pct"/>
            <w:shd w:val="clear" w:color="auto" w:fill="auto"/>
            <w:noWrap w:val="0"/>
            <w:vAlign w:val="center"/>
          </w:tcPr>
          <w:p w14:paraId="3D743D19">
            <w:pPr>
              <w:widowControl/>
              <w:adjustRightInd/>
              <w:snapToGrid/>
              <w:spacing w:beforeLines="0" w:afterLines="0"/>
              <w:ind w:firstLine="0" w:firstLineChars="0"/>
              <w:jc w:val="center"/>
              <w:rPr>
                <w:rFonts w:hint="eastAsia" w:cs="Times New Roman"/>
                <w:color w:val="auto"/>
                <w:sz w:val="18"/>
                <w:szCs w:val="18"/>
                <w:highlight w:val="none"/>
                <w:u w:val="none" w:color="auto"/>
                <w:vertAlign w:val="baseline"/>
                <w:lang w:val="en-US" w:eastAsia="zh-CN"/>
              </w:rPr>
            </w:pPr>
            <w:r>
              <w:rPr>
                <w:rFonts w:hint="eastAsia" w:cs="Times New Roman"/>
                <w:i w:val="0"/>
                <w:iCs w:val="0"/>
                <w:color w:val="auto"/>
                <w:kern w:val="2"/>
                <w:sz w:val="18"/>
                <w:szCs w:val="18"/>
                <w:highlight w:val="none"/>
                <w:u w:val="none" w:color="auto"/>
                <w:lang w:val="en-US" w:eastAsia="zh-CN" w:bidi="ar"/>
              </w:rPr>
              <w:t>+16.86</w:t>
            </w:r>
          </w:p>
        </w:tc>
      </w:tr>
      <w:tr w14:paraId="5F157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98" w:type="pct"/>
            <w:vMerge w:val="continue"/>
            <w:noWrap w:val="0"/>
            <w:vAlign w:val="center"/>
          </w:tcPr>
          <w:p w14:paraId="25772707">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0E21B20F">
            <w:pPr>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kern w:val="2"/>
                <w:sz w:val="18"/>
                <w:szCs w:val="18"/>
                <w:highlight w:val="none"/>
                <w:u w:val="none" w:color="auto"/>
                <w:vertAlign w:val="baseline"/>
                <w:lang w:val="en-US" w:eastAsia="zh-CN"/>
              </w:rPr>
              <w:t>病死猪</w:t>
            </w:r>
          </w:p>
        </w:tc>
        <w:tc>
          <w:tcPr>
            <w:tcW w:w="622" w:type="pct"/>
            <w:shd w:val="clear" w:color="auto" w:fill="auto"/>
            <w:noWrap w:val="0"/>
            <w:vAlign w:val="center"/>
          </w:tcPr>
          <w:p w14:paraId="4069F40C">
            <w:pPr>
              <w:widowControl/>
              <w:spacing w:beforeLines="0" w:afterLines="0"/>
              <w:ind w:firstLine="0" w:firstLineChars="0"/>
              <w:jc w:val="center"/>
              <w:rPr>
                <w:rFonts w:hint="eastAsia" w:ascii="Times New Roman" w:hAnsi="Times New Roman" w:eastAsia="宋体" w:cs="Times New Roman"/>
                <w:color w:val="auto"/>
                <w:spacing w:val="0"/>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80</w:t>
            </w:r>
          </w:p>
        </w:tc>
        <w:tc>
          <w:tcPr>
            <w:tcW w:w="435" w:type="pct"/>
            <w:noWrap w:val="0"/>
            <w:vAlign w:val="center"/>
          </w:tcPr>
          <w:p w14:paraId="7EE182CC">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600" w:type="pct"/>
            <w:noWrap w:val="0"/>
            <w:vAlign w:val="center"/>
          </w:tcPr>
          <w:p w14:paraId="45EFD106">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4AE6508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101</w:t>
            </w:r>
          </w:p>
        </w:tc>
        <w:tc>
          <w:tcPr>
            <w:tcW w:w="466" w:type="pct"/>
            <w:noWrap w:val="0"/>
            <w:vAlign w:val="center"/>
          </w:tcPr>
          <w:p w14:paraId="4E068DEF">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700" w:type="pct"/>
            <w:shd w:val="clear" w:color="auto" w:fill="auto"/>
            <w:noWrap w:val="0"/>
            <w:vAlign w:val="center"/>
          </w:tcPr>
          <w:p w14:paraId="0B90ECF4">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bCs w:val="0"/>
                <w:color w:val="auto"/>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101</w:t>
            </w:r>
          </w:p>
        </w:tc>
        <w:tc>
          <w:tcPr>
            <w:tcW w:w="400" w:type="pct"/>
            <w:shd w:val="clear" w:color="auto" w:fill="auto"/>
            <w:noWrap w:val="0"/>
            <w:vAlign w:val="center"/>
          </w:tcPr>
          <w:p w14:paraId="1293E439">
            <w:pPr>
              <w:widowControl/>
              <w:adjustRightInd/>
              <w:snapToGrid/>
              <w:spacing w:beforeLines="0" w:afterLines="0"/>
              <w:ind w:firstLine="0" w:firstLineChars="0"/>
              <w:jc w:val="center"/>
              <w:rPr>
                <w:rFonts w:hint="eastAsia" w:cs="Times New Roman"/>
                <w:color w:val="auto"/>
                <w:sz w:val="18"/>
                <w:szCs w:val="18"/>
                <w:highlight w:val="none"/>
                <w:u w:val="none" w:color="auto"/>
                <w:vertAlign w:val="baseline"/>
                <w:lang w:val="en-US" w:eastAsia="zh-CN"/>
              </w:rPr>
            </w:pPr>
            <w:r>
              <w:rPr>
                <w:rFonts w:hint="eastAsia" w:cs="Times New Roman"/>
                <w:i w:val="0"/>
                <w:iCs w:val="0"/>
                <w:color w:val="auto"/>
                <w:kern w:val="2"/>
                <w:sz w:val="18"/>
                <w:szCs w:val="18"/>
                <w:highlight w:val="none"/>
                <w:u w:val="none" w:color="auto"/>
                <w:lang w:val="en-US" w:eastAsia="zh-CN" w:bidi="ar"/>
              </w:rPr>
              <w:t>+21</w:t>
            </w:r>
          </w:p>
        </w:tc>
      </w:tr>
      <w:tr w14:paraId="6282A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98" w:type="pct"/>
            <w:vMerge w:val="continue"/>
            <w:noWrap w:val="0"/>
            <w:vAlign w:val="center"/>
          </w:tcPr>
          <w:p w14:paraId="44379D6F">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14B2B58F">
            <w:pPr>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kern w:val="2"/>
                <w:sz w:val="18"/>
                <w:szCs w:val="18"/>
                <w:highlight w:val="none"/>
                <w:u w:val="none" w:color="auto"/>
                <w:vertAlign w:val="baseline"/>
                <w:lang w:val="en-US" w:eastAsia="zh-CN"/>
              </w:rPr>
              <w:t>未沾染有毒有害物质的废包装材料</w:t>
            </w:r>
          </w:p>
        </w:tc>
        <w:tc>
          <w:tcPr>
            <w:tcW w:w="622" w:type="pct"/>
            <w:shd w:val="clear" w:color="auto" w:fill="auto"/>
            <w:noWrap w:val="0"/>
            <w:vAlign w:val="center"/>
          </w:tcPr>
          <w:p w14:paraId="590DD760">
            <w:pPr>
              <w:widowControl/>
              <w:spacing w:beforeLines="0" w:afterLines="0"/>
              <w:ind w:firstLine="0" w:firstLineChars="0"/>
              <w:jc w:val="center"/>
              <w:rPr>
                <w:rFonts w:hint="eastAsia" w:ascii="Times New Roman" w:hAnsi="Times New Roman" w:eastAsia="宋体" w:cs="Times New Roman"/>
                <w:color w:val="auto"/>
                <w:spacing w:val="0"/>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0.05</w:t>
            </w:r>
          </w:p>
        </w:tc>
        <w:tc>
          <w:tcPr>
            <w:tcW w:w="435" w:type="pct"/>
            <w:noWrap w:val="0"/>
            <w:vAlign w:val="center"/>
          </w:tcPr>
          <w:p w14:paraId="1CA475FD">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600" w:type="pct"/>
            <w:noWrap w:val="0"/>
            <w:vAlign w:val="center"/>
          </w:tcPr>
          <w:p w14:paraId="72C53151">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477" w:type="pct"/>
            <w:shd w:val="clear" w:color="auto" w:fill="auto"/>
            <w:noWrap w:val="0"/>
            <w:vAlign w:val="center"/>
          </w:tcPr>
          <w:p w14:paraId="2627D59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0.06</w:t>
            </w:r>
          </w:p>
        </w:tc>
        <w:tc>
          <w:tcPr>
            <w:tcW w:w="466" w:type="pct"/>
            <w:noWrap w:val="0"/>
            <w:vAlign w:val="center"/>
          </w:tcPr>
          <w:p w14:paraId="0FCF4A6B">
            <w:pPr>
              <w:keepNext w:val="0"/>
              <w:keepLines w:val="0"/>
              <w:widowControl/>
              <w:spacing w:beforeLines="0" w:afterLines="0"/>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w:t>
            </w:r>
          </w:p>
        </w:tc>
        <w:tc>
          <w:tcPr>
            <w:tcW w:w="700" w:type="pct"/>
            <w:shd w:val="clear" w:color="auto" w:fill="auto"/>
            <w:noWrap w:val="0"/>
            <w:vAlign w:val="center"/>
          </w:tcPr>
          <w:p w14:paraId="5F1E926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Times New Roman"/>
                <w:bCs w:val="0"/>
                <w:color w:val="auto"/>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0.06</w:t>
            </w:r>
          </w:p>
        </w:tc>
        <w:tc>
          <w:tcPr>
            <w:tcW w:w="400" w:type="pct"/>
            <w:shd w:val="clear" w:color="auto" w:fill="auto"/>
            <w:noWrap w:val="0"/>
            <w:vAlign w:val="center"/>
          </w:tcPr>
          <w:p w14:paraId="76C1AD68">
            <w:pPr>
              <w:widowControl/>
              <w:adjustRightInd/>
              <w:snapToGrid/>
              <w:spacing w:beforeLines="0" w:afterLines="0"/>
              <w:ind w:firstLine="0" w:firstLineChars="0"/>
              <w:jc w:val="center"/>
              <w:rPr>
                <w:rFonts w:hint="eastAsia" w:cs="Times New Roman"/>
                <w:color w:val="auto"/>
                <w:sz w:val="18"/>
                <w:szCs w:val="18"/>
                <w:highlight w:val="none"/>
                <w:u w:val="none" w:color="auto"/>
                <w:vertAlign w:val="baseline"/>
                <w:lang w:val="en-US" w:eastAsia="zh-CN"/>
              </w:rPr>
            </w:pPr>
            <w:r>
              <w:rPr>
                <w:rFonts w:hint="eastAsia" w:ascii="Times New Roman" w:hAnsi="Times New Roman" w:eastAsia="宋体" w:cs="Times New Roman"/>
                <w:i w:val="0"/>
                <w:iCs w:val="0"/>
                <w:color w:val="auto"/>
                <w:kern w:val="2"/>
                <w:sz w:val="18"/>
                <w:szCs w:val="18"/>
                <w:highlight w:val="none"/>
                <w:u w:val="none" w:color="auto"/>
                <w:lang w:val="en-US" w:eastAsia="zh-CN" w:bidi="ar"/>
              </w:rPr>
              <w:t>0.01</w:t>
            </w:r>
          </w:p>
        </w:tc>
      </w:tr>
      <w:tr w14:paraId="03C36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298" w:type="pct"/>
            <w:vMerge w:val="continue"/>
            <w:noWrap w:val="0"/>
            <w:vAlign w:val="center"/>
          </w:tcPr>
          <w:p w14:paraId="7241E580">
            <w:pPr>
              <w:pStyle w:val="44"/>
              <w:spacing w:line="240" w:lineRule="auto"/>
              <w:outlineLvl w:val="9"/>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75CA552B">
            <w:pPr>
              <w:widowControl/>
              <w:spacing w:beforeLines="0" w:afterLines="0"/>
              <w:ind w:firstLine="0" w:firstLineChars="0"/>
              <w:jc w:val="center"/>
              <w:rPr>
                <w:rFonts w:hint="eastAsia" w:ascii="Times New Roman" w:hAnsi="Times New Roman" w:eastAsia="宋体" w:cs="Times New Roman"/>
                <w:b w:val="0"/>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锅炉炉渣</w:t>
            </w:r>
          </w:p>
        </w:tc>
        <w:tc>
          <w:tcPr>
            <w:tcW w:w="622" w:type="pct"/>
            <w:shd w:val="clear" w:color="auto" w:fill="auto"/>
            <w:noWrap w:val="0"/>
            <w:vAlign w:val="center"/>
          </w:tcPr>
          <w:p w14:paraId="369DEEFB">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18</w:t>
            </w:r>
          </w:p>
        </w:tc>
        <w:tc>
          <w:tcPr>
            <w:tcW w:w="435" w:type="pct"/>
            <w:noWrap w:val="0"/>
            <w:vAlign w:val="center"/>
          </w:tcPr>
          <w:p w14:paraId="0E3E9CAE">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607" w:name="_Toc16124"/>
            <w:bookmarkStart w:id="2608" w:name="_Toc16904"/>
            <w:bookmarkStart w:id="2609" w:name="_Toc8976"/>
            <w:bookmarkStart w:id="2610" w:name="_Toc24249"/>
            <w:r>
              <w:rPr>
                <w:rFonts w:hint="eastAsia" w:cs="Times New Roman"/>
                <w:color w:val="auto"/>
                <w:sz w:val="18"/>
                <w:szCs w:val="18"/>
                <w:highlight w:val="none"/>
                <w:u w:val="none" w:color="auto"/>
                <w:lang w:val="en-US" w:eastAsia="zh-CN"/>
              </w:rPr>
              <w:t>/</w:t>
            </w:r>
            <w:bookmarkEnd w:id="2607"/>
            <w:bookmarkEnd w:id="2608"/>
            <w:bookmarkEnd w:id="2609"/>
            <w:bookmarkEnd w:id="2610"/>
          </w:p>
        </w:tc>
        <w:tc>
          <w:tcPr>
            <w:tcW w:w="600" w:type="pct"/>
            <w:noWrap w:val="0"/>
            <w:vAlign w:val="center"/>
          </w:tcPr>
          <w:p w14:paraId="2988D2AC">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611" w:name="_Toc11483"/>
            <w:bookmarkStart w:id="2612" w:name="_Toc22678"/>
            <w:bookmarkStart w:id="2613" w:name="_Toc20798"/>
            <w:bookmarkStart w:id="2614" w:name="_Toc30772"/>
            <w:bookmarkStart w:id="2615" w:name="_Toc3282"/>
            <w:bookmarkStart w:id="2616" w:name="_Toc2865"/>
            <w:bookmarkStart w:id="2617" w:name="_Toc23129"/>
            <w:bookmarkStart w:id="2618" w:name="_Toc25363"/>
            <w:bookmarkStart w:id="2619" w:name="_Toc23598"/>
            <w:bookmarkStart w:id="2620" w:name="_Toc32127"/>
            <w:bookmarkStart w:id="2621" w:name="_Toc18589"/>
            <w:bookmarkStart w:id="2622" w:name="_Toc28018"/>
            <w:bookmarkStart w:id="2623" w:name="_Toc19891"/>
            <w:bookmarkStart w:id="2624" w:name="_Toc18500"/>
            <w:r>
              <w:rPr>
                <w:rFonts w:hint="eastAsia" w:ascii="Times New Roman" w:hAnsi="Times New Roman" w:cs="Times New Roman"/>
                <w:color w:val="auto"/>
                <w:sz w:val="18"/>
                <w:szCs w:val="18"/>
                <w:highlight w:val="none"/>
                <w:u w:val="none" w:color="auto"/>
                <w:lang w:val="en-US" w:eastAsia="zh-CN"/>
              </w:rPr>
              <w:t>/</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tc>
        <w:tc>
          <w:tcPr>
            <w:tcW w:w="477" w:type="pct"/>
            <w:shd w:val="clear" w:color="auto" w:fill="auto"/>
            <w:noWrap w:val="0"/>
            <w:vAlign w:val="center"/>
          </w:tcPr>
          <w:p w14:paraId="17E15E35">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0</w:t>
            </w:r>
          </w:p>
        </w:tc>
        <w:tc>
          <w:tcPr>
            <w:tcW w:w="466" w:type="pct"/>
            <w:noWrap w:val="0"/>
            <w:vAlign w:val="center"/>
          </w:tcPr>
          <w:p w14:paraId="79780BCB">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625" w:name="_Toc16422"/>
            <w:bookmarkStart w:id="2626" w:name="_Toc13673"/>
            <w:bookmarkStart w:id="2627" w:name="_Toc24819"/>
            <w:bookmarkStart w:id="2628" w:name="_Toc26425"/>
            <w:bookmarkStart w:id="2629" w:name="_Toc24607"/>
            <w:bookmarkStart w:id="2630" w:name="_Toc16642"/>
            <w:bookmarkStart w:id="2631" w:name="_Toc8164"/>
            <w:bookmarkStart w:id="2632" w:name="_Toc3034"/>
            <w:bookmarkStart w:id="2633" w:name="_Toc17459"/>
            <w:bookmarkStart w:id="2634" w:name="_Toc27844"/>
            <w:bookmarkStart w:id="2635" w:name="_Toc17926"/>
            <w:bookmarkStart w:id="2636" w:name="_Toc18193"/>
            <w:bookmarkStart w:id="2637" w:name="_Toc7761"/>
            <w:bookmarkStart w:id="2638" w:name="_Toc16526"/>
            <w:r>
              <w:rPr>
                <w:rFonts w:hint="eastAsia" w:ascii="Times New Roman" w:hAnsi="Times New Roman" w:cs="Times New Roman"/>
                <w:color w:val="auto"/>
                <w:sz w:val="18"/>
                <w:szCs w:val="18"/>
                <w:highlight w:val="none"/>
                <w:u w:val="none" w:color="auto"/>
                <w:lang w:val="en-US" w:eastAsia="zh-CN"/>
              </w:rPr>
              <w:t>/</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tc>
        <w:tc>
          <w:tcPr>
            <w:tcW w:w="700" w:type="pct"/>
            <w:shd w:val="clear" w:color="auto" w:fill="auto"/>
            <w:noWrap w:val="0"/>
            <w:vAlign w:val="center"/>
          </w:tcPr>
          <w:p w14:paraId="15C8D80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0</w:t>
            </w:r>
          </w:p>
        </w:tc>
        <w:tc>
          <w:tcPr>
            <w:tcW w:w="400" w:type="pct"/>
            <w:shd w:val="clear" w:color="auto" w:fill="auto"/>
            <w:noWrap w:val="0"/>
            <w:vAlign w:val="center"/>
          </w:tcPr>
          <w:p w14:paraId="52747786">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i w:val="0"/>
                <w:iCs w:val="0"/>
                <w:color w:val="auto"/>
                <w:kern w:val="2"/>
                <w:sz w:val="18"/>
                <w:szCs w:val="18"/>
                <w:highlight w:val="none"/>
                <w:u w:val="none" w:color="auto"/>
                <w:lang w:val="en-US" w:eastAsia="zh-CN" w:bidi="ar"/>
              </w:rPr>
              <w:t>-18</w:t>
            </w:r>
          </w:p>
        </w:tc>
      </w:tr>
      <w:tr w14:paraId="32E40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298" w:type="pct"/>
            <w:vMerge w:val="restart"/>
            <w:noWrap w:val="0"/>
            <w:vAlign w:val="center"/>
          </w:tcPr>
          <w:p w14:paraId="6007F439">
            <w:pPr>
              <w:pStyle w:val="44"/>
              <w:spacing w:line="240" w:lineRule="auto"/>
              <w:rPr>
                <w:rFonts w:hint="default" w:ascii="Times New Roman" w:hAnsi="Times New Roman" w:cs="Times New Roman"/>
                <w:color w:val="auto"/>
                <w:sz w:val="18"/>
                <w:szCs w:val="18"/>
                <w:u w:val="none" w:color="auto"/>
                <w:lang w:val="en-US" w:eastAsia="zh-CN"/>
              </w:rPr>
            </w:pPr>
            <w:bookmarkStart w:id="2639" w:name="_Toc8323"/>
            <w:bookmarkStart w:id="2640" w:name="_Toc24869"/>
            <w:bookmarkStart w:id="2641" w:name="_Toc12131"/>
            <w:bookmarkStart w:id="2642" w:name="_Toc580"/>
            <w:bookmarkStart w:id="2643" w:name="_Toc9288"/>
            <w:bookmarkStart w:id="2644" w:name="_Toc25404"/>
            <w:bookmarkStart w:id="2645" w:name="_Toc22965"/>
            <w:bookmarkStart w:id="2646" w:name="_Toc1386"/>
            <w:bookmarkStart w:id="2647" w:name="_Toc10029"/>
            <w:bookmarkStart w:id="2648" w:name="_Toc13973"/>
            <w:bookmarkStart w:id="2649" w:name="_Toc286"/>
            <w:bookmarkStart w:id="2650" w:name="_Toc14260"/>
            <w:bookmarkStart w:id="2651" w:name="_Toc19651"/>
            <w:bookmarkStart w:id="2652" w:name="_Toc5824"/>
            <w:bookmarkStart w:id="2653" w:name="_Toc10996"/>
            <w:bookmarkStart w:id="2654" w:name="_Toc5580"/>
            <w:bookmarkStart w:id="2655" w:name="_Toc9189"/>
            <w:bookmarkStart w:id="2656" w:name="_Toc16542"/>
            <w:bookmarkStart w:id="2657" w:name="_Toc11001"/>
            <w:bookmarkStart w:id="2658" w:name="_Toc25698"/>
            <w:bookmarkStart w:id="2659" w:name="_Toc20809"/>
            <w:bookmarkStart w:id="2660" w:name="_Toc30187"/>
            <w:bookmarkStart w:id="2661" w:name="_Toc14975"/>
            <w:r>
              <w:rPr>
                <w:rFonts w:hint="default" w:ascii="Times New Roman" w:hAnsi="Times New Roman" w:cs="Times New Roman"/>
                <w:color w:val="auto"/>
                <w:sz w:val="18"/>
                <w:szCs w:val="18"/>
                <w:u w:val="none" w:color="auto"/>
                <w:lang w:val="en-US" w:eastAsia="zh-CN"/>
              </w:rPr>
              <w:t>危险</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7021FE57">
            <w:pPr>
              <w:pStyle w:val="44"/>
              <w:spacing w:line="240" w:lineRule="auto"/>
              <w:rPr>
                <w:rFonts w:hint="default" w:ascii="Times New Roman" w:hAnsi="Times New Roman" w:cs="Times New Roman"/>
                <w:color w:val="auto"/>
                <w:sz w:val="18"/>
                <w:szCs w:val="18"/>
                <w:u w:val="none" w:color="auto"/>
                <w:lang w:val="en-US" w:eastAsia="zh-CN"/>
              </w:rPr>
            </w:pPr>
            <w:bookmarkStart w:id="2662" w:name="_Toc3924"/>
            <w:bookmarkStart w:id="2663" w:name="_Toc31350"/>
            <w:bookmarkStart w:id="2664" w:name="_Toc7904"/>
            <w:bookmarkStart w:id="2665" w:name="_Toc20613"/>
            <w:bookmarkStart w:id="2666" w:name="_Toc17554"/>
            <w:bookmarkStart w:id="2667" w:name="_Toc20414"/>
            <w:bookmarkStart w:id="2668" w:name="_Toc25118"/>
            <w:bookmarkStart w:id="2669" w:name="_Toc12176"/>
            <w:bookmarkStart w:id="2670" w:name="_Toc13022"/>
            <w:bookmarkStart w:id="2671" w:name="_Toc17883"/>
            <w:bookmarkStart w:id="2672" w:name="_Toc10813"/>
            <w:bookmarkStart w:id="2673" w:name="_Toc27553"/>
            <w:bookmarkStart w:id="2674" w:name="_Toc12102"/>
            <w:bookmarkStart w:id="2675" w:name="_Toc25366"/>
            <w:bookmarkStart w:id="2676" w:name="_Toc1256"/>
            <w:bookmarkStart w:id="2677" w:name="_Toc20285"/>
            <w:bookmarkStart w:id="2678" w:name="_Toc22834"/>
            <w:bookmarkStart w:id="2679" w:name="_Toc30922"/>
            <w:bookmarkStart w:id="2680" w:name="_Toc12858"/>
            <w:bookmarkStart w:id="2681" w:name="_Toc30841"/>
            <w:bookmarkStart w:id="2682" w:name="_Toc19945"/>
            <w:bookmarkStart w:id="2683" w:name="_Toc8975"/>
            <w:bookmarkStart w:id="2684" w:name="_Toc5480"/>
            <w:r>
              <w:rPr>
                <w:rFonts w:hint="default" w:ascii="Times New Roman" w:hAnsi="Times New Roman" w:cs="Times New Roman"/>
                <w:color w:val="auto"/>
                <w:sz w:val="18"/>
                <w:szCs w:val="18"/>
                <w:u w:val="none" w:color="auto"/>
                <w:lang w:val="en-US" w:eastAsia="zh-CN"/>
              </w:rPr>
              <w:t>废物</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tc>
        <w:tc>
          <w:tcPr>
            <w:tcW w:w="997" w:type="pct"/>
            <w:shd w:val="clear" w:color="auto" w:fill="auto"/>
            <w:noWrap w:val="0"/>
            <w:vAlign w:val="center"/>
          </w:tcPr>
          <w:p w14:paraId="32C5F847">
            <w:pPr>
              <w:widowControl/>
              <w:spacing w:beforeLines="0" w:afterLines="0"/>
              <w:ind w:firstLine="0" w:firstLineChars="0"/>
              <w:jc w:val="center"/>
              <w:rPr>
                <w:rFonts w:hint="eastAsia" w:ascii="Times New Roman" w:hAnsi="Times New Roman" w:eastAsia="宋体" w:cs="Times New Roman"/>
                <w:b w:val="0"/>
                <w:bCs w:val="0"/>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vertAlign w:val="baseline"/>
                <w:lang w:val="en-US" w:eastAsia="zh-CN"/>
              </w:rPr>
              <w:t>实验室、检疫室废弃物</w:t>
            </w:r>
          </w:p>
        </w:tc>
        <w:tc>
          <w:tcPr>
            <w:tcW w:w="622" w:type="pct"/>
            <w:shd w:val="clear" w:color="auto" w:fill="auto"/>
            <w:noWrap w:val="0"/>
            <w:vAlign w:val="center"/>
          </w:tcPr>
          <w:p w14:paraId="3E910DAE">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5</w:t>
            </w:r>
          </w:p>
        </w:tc>
        <w:tc>
          <w:tcPr>
            <w:tcW w:w="435" w:type="pct"/>
            <w:noWrap w:val="0"/>
            <w:vAlign w:val="center"/>
          </w:tcPr>
          <w:p w14:paraId="4D149413">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685" w:name="_Toc8795"/>
            <w:bookmarkStart w:id="2686" w:name="_Toc3085"/>
            <w:bookmarkStart w:id="2687" w:name="_Toc753"/>
            <w:bookmarkStart w:id="2688" w:name="_Toc27166"/>
            <w:r>
              <w:rPr>
                <w:rFonts w:hint="eastAsia" w:cs="Times New Roman"/>
                <w:color w:val="auto"/>
                <w:sz w:val="18"/>
                <w:szCs w:val="18"/>
                <w:highlight w:val="none"/>
                <w:u w:val="none" w:color="auto"/>
                <w:lang w:val="en-US" w:eastAsia="zh-CN"/>
              </w:rPr>
              <w:t>/</w:t>
            </w:r>
            <w:bookmarkEnd w:id="2685"/>
            <w:bookmarkEnd w:id="2686"/>
            <w:bookmarkEnd w:id="2687"/>
            <w:bookmarkEnd w:id="2688"/>
          </w:p>
        </w:tc>
        <w:tc>
          <w:tcPr>
            <w:tcW w:w="600" w:type="pct"/>
            <w:noWrap w:val="0"/>
            <w:vAlign w:val="center"/>
          </w:tcPr>
          <w:p w14:paraId="0D47D12E">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689" w:name="_Toc5663"/>
            <w:bookmarkStart w:id="2690" w:name="_Toc17516"/>
            <w:bookmarkStart w:id="2691" w:name="_Toc32697"/>
            <w:bookmarkStart w:id="2692" w:name="_Toc20669"/>
            <w:bookmarkStart w:id="2693" w:name="_Toc8200"/>
            <w:bookmarkStart w:id="2694" w:name="_Toc23480"/>
            <w:bookmarkStart w:id="2695" w:name="_Toc8939"/>
            <w:bookmarkStart w:id="2696" w:name="_Toc18225"/>
            <w:bookmarkStart w:id="2697" w:name="_Toc1091"/>
            <w:bookmarkStart w:id="2698" w:name="_Toc29618"/>
            <w:bookmarkStart w:id="2699" w:name="_Toc19425"/>
            <w:bookmarkStart w:id="2700" w:name="_Toc3785"/>
            <w:bookmarkStart w:id="2701" w:name="_Toc22085"/>
            <w:bookmarkStart w:id="2702" w:name="_Toc20554"/>
            <w:r>
              <w:rPr>
                <w:rFonts w:hint="eastAsia" w:ascii="Times New Roman" w:hAnsi="Times New Roman" w:cs="Times New Roman"/>
                <w:color w:val="auto"/>
                <w:sz w:val="18"/>
                <w:szCs w:val="18"/>
                <w:highlight w:val="none"/>
                <w:u w:val="none" w:color="auto"/>
                <w:lang w:val="en-US" w:eastAsia="zh-CN"/>
              </w:rPr>
              <w:t>/</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tc>
        <w:tc>
          <w:tcPr>
            <w:tcW w:w="477" w:type="pct"/>
            <w:shd w:val="clear" w:color="auto" w:fill="auto"/>
            <w:noWrap w:val="0"/>
            <w:vAlign w:val="center"/>
          </w:tcPr>
          <w:p w14:paraId="73846F40">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8</w:t>
            </w:r>
          </w:p>
        </w:tc>
        <w:tc>
          <w:tcPr>
            <w:tcW w:w="466" w:type="pct"/>
            <w:noWrap w:val="0"/>
            <w:vAlign w:val="center"/>
          </w:tcPr>
          <w:p w14:paraId="72AC35BF">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703" w:name="_Toc23282"/>
            <w:bookmarkStart w:id="2704" w:name="_Toc2824"/>
            <w:bookmarkStart w:id="2705" w:name="_Toc5984"/>
            <w:bookmarkStart w:id="2706" w:name="_Toc24346"/>
            <w:bookmarkStart w:id="2707" w:name="_Toc11379"/>
            <w:bookmarkStart w:id="2708" w:name="_Toc25180"/>
            <w:bookmarkStart w:id="2709" w:name="_Toc4996"/>
            <w:bookmarkStart w:id="2710" w:name="_Toc5598"/>
            <w:bookmarkStart w:id="2711" w:name="_Toc1103"/>
            <w:bookmarkStart w:id="2712" w:name="_Toc31495"/>
            <w:bookmarkStart w:id="2713" w:name="_Toc23687"/>
            <w:bookmarkStart w:id="2714" w:name="_Toc25864"/>
            <w:bookmarkStart w:id="2715" w:name="_Toc22286"/>
            <w:bookmarkStart w:id="2716" w:name="_Toc11043"/>
            <w:r>
              <w:rPr>
                <w:rFonts w:hint="eastAsia" w:ascii="Times New Roman" w:hAnsi="Times New Roman" w:cs="Times New Roman"/>
                <w:color w:val="auto"/>
                <w:sz w:val="18"/>
                <w:szCs w:val="18"/>
                <w:highlight w:val="none"/>
                <w:u w:val="none" w:color="auto"/>
                <w:lang w:val="en-US" w:eastAsia="zh-CN"/>
              </w:rPr>
              <w:t>/</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tc>
        <w:tc>
          <w:tcPr>
            <w:tcW w:w="700" w:type="pct"/>
            <w:shd w:val="clear" w:color="auto" w:fill="auto"/>
            <w:noWrap w:val="0"/>
            <w:vAlign w:val="center"/>
          </w:tcPr>
          <w:p w14:paraId="5BA60A2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8</w:t>
            </w:r>
          </w:p>
        </w:tc>
        <w:tc>
          <w:tcPr>
            <w:tcW w:w="400" w:type="pct"/>
            <w:shd w:val="clear" w:color="auto" w:fill="auto"/>
            <w:noWrap w:val="0"/>
            <w:vAlign w:val="center"/>
          </w:tcPr>
          <w:p w14:paraId="5587E029">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3</w:t>
            </w:r>
          </w:p>
        </w:tc>
      </w:tr>
      <w:tr w14:paraId="6708F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298" w:type="pct"/>
            <w:vMerge w:val="continue"/>
            <w:noWrap w:val="0"/>
            <w:vAlign w:val="center"/>
          </w:tcPr>
          <w:p w14:paraId="1CF5E635">
            <w:pPr>
              <w:pStyle w:val="44"/>
              <w:spacing w:line="240" w:lineRule="auto"/>
              <w:rPr>
                <w:rFonts w:hint="default" w:ascii="Times New Roman" w:hAnsi="Times New Roman" w:cs="Times New Roman"/>
                <w:color w:val="auto"/>
                <w:sz w:val="18"/>
                <w:szCs w:val="18"/>
                <w:u w:val="none" w:color="auto"/>
                <w:lang w:val="en-US" w:eastAsia="zh-CN"/>
              </w:rPr>
            </w:pPr>
          </w:p>
        </w:tc>
        <w:tc>
          <w:tcPr>
            <w:tcW w:w="997" w:type="pct"/>
            <w:shd w:val="clear" w:color="auto" w:fill="auto"/>
            <w:noWrap w:val="0"/>
            <w:vAlign w:val="center"/>
          </w:tcPr>
          <w:p w14:paraId="1ABE79DA">
            <w:pPr>
              <w:widowControl/>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kern w:val="2"/>
                <w:sz w:val="18"/>
                <w:szCs w:val="18"/>
                <w:highlight w:val="none"/>
                <w:u w:val="none" w:color="auto"/>
                <w:vertAlign w:val="baseline"/>
                <w:lang w:val="en-US" w:eastAsia="zh-CN"/>
              </w:rPr>
              <w:t>沾染有毒有害物质的废包装材料</w:t>
            </w:r>
          </w:p>
        </w:tc>
        <w:tc>
          <w:tcPr>
            <w:tcW w:w="622" w:type="pct"/>
            <w:shd w:val="clear" w:color="auto" w:fill="auto"/>
            <w:noWrap w:val="0"/>
            <w:vAlign w:val="center"/>
          </w:tcPr>
          <w:p w14:paraId="0270B7AA">
            <w:pPr>
              <w:widowControl/>
              <w:spacing w:beforeLines="0" w:afterLines="0"/>
              <w:ind w:firstLine="0" w:firstLineChars="0"/>
              <w:jc w:val="center"/>
              <w:rPr>
                <w:rFonts w:hint="eastAsia" w:ascii="Times New Roman" w:hAnsi="Times New Roman" w:eastAsia="宋体" w:cs="Times New Roman"/>
                <w:bCs w:val="0"/>
                <w:color w:val="auto"/>
                <w:kern w:val="2"/>
                <w:sz w:val="18"/>
                <w:szCs w:val="18"/>
                <w:highlight w:val="none"/>
                <w:u w:val="none" w:color="auto"/>
                <w:lang w:val="en-US" w:eastAsia="zh-CN" w:bidi="ar-SA"/>
              </w:rPr>
            </w:pPr>
            <w:r>
              <w:rPr>
                <w:rFonts w:hint="eastAsia" w:cs="Times New Roman"/>
                <w:color w:val="auto"/>
                <w:spacing w:val="0"/>
                <w:sz w:val="18"/>
                <w:szCs w:val="18"/>
                <w:highlight w:val="none"/>
                <w:u w:val="none" w:color="auto"/>
                <w:lang w:val="en-US" w:eastAsia="zh-CN"/>
              </w:rPr>
              <w:t>0.1</w:t>
            </w:r>
          </w:p>
        </w:tc>
        <w:tc>
          <w:tcPr>
            <w:tcW w:w="435" w:type="pct"/>
            <w:noWrap w:val="0"/>
            <w:vAlign w:val="center"/>
          </w:tcPr>
          <w:p w14:paraId="547327D4">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717" w:name="_Toc28770"/>
            <w:bookmarkStart w:id="2718" w:name="_Toc31352"/>
            <w:bookmarkStart w:id="2719" w:name="_Toc4886"/>
            <w:bookmarkStart w:id="2720" w:name="_Toc31006"/>
            <w:r>
              <w:rPr>
                <w:rFonts w:hint="eastAsia" w:cs="Times New Roman"/>
                <w:color w:val="auto"/>
                <w:sz w:val="18"/>
                <w:szCs w:val="18"/>
                <w:highlight w:val="none"/>
                <w:u w:val="none" w:color="auto"/>
                <w:lang w:val="en-US" w:eastAsia="zh-CN"/>
              </w:rPr>
              <w:t>/</w:t>
            </w:r>
            <w:bookmarkEnd w:id="2717"/>
            <w:bookmarkEnd w:id="2718"/>
            <w:bookmarkEnd w:id="2719"/>
            <w:bookmarkEnd w:id="2720"/>
          </w:p>
        </w:tc>
        <w:tc>
          <w:tcPr>
            <w:tcW w:w="600" w:type="pct"/>
            <w:noWrap w:val="0"/>
            <w:vAlign w:val="center"/>
          </w:tcPr>
          <w:p w14:paraId="0E3EA28E">
            <w:pPr>
              <w:keepNext w:val="0"/>
              <w:keepLines w:val="0"/>
              <w:widowControl/>
              <w:spacing w:beforeLines="0" w:afterLines="0"/>
              <w:ind w:firstLine="0" w:firstLineChars="0"/>
              <w:jc w:val="center"/>
              <w:rPr>
                <w:rFonts w:hint="eastAsia" w:ascii="Times New Roman" w:hAnsi="Times New Roman" w:eastAsia="宋体" w:cs="Times New Roman"/>
                <w:color w:val="auto"/>
                <w:sz w:val="18"/>
                <w:szCs w:val="18"/>
                <w:highlight w:val="none"/>
                <w:u w:val="none" w:color="auto"/>
                <w:lang w:val="en-US" w:eastAsia="zh-CN"/>
              </w:rPr>
            </w:pPr>
            <w:bookmarkStart w:id="2721" w:name="_Toc22058"/>
            <w:bookmarkStart w:id="2722" w:name="_Toc14"/>
            <w:bookmarkStart w:id="2723" w:name="_Toc13095"/>
            <w:bookmarkStart w:id="2724" w:name="_Toc9500"/>
            <w:bookmarkStart w:id="2725" w:name="_Toc21544"/>
            <w:bookmarkStart w:id="2726" w:name="_Toc27799"/>
            <w:bookmarkStart w:id="2727" w:name="_Toc20183"/>
            <w:bookmarkStart w:id="2728" w:name="_Toc22839"/>
            <w:bookmarkStart w:id="2729" w:name="_Toc26545"/>
            <w:bookmarkStart w:id="2730" w:name="_Toc16776"/>
            <w:bookmarkStart w:id="2731" w:name="_Toc22189"/>
            <w:bookmarkStart w:id="2732" w:name="_Toc7043"/>
            <w:bookmarkStart w:id="2733" w:name="_Toc27664"/>
            <w:bookmarkStart w:id="2734" w:name="_Toc28167"/>
            <w:r>
              <w:rPr>
                <w:rFonts w:hint="eastAsia" w:ascii="Times New Roman" w:hAnsi="Times New Roman" w:cs="Times New Roman"/>
                <w:color w:val="auto"/>
                <w:sz w:val="18"/>
                <w:szCs w:val="18"/>
                <w:highlight w:val="none"/>
                <w:u w:val="none" w:color="auto"/>
                <w:lang w:val="en-US" w:eastAsia="zh-CN"/>
              </w:rPr>
              <w:t>/</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p>
        </w:tc>
        <w:tc>
          <w:tcPr>
            <w:tcW w:w="477" w:type="pct"/>
            <w:shd w:val="clear" w:color="auto" w:fill="auto"/>
            <w:noWrap w:val="0"/>
            <w:vAlign w:val="center"/>
          </w:tcPr>
          <w:p w14:paraId="51D0031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0.3</w:t>
            </w:r>
          </w:p>
        </w:tc>
        <w:tc>
          <w:tcPr>
            <w:tcW w:w="466" w:type="pct"/>
            <w:noWrap w:val="0"/>
            <w:vAlign w:val="center"/>
          </w:tcPr>
          <w:p w14:paraId="29A2146A">
            <w:pPr>
              <w:keepNext w:val="0"/>
              <w:keepLines w:val="0"/>
              <w:widowControl/>
              <w:spacing w:beforeLines="0" w:afterLines="0"/>
              <w:ind w:firstLine="0" w:firstLineChars="0"/>
              <w:jc w:val="center"/>
              <w:rPr>
                <w:rFonts w:hint="eastAsia" w:ascii="Times New Roman" w:hAnsi="Times New Roman" w:cs="Times New Roman"/>
                <w:color w:val="auto"/>
                <w:sz w:val="18"/>
                <w:szCs w:val="18"/>
                <w:highlight w:val="none"/>
                <w:u w:val="none" w:color="auto"/>
                <w:lang w:val="en-US" w:eastAsia="zh-CN"/>
              </w:rPr>
            </w:pPr>
            <w:bookmarkStart w:id="2735" w:name="_Toc19500"/>
            <w:bookmarkStart w:id="2736" w:name="_Toc11910"/>
            <w:bookmarkStart w:id="2737" w:name="_Toc10424"/>
            <w:bookmarkStart w:id="2738" w:name="_Toc30806"/>
            <w:bookmarkStart w:id="2739" w:name="_Toc15008"/>
            <w:bookmarkStart w:id="2740" w:name="_Toc24802"/>
            <w:bookmarkStart w:id="2741" w:name="_Toc21933"/>
            <w:bookmarkStart w:id="2742" w:name="_Toc17919"/>
            <w:bookmarkStart w:id="2743" w:name="_Toc32239"/>
            <w:bookmarkStart w:id="2744" w:name="_Toc20807"/>
            <w:bookmarkStart w:id="2745" w:name="_Toc5888"/>
            <w:bookmarkStart w:id="2746" w:name="_Toc26703"/>
            <w:bookmarkStart w:id="2747" w:name="_Toc26322"/>
            <w:bookmarkStart w:id="2748" w:name="_Toc21903"/>
            <w:r>
              <w:rPr>
                <w:rFonts w:hint="eastAsia" w:ascii="Times New Roman" w:hAnsi="Times New Roman" w:cs="Times New Roman"/>
                <w:color w:val="auto"/>
                <w:sz w:val="18"/>
                <w:szCs w:val="18"/>
                <w:highlight w:val="none"/>
                <w:u w:val="none" w:color="auto"/>
                <w:lang w:val="en-US" w:eastAsia="zh-CN"/>
              </w:rPr>
              <w:t>/</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tc>
        <w:tc>
          <w:tcPr>
            <w:tcW w:w="700" w:type="pct"/>
            <w:shd w:val="clear" w:color="auto" w:fill="auto"/>
            <w:noWrap w:val="0"/>
            <w:vAlign w:val="center"/>
          </w:tcPr>
          <w:p w14:paraId="35E689D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eastAsia="宋体" w:cs="Times New Roman"/>
                <w:bCs w:val="0"/>
                <w:color w:val="auto"/>
                <w:kern w:val="2"/>
                <w:sz w:val="18"/>
                <w:szCs w:val="18"/>
                <w:highlight w:val="none"/>
                <w:u w:val="none" w:color="auto"/>
                <w:lang w:val="en-US" w:eastAsia="zh-CN" w:bidi="ar"/>
              </w:rPr>
            </w:pPr>
            <w:r>
              <w:rPr>
                <w:rFonts w:hint="eastAsia" w:cs="Times New Roman"/>
                <w:color w:val="auto"/>
                <w:sz w:val="18"/>
                <w:szCs w:val="18"/>
                <w:highlight w:val="none"/>
                <w:u w:val="none" w:color="auto"/>
                <w:vertAlign w:val="baseline"/>
                <w:lang w:val="en-US" w:eastAsia="zh-CN"/>
              </w:rPr>
              <w:t>0.3</w:t>
            </w:r>
          </w:p>
        </w:tc>
        <w:tc>
          <w:tcPr>
            <w:tcW w:w="400" w:type="pct"/>
            <w:shd w:val="clear" w:color="auto" w:fill="auto"/>
            <w:noWrap w:val="0"/>
            <w:vAlign w:val="center"/>
          </w:tcPr>
          <w:p w14:paraId="438EC8C4">
            <w:pPr>
              <w:widowControl/>
              <w:adjustRightInd/>
              <w:snapToGrid/>
              <w:spacing w:beforeLines="0" w:afterLines="0"/>
              <w:ind w:firstLine="0" w:firstLineChars="0"/>
              <w:jc w:val="center"/>
              <w:rPr>
                <w:rFonts w:hint="eastAsia"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i w:val="0"/>
                <w:iCs w:val="0"/>
                <w:color w:val="auto"/>
                <w:kern w:val="2"/>
                <w:sz w:val="18"/>
                <w:szCs w:val="18"/>
                <w:highlight w:val="none"/>
                <w:u w:val="none" w:color="auto"/>
                <w:lang w:val="en-US" w:eastAsia="zh-CN" w:bidi="ar"/>
              </w:rPr>
              <w:t>+</w:t>
            </w:r>
            <w:r>
              <w:rPr>
                <w:rFonts w:hint="eastAsia" w:ascii="Times New Roman" w:hAnsi="Times New Roman" w:eastAsia="宋体" w:cs="Times New Roman"/>
                <w:i w:val="0"/>
                <w:iCs w:val="0"/>
                <w:color w:val="auto"/>
                <w:kern w:val="2"/>
                <w:sz w:val="18"/>
                <w:szCs w:val="18"/>
                <w:highlight w:val="none"/>
                <w:u w:val="none" w:color="auto"/>
                <w:lang w:val="en-US" w:eastAsia="zh-CN" w:bidi="ar"/>
              </w:rPr>
              <w:t>0.2</w:t>
            </w:r>
          </w:p>
        </w:tc>
      </w:tr>
    </w:tbl>
    <w:p w14:paraId="1422B934">
      <w:pPr>
        <w:spacing w:before="0" w:beforeLines="0" w:after="0" w:line="240" w:lineRule="auto"/>
        <w:ind w:firstLine="480"/>
        <w:jc w:val="both"/>
        <w:rPr>
          <w:rFonts w:ascii="Times New Roman" w:hAnsi="Times New Roman" w:eastAsia="黑体" w:cs="Times New Roman"/>
          <w:color w:val="auto"/>
          <w:kern w:val="21"/>
          <w:sz w:val="21"/>
          <w:szCs w:val="21"/>
          <w:u w:val="none" w:color="auto"/>
        </w:rPr>
      </w:pPr>
      <w:r>
        <w:rPr>
          <w:rFonts w:ascii="Times New Roman" w:hAnsi="Times New Roman" w:cs="Times New Roman"/>
          <w:snapToGrid w:val="0"/>
          <w:color w:val="auto"/>
          <w:kern w:val="21"/>
          <w:sz w:val="21"/>
          <w:szCs w:val="18"/>
          <w:u w:val="none" w:color="auto"/>
        </w:rPr>
        <w:t>注：</w:t>
      </w:r>
      <w:r>
        <w:rPr>
          <w:rFonts w:hint="eastAsia" w:cs="Times New Roman"/>
          <w:snapToGrid w:val="0"/>
          <w:color w:val="auto"/>
          <w:kern w:val="21"/>
          <w:sz w:val="21"/>
          <w:szCs w:val="18"/>
          <w:u w:val="none" w:color="auto"/>
          <w:lang w:val="en-US" w:eastAsia="zh-CN"/>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6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⑥</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1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①</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3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③</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4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④</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5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⑤</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7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⑦</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6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⑥</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1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①</w:t>
      </w:r>
      <w:r>
        <w:rPr>
          <w:rFonts w:ascii="Times New Roman" w:hAnsi="Times New Roman" w:cs="Times New Roman"/>
          <w:snapToGrid w:val="0"/>
          <w:color w:val="auto"/>
          <w:kern w:val="21"/>
          <w:sz w:val="21"/>
          <w:szCs w:val="18"/>
          <w:u w:val="none" w:color="auto"/>
        </w:rPr>
        <w:fldChar w:fldCharType="end"/>
      </w:r>
      <w:r>
        <w:rPr>
          <w:rFonts w:hint="default" w:ascii="Times New Roman" w:hAnsi="Times New Roman" w:cs="Times New Roman"/>
          <w:snapToGrid w:val="0"/>
          <w:color w:val="auto"/>
          <w:spacing w:val="-6"/>
          <w:kern w:val="21"/>
          <w:sz w:val="21"/>
          <w:szCs w:val="18"/>
          <w:u w:val="none" w:color="auto"/>
          <w:lang w:val="en-US" w:eastAsia="zh-CN"/>
        </w:rPr>
        <w:t>废气污染物排放量单位：t/a；废水污染物排放量单位：t/a。固体废物污染物排放量单位：t/a</w:t>
      </w:r>
    </w:p>
    <w:p w14:paraId="0A21BAE1">
      <w:pPr>
        <w:spacing w:line="240" w:lineRule="auto"/>
        <w:rPr>
          <w:rFonts w:hint="default" w:ascii="Times New Roman" w:hAnsi="Times New Roman" w:cs="Times New Roman"/>
          <w:color w:val="auto"/>
          <w:sz w:val="21"/>
          <w:szCs w:val="21"/>
          <w:u w:val="none" w:color="auto"/>
          <w:lang w:val="en-US" w:eastAsia="zh-CN"/>
        </w:rPr>
        <w:sectPr>
          <w:footerReference r:id="rId10" w:type="default"/>
          <w:pgSz w:w="16838" w:h="11906" w:orient="landscape"/>
          <w:pgMar w:top="1417" w:right="1440" w:bottom="1417" w:left="1440" w:header="851" w:footer="851" w:gutter="0"/>
          <w:pgBorders>
            <w:top w:val="none" w:sz="0" w:space="0"/>
            <w:left w:val="none" w:sz="0" w:space="0"/>
            <w:bottom w:val="none" w:sz="0" w:space="0"/>
            <w:right w:val="none" w:sz="0" w:space="0"/>
          </w:pgBorders>
          <w:cols w:space="720" w:num="1"/>
          <w:docGrid w:linePitch="312" w:charSpace="0"/>
        </w:sectPr>
      </w:pPr>
    </w:p>
    <w:p w14:paraId="68060AF0">
      <w:pPr>
        <w:pStyle w:val="3"/>
        <w:jc w:val="center"/>
      </w:pPr>
      <w:bookmarkStart w:id="2749" w:name="_GoBack"/>
      <w:bookmarkEnd w:id="2749"/>
    </w:p>
    <w:sectPr>
      <w:headerReference r:id="rId11" w:type="default"/>
      <w:footerReference r:id="rId12"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35F0E">
    <w:pPr>
      <w:pStyle w:val="15"/>
      <w:tabs>
        <w:tab w:val="left" w:pos="35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D1436">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5ABD1436">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CD078">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A27BE">
                          <w:pPr>
                            <w:pStyle w:val="1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3EA27BE">
                    <w:pPr>
                      <w:pStyle w:val="1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D791C">
    <w:pPr>
      <w:pStyle w:val="15"/>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4D5B98">
                          <w:pPr>
                            <w:pStyle w:val="15"/>
                          </w:pPr>
                          <w:r>
                            <w:fldChar w:fldCharType="begin"/>
                          </w:r>
                          <w:r>
                            <w:instrText xml:space="preserve"> PAGE  \* MERGEFORMAT </w:instrText>
                          </w:r>
                          <w:r>
                            <w:fldChar w:fldCharType="separate"/>
                          </w:r>
                          <w:r>
                            <w:t>132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SYsoBAACd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UBPHLY78/PPH+dfj+eE7&#10;yU6UqA9QY+ZdwNw0vPcDps9+QGdmPqho8xc5EYwj2OkisBwSEfnRarlaVRgSGJsviM+enocI6YP0&#10;lmSjoREnWITlx0+QxtQ5JVdz/lYbU6Zo3F8OxMwelnsfe8xWGnbDRGjn2xPy6XH4DXW465SYjw61&#10;xf7SbMTZ2M3GIUS978oi5XoQ3h0SNlF6yxVG2KkwTq2wmzYsr8Wf95L19Fd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3SYsoBAACdAwAADgAAAAAAAAABACAAAAAeAQAAZHJzL2Uyb0Rv&#10;Yy54bWxQSwUGAAAAAAYABgBZAQAAWgUAAAAA&#10;">
              <v:fill on="f" focussize="0,0"/>
              <v:stroke on="f"/>
              <v:imagedata o:title=""/>
              <o:lock v:ext="edit" aspectratio="f"/>
              <v:textbox inset="0mm,0mm,0mm,0mm" style="mso-fit-shape-to-text:t;">
                <w:txbxContent>
                  <w:p w14:paraId="464D5B98">
                    <w:pPr>
                      <w:pStyle w:val="15"/>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9BB1E">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35C66">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42535C66">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DA4BA">
    <w:pPr>
      <w:pStyle w:val="16"/>
      <w:pBdr>
        <w:bottom w:val="none" w:color="auto" w:sz="0" w:space="1"/>
      </w:pBdr>
      <w:ind w:left="0" w:leftChars="0" w:firstLine="0" w:firstLineChars="0"/>
      <w:jc w:val="center"/>
      <w:rPr>
        <w:rFonts w:hint="eastAsia" w:ascii="仿宋" w:hAnsi="仿宋" w:eastAsia="仿宋" w:cs="仿宋"/>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0958B">
    <w:pPr>
      <w:pStyle w:val="16"/>
      <w:pBdr>
        <w:bottom w:val="thinThickSmallGap" w:color="auto" w:sz="12" w:space="1"/>
      </w:pBdr>
      <w:ind w:left="0" w:leftChars="0" w:firstLine="0" w:firstLineChars="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溆浦县金中定点屠宰场升级改造建设项目环境影响报告表</w:t>
    </w:r>
  </w:p>
  <w:p w14:paraId="396AEAC0">
    <w:pPr>
      <w:pStyle w:val="16"/>
      <w:pBdr>
        <w:bottom w:val="none" w:color="auto" w:sz="0" w:space="1"/>
      </w:pBdr>
      <w:ind w:left="0" w:leftChars="0" w:firstLine="0" w:firstLineChars="0"/>
      <w:jc w:val="center"/>
      <w:rPr>
        <w:rFonts w:hint="default" w:ascii="仿宋" w:hAnsi="仿宋" w:eastAsia="仿宋" w:cs="仿宋"/>
        <w:sz w:val="22"/>
        <w:szCs w:val="22"/>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BEEA">
    <w:pPr>
      <w:pStyle w:val="16"/>
      <w:pBdr>
        <w:bottom w:val="thinThickSmallGap" w:color="auto" w:sz="12" w:space="1"/>
      </w:pBdr>
      <w:ind w:left="0" w:leftChars="0" w:firstLine="0" w:firstLineChars="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溆浦县金中定点屠宰场升级改造建设项目环境影响报告表</w:t>
    </w:r>
  </w:p>
  <w:p w14:paraId="6FC917C5">
    <w:pPr>
      <w:pStyle w:val="16"/>
      <w:pBdr>
        <w:bottom w:val="none" w:color="auto" w:sz="0" w:space="1"/>
      </w:pBdr>
      <w:ind w:left="0" w:leftChars="0" w:firstLine="0" w:firstLineChars="0"/>
      <w:jc w:val="center"/>
      <w:rPr>
        <w:rFonts w:hint="default" w:ascii="仿宋" w:hAnsi="仿宋" w:eastAsia="仿宋" w:cs="仿宋"/>
        <w:sz w:val="22"/>
        <w:szCs w:val="22"/>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D1553">
    <w:pPr>
      <w:pStyle w:val="16"/>
      <w:pBdr>
        <w:bottom w:val="thinThickSmallGap" w:color="auto" w:sz="12" w:space="1"/>
      </w:pBdr>
      <w:ind w:left="0" w:leftChars="0" w:firstLine="0" w:firstLineChars="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溆浦县金中定点屠宰场升级改造建设项目环境影响报告表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C054F"/>
    <w:multiLevelType w:val="multilevel"/>
    <w:tmpl w:val="912C054F"/>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suff w:val="nothing"/>
      <w:lvlText w:val="（%1.%2.%3.%4）"/>
      <w:lvlJc w:val="left"/>
      <w:pPr>
        <w:ind w:left="0" w:leftChars="0" w:firstLine="0" w:firstLineChars="0"/>
      </w:pPr>
      <w:rPr>
        <w:rFonts w:hint="default"/>
      </w:rPr>
    </w:lvl>
    <w:lvl w:ilvl="4" w:tentative="0">
      <w:start w:val="1"/>
      <w:numFmt w:val="decimal"/>
      <w:suff w:val="nothing"/>
      <w:lvlText w:val="（%1.%2.%3.%4.%5）"/>
      <w:lvlJc w:val="left"/>
      <w:pPr>
        <w:ind w:left="0" w:leftChars="0" w:firstLine="0" w:firstLineChars="0"/>
      </w:pPr>
      <w:rPr>
        <w:rFonts w:hint="default"/>
      </w:rPr>
    </w:lvl>
    <w:lvl w:ilvl="5" w:tentative="0">
      <w:start w:val="1"/>
      <w:numFmt w:val="decimal"/>
      <w:suff w:val="nothing"/>
      <w:lvlText w:val="（%1.%2.%3.%4.%5.%6）"/>
      <w:lvlJc w:val="left"/>
      <w:pPr>
        <w:ind w:left="0" w:leftChars="0" w:firstLine="0" w:firstLineChars="0"/>
      </w:pPr>
      <w:rPr>
        <w:rFonts w:hint="default"/>
      </w:rPr>
    </w:lvl>
    <w:lvl w:ilvl="6" w:tentative="0">
      <w:start w:val="1"/>
      <w:numFmt w:val="decimal"/>
      <w:suff w:val="nothing"/>
      <w:lvlText w:val="（%1.%2.%3.%4.%5.%6.%7）"/>
      <w:lvlJc w:val="left"/>
      <w:pPr>
        <w:ind w:left="0" w:leftChars="0" w:firstLine="0" w:firstLineChars="0"/>
      </w:pPr>
      <w:rPr>
        <w:rFonts w:hint="default"/>
      </w:rPr>
    </w:lvl>
    <w:lvl w:ilvl="7" w:tentative="0">
      <w:start w:val="1"/>
      <w:numFmt w:val="decimal"/>
      <w:suff w:val="nothing"/>
      <w:lvlText w:val="（%1.%2.%3.%4.%5.%6.%7.%8）"/>
      <w:lvlJc w:val="left"/>
      <w:pPr>
        <w:ind w:left="0" w:leftChars="0" w:firstLine="0" w:firstLineChars="0"/>
      </w:pPr>
      <w:rPr>
        <w:rFonts w:hint="default"/>
      </w:rPr>
    </w:lvl>
    <w:lvl w:ilvl="8" w:tentative="0">
      <w:start w:val="1"/>
      <w:numFmt w:val="decimal"/>
      <w:suff w:val="nothing"/>
      <w:lvlText w:val="（%1.%2.%3.%4.%5.%6.%7.%8.%9）"/>
      <w:lvlJc w:val="left"/>
      <w:pPr>
        <w:ind w:left="0" w:leftChars="0" w:firstLine="0" w:firstLineChars="0"/>
      </w:pPr>
      <w:rPr>
        <w:rFonts w:hint="default"/>
      </w:rPr>
    </w:lvl>
  </w:abstractNum>
  <w:abstractNum w:abstractNumId="1">
    <w:nsid w:val="D38B7154"/>
    <w:multiLevelType w:val="singleLevel"/>
    <w:tmpl w:val="D38B7154"/>
    <w:lvl w:ilvl="0" w:tentative="0">
      <w:start w:val="8"/>
      <w:numFmt w:val="decimal"/>
      <w:suff w:val="nothing"/>
      <w:lvlText w:val="（%1）"/>
      <w:lvlJc w:val="left"/>
    </w:lvl>
  </w:abstractNum>
  <w:abstractNum w:abstractNumId="2">
    <w:nsid w:val="E2F31E80"/>
    <w:multiLevelType w:val="singleLevel"/>
    <w:tmpl w:val="E2F31E80"/>
    <w:lvl w:ilvl="0" w:tentative="0">
      <w:start w:val="3"/>
      <w:numFmt w:val="chineseCounting"/>
      <w:suff w:val="nothing"/>
      <w:lvlText w:val="%1、"/>
      <w:lvlJc w:val="left"/>
      <w:rPr>
        <w:rFonts w:hint="eastAsia"/>
      </w:rPr>
    </w:lvl>
  </w:abstractNum>
  <w:abstractNum w:abstractNumId="3">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54"/>
      <w:lvlText w:val="%3."/>
      <w:lvlJc w:val="right"/>
      <w:pPr>
        <w:tabs>
          <w:tab w:val="left" w:pos="1260"/>
        </w:tabs>
        <w:ind w:left="1260" w:hanging="420"/>
      </w:pPr>
    </w:lvl>
    <w:lvl w:ilvl="3" w:tentative="0">
      <w:start w:val="1"/>
      <w:numFmt w:val="decimal"/>
      <w:pStyle w:val="5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6F29A51"/>
    <w:multiLevelType w:val="singleLevel"/>
    <w:tmpl w:val="06F29A51"/>
    <w:lvl w:ilvl="0" w:tentative="0">
      <w:start w:val="1"/>
      <w:numFmt w:val="decimal"/>
      <w:suff w:val="nothing"/>
      <w:lvlText w:val="%1、"/>
      <w:lvlJc w:val="left"/>
    </w:lvl>
  </w:abstractNum>
  <w:abstractNum w:abstractNumId="5">
    <w:nsid w:val="0D5C412C"/>
    <w:multiLevelType w:val="singleLevel"/>
    <w:tmpl w:val="0D5C412C"/>
    <w:lvl w:ilvl="0" w:tentative="0">
      <w:start w:val="1"/>
      <w:numFmt w:val="decimal"/>
      <w:suff w:val="nothing"/>
      <w:lvlText w:val="（%1）"/>
      <w:lvlJc w:val="left"/>
    </w:lvl>
  </w:abstractNum>
  <w:abstractNum w:abstractNumId="6">
    <w:nsid w:val="4C2F0D90"/>
    <w:multiLevelType w:val="singleLevel"/>
    <w:tmpl w:val="4C2F0D90"/>
    <w:lvl w:ilvl="0" w:tentative="0">
      <w:start w:val="1"/>
      <w:numFmt w:val="chineseCounting"/>
      <w:suff w:val="nothing"/>
      <w:lvlText w:val="%1、"/>
      <w:lvlJc w:val="left"/>
      <w:rPr>
        <w:rFonts w:hint="eastAsia"/>
      </w:rPr>
    </w:lvl>
  </w:abstractNum>
  <w:num w:numId="1">
    <w:abstractNumId w:val="3"/>
  </w:num>
  <w:num w:numId="2">
    <w:abstractNumId w:val="0"/>
  </w:num>
  <w:num w:numId="3">
    <w:abstractNumId w:val="5"/>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MTJlODdmODg3ODk1MDUwOTllZWI0YjY1ZTYyZTQifQ=="/>
  </w:docVars>
  <w:rsids>
    <w:rsidRoot w:val="50E1483E"/>
    <w:rsid w:val="000007E1"/>
    <w:rsid w:val="00024A20"/>
    <w:rsid w:val="0002561E"/>
    <w:rsid w:val="00160591"/>
    <w:rsid w:val="0016442E"/>
    <w:rsid w:val="001D7D62"/>
    <w:rsid w:val="00207F6E"/>
    <w:rsid w:val="00337769"/>
    <w:rsid w:val="00373153"/>
    <w:rsid w:val="00417B77"/>
    <w:rsid w:val="004702A3"/>
    <w:rsid w:val="00580EB6"/>
    <w:rsid w:val="005C6D17"/>
    <w:rsid w:val="005F5272"/>
    <w:rsid w:val="00637188"/>
    <w:rsid w:val="006A46ED"/>
    <w:rsid w:val="006C1FE5"/>
    <w:rsid w:val="006D2A98"/>
    <w:rsid w:val="0077626C"/>
    <w:rsid w:val="008953F8"/>
    <w:rsid w:val="00942B50"/>
    <w:rsid w:val="009B33DB"/>
    <w:rsid w:val="009C1047"/>
    <w:rsid w:val="00A432B3"/>
    <w:rsid w:val="00A6244D"/>
    <w:rsid w:val="00AB489F"/>
    <w:rsid w:val="00B22270"/>
    <w:rsid w:val="00B45CA7"/>
    <w:rsid w:val="00BB52C2"/>
    <w:rsid w:val="00C50B26"/>
    <w:rsid w:val="00C72248"/>
    <w:rsid w:val="00CA3D2D"/>
    <w:rsid w:val="00CB1EB4"/>
    <w:rsid w:val="00CE39AC"/>
    <w:rsid w:val="00CE62BB"/>
    <w:rsid w:val="00D75CA9"/>
    <w:rsid w:val="00DE7B1F"/>
    <w:rsid w:val="00DF410F"/>
    <w:rsid w:val="00F53172"/>
    <w:rsid w:val="00FA3223"/>
    <w:rsid w:val="010B74B3"/>
    <w:rsid w:val="011F0CAE"/>
    <w:rsid w:val="01235C45"/>
    <w:rsid w:val="01284C10"/>
    <w:rsid w:val="01384AAA"/>
    <w:rsid w:val="013D32A9"/>
    <w:rsid w:val="013E2686"/>
    <w:rsid w:val="013E352D"/>
    <w:rsid w:val="013E5534"/>
    <w:rsid w:val="013E61E2"/>
    <w:rsid w:val="013E65B3"/>
    <w:rsid w:val="014370EA"/>
    <w:rsid w:val="01487285"/>
    <w:rsid w:val="015873C5"/>
    <w:rsid w:val="015D0D5E"/>
    <w:rsid w:val="015E3870"/>
    <w:rsid w:val="015F7C67"/>
    <w:rsid w:val="016419F7"/>
    <w:rsid w:val="01706EA0"/>
    <w:rsid w:val="01771F70"/>
    <w:rsid w:val="01865733"/>
    <w:rsid w:val="01A26771"/>
    <w:rsid w:val="01A55A59"/>
    <w:rsid w:val="01A82CD2"/>
    <w:rsid w:val="01AD411E"/>
    <w:rsid w:val="01B44971"/>
    <w:rsid w:val="01BF20E7"/>
    <w:rsid w:val="01C0753F"/>
    <w:rsid w:val="01C40A67"/>
    <w:rsid w:val="01CD08E2"/>
    <w:rsid w:val="01D65751"/>
    <w:rsid w:val="01D91095"/>
    <w:rsid w:val="01E10136"/>
    <w:rsid w:val="01E52B01"/>
    <w:rsid w:val="01F11B18"/>
    <w:rsid w:val="01F16293"/>
    <w:rsid w:val="01FB2325"/>
    <w:rsid w:val="01FC03B8"/>
    <w:rsid w:val="0203505F"/>
    <w:rsid w:val="020411DA"/>
    <w:rsid w:val="02083721"/>
    <w:rsid w:val="020877D9"/>
    <w:rsid w:val="020F5CF8"/>
    <w:rsid w:val="02104022"/>
    <w:rsid w:val="02143F49"/>
    <w:rsid w:val="022637DB"/>
    <w:rsid w:val="022A26A7"/>
    <w:rsid w:val="02306473"/>
    <w:rsid w:val="02311EFB"/>
    <w:rsid w:val="02314F0B"/>
    <w:rsid w:val="02357534"/>
    <w:rsid w:val="02370CE4"/>
    <w:rsid w:val="023D0B8F"/>
    <w:rsid w:val="024C2B81"/>
    <w:rsid w:val="024D6494"/>
    <w:rsid w:val="025B0D04"/>
    <w:rsid w:val="025C7BA4"/>
    <w:rsid w:val="025E05D3"/>
    <w:rsid w:val="02672D80"/>
    <w:rsid w:val="02691984"/>
    <w:rsid w:val="027B11FE"/>
    <w:rsid w:val="02831D29"/>
    <w:rsid w:val="02963561"/>
    <w:rsid w:val="02975A8F"/>
    <w:rsid w:val="02B9273B"/>
    <w:rsid w:val="02C05BDE"/>
    <w:rsid w:val="02D0730E"/>
    <w:rsid w:val="02D908B8"/>
    <w:rsid w:val="02DA533C"/>
    <w:rsid w:val="02DF39F5"/>
    <w:rsid w:val="02E54EC2"/>
    <w:rsid w:val="02EA0B01"/>
    <w:rsid w:val="03033F17"/>
    <w:rsid w:val="03127926"/>
    <w:rsid w:val="03157356"/>
    <w:rsid w:val="03174573"/>
    <w:rsid w:val="03254737"/>
    <w:rsid w:val="033479E0"/>
    <w:rsid w:val="03366C62"/>
    <w:rsid w:val="033C2BF5"/>
    <w:rsid w:val="034612EF"/>
    <w:rsid w:val="035B63F4"/>
    <w:rsid w:val="035E63A4"/>
    <w:rsid w:val="035E779F"/>
    <w:rsid w:val="03625E2D"/>
    <w:rsid w:val="03646CFD"/>
    <w:rsid w:val="037433FD"/>
    <w:rsid w:val="037819BF"/>
    <w:rsid w:val="03833945"/>
    <w:rsid w:val="038A7E04"/>
    <w:rsid w:val="039E1F38"/>
    <w:rsid w:val="039E565E"/>
    <w:rsid w:val="03A34A22"/>
    <w:rsid w:val="03A7376C"/>
    <w:rsid w:val="03AC4088"/>
    <w:rsid w:val="03AE1D8B"/>
    <w:rsid w:val="03E47515"/>
    <w:rsid w:val="03E72B61"/>
    <w:rsid w:val="03EE3926"/>
    <w:rsid w:val="03F00C32"/>
    <w:rsid w:val="03FF0B9E"/>
    <w:rsid w:val="040260B3"/>
    <w:rsid w:val="040E3666"/>
    <w:rsid w:val="041F1ED0"/>
    <w:rsid w:val="04230D52"/>
    <w:rsid w:val="0423744D"/>
    <w:rsid w:val="04281941"/>
    <w:rsid w:val="04343428"/>
    <w:rsid w:val="04363AAC"/>
    <w:rsid w:val="0448069C"/>
    <w:rsid w:val="0452340B"/>
    <w:rsid w:val="04543B20"/>
    <w:rsid w:val="046046C1"/>
    <w:rsid w:val="0465073B"/>
    <w:rsid w:val="04684C54"/>
    <w:rsid w:val="04694F7F"/>
    <w:rsid w:val="04695E91"/>
    <w:rsid w:val="04710297"/>
    <w:rsid w:val="047604C1"/>
    <w:rsid w:val="04783610"/>
    <w:rsid w:val="047F3ADB"/>
    <w:rsid w:val="04810E89"/>
    <w:rsid w:val="048162A0"/>
    <w:rsid w:val="048850DF"/>
    <w:rsid w:val="04900156"/>
    <w:rsid w:val="04A81782"/>
    <w:rsid w:val="04C609C8"/>
    <w:rsid w:val="04C71B6A"/>
    <w:rsid w:val="04C74194"/>
    <w:rsid w:val="04CC2FE7"/>
    <w:rsid w:val="04CD5C62"/>
    <w:rsid w:val="04CF417E"/>
    <w:rsid w:val="04DC45C9"/>
    <w:rsid w:val="04E8652C"/>
    <w:rsid w:val="04F0485E"/>
    <w:rsid w:val="04F630F4"/>
    <w:rsid w:val="05045825"/>
    <w:rsid w:val="050739A2"/>
    <w:rsid w:val="050A47C3"/>
    <w:rsid w:val="05102A7C"/>
    <w:rsid w:val="05151AA3"/>
    <w:rsid w:val="052438CC"/>
    <w:rsid w:val="052B1173"/>
    <w:rsid w:val="0534627A"/>
    <w:rsid w:val="053610E1"/>
    <w:rsid w:val="053668F8"/>
    <w:rsid w:val="0539563E"/>
    <w:rsid w:val="053C128A"/>
    <w:rsid w:val="05486741"/>
    <w:rsid w:val="055621B2"/>
    <w:rsid w:val="05571F68"/>
    <w:rsid w:val="055E1B86"/>
    <w:rsid w:val="05600E8A"/>
    <w:rsid w:val="05625459"/>
    <w:rsid w:val="05680508"/>
    <w:rsid w:val="057C2704"/>
    <w:rsid w:val="05804C08"/>
    <w:rsid w:val="059675F0"/>
    <w:rsid w:val="05A325FE"/>
    <w:rsid w:val="05A47428"/>
    <w:rsid w:val="05A65DBA"/>
    <w:rsid w:val="05AD7DDA"/>
    <w:rsid w:val="05B045A0"/>
    <w:rsid w:val="05BA296C"/>
    <w:rsid w:val="05BF6A53"/>
    <w:rsid w:val="05C775B1"/>
    <w:rsid w:val="05C84D52"/>
    <w:rsid w:val="05CA273A"/>
    <w:rsid w:val="05CF70AF"/>
    <w:rsid w:val="05D45367"/>
    <w:rsid w:val="05D80EA0"/>
    <w:rsid w:val="05D9217C"/>
    <w:rsid w:val="05D96074"/>
    <w:rsid w:val="05DA0665"/>
    <w:rsid w:val="05E30AB8"/>
    <w:rsid w:val="05EC7396"/>
    <w:rsid w:val="05EE64A2"/>
    <w:rsid w:val="05F03CC7"/>
    <w:rsid w:val="05F32CE5"/>
    <w:rsid w:val="05F7033F"/>
    <w:rsid w:val="05FD0DE9"/>
    <w:rsid w:val="060705CF"/>
    <w:rsid w:val="060768C9"/>
    <w:rsid w:val="06090CB8"/>
    <w:rsid w:val="060A2B37"/>
    <w:rsid w:val="06115140"/>
    <w:rsid w:val="0616782B"/>
    <w:rsid w:val="061843BC"/>
    <w:rsid w:val="061D1956"/>
    <w:rsid w:val="06212113"/>
    <w:rsid w:val="062137D7"/>
    <w:rsid w:val="06285347"/>
    <w:rsid w:val="062A7C18"/>
    <w:rsid w:val="06426774"/>
    <w:rsid w:val="064424ED"/>
    <w:rsid w:val="064918B1"/>
    <w:rsid w:val="064A1D24"/>
    <w:rsid w:val="064F49ED"/>
    <w:rsid w:val="0655616C"/>
    <w:rsid w:val="065804B9"/>
    <w:rsid w:val="065C0B2C"/>
    <w:rsid w:val="065C1AF9"/>
    <w:rsid w:val="0662756F"/>
    <w:rsid w:val="06627908"/>
    <w:rsid w:val="066D1071"/>
    <w:rsid w:val="06703E4F"/>
    <w:rsid w:val="06785B31"/>
    <w:rsid w:val="067D579A"/>
    <w:rsid w:val="067F4BD4"/>
    <w:rsid w:val="06B0421F"/>
    <w:rsid w:val="06B30A2E"/>
    <w:rsid w:val="06CC4877"/>
    <w:rsid w:val="06D66EBD"/>
    <w:rsid w:val="06DA5F06"/>
    <w:rsid w:val="06DE42BA"/>
    <w:rsid w:val="06E566EF"/>
    <w:rsid w:val="06FC4927"/>
    <w:rsid w:val="07025D41"/>
    <w:rsid w:val="07034DB8"/>
    <w:rsid w:val="070422F9"/>
    <w:rsid w:val="070659F4"/>
    <w:rsid w:val="0708351A"/>
    <w:rsid w:val="070C28DE"/>
    <w:rsid w:val="0712543F"/>
    <w:rsid w:val="07172CDD"/>
    <w:rsid w:val="07182CD3"/>
    <w:rsid w:val="07214C5F"/>
    <w:rsid w:val="07227961"/>
    <w:rsid w:val="07255FAA"/>
    <w:rsid w:val="0736724E"/>
    <w:rsid w:val="074D550D"/>
    <w:rsid w:val="075276EC"/>
    <w:rsid w:val="075716FB"/>
    <w:rsid w:val="07575698"/>
    <w:rsid w:val="075C537C"/>
    <w:rsid w:val="0768220B"/>
    <w:rsid w:val="0768431A"/>
    <w:rsid w:val="076E018C"/>
    <w:rsid w:val="0772396F"/>
    <w:rsid w:val="077D6BC9"/>
    <w:rsid w:val="07817149"/>
    <w:rsid w:val="07846919"/>
    <w:rsid w:val="07894D94"/>
    <w:rsid w:val="0789705E"/>
    <w:rsid w:val="078A25D6"/>
    <w:rsid w:val="0790456B"/>
    <w:rsid w:val="07917178"/>
    <w:rsid w:val="079E79DA"/>
    <w:rsid w:val="07A30AFF"/>
    <w:rsid w:val="07AD7C85"/>
    <w:rsid w:val="07AF362B"/>
    <w:rsid w:val="07B162E8"/>
    <w:rsid w:val="07B43019"/>
    <w:rsid w:val="07B957A1"/>
    <w:rsid w:val="07C673AE"/>
    <w:rsid w:val="07CD02C0"/>
    <w:rsid w:val="07DB4B2C"/>
    <w:rsid w:val="07E040A3"/>
    <w:rsid w:val="07E21551"/>
    <w:rsid w:val="07E37AE3"/>
    <w:rsid w:val="07E75521"/>
    <w:rsid w:val="07F037E6"/>
    <w:rsid w:val="07F25F78"/>
    <w:rsid w:val="07F4584C"/>
    <w:rsid w:val="07FF14CB"/>
    <w:rsid w:val="0802440D"/>
    <w:rsid w:val="08145CF0"/>
    <w:rsid w:val="082145A6"/>
    <w:rsid w:val="082B50C3"/>
    <w:rsid w:val="082D6FB0"/>
    <w:rsid w:val="08340615"/>
    <w:rsid w:val="083B202B"/>
    <w:rsid w:val="083D5445"/>
    <w:rsid w:val="084D4E16"/>
    <w:rsid w:val="085077C8"/>
    <w:rsid w:val="085207C5"/>
    <w:rsid w:val="08591C04"/>
    <w:rsid w:val="085E129C"/>
    <w:rsid w:val="08610AB6"/>
    <w:rsid w:val="086E289D"/>
    <w:rsid w:val="087B48ED"/>
    <w:rsid w:val="087B78F6"/>
    <w:rsid w:val="08807593"/>
    <w:rsid w:val="08864405"/>
    <w:rsid w:val="0889068B"/>
    <w:rsid w:val="08934E31"/>
    <w:rsid w:val="08935065"/>
    <w:rsid w:val="08A705B9"/>
    <w:rsid w:val="08B256D4"/>
    <w:rsid w:val="08B54DD1"/>
    <w:rsid w:val="08BD6586"/>
    <w:rsid w:val="08C55CCF"/>
    <w:rsid w:val="08C568EA"/>
    <w:rsid w:val="08EE76BA"/>
    <w:rsid w:val="08F06039"/>
    <w:rsid w:val="090428C5"/>
    <w:rsid w:val="090917CB"/>
    <w:rsid w:val="09097F4C"/>
    <w:rsid w:val="090B5C48"/>
    <w:rsid w:val="090D074B"/>
    <w:rsid w:val="090E096F"/>
    <w:rsid w:val="09194219"/>
    <w:rsid w:val="09197A80"/>
    <w:rsid w:val="091F0FEF"/>
    <w:rsid w:val="09261A80"/>
    <w:rsid w:val="09263B63"/>
    <w:rsid w:val="092A7769"/>
    <w:rsid w:val="092C687C"/>
    <w:rsid w:val="09386829"/>
    <w:rsid w:val="094B029E"/>
    <w:rsid w:val="09520029"/>
    <w:rsid w:val="09556D4B"/>
    <w:rsid w:val="09581E0B"/>
    <w:rsid w:val="095E209F"/>
    <w:rsid w:val="09602A44"/>
    <w:rsid w:val="096B47D0"/>
    <w:rsid w:val="096D428D"/>
    <w:rsid w:val="09706823"/>
    <w:rsid w:val="09776940"/>
    <w:rsid w:val="09832DC4"/>
    <w:rsid w:val="09885D9B"/>
    <w:rsid w:val="098C0E8E"/>
    <w:rsid w:val="098D6C08"/>
    <w:rsid w:val="098D7D07"/>
    <w:rsid w:val="09905A49"/>
    <w:rsid w:val="09907166"/>
    <w:rsid w:val="099D3B73"/>
    <w:rsid w:val="09A8062C"/>
    <w:rsid w:val="09AC7CAF"/>
    <w:rsid w:val="09B94653"/>
    <w:rsid w:val="09BA0456"/>
    <w:rsid w:val="09BD4F56"/>
    <w:rsid w:val="09CD18FD"/>
    <w:rsid w:val="09CF6571"/>
    <w:rsid w:val="09D019BF"/>
    <w:rsid w:val="09D203A9"/>
    <w:rsid w:val="09D21BBD"/>
    <w:rsid w:val="09D354EA"/>
    <w:rsid w:val="09DA239A"/>
    <w:rsid w:val="09DE6340"/>
    <w:rsid w:val="09EC6DDF"/>
    <w:rsid w:val="09F71F16"/>
    <w:rsid w:val="0A083B21"/>
    <w:rsid w:val="0A110938"/>
    <w:rsid w:val="0A187F18"/>
    <w:rsid w:val="0A2017EC"/>
    <w:rsid w:val="0A36039E"/>
    <w:rsid w:val="0A3C5294"/>
    <w:rsid w:val="0A3E5218"/>
    <w:rsid w:val="0A430B87"/>
    <w:rsid w:val="0A436DF2"/>
    <w:rsid w:val="0A5115FC"/>
    <w:rsid w:val="0A5627EE"/>
    <w:rsid w:val="0A5C1B18"/>
    <w:rsid w:val="0A5D02B0"/>
    <w:rsid w:val="0A5D0B1E"/>
    <w:rsid w:val="0A5E16A3"/>
    <w:rsid w:val="0A6A0AD4"/>
    <w:rsid w:val="0A6B3E5F"/>
    <w:rsid w:val="0A716D46"/>
    <w:rsid w:val="0A760AE0"/>
    <w:rsid w:val="0A814E68"/>
    <w:rsid w:val="0A842664"/>
    <w:rsid w:val="0A854E82"/>
    <w:rsid w:val="0A864721"/>
    <w:rsid w:val="0A894972"/>
    <w:rsid w:val="0A8D1A05"/>
    <w:rsid w:val="0AA31575"/>
    <w:rsid w:val="0AB60953"/>
    <w:rsid w:val="0ABC5CAE"/>
    <w:rsid w:val="0ABD4F60"/>
    <w:rsid w:val="0ABE14CD"/>
    <w:rsid w:val="0AC37E28"/>
    <w:rsid w:val="0AC557E6"/>
    <w:rsid w:val="0AC83782"/>
    <w:rsid w:val="0AD33E3F"/>
    <w:rsid w:val="0ADB78AB"/>
    <w:rsid w:val="0ADD526F"/>
    <w:rsid w:val="0AED734F"/>
    <w:rsid w:val="0AEE2A27"/>
    <w:rsid w:val="0AFB5144"/>
    <w:rsid w:val="0B066CDA"/>
    <w:rsid w:val="0B0964E0"/>
    <w:rsid w:val="0B181232"/>
    <w:rsid w:val="0B23184D"/>
    <w:rsid w:val="0B3348DE"/>
    <w:rsid w:val="0B395393"/>
    <w:rsid w:val="0B3B6E1E"/>
    <w:rsid w:val="0B46289C"/>
    <w:rsid w:val="0B4A2A91"/>
    <w:rsid w:val="0B4A371F"/>
    <w:rsid w:val="0B662626"/>
    <w:rsid w:val="0B670D6C"/>
    <w:rsid w:val="0B6938D8"/>
    <w:rsid w:val="0B693DD3"/>
    <w:rsid w:val="0B6E3B68"/>
    <w:rsid w:val="0B6E619D"/>
    <w:rsid w:val="0B7079A5"/>
    <w:rsid w:val="0B7C2B99"/>
    <w:rsid w:val="0B8434E4"/>
    <w:rsid w:val="0B844F1C"/>
    <w:rsid w:val="0B866BAE"/>
    <w:rsid w:val="0B870F04"/>
    <w:rsid w:val="0B887401"/>
    <w:rsid w:val="0B896BF3"/>
    <w:rsid w:val="0B8A4F6B"/>
    <w:rsid w:val="0B8B2DEC"/>
    <w:rsid w:val="0B907F82"/>
    <w:rsid w:val="0B9360AE"/>
    <w:rsid w:val="0B993DEF"/>
    <w:rsid w:val="0B9C6B10"/>
    <w:rsid w:val="0B9E5956"/>
    <w:rsid w:val="0BC220E8"/>
    <w:rsid w:val="0BC419DA"/>
    <w:rsid w:val="0BC62CE6"/>
    <w:rsid w:val="0BCA5242"/>
    <w:rsid w:val="0BD25EA5"/>
    <w:rsid w:val="0BD45F05"/>
    <w:rsid w:val="0BDC31C7"/>
    <w:rsid w:val="0BE678A2"/>
    <w:rsid w:val="0BE934F7"/>
    <w:rsid w:val="0BEF6A57"/>
    <w:rsid w:val="0BF978D5"/>
    <w:rsid w:val="0C0264D2"/>
    <w:rsid w:val="0C0E3B97"/>
    <w:rsid w:val="0C132F9D"/>
    <w:rsid w:val="0C1E1864"/>
    <w:rsid w:val="0C246BE2"/>
    <w:rsid w:val="0C270B75"/>
    <w:rsid w:val="0C2801BA"/>
    <w:rsid w:val="0C3721AC"/>
    <w:rsid w:val="0C3A2DCE"/>
    <w:rsid w:val="0C3F70ED"/>
    <w:rsid w:val="0C4B1293"/>
    <w:rsid w:val="0C5119BC"/>
    <w:rsid w:val="0C542D5E"/>
    <w:rsid w:val="0C581B21"/>
    <w:rsid w:val="0C5B1DB3"/>
    <w:rsid w:val="0C5C2A8D"/>
    <w:rsid w:val="0C605BA6"/>
    <w:rsid w:val="0C6218D8"/>
    <w:rsid w:val="0C6531BD"/>
    <w:rsid w:val="0C664D2E"/>
    <w:rsid w:val="0C6843F1"/>
    <w:rsid w:val="0C745EC4"/>
    <w:rsid w:val="0C752D52"/>
    <w:rsid w:val="0C8278CB"/>
    <w:rsid w:val="0C8453EC"/>
    <w:rsid w:val="0C8F31C7"/>
    <w:rsid w:val="0C93627E"/>
    <w:rsid w:val="0C965124"/>
    <w:rsid w:val="0C9E5704"/>
    <w:rsid w:val="0C9F5E43"/>
    <w:rsid w:val="0CA50CD8"/>
    <w:rsid w:val="0CB90C9B"/>
    <w:rsid w:val="0CCC5489"/>
    <w:rsid w:val="0CD77EC3"/>
    <w:rsid w:val="0CD97582"/>
    <w:rsid w:val="0CDF6CDA"/>
    <w:rsid w:val="0CE12155"/>
    <w:rsid w:val="0CFF0F1B"/>
    <w:rsid w:val="0D001955"/>
    <w:rsid w:val="0D00272D"/>
    <w:rsid w:val="0D112137"/>
    <w:rsid w:val="0D156991"/>
    <w:rsid w:val="0D1D3A97"/>
    <w:rsid w:val="0D262FCF"/>
    <w:rsid w:val="0D2966C9"/>
    <w:rsid w:val="0D325089"/>
    <w:rsid w:val="0D364E9E"/>
    <w:rsid w:val="0D366907"/>
    <w:rsid w:val="0D3764AF"/>
    <w:rsid w:val="0D3801A5"/>
    <w:rsid w:val="0D38442D"/>
    <w:rsid w:val="0D3864C3"/>
    <w:rsid w:val="0D462A1D"/>
    <w:rsid w:val="0D5A38EB"/>
    <w:rsid w:val="0D5F5E5E"/>
    <w:rsid w:val="0D6C4F7F"/>
    <w:rsid w:val="0D6C5DEA"/>
    <w:rsid w:val="0D81397E"/>
    <w:rsid w:val="0D820818"/>
    <w:rsid w:val="0D8B7D59"/>
    <w:rsid w:val="0D8E6B48"/>
    <w:rsid w:val="0D9A71A1"/>
    <w:rsid w:val="0D9D6491"/>
    <w:rsid w:val="0DA64CC1"/>
    <w:rsid w:val="0DAA4966"/>
    <w:rsid w:val="0DB016F1"/>
    <w:rsid w:val="0DB93132"/>
    <w:rsid w:val="0DBC1618"/>
    <w:rsid w:val="0DC74DDB"/>
    <w:rsid w:val="0DC851A8"/>
    <w:rsid w:val="0DC91529"/>
    <w:rsid w:val="0DCF7841"/>
    <w:rsid w:val="0DD94048"/>
    <w:rsid w:val="0DDF22EF"/>
    <w:rsid w:val="0DF014B3"/>
    <w:rsid w:val="0DF64D82"/>
    <w:rsid w:val="0DFF47E7"/>
    <w:rsid w:val="0E092D6D"/>
    <w:rsid w:val="0E1158B0"/>
    <w:rsid w:val="0E1B282E"/>
    <w:rsid w:val="0E1C78AB"/>
    <w:rsid w:val="0E250E55"/>
    <w:rsid w:val="0E2805A4"/>
    <w:rsid w:val="0E2E56EE"/>
    <w:rsid w:val="0E34037A"/>
    <w:rsid w:val="0E3511C4"/>
    <w:rsid w:val="0E40791B"/>
    <w:rsid w:val="0E413518"/>
    <w:rsid w:val="0E41365F"/>
    <w:rsid w:val="0E45630C"/>
    <w:rsid w:val="0E4C7EBD"/>
    <w:rsid w:val="0E5466D2"/>
    <w:rsid w:val="0E58026E"/>
    <w:rsid w:val="0E5A680A"/>
    <w:rsid w:val="0E5B4877"/>
    <w:rsid w:val="0E675C09"/>
    <w:rsid w:val="0E703619"/>
    <w:rsid w:val="0E7C3424"/>
    <w:rsid w:val="0E7F4AFC"/>
    <w:rsid w:val="0E810ADB"/>
    <w:rsid w:val="0E813BB2"/>
    <w:rsid w:val="0E825EBC"/>
    <w:rsid w:val="0E8B42A1"/>
    <w:rsid w:val="0E8E339D"/>
    <w:rsid w:val="0E931D64"/>
    <w:rsid w:val="0E9E6512"/>
    <w:rsid w:val="0EA3634A"/>
    <w:rsid w:val="0EAB41B8"/>
    <w:rsid w:val="0EB05260"/>
    <w:rsid w:val="0EC34AD4"/>
    <w:rsid w:val="0EC67D0D"/>
    <w:rsid w:val="0EC74FCE"/>
    <w:rsid w:val="0ECC3E0E"/>
    <w:rsid w:val="0ED62150"/>
    <w:rsid w:val="0ED703BB"/>
    <w:rsid w:val="0ED70625"/>
    <w:rsid w:val="0EDB59B8"/>
    <w:rsid w:val="0EDC1D76"/>
    <w:rsid w:val="0EE77D0B"/>
    <w:rsid w:val="0EEC1973"/>
    <w:rsid w:val="0EF418D3"/>
    <w:rsid w:val="0F0526A1"/>
    <w:rsid w:val="0F0D2152"/>
    <w:rsid w:val="0F0D57EA"/>
    <w:rsid w:val="0F131BCA"/>
    <w:rsid w:val="0F204D0E"/>
    <w:rsid w:val="0F225395"/>
    <w:rsid w:val="0F2346E9"/>
    <w:rsid w:val="0F2E76D7"/>
    <w:rsid w:val="0F384A0F"/>
    <w:rsid w:val="0F3D1693"/>
    <w:rsid w:val="0F4B3C50"/>
    <w:rsid w:val="0F4E0DB7"/>
    <w:rsid w:val="0F517A28"/>
    <w:rsid w:val="0F5D3B68"/>
    <w:rsid w:val="0F6A0C64"/>
    <w:rsid w:val="0F706785"/>
    <w:rsid w:val="0F707132"/>
    <w:rsid w:val="0F73624F"/>
    <w:rsid w:val="0F7549E0"/>
    <w:rsid w:val="0F7668F1"/>
    <w:rsid w:val="0F7C513F"/>
    <w:rsid w:val="0F8F4343"/>
    <w:rsid w:val="0F985657"/>
    <w:rsid w:val="0F9933C0"/>
    <w:rsid w:val="0F9C26DE"/>
    <w:rsid w:val="0FA551A3"/>
    <w:rsid w:val="0FB24BD6"/>
    <w:rsid w:val="0FB41705"/>
    <w:rsid w:val="0FD7356A"/>
    <w:rsid w:val="0FFF5550"/>
    <w:rsid w:val="100052E2"/>
    <w:rsid w:val="10042CED"/>
    <w:rsid w:val="1008458B"/>
    <w:rsid w:val="10156CA8"/>
    <w:rsid w:val="101C4931"/>
    <w:rsid w:val="102E38C6"/>
    <w:rsid w:val="102F1E22"/>
    <w:rsid w:val="103425BC"/>
    <w:rsid w:val="10357AE2"/>
    <w:rsid w:val="104E7701"/>
    <w:rsid w:val="105004CC"/>
    <w:rsid w:val="10553794"/>
    <w:rsid w:val="10556729"/>
    <w:rsid w:val="10594DE6"/>
    <w:rsid w:val="106775C3"/>
    <w:rsid w:val="10685F1C"/>
    <w:rsid w:val="106C7D14"/>
    <w:rsid w:val="107041D2"/>
    <w:rsid w:val="107439CE"/>
    <w:rsid w:val="10747DE7"/>
    <w:rsid w:val="10754880"/>
    <w:rsid w:val="107E363C"/>
    <w:rsid w:val="107E71A5"/>
    <w:rsid w:val="107F050E"/>
    <w:rsid w:val="107F4121"/>
    <w:rsid w:val="108215E4"/>
    <w:rsid w:val="108A31F2"/>
    <w:rsid w:val="108F0808"/>
    <w:rsid w:val="108F25B6"/>
    <w:rsid w:val="10A0566F"/>
    <w:rsid w:val="10A1752C"/>
    <w:rsid w:val="10A432A1"/>
    <w:rsid w:val="10A47FF6"/>
    <w:rsid w:val="10B522D6"/>
    <w:rsid w:val="10BE0233"/>
    <w:rsid w:val="10C95609"/>
    <w:rsid w:val="10CA7D05"/>
    <w:rsid w:val="10CC380A"/>
    <w:rsid w:val="10DE67A6"/>
    <w:rsid w:val="10E1194D"/>
    <w:rsid w:val="10E20F9C"/>
    <w:rsid w:val="10E26C94"/>
    <w:rsid w:val="111357B8"/>
    <w:rsid w:val="11153D27"/>
    <w:rsid w:val="11180B64"/>
    <w:rsid w:val="111B102B"/>
    <w:rsid w:val="111D5E14"/>
    <w:rsid w:val="11213EA8"/>
    <w:rsid w:val="11252F1A"/>
    <w:rsid w:val="1125513A"/>
    <w:rsid w:val="112B1D18"/>
    <w:rsid w:val="112E1562"/>
    <w:rsid w:val="11461E95"/>
    <w:rsid w:val="11472E91"/>
    <w:rsid w:val="11491D43"/>
    <w:rsid w:val="114F2A69"/>
    <w:rsid w:val="115D2BD8"/>
    <w:rsid w:val="11655DD8"/>
    <w:rsid w:val="11674618"/>
    <w:rsid w:val="1170063A"/>
    <w:rsid w:val="11713843"/>
    <w:rsid w:val="11732DA9"/>
    <w:rsid w:val="11877731"/>
    <w:rsid w:val="118C11EC"/>
    <w:rsid w:val="118F1F5E"/>
    <w:rsid w:val="11911961"/>
    <w:rsid w:val="11936410"/>
    <w:rsid w:val="11961E4F"/>
    <w:rsid w:val="11A343E8"/>
    <w:rsid w:val="11A67F38"/>
    <w:rsid w:val="11A95DA5"/>
    <w:rsid w:val="11AC1F25"/>
    <w:rsid w:val="11C26472"/>
    <w:rsid w:val="11CA61AF"/>
    <w:rsid w:val="11D64A53"/>
    <w:rsid w:val="11DA4316"/>
    <w:rsid w:val="11DC564E"/>
    <w:rsid w:val="11DC67DA"/>
    <w:rsid w:val="11DE7700"/>
    <w:rsid w:val="11E07A17"/>
    <w:rsid w:val="11E07AD1"/>
    <w:rsid w:val="11E33C5A"/>
    <w:rsid w:val="11E959DE"/>
    <w:rsid w:val="11EE7D79"/>
    <w:rsid w:val="11F56BBF"/>
    <w:rsid w:val="11F71F3A"/>
    <w:rsid w:val="11F95EA1"/>
    <w:rsid w:val="11FD2905"/>
    <w:rsid w:val="11FF447B"/>
    <w:rsid w:val="11FF693F"/>
    <w:rsid w:val="12025ACB"/>
    <w:rsid w:val="120402E8"/>
    <w:rsid w:val="12081C36"/>
    <w:rsid w:val="121214F5"/>
    <w:rsid w:val="12135B71"/>
    <w:rsid w:val="12314815"/>
    <w:rsid w:val="12342CE0"/>
    <w:rsid w:val="12393718"/>
    <w:rsid w:val="123F2296"/>
    <w:rsid w:val="123F4AC3"/>
    <w:rsid w:val="123F5526"/>
    <w:rsid w:val="12422372"/>
    <w:rsid w:val="124B7BFB"/>
    <w:rsid w:val="125C1712"/>
    <w:rsid w:val="125D07AF"/>
    <w:rsid w:val="125F1A6D"/>
    <w:rsid w:val="126C2C21"/>
    <w:rsid w:val="127A7E13"/>
    <w:rsid w:val="12822609"/>
    <w:rsid w:val="128243B5"/>
    <w:rsid w:val="128E1156"/>
    <w:rsid w:val="1291462E"/>
    <w:rsid w:val="129359A8"/>
    <w:rsid w:val="12957CDF"/>
    <w:rsid w:val="129B61A1"/>
    <w:rsid w:val="12A07F3B"/>
    <w:rsid w:val="12A97FAE"/>
    <w:rsid w:val="12AC366C"/>
    <w:rsid w:val="12AC3A2A"/>
    <w:rsid w:val="12C05562"/>
    <w:rsid w:val="12C765B7"/>
    <w:rsid w:val="12D15108"/>
    <w:rsid w:val="12DC7F65"/>
    <w:rsid w:val="12EB25D5"/>
    <w:rsid w:val="12F824DC"/>
    <w:rsid w:val="13070E17"/>
    <w:rsid w:val="130B5C4B"/>
    <w:rsid w:val="1311110F"/>
    <w:rsid w:val="13125D93"/>
    <w:rsid w:val="132C65D6"/>
    <w:rsid w:val="13321FC3"/>
    <w:rsid w:val="134565F8"/>
    <w:rsid w:val="13465239"/>
    <w:rsid w:val="1349132A"/>
    <w:rsid w:val="134C3DB0"/>
    <w:rsid w:val="135027CF"/>
    <w:rsid w:val="1356385F"/>
    <w:rsid w:val="135E1611"/>
    <w:rsid w:val="13624EB5"/>
    <w:rsid w:val="13664672"/>
    <w:rsid w:val="136F3FAF"/>
    <w:rsid w:val="136F66CF"/>
    <w:rsid w:val="137A6F60"/>
    <w:rsid w:val="138225B4"/>
    <w:rsid w:val="13845AD9"/>
    <w:rsid w:val="13856191"/>
    <w:rsid w:val="139525D9"/>
    <w:rsid w:val="139E0B5F"/>
    <w:rsid w:val="139E5014"/>
    <w:rsid w:val="139F6FB4"/>
    <w:rsid w:val="13AF06F9"/>
    <w:rsid w:val="13AF628E"/>
    <w:rsid w:val="13BB7412"/>
    <w:rsid w:val="13C457DA"/>
    <w:rsid w:val="13C46A1B"/>
    <w:rsid w:val="13C74BBE"/>
    <w:rsid w:val="13CE33F5"/>
    <w:rsid w:val="13D636D5"/>
    <w:rsid w:val="13E56553"/>
    <w:rsid w:val="13FF3EF7"/>
    <w:rsid w:val="1402620C"/>
    <w:rsid w:val="141166AC"/>
    <w:rsid w:val="141554C8"/>
    <w:rsid w:val="142E2F90"/>
    <w:rsid w:val="142E39D1"/>
    <w:rsid w:val="142E3F9E"/>
    <w:rsid w:val="142F07C2"/>
    <w:rsid w:val="14374F0E"/>
    <w:rsid w:val="143A66F8"/>
    <w:rsid w:val="144071A7"/>
    <w:rsid w:val="144C43FF"/>
    <w:rsid w:val="144C7508"/>
    <w:rsid w:val="144E09DA"/>
    <w:rsid w:val="14502F7B"/>
    <w:rsid w:val="14527E78"/>
    <w:rsid w:val="145B4D9F"/>
    <w:rsid w:val="14616885"/>
    <w:rsid w:val="14661880"/>
    <w:rsid w:val="146B3295"/>
    <w:rsid w:val="147436F3"/>
    <w:rsid w:val="14746E1E"/>
    <w:rsid w:val="14785CDF"/>
    <w:rsid w:val="147A00B5"/>
    <w:rsid w:val="14807AA8"/>
    <w:rsid w:val="14861DE8"/>
    <w:rsid w:val="14886451"/>
    <w:rsid w:val="148E0DD7"/>
    <w:rsid w:val="1497412F"/>
    <w:rsid w:val="14975EDD"/>
    <w:rsid w:val="149C022D"/>
    <w:rsid w:val="14A34882"/>
    <w:rsid w:val="14B10388"/>
    <w:rsid w:val="14B2786C"/>
    <w:rsid w:val="14BE790E"/>
    <w:rsid w:val="14C15002"/>
    <w:rsid w:val="14C44852"/>
    <w:rsid w:val="14CB202B"/>
    <w:rsid w:val="14CB5B87"/>
    <w:rsid w:val="14D24335"/>
    <w:rsid w:val="14D46493"/>
    <w:rsid w:val="14D53DA4"/>
    <w:rsid w:val="14DB6EFE"/>
    <w:rsid w:val="14E1611D"/>
    <w:rsid w:val="14E435F3"/>
    <w:rsid w:val="14ED1FA1"/>
    <w:rsid w:val="14F42874"/>
    <w:rsid w:val="14FA3973"/>
    <w:rsid w:val="14FB46BE"/>
    <w:rsid w:val="15015F45"/>
    <w:rsid w:val="1527196A"/>
    <w:rsid w:val="15447F18"/>
    <w:rsid w:val="154A67F8"/>
    <w:rsid w:val="154D0C92"/>
    <w:rsid w:val="154E1149"/>
    <w:rsid w:val="154F7F7D"/>
    <w:rsid w:val="156A31BD"/>
    <w:rsid w:val="156B6B5D"/>
    <w:rsid w:val="156D00C7"/>
    <w:rsid w:val="15785B27"/>
    <w:rsid w:val="15797155"/>
    <w:rsid w:val="1582093B"/>
    <w:rsid w:val="158212AB"/>
    <w:rsid w:val="158860F2"/>
    <w:rsid w:val="15A43DFF"/>
    <w:rsid w:val="15A574F0"/>
    <w:rsid w:val="15AC7766"/>
    <w:rsid w:val="15C34037"/>
    <w:rsid w:val="15C86CDD"/>
    <w:rsid w:val="15CC565E"/>
    <w:rsid w:val="15D1541F"/>
    <w:rsid w:val="15D368C5"/>
    <w:rsid w:val="15D908D7"/>
    <w:rsid w:val="15DB3DE7"/>
    <w:rsid w:val="15E213AD"/>
    <w:rsid w:val="15E2762C"/>
    <w:rsid w:val="15E4717D"/>
    <w:rsid w:val="15FF1393"/>
    <w:rsid w:val="16005770"/>
    <w:rsid w:val="1601220B"/>
    <w:rsid w:val="16066BA1"/>
    <w:rsid w:val="16293958"/>
    <w:rsid w:val="162D1005"/>
    <w:rsid w:val="163177EA"/>
    <w:rsid w:val="16355546"/>
    <w:rsid w:val="16372E33"/>
    <w:rsid w:val="163F53EA"/>
    <w:rsid w:val="164801B6"/>
    <w:rsid w:val="164C64AC"/>
    <w:rsid w:val="164F06B9"/>
    <w:rsid w:val="16565363"/>
    <w:rsid w:val="16592D27"/>
    <w:rsid w:val="165F3F48"/>
    <w:rsid w:val="16691AFB"/>
    <w:rsid w:val="16773012"/>
    <w:rsid w:val="167744DB"/>
    <w:rsid w:val="167854D6"/>
    <w:rsid w:val="167B2791"/>
    <w:rsid w:val="167B2AE6"/>
    <w:rsid w:val="167E55A7"/>
    <w:rsid w:val="168429E2"/>
    <w:rsid w:val="168C7325"/>
    <w:rsid w:val="16976668"/>
    <w:rsid w:val="169A1CB5"/>
    <w:rsid w:val="16A146AD"/>
    <w:rsid w:val="16A50699"/>
    <w:rsid w:val="16AC125D"/>
    <w:rsid w:val="16AC17A5"/>
    <w:rsid w:val="16AD3796"/>
    <w:rsid w:val="16AF39B2"/>
    <w:rsid w:val="16BC13BA"/>
    <w:rsid w:val="16C37FF1"/>
    <w:rsid w:val="16C64858"/>
    <w:rsid w:val="16CB0FEC"/>
    <w:rsid w:val="16CB5E37"/>
    <w:rsid w:val="16D255B1"/>
    <w:rsid w:val="16D87A7D"/>
    <w:rsid w:val="16DA6555"/>
    <w:rsid w:val="16DB1FA8"/>
    <w:rsid w:val="16E506E7"/>
    <w:rsid w:val="16EB1079"/>
    <w:rsid w:val="16F21696"/>
    <w:rsid w:val="16F37614"/>
    <w:rsid w:val="16F85BA7"/>
    <w:rsid w:val="16F94479"/>
    <w:rsid w:val="16FA41E7"/>
    <w:rsid w:val="1706617A"/>
    <w:rsid w:val="17171557"/>
    <w:rsid w:val="17183F73"/>
    <w:rsid w:val="172065E2"/>
    <w:rsid w:val="17286CD0"/>
    <w:rsid w:val="172D5B1E"/>
    <w:rsid w:val="173D7210"/>
    <w:rsid w:val="17504430"/>
    <w:rsid w:val="175E13F5"/>
    <w:rsid w:val="17684236"/>
    <w:rsid w:val="176A5B2B"/>
    <w:rsid w:val="17742AC2"/>
    <w:rsid w:val="177607DB"/>
    <w:rsid w:val="17763CD6"/>
    <w:rsid w:val="17781E1A"/>
    <w:rsid w:val="177E3384"/>
    <w:rsid w:val="17872239"/>
    <w:rsid w:val="178F312D"/>
    <w:rsid w:val="179356B0"/>
    <w:rsid w:val="17936223"/>
    <w:rsid w:val="179A5BB4"/>
    <w:rsid w:val="17AC4F25"/>
    <w:rsid w:val="17AE3C6A"/>
    <w:rsid w:val="17AF31F1"/>
    <w:rsid w:val="17BD60B4"/>
    <w:rsid w:val="17BF2904"/>
    <w:rsid w:val="17CE60BA"/>
    <w:rsid w:val="17CF5C8A"/>
    <w:rsid w:val="17D26918"/>
    <w:rsid w:val="17D47448"/>
    <w:rsid w:val="17DC10C0"/>
    <w:rsid w:val="17E07B9B"/>
    <w:rsid w:val="17E458DD"/>
    <w:rsid w:val="17E72553"/>
    <w:rsid w:val="17EF65A2"/>
    <w:rsid w:val="17EF6AF8"/>
    <w:rsid w:val="17F01870"/>
    <w:rsid w:val="17F400AB"/>
    <w:rsid w:val="17F727BA"/>
    <w:rsid w:val="17F90136"/>
    <w:rsid w:val="18021F28"/>
    <w:rsid w:val="18181317"/>
    <w:rsid w:val="181A30AD"/>
    <w:rsid w:val="181D0DEF"/>
    <w:rsid w:val="182007C4"/>
    <w:rsid w:val="1821268E"/>
    <w:rsid w:val="182E57F9"/>
    <w:rsid w:val="183F48C2"/>
    <w:rsid w:val="1849373C"/>
    <w:rsid w:val="184F5FF1"/>
    <w:rsid w:val="18504D21"/>
    <w:rsid w:val="185B1070"/>
    <w:rsid w:val="185C4569"/>
    <w:rsid w:val="18611A70"/>
    <w:rsid w:val="1873157B"/>
    <w:rsid w:val="1881312C"/>
    <w:rsid w:val="188500CF"/>
    <w:rsid w:val="18864252"/>
    <w:rsid w:val="18876269"/>
    <w:rsid w:val="188E5EF4"/>
    <w:rsid w:val="189127B9"/>
    <w:rsid w:val="18954E2A"/>
    <w:rsid w:val="189F0166"/>
    <w:rsid w:val="18B96331"/>
    <w:rsid w:val="18BB169F"/>
    <w:rsid w:val="18DA3276"/>
    <w:rsid w:val="18DF7E53"/>
    <w:rsid w:val="18EB4B33"/>
    <w:rsid w:val="18EC2BE9"/>
    <w:rsid w:val="19031D93"/>
    <w:rsid w:val="190A1374"/>
    <w:rsid w:val="191330C1"/>
    <w:rsid w:val="191C3833"/>
    <w:rsid w:val="191E4E1F"/>
    <w:rsid w:val="192246AE"/>
    <w:rsid w:val="192E3A2B"/>
    <w:rsid w:val="1938399D"/>
    <w:rsid w:val="193905EE"/>
    <w:rsid w:val="193D4FFE"/>
    <w:rsid w:val="193E32A0"/>
    <w:rsid w:val="194B54E8"/>
    <w:rsid w:val="194B7593"/>
    <w:rsid w:val="194D26EB"/>
    <w:rsid w:val="19520B0F"/>
    <w:rsid w:val="19640F3E"/>
    <w:rsid w:val="19716DB9"/>
    <w:rsid w:val="1972466E"/>
    <w:rsid w:val="19780BA4"/>
    <w:rsid w:val="19782558"/>
    <w:rsid w:val="197A0BE2"/>
    <w:rsid w:val="197B3226"/>
    <w:rsid w:val="198644FE"/>
    <w:rsid w:val="199649B5"/>
    <w:rsid w:val="199926F8"/>
    <w:rsid w:val="199B18DE"/>
    <w:rsid w:val="19A75D9E"/>
    <w:rsid w:val="19A76508"/>
    <w:rsid w:val="19AF1F1B"/>
    <w:rsid w:val="19B97302"/>
    <w:rsid w:val="19BE215E"/>
    <w:rsid w:val="19D55C10"/>
    <w:rsid w:val="19D66818"/>
    <w:rsid w:val="19DB4ABE"/>
    <w:rsid w:val="19DF45AE"/>
    <w:rsid w:val="19F7733F"/>
    <w:rsid w:val="19F90A68"/>
    <w:rsid w:val="1A03468E"/>
    <w:rsid w:val="1A0772DC"/>
    <w:rsid w:val="1A0860A5"/>
    <w:rsid w:val="1A0A0AF5"/>
    <w:rsid w:val="1A3B1612"/>
    <w:rsid w:val="1A481379"/>
    <w:rsid w:val="1A587EBD"/>
    <w:rsid w:val="1A5959E3"/>
    <w:rsid w:val="1A6256EF"/>
    <w:rsid w:val="1A687E74"/>
    <w:rsid w:val="1A694BBF"/>
    <w:rsid w:val="1A774239"/>
    <w:rsid w:val="1A7E20B1"/>
    <w:rsid w:val="1A827396"/>
    <w:rsid w:val="1A907657"/>
    <w:rsid w:val="1A99258F"/>
    <w:rsid w:val="1AA82AB2"/>
    <w:rsid w:val="1AAA41EF"/>
    <w:rsid w:val="1AAC18FD"/>
    <w:rsid w:val="1AB02A52"/>
    <w:rsid w:val="1AB66E72"/>
    <w:rsid w:val="1ACE4315"/>
    <w:rsid w:val="1AD34C3A"/>
    <w:rsid w:val="1AD66B48"/>
    <w:rsid w:val="1AD73359"/>
    <w:rsid w:val="1ADC448D"/>
    <w:rsid w:val="1ADE00A1"/>
    <w:rsid w:val="1AE21C57"/>
    <w:rsid w:val="1AEE758E"/>
    <w:rsid w:val="1AF95743"/>
    <w:rsid w:val="1AF95A04"/>
    <w:rsid w:val="1AFB3AC2"/>
    <w:rsid w:val="1B0D6EF9"/>
    <w:rsid w:val="1B1D5E2D"/>
    <w:rsid w:val="1B22490C"/>
    <w:rsid w:val="1B251DEC"/>
    <w:rsid w:val="1B340895"/>
    <w:rsid w:val="1B373AA9"/>
    <w:rsid w:val="1B3B21F0"/>
    <w:rsid w:val="1B416BA3"/>
    <w:rsid w:val="1B4214D0"/>
    <w:rsid w:val="1B441D2C"/>
    <w:rsid w:val="1B4D3E10"/>
    <w:rsid w:val="1B523AD5"/>
    <w:rsid w:val="1B577516"/>
    <w:rsid w:val="1B58422C"/>
    <w:rsid w:val="1B610277"/>
    <w:rsid w:val="1B637ABE"/>
    <w:rsid w:val="1B7075AD"/>
    <w:rsid w:val="1B724AD5"/>
    <w:rsid w:val="1B7C2A53"/>
    <w:rsid w:val="1B8A3B3B"/>
    <w:rsid w:val="1B900157"/>
    <w:rsid w:val="1B9206DD"/>
    <w:rsid w:val="1B9C5D53"/>
    <w:rsid w:val="1B9F3C6F"/>
    <w:rsid w:val="1BD30CD9"/>
    <w:rsid w:val="1BD94DAD"/>
    <w:rsid w:val="1BDA1D9C"/>
    <w:rsid w:val="1BDD69B7"/>
    <w:rsid w:val="1BDE0896"/>
    <w:rsid w:val="1BE0210A"/>
    <w:rsid w:val="1BE61C24"/>
    <w:rsid w:val="1BE62052"/>
    <w:rsid w:val="1BE96E4A"/>
    <w:rsid w:val="1BF53514"/>
    <w:rsid w:val="1BF859F3"/>
    <w:rsid w:val="1BFD4988"/>
    <w:rsid w:val="1C00147D"/>
    <w:rsid w:val="1C07072D"/>
    <w:rsid w:val="1C09010C"/>
    <w:rsid w:val="1C092B88"/>
    <w:rsid w:val="1C104BD3"/>
    <w:rsid w:val="1C134ABF"/>
    <w:rsid w:val="1C1918CE"/>
    <w:rsid w:val="1C2C7655"/>
    <w:rsid w:val="1C2C7E75"/>
    <w:rsid w:val="1C2E7296"/>
    <w:rsid w:val="1C2F20FA"/>
    <w:rsid w:val="1C35689F"/>
    <w:rsid w:val="1C362480"/>
    <w:rsid w:val="1C3657DF"/>
    <w:rsid w:val="1C3C4525"/>
    <w:rsid w:val="1C442812"/>
    <w:rsid w:val="1C4A7CD9"/>
    <w:rsid w:val="1C4C7258"/>
    <w:rsid w:val="1C55350F"/>
    <w:rsid w:val="1C640D9B"/>
    <w:rsid w:val="1C6F14EE"/>
    <w:rsid w:val="1C71170A"/>
    <w:rsid w:val="1C712E51"/>
    <w:rsid w:val="1C75322F"/>
    <w:rsid w:val="1C7D15FF"/>
    <w:rsid w:val="1C895723"/>
    <w:rsid w:val="1C8C02F2"/>
    <w:rsid w:val="1CA04129"/>
    <w:rsid w:val="1CA44A0F"/>
    <w:rsid w:val="1CAD04AD"/>
    <w:rsid w:val="1CBD003C"/>
    <w:rsid w:val="1CC94B65"/>
    <w:rsid w:val="1CCC64DC"/>
    <w:rsid w:val="1CD946A4"/>
    <w:rsid w:val="1CE1063D"/>
    <w:rsid w:val="1CE36D08"/>
    <w:rsid w:val="1CE92F3A"/>
    <w:rsid w:val="1CEE188B"/>
    <w:rsid w:val="1CF074F6"/>
    <w:rsid w:val="1D046798"/>
    <w:rsid w:val="1D157415"/>
    <w:rsid w:val="1D1C4FB0"/>
    <w:rsid w:val="1D1E1215"/>
    <w:rsid w:val="1D231209"/>
    <w:rsid w:val="1D2364C5"/>
    <w:rsid w:val="1D294779"/>
    <w:rsid w:val="1D2B1091"/>
    <w:rsid w:val="1D2C7FD0"/>
    <w:rsid w:val="1D375C60"/>
    <w:rsid w:val="1D3E1E62"/>
    <w:rsid w:val="1D3F3E2E"/>
    <w:rsid w:val="1D41732E"/>
    <w:rsid w:val="1D4330D8"/>
    <w:rsid w:val="1D552DD9"/>
    <w:rsid w:val="1D5726AE"/>
    <w:rsid w:val="1D580A59"/>
    <w:rsid w:val="1D5D0A93"/>
    <w:rsid w:val="1D61352C"/>
    <w:rsid w:val="1D646E06"/>
    <w:rsid w:val="1D6670E7"/>
    <w:rsid w:val="1D694A21"/>
    <w:rsid w:val="1D834723"/>
    <w:rsid w:val="1D8F6DC8"/>
    <w:rsid w:val="1D9A07EC"/>
    <w:rsid w:val="1D9E652E"/>
    <w:rsid w:val="1DA4662D"/>
    <w:rsid w:val="1DB47158"/>
    <w:rsid w:val="1DB812C3"/>
    <w:rsid w:val="1DBF43E0"/>
    <w:rsid w:val="1DC27D3A"/>
    <w:rsid w:val="1DC964EA"/>
    <w:rsid w:val="1DD079B5"/>
    <w:rsid w:val="1DD75AD9"/>
    <w:rsid w:val="1DDC4133"/>
    <w:rsid w:val="1DE008F5"/>
    <w:rsid w:val="1DE63A32"/>
    <w:rsid w:val="1DE717A1"/>
    <w:rsid w:val="1DF45E7D"/>
    <w:rsid w:val="1DF4775D"/>
    <w:rsid w:val="1DF940FF"/>
    <w:rsid w:val="1DFA37DD"/>
    <w:rsid w:val="1DFA7EFC"/>
    <w:rsid w:val="1E01086B"/>
    <w:rsid w:val="1E0569BD"/>
    <w:rsid w:val="1E081BFA"/>
    <w:rsid w:val="1E1A5D2C"/>
    <w:rsid w:val="1E1C2580"/>
    <w:rsid w:val="1E264E04"/>
    <w:rsid w:val="1E266F87"/>
    <w:rsid w:val="1E27126F"/>
    <w:rsid w:val="1E2970D2"/>
    <w:rsid w:val="1E2F2CF8"/>
    <w:rsid w:val="1E37428D"/>
    <w:rsid w:val="1E442D8D"/>
    <w:rsid w:val="1E4B615A"/>
    <w:rsid w:val="1E5666BC"/>
    <w:rsid w:val="1E5766CC"/>
    <w:rsid w:val="1E594890"/>
    <w:rsid w:val="1E5D2FB7"/>
    <w:rsid w:val="1E62008C"/>
    <w:rsid w:val="1E62130A"/>
    <w:rsid w:val="1E644DA7"/>
    <w:rsid w:val="1E6B4679"/>
    <w:rsid w:val="1E782E38"/>
    <w:rsid w:val="1E7F1157"/>
    <w:rsid w:val="1E8146E2"/>
    <w:rsid w:val="1E844107"/>
    <w:rsid w:val="1E84571A"/>
    <w:rsid w:val="1E8F7A93"/>
    <w:rsid w:val="1E9E5FCD"/>
    <w:rsid w:val="1EBF4146"/>
    <w:rsid w:val="1EC072F6"/>
    <w:rsid w:val="1ED268CE"/>
    <w:rsid w:val="1ED939E3"/>
    <w:rsid w:val="1EDC730E"/>
    <w:rsid w:val="1EE61E60"/>
    <w:rsid w:val="1EE77A61"/>
    <w:rsid w:val="1EEB1ECB"/>
    <w:rsid w:val="1EED239C"/>
    <w:rsid w:val="1EED7211"/>
    <w:rsid w:val="1EF370AC"/>
    <w:rsid w:val="1EF72F1C"/>
    <w:rsid w:val="1EFE30F7"/>
    <w:rsid w:val="1F086E69"/>
    <w:rsid w:val="1F0A1274"/>
    <w:rsid w:val="1F1360D2"/>
    <w:rsid w:val="1F17052E"/>
    <w:rsid w:val="1F171126"/>
    <w:rsid w:val="1F1712DB"/>
    <w:rsid w:val="1F2277AF"/>
    <w:rsid w:val="1F2A2996"/>
    <w:rsid w:val="1F330BC9"/>
    <w:rsid w:val="1F394DBF"/>
    <w:rsid w:val="1F3B6C01"/>
    <w:rsid w:val="1F3B76DF"/>
    <w:rsid w:val="1F430E82"/>
    <w:rsid w:val="1F4E5E2B"/>
    <w:rsid w:val="1F543CF9"/>
    <w:rsid w:val="1F677B94"/>
    <w:rsid w:val="1F731900"/>
    <w:rsid w:val="1F745799"/>
    <w:rsid w:val="1F74614B"/>
    <w:rsid w:val="1F7E1D93"/>
    <w:rsid w:val="1F86727A"/>
    <w:rsid w:val="1F8E2C96"/>
    <w:rsid w:val="1F9402CE"/>
    <w:rsid w:val="1F9A4AD4"/>
    <w:rsid w:val="1FA010DE"/>
    <w:rsid w:val="1FB055C4"/>
    <w:rsid w:val="1FB57B5F"/>
    <w:rsid w:val="1FBA3C0F"/>
    <w:rsid w:val="1FBC6E09"/>
    <w:rsid w:val="1FC44298"/>
    <w:rsid w:val="1FC9195F"/>
    <w:rsid w:val="1FCA360B"/>
    <w:rsid w:val="1FD30694"/>
    <w:rsid w:val="1FDC6BF8"/>
    <w:rsid w:val="1FE57686"/>
    <w:rsid w:val="1FED3F85"/>
    <w:rsid w:val="1FFB1C0A"/>
    <w:rsid w:val="200B6F8C"/>
    <w:rsid w:val="200D06B7"/>
    <w:rsid w:val="200E550E"/>
    <w:rsid w:val="20120487"/>
    <w:rsid w:val="2014177F"/>
    <w:rsid w:val="201C5A4A"/>
    <w:rsid w:val="20270FDB"/>
    <w:rsid w:val="2027219E"/>
    <w:rsid w:val="202B7053"/>
    <w:rsid w:val="203211B0"/>
    <w:rsid w:val="203474F7"/>
    <w:rsid w:val="203868C6"/>
    <w:rsid w:val="204764AE"/>
    <w:rsid w:val="204C0480"/>
    <w:rsid w:val="204D002C"/>
    <w:rsid w:val="20523600"/>
    <w:rsid w:val="20543EC1"/>
    <w:rsid w:val="20592BE1"/>
    <w:rsid w:val="20616D8E"/>
    <w:rsid w:val="20631369"/>
    <w:rsid w:val="207A62CA"/>
    <w:rsid w:val="207D1CD4"/>
    <w:rsid w:val="208B18B2"/>
    <w:rsid w:val="209305A9"/>
    <w:rsid w:val="20955704"/>
    <w:rsid w:val="209627BD"/>
    <w:rsid w:val="209A437D"/>
    <w:rsid w:val="20AC409B"/>
    <w:rsid w:val="20B221AC"/>
    <w:rsid w:val="20B5502F"/>
    <w:rsid w:val="20CE153C"/>
    <w:rsid w:val="20CE7086"/>
    <w:rsid w:val="20CF6B07"/>
    <w:rsid w:val="20DD4B96"/>
    <w:rsid w:val="20DF664B"/>
    <w:rsid w:val="20E55880"/>
    <w:rsid w:val="20E8359B"/>
    <w:rsid w:val="20EF5F4E"/>
    <w:rsid w:val="21042B4C"/>
    <w:rsid w:val="21070F12"/>
    <w:rsid w:val="211A427A"/>
    <w:rsid w:val="2127683B"/>
    <w:rsid w:val="212B5B5B"/>
    <w:rsid w:val="21354AB4"/>
    <w:rsid w:val="213D1052"/>
    <w:rsid w:val="214210A0"/>
    <w:rsid w:val="2142325F"/>
    <w:rsid w:val="214C26E8"/>
    <w:rsid w:val="214E201A"/>
    <w:rsid w:val="21544FA6"/>
    <w:rsid w:val="215E639F"/>
    <w:rsid w:val="21650230"/>
    <w:rsid w:val="217E2424"/>
    <w:rsid w:val="218F3108"/>
    <w:rsid w:val="21923B8F"/>
    <w:rsid w:val="2197576F"/>
    <w:rsid w:val="21987AE1"/>
    <w:rsid w:val="21995D9D"/>
    <w:rsid w:val="21A1249E"/>
    <w:rsid w:val="21A30A5A"/>
    <w:rsid w:val="21A3153C"/>
    <w:rsid w:val="21A331FD"/>
    <w:rsid w:val="21A47E8B"/>
    <w:rsid w:val="21A734D8"/>
    <w:rsid w:val="21B43741"/>
    <w:rsid w:val="21B55A10"/>
    <w:rsid w:val="21B61D9D"/>
    <w:rsid w:val="21BD4918"/>
    <w:rsid w:val="21C65A87"/>
    <w:rsid w:val="21C67E02"/>
    <w:rsid w:val="21C72E5E"/>
    <w:rsid w:val="21FD4D7A"/>
    <w:rsid w:val="21FE26CF"/>
    <w:rsid w:val="21FF50C2"/>
    <w:rsid w:val="22047B51"/>
    <w:rsid w:val="22123047"/>
    <w:rsid w:val="221D779E"/>
    <w:rsid w:val="222F1E4B"/>
    <w:rsid w:val="2241014C"/>
    <w:rsid w:val="2241392C"/>
    <w:rsid w:val="22432B86"/>
    <w:rsid w:val="224E7135"/>
    <w:rsid w:val="22535AF3"/>
    <w:rsid w:val="2254540E"/>
    <w:rsid w:val="225D5C37"/>
    <w:rsid w:val="22637523"/>
    <w:rsid w:val="226C31A2"/>
    <w:rsid w:val="226D3096"/>
    <w:rsid w:val="227930C6"/>
    <w:rsid w:val="22844ED1"/>
    <w:rsid w:val="228E7A3D"/>
    <w:rsid w:val="22A40D42"/>
    <w:rsid w:val="22A939AB"/>
    <w:rsid w:val="22B06D86"/>
    <w:rsid w:val="22C36709"/>
    <w:rsid w:val="22E04EF3"/>
    <w:rsid w:val="22E24DE4"/>
    <w:rsid w:val="22E76282"/>
    <w:rsid w:val="22FD1EE2"/>
    <w:rsid w:val="230175C4"/>
    <w:rsid w:val="230402B7"/>
    <w:rsid w:val="230A659F"/>
    <w:rsid w:val="23294AEC"/>
    <w:rsid w:val="232A313F"/>
    <w:rsid w:val="232D71CC"/>
    <w:rsid w:val="2337401F"/>
    <w:rsid w:val="23394E15"/>
    <w:rsid w:val="234228A5"/>
    <w:rsid w:val="234521C8"/>
    <w:rsid w:val="234A0E5D"/>
    <w:rsid w:val="234E2E94"/>
    <w:rsid w:val="2356270D"/>
    <w:rsid w:val="235A2EF8"/>
    <w:rsid w:val="2379726B"/>
    <w:rsid w:val="23891B42"/>
    <w:rsid w:val="23955CDE"/>
    <w:rsid w:val="239A534A"/>
    <w:rsid w:val="239B7B00"/>
    <w:rsid w:val="23A5755D"/>
    <w:rsid w:val="23BD1497"/>
    <w:rsid w:val="23C1633C"/>
    <w:rsid w:val="23C2119D"/>
    <w:rsid w:val="23C87262"/>
    <w:rsid w:val="23CB2115"/>
    <w:rsid w:val="23DD7DEB"/>
    <w:rsid w:val="24082954"/>
    <w:rsid w:val="24136840"/>
    <w:rsid w:val="24247062"/>
    <w:rsid w:val="24254175"/>
    <w:rsid w:val="242A459F"/>
    <w:rsid w:val="24300928"/>
    <w:rsid w:val="243608E5"/>
    <w:rsid w:val="24376BC4"/>
    <w:rsid w:val="24392625"/>
    <w:rsid w:val="243932FC"/>
    <w:rsid w:val="244067E4"/>
    <w:rsid w:val="24455956"/>
    <w:rsid w:val="244D325D"/>
    <w:rsid w:val="24577DA0"/>
    <w:rsid w:val="245B3482"/>
    <w:rsid w:val="245D7FFB"/>
    <w:rsid w:val="24615C79"/>
    <w:rsid w:val="246359B8"/>
    <w:rsid w:val="246A0F18"/>
    <w:rsid w:val="24710FB3"/>
    <w:rsid w:val="247B4AD1"/>
    <w:rsid w:val="247E3EBA"/>
    <w:rsid w:val="24873565"/>
    <w:rsid w:val="248F3BA6"/>
    <w:rsid w:val="24941AEF"/>
    <w:rsid w:val="249B3840"/>
    <w:rsid w:val="249B55AE"/>
    <w:rsid w:val="24AC1531"/>
    <w:rsid w:val="24AC6CCE"/>
    <w:rsid w:val="24AF2564"/>
    <w:rsid w:val="24B93BC8"/>
    <w:rsid w:val="24C53B6C"/>
    <w:rsid w:val="24C70EF2"/>
    <w:rsid w:val="24C83E91"/>
    <w:rsid w:val="24D03C16"/>
    <w:rsid w:val="24DD5B8E"/>
    <w:rsid w:val="24DE0A7C"/>
    <w:rsid w:val="24E11081"/>
    <w:rsid w:val="24E15127"/>
    <w:rsid w:val="24E562E5"/>
    <w:rsid w:val="24E712B0"/>
    <w:rsid w:val="24ED2ED3"/>
    <w:rsid w:val="24F17DA3"/>
    <w:rsid w:val="2507454D"/>
    <w:rsid w:val="250C58E6"/>
    <w:rsid w:val="250F3724"/>
    <w:rsid w:val="25115838"/>
    <w:rsid w:val="251B44B8"/>
    <w:rsid w:val="251E4A80"/>
    <w:rsid w:val="252823DE"/>
    <w:rsid w:val="252C08C4"/>
    <w:rsid w:val="253B1CD0"/>
    <w:rsid w:val="253C1B9D"/>
    <w:rsid w:val="253C6D6D"/>
    <w:rsid w:val="25413B2E"/>
    <w:rsid w:val="25416E02"/>
    <w:rsid w:val="254B252B"/>
    <w:rsid w:val="2551263E"/>
    <w:rsid w:val="255512C7"/>
    <w:rsid w:val="255F412F"/>
    <w:rsid w:val="255F76DB"/>
    <w:rsid w:val="25694473"/>
    <w:rsid w:val="25853B30"/>
    <w:rsid w:val="25981AB5"/>
    <w:rsid w:val="25A64D89"/>
    <w:rsid w:val="25A8619C"/>
    <w:rsid w:val="25B531B7"/>
    <w:rsid w:val="25B600E8"/>
    <w:rsid w:val="25B80C81"/>
    <w:rsid w:val="25C70488"/>
    <w:rsid w:val="25CB1E8B"/>
    <w:rsid w:val="25D10748"/>
    <w:rsid w:val="25D64444"/>
    <w:rsid w:val="25D725DE"/>
    <w:rsid w:val="25DD739B"/>
    <w:rsid w:val="25E96933"/>
    <w:rsid w:val="25F71FAA"/>
    <w:rsid w:val="25FD0DAF"/>
    <w:rsid w:val="25FD64CE"/>
    <w:rsid w:val="26073D63"/>
    <w:rsid w:val="26086C3B"/>
    <w:rsid w:val="2610496B"/>
    <w:rsid w:val="2618405A"/>
    <w:rsid w:val="261F709A"/>
    <w:rsid w:val="262079C7"/>
    <w:rsid w:val="26211B75"/>
    <w:rsid w:val="26240585"/>
    <w:rsid w:val="262866F8"/>
    <w:rsid w:val="262C6B49"/>
    <w:rsid w:val="262F241A"/>
    <w:rsid w:val="262F72CD"/>
    <w:rsid w:val="2631042A"/>
    <w:rsid w:val="264B5722"/>
    <w:rsid w:val="264F10AA"/>
    <w:rsid w:val="265410D2"/>
    <w:rsid w:val="265770B2"/>
    <w:rsid w:val="265E0AC9"/>
    <w:rsid w:val="266F49AC"/>
    <w:rsid w:val="26700749"/>
    <w:rsid w:val="26725B68"/>
    <w:rsid w:val="267442D0"/>
    <w:rsid w:val="267918E7"/>
    <w:rsid w:val="26792BAA"/>
    <w:rsid w:val="267C3185"/>
    <w:rsid w:val="2685584E"/>
    <w:rsid w:val="268751C8"/>
    <w:rsid w:val="269059F2"/>
    <w:rsid w:val="26924CFB"/>
    <w:rsid w:val="26954B92"/>
    <w:rsid w:val="26977FBF"/>
    <w:rsid w:val="2699039A"/>
    <w:rsid w:val="26A5600A"/>
    <w:rsid w:val="26C50688"/>
    <w:rsid w:val="26C54912"/>
    <w:rsid w:val="26C6724C"/>
    <w:rsid w:val="26CA7EBB"/>
    <w:rsid w:val="26D405DD"/>
    <w:rsid w:val="26D528FB"/>
    <w:rsid w:val="26D83166"/>
    <w:rsid w:val="26E70B06"/>
    <w:rsid w:val="26E70C9F"/>
    <w:rsid w:val="26F45411"/>
    <w:rsid w:val="26F51972"/>
    <w:rsid w:val="26F62F37"/>
    <w:rsid w:val="26F65D25"/>
    <w:rsid w:val="26F86CAF"/>
    <w:rsid w:val="26F96584"/>
    <w:rsid w:val="26FA64F1"/>
    <w:rsid w:val="2701166F"/>
    <w:rsid w:val="27037F8D"/>
    <w:rsid w:val="27072EEB"/>
    <w:rsid w:val="27074D51"/>
    <w:rsid w:val="270D45B6"/>
    <w:rsid w:val="270F4B1E"/>
    <w:rsid w:val="27190705"/>
    <w:rsid w:val="271D48AB"/>
    <w:rsid w:val="271E747A"/>
    <w:rsid w:val="27203152"/>
    <w:rsid w:val="27215B63"/>
    <w:rsid w:val="27266514"/>
    <w:rsid w:val="273759F0"/>
    <w:rsid w:val="273A1B83"/>
    <w:rsid w:val="2744339F"/>
    <w:rsid w:val="274A164B"/>
    <w:rsid w:val="274C0DA9"/>
    <w:rsid w:val="274E5257"/>
    <w:rsid w:val="27565140"/>
    <w:rsid w:val="276A19E2"/>
    <w:rsid w:val="276B56D3"/>
    <w:rsid w:val="276C6F54"/>
    <w:rsid w:val="27731DE8"/>
    <w:rsid w:val="27737BD1"/>
    <w:rsid w:val="27754B90"/>
    <w:rsid w:val="27804915"/>
    <w:rsid w:val="278316BB"/>
    <w:rsid w:val="278F0E5E"/>
    <w:rsid w:val="2792001A"/>
    <w:rsid w:val="27925789"/>
    <w:rsid w:val="279855D4"/>
    <w:rsid w:val="2799140E"/>
    <w:rsid w:val="279B4250"/>
    <w:rsid w:val="279E28E9"/>
    <w:rsid w:val="27A070D5"/>
    <w:rsid w:val="27B801ED"/>
    <w:rsid w:val="27B92324"/>
    <w:rsid w:val="27BF6230"/>
    <w:rsid w:val="27C26D21"/>
    <w:rsid w:val="27C66108"/>
    <w:rsid w:val="27C67A3C"/>
    <w:rsid w:val="27C941A8"/>
    <w:rsid w:val="27CD0D72"/>
    <w:rsid w:val="27CE5C62"/>
    <w:rsid w:val="27D25E89"/>
    <w:rsid w:val="27DD7ABE"/>
    <w:rsid w:val="27DF0044"/>
    <w:rsid w:val="27E26FA8"/>
    <w:rsid w:val="27E8625B"/>
    <w:rsid w:val="27F05BD9"/>
    <w:rsid w:val="27F67DBE"/>
    <w:rsid w:val="2802236C"/>
    <w:rsid w:val="2803474D"/>
    <w:rsid w:val="280B3960"/>
    <w:rsid w:val="28140A19"/>
    <w:rsid w:val="281A35CE"/>
    <w:rsid w:val="281E28E3"/>
    <w:rsid w:val="281F1BDE"/>
    <w:rsid w:val="28245B5B"/>
    <w:rsid w:val="282835C4"/>
    <w:rsid w:val="282F46A5"/>
    <w:rsid w:val="28316941"/>
    <w:rsid w:val="28361599"/>
    <w:rsid w:val="283B58B4"/>
    <w:rsid w:val="283D1755"/>
    <w:rsid w:val="28442DEC"/>
    <w:rsid w:val="28456C82"/>
    <w:rsid w:val="284F2296"/>
    <w:rsid w:val="2859765A"/>
    <w:rsid w:val="28601B61"/>
    <w:rsid w:val="2863040D"/>
    <w:rsid w:val="28694820"/>
    <w:rsid w:val="287E4F92"/>
    <w:rsid w:val="287F306D"/>
    <w:rsid w:val="28866DB6"/>
    <w:rsid w:val="28914D8E"/>
    <w:rsid w:val="2899001E"/>
    <w:rsid w:val="28A075FF"/>
    <w:rsid w:val="28A16ED3"/>
    <w:rsid w:val="28A9642D"/>
    <w:rsid w:val="28A96DE5"/>
    <w:rsid w:val="28B33B62"/>
    <w:rsid w:val="28B75456"/>
    <w:rsid w:val="28B8489E"/>
    <w:rsid w:val="28BF0C2D"/>
    <w:rsid w:val="28C40AA7"/>
    <w:rsid w:val="28C64B8B"/>
    <w:rsid w:val="28CE42AC"/>
    <w:rsid w:val="28D21317"/>
    <w:rsid w:val="28D45C09"/>
    <w:rsid w:val="28D87919"/>
    <w:rsid w:val="28DD22E9"/>
    <w:rsid w:val="28F227E0"/>
    <w:rsid w:val="28F3713A"/>
    <w:rsid w:val="29000B11"/>
    <w:rsid w:val="2904218B"/>
    <w:rsid w:val="290F2A66"/>
    <w:rsid w:val="29104424"/>
    <w:rsid w:val="29143B49"/>
    <w:rsid w:val="29195CD1"/>
    <w:rsid w:val="291D6204"/>
    <w:rsid w:val="29252367"/>
    <w:rsid w:val="292868EC"/>
    <w:rsid w:val="292C0E92"/>
    <w:rsid w:val="293935AF"/>
    <w:rsid w:val="293C6397"/>
    <w:rsid w:val="29457AE3"/>
    <w:rsid w:val="294770A5"/>
    <w:rsid w:val="29482976"/>
    <w:rsid w:val="294B6F92"/>
    <w:rsid w:val="294C32E2"/>
    <w:rsid w:val="295143AA"/>
    <w:rsid w:val="29564161"/>
    <w:rsid w:val="29567CBD"/>
    <w:rsid w:val="295D0BAC"/>
    <w:rsid w:val="295E6B72"/>
    <w:rsid w:val="29642175"/>
    <w:rsid w:val="29683A03"/>
    <w:rsid w:val="297151C9"/>
    <w:rsid w:val="297E5C60"/>
    <w:rsid w:val="29807A50"/>
    <w:rsid w:val="29845A0D"/>
    <w:rsid w:val="29893309"/>
    <w:rsid w:val="299D266E"/>
    <w:rsid w:val="29A30A29"/>
    <w:rsid w:val="29AB625B"/>
    <w:rsid w:val="29AE0DEF"/>
    <w:rsid w:val="29B50E88"/>
    <w:rsid w:val="29B71882"/>
    <w:rsid w:val="29C40BAA"/>
    <w:rsid w:val="29C76E0D"/>
    <w:rsid w:val="29C843E2"/>
    <w:rsid w:val="29C91B56"/>
    <w:rsid w:val="29CA0B66"/>
    <w:rsid w:val="29CE1B9C"/>
    <w:rsid w:val="29D22707"/>
    <w:rsid w:val="29D30F50"/>
    <w:rsid w:val="29E11498"/>
    <w:rsid w:val="29EB75B7"/>
    <w:rsid w:val="29EC2DA9"/>
    <w:rsid w:val="2A0119E5"/>
    <w:rsid w:val="2A094D30"/>
    <w:rsid w:val="2A09503E"/>
    <w:rsid w:val="2A0B4F4C"/>
    <w:rsid w:val="2A0E0598"/>
    <w:rsid w:val="2A1536D4"/>
    <w:rsid w:val="2A226DA8"/>
    <w:rsid w:val="2A247DBB"/>
    <w:rsid w:val="2A2953D2"/>
    <w:rsid w:val="2A2C2FA0"/>
    <w:rsid w:val="2A2D7C51"/>
    <w:rsid w:val="2A385615"/>
    <w:rsid w:val="2A4052E1"/>
    <w:rsid w:val="2A422E4A"/>
    <w:rsid w:val="2A457B45"/>
    <w:rsid w:val="2A573CED"/>
    <w:rsid w:val="2A5801C4"/>
    <w:rsid w:val="2A624AC5"/>
    <w:rsid w:val="2A657544"/>
    <w:rsid w:val="2A7445E5"/>
    <w:rsid w:val="2A794507"/>
    <w:rsid w:val="2A7E30B5"/>
    <w:rsid w:val="2A846AAC"/>
    <w:rsid w:val="2A87085C"/>
    <w:rsid w:val="2A8F2A7B"/>
    <w:rsid w:val="2A972868"/>
    <w:rsid w:val="2AA63167"/>
    <w:rsid w:val="2AB2779E"/>
    <w:rsid w:val="2AB33301"/>
    <w:rsid w:val="2AB46A6D"/>
    <w:rsid w:val="2AB64354"/>
    <w:rsid w:val="2ABA5209"/>
    <w:rsid w:val="2ABC1DA2"/>
    <w:rsid w:val="2AC21E7D"/>
    <w:rsid w:val="2AC32036"/>
    <w:rsid w:val="2AC95E1B"/>
    <w:rsid w:val="2ACD3758"/>
    <w:rsid w:val="2ADE0972"/>
    <w:rsid w:val="2AF63A41"/>
    <w:rsid w:val="2AFB6D6E"/>
    <w:rsid w:val="2B01591D"/>
    <w:rsid w:val="2B091034"/>
    <w:rsid w:val="2B095AA2"/>
    <w:rsid w:val="2B0E598F"/>
    <w:rsid w:val="2B234681"/>
    <w:rsid w:val="2B2D7144"/>
    <w:rsid w:val="2B2F6606"/>
    <w:rsid w:val="2B3176EA"/>
    <w:rsid w:val="2B397690"/>
    <w:rsid w:val="2B3B716B"/>
    <w:rsid w:val="2B3D4992"/>
    <w:rsid w:val="2B421205"/>
    <w:rsid w:val="2B470F10"/>
    <w:rsid w:val="2B473D61"/>
    <w:rsid w:val="2B662D13"/>
    <w:rsid w:val="2B675BC8"/>
    <w:rsid w:val="2B6F2DD8"/>
    <w:rsid w:val="2B705ABD"/>
    <w:rsid w:val="2B8811D8"/>
    <w:rsid w:val="2B9D67AE"/>
    <w:rsid w:val="2B9F687E"/>
    <w:rsid w:val="2BAB4636"/>
    <w:rsid w:val="2BB024EC"/>
    <w:rsid w:val="2BB213CA"/>
    <w:rsid w:val="2BC2745E"/>
    <w:rsid w:val="2BCF1FA9"/>
    <w:rsid w:val="2BD3054D"/>
    <w:rsid w:val="2BDD546C"/>
    <w:rsid w:val="2BDE6429"/>
    <w:rsid w:val="2BE167EC"/>
    <w:rsid w:val="2BE22958"/>
    <w:rsid w:val="2BE75B0F"/>
    <w:rsid w:val="2BF92AB7"/>
    <w:rsid w:val="2BFC6FEA"/>
    <w:rsid w:val="2C077995"/>
    <w:rsid w:val="2C091017"/>
    <w:rsid w:val="2C0A4D8F"/>
    <w:rsid w:val="2C1016F4"/>
    <w:rsid w:val="2C1371B1"/>
    <w:rsid w:val="2C1955A3"/>
    <w:rsid w:val="2C204F13"/>
    <w:rsid w:val="2C231349"/>
    <w:rsid w:val="2C276740"/>
    <w:rsid w:val="2C2C65AB"/>
    <w:rsid w:val="2C387AF5"/>
    <w:rsid w:val="2C4209CD"/>
    <w:rsid w:val="2C4A1351"/>
    <w:rsid w:val="2C4B162F"/>
    <w:rsid w:val="2C5B0F40"/>
    <w:rsid w:val="2C60679B"/>
    <w:rsid w:val="2C6530E0"/>
    <w:rsid w:val="2C6551F7"/>
    <w:rsid w:val="2C6A6A3F"/>
    <w:rsid w:val="2C6D60EB"/>
    <w:rsid w:val="2C722FB3"/>
    <w:rsid w:val="2C77391E"/>
    <w:rsid w:val="2C7C0CAB"/>
    <w:rsid w:val="2C81312E"/>
    <w:rsid w:val="2C835557"/>
    <w:rsid w:val="2C8578CE"/>
    <w:rsid w:val="2C8767FB"/>
    <w:rsid w:val="2C9273B1"/>
    <w:rsid w:val="2C994A91"/>
    <w:rsid w:val="2CA760BB"/>
    <w:rsid w:val="2CAE5D6B"/>
    <w:rsid w:val="2CB15E6F"/>
    <w:rsid w:val="2CB412F0"/>
    <w:rsid w:val="2CBD116A"/>
    <w:rsid w:val="2CC976CA"/>
    <w:rsid w:val="2CD41411"/>
    <w:rsid w:val="2CD61EDF"/>
    <w:rsid w:val="2CD6292E"/>
    <w:rsid w:val="2CDA5AF8"/>
    <w:rsid w:val="2CDB644A"/>
    <w:rsid w:val="2CE74F56"/>
    <w:rsid w:val="2CE90E48"/>
    <w:rsid w:val="2CED73F6"/>
    <w:rsid w:val="2CF0336B"/>
    <w:rsid w:val="2CF31A01"/>
    <w:rsid w:val="2CF478A3"/>
    <w:rsid w:val="2CF9467C"/>
    <w:rsid w:val="2CFB7C62"/>
    <w:rsid w:val="2D122998"/>
    <w:rsid w:val="2D15504B"/>
    <w:rsid w:val="2D1760D1"/>
    <w:rsid w:val="2D1B3862"/>
    <w:rsid w:val="2D21575B"/>
    <w:rsid w:val="2D333BAD"/>
    <w:rsid w:val="2D3A1AFE"/>
    <w:rsid w:val="2D3C366E"/>
    <w:rsid w:val="2D3D7EE1"/>
    <w:rsid w:val="2D4242A0"/>
    <w:rsid w:val="2D43338B"/>
    <w:rsid w:val="2D434DF2"/>
    <w:rsid w:val="2D4B7633"/>
    <w:rsid w:val="2D5120DA"/>
    <w:rsid w:val="2D597201"/>
    <w:rsid w:val="2D636A10"/>
    <w:rsid w:val="2D6406AE"/>
    <w:rsid w:val="2D6706EB"/>
    <w:rsid w:val="2D6E0E9F"/>
    <w:rsid w:val="2D735992"/>
    <w:rsid w:val="2D7921CC"/>
    <w:rsid w:val="2D824EAD"/>
    <w:rsid w:val="2D8F33A6"/>
    <w:rsid w:val="2D91773A"/>
    <w:rsid w:val="2D930495"/>
    <w:rsid w:val="2DA2119A"/>
    <w:rsid w:val="2DA30D70"/>
    <w:rsid w:val="2DA54273"/>
    <w:rsid w:val="2DAA4507"/>
    <w:rsid w:val="2DAB64FC"/>
    <w:rsid w:val="2DAF52CD"/>
    <w:rsid w:val="2DB44207"/>
    <w:rsid w:val="2DB73EB0"/>
    <w:rsid w:val="2DB92430"/>
    <w:rsid w:val="2DC7552B"/>
    <w:rsid w:val="2DCB765C"/>
    <w:rsid w:val="2DD678F6"/>
    <w:rsid w:val="2DD750D3"/>
    <w:rsid w:val="2DD97596"/>
    <w:rsid w:val="2DE20F81"/>
    <w:rsid w:val="2DE95338"/>
    <w:rsid w:val="2DE96ABA"/>
    <w:rsid w:val="2DEC23FC"/>
    <w:rsid w:val="2DED381A"/>
    <w:rsid w:val="2DFA155F"/>
    <w:rsid w:val="2E01648C"/>
    <w:rsid w:val="2E035151"/>
    <w:rsid w:val="2E0C1B8B"/>
    <w:rsid w:val="2E0C3364"/>
    <w:rsid w:val="2E0D7CF6"/>
    <w:rsid w:val="2E1A197C"/>
    <w:rsid w:val="2E1A3284"/>
    <w:rsid w:val="2E1E430F"/>
    <w:rsid w:val="2E1E7AAF"/>
    <w:rsid w:val="2E2E453D"/>
    <w:rsid w:val="2E3632C1"/>
    <w:rsid w:val="2E385BE3"/>
    <w:rsid w:val="2E3C4CA4"/>
    <w:rsid w:val="2E400DA5"/>
    <w:rsid w:val="2E424CB4"/>
    <w:rsid w:val="2E4822E7"/>
    <w:rsid w:val="2E4E3659"/>
    <w:rsid w:val="2E5A0537"/>
    <w:rsid w:val="2E7342E5"/>
    <w:rsid w:val="2E76495E"/>
    <w:rsid w:val="2E772BB0"/>
    <w:rsid w:val="2E8B4E3F"/>
    <w:rsid w:val="2E920577"/>
    <w:rsid w:val="2E980D78"/>
    <w:rsid w:val="2EB32116"/>
    <w:rsid w:val="2EB91DEF"/>
    <w:rsid w:val="2EBA6870"/>
    <w:rsid w:val="2EC3688E"/>
    <w:rsid w:val="2ECA131D"/>
    <w:rsid w:val="2ECE479A"/>
    <w:rsid w:val="2ED303B5"/>
    <w:rsid w:val="2EDA49B2"/>
    <w:rsid w:val="2EDC1094"/>
    <w:rsid w:val="2EDE514E"/>
    <w:rsid w:val="2EEE7252"/>
    <w:rsid w:val="2EF3362B"/>
    <w:rsid w:val="2EF574BC"/>
    <w:rsid w:val="2F0A0C8E"/>
    <w:rsid w:val="2F1C67E3"/>
    <w:rsid w:val="2F1E2BD0"/>
    <w:rsid w:val="2F210499"/>
    <w:rsid w:val="2F307EE2"/>
    <w:rsid w:val="2F3A781F"/>
    <w:rsid w:val="2F3C4CFF"/>
    <w:rsid w:val="2F3F27D7"/>
    <w:rsid w:val="2F4410F9"/>
    <w:rsid w:val="2F467E37"/>
    <w:rsid w:val="2F47747B"/>
    <w:rsid w:val="2F484778"/>
    <w:rsid w:val="2F4E6850"/>
    <w:rsid w:val="2F594063"/>
    <w:rsid w:val="2F5A1222"/>
    <w:rsid w:val="2F5C0D20"/>
    <w:rsid w:val="2F5C1DA5"/>
    <w:rsid w:val="2F5D4208"/>
    <w:rsid w:val="2F711F39"/>
    <w:rsid w:val="2F71740A"/>
    <w:rsid w:val="2F7239E1"/>
    <w:rsid w:val="2F793DD9"/>
    <w:rsid w:val="2F795D08"/>
    <w:rsid w:val="2F80034C"/>
    <w:rsid w:val="2F8121B9"/>
    <w:rsid w:val="2F8512FC"/>
    <w:rsid w:val="2F8F3C58"/>
    <w:rsid w:val="2F974FF1"/>
    <w:rsid w:val="2F980D6B"/>
    <w:rsid w:val="2F994DA8"/>
    <w:rsid w:val="2F9C18FA"/>
    <w:rsid w:val="2FA774C5"/>
    <w:rsid w:val="2FB35E69"/>
    <w:rsid w:val="2FB76FDC"/>
    <w:rsid w:val="2FC16967"/>
    <w:rsid w:val="2FC53C32"/>
    <w:rsid w:val="2FD04090"/>
    <w:rsid w:val="2FD8190A"/>
    <w:rsid w:val="2FE33DEC"/>
    <w:rsid w:val="2FE567D5"/>
    <w:rsid w:val="2FE9188B"/>
    <w:rsid w:val="2FEA325A"/>
    <w:rsid w:val="2FEC2B4C"/>
    <w:rsid w:val="2FEE74A7"/>
    <w:rsid w:val="2FF201F9"/>
    <w:rsid w:val="2FFF7CF8"/>
    <w:rsid w:val="30053012"/>
    <w:rsid w:val="30054E44"/>
    <w:rsid w:val="300F1827"/>
    <w:rsid w:val="30134B5A"/>
    <w:rsid w:val="30142ECF"/>
    <w:rsid w:val="301A3977"/>
    <w:rsid w:val="301F5156"/>
    <w:rsid w:val="30224D9D"/>
    <w:rsid w:val="302959D3"/>
    <w:rsid w:val="302A29E1"/>
    <w:rsid w:val="30314FE0"/>
    <w:rsid w:val="303447E8"/>
    <w:rsid w:val="30393E95"/>
    <w:rsid w:val="303A7C83"/>
    <w:rsid w:val="303E4D2C"/>
    <w:rsid w:val="3041038A"/>
    <w:rsid w:val="30690505"/>
    <w:rsid w:val="306927ED"/>
    <w:rsid w:val="306C677D"/>
    <w:rsid w:val="307107E5"/>
    <w:rsid w:val="307B570B"/>
    <w:rsid w:val="307F12F8"/>
    <w:rsid w:val="307F7677"/>
    <w:rsid w:val="308256C4"/>
    <w:rsid w:val="30873E6C"/>
    <w:rsid w:val="30893170"/>
    <w:rsid w:val="3089437A"/>
    <w:rsid w:val="30A56B20"/>
    <w:rsid w:val="30B874AF"/>
    <w:rsid w:val="30C153B2"/>
    <w:rsid w:val="30C176F4"/>
    <w:rsid w:val="30C22B66"/>
    <w:rsid w:val="30C310ED"/>
    <w:rsid w:val="30C6397A"/>
    <w:rsid w:val="30CC45EF"/>
    <w:rsid w:val="30D232BD"/>
    <w:rsid w:val="30D36097"/>
    <w:rsid w:val="30DA6138"/>
    <w:rsid w:val="30DA7865"/>
    <w:rsid w:val="30E06A1A"/>
    <w:rsid w:val="30E3277E"/>
    <w:rsid w:val="30E476BF"/>
    <w:rsid w:val="30F027A5"/>
    <w:rsid w:val="30F311DB"/>
    <w:rsid w:val="30F806D7"/>
    <w:rsid w:val="30FE3240"/>
    <w:rsid w:val="310173B1"/>
    <w:rsid w:val="31200CA6"/>
    <w:rsid w:val="31274283"/>
    <w:rsid w:val="31442AF1"/>
    <w:rsid w:val="31445527"/>
    <w:rsid w:val="31493966"/>
    <w:rsid w:val="314D33E2"/>
    <w:rsid w:val="315417EB"/>
    <w:rsid w:val="315A0F54"/>
    <w:rsid w:val="315C2C8C"/>
    <w:rsid w:val="31605B7D"/>
    <w:rsid w:val="3163741B"/>
    <w:rsid w:val="31644FEB"/>
    <w:rsid w:val="3166408A"/>
    <w:rsid w:val="317155B7"/>
    <w:rsid w:val="317A6839"/>
    <w:rsid w:val="317F1F85"/>
    <w:rsid w:val="318023CD"/>
    <w:rsid w:val="318F2647"/>
    <w:rsid w:val="3196159F"/>
    <w:rsid w:val="31A920F1"/>
    <w:rsid w:val="31B859B9"/>
    <w:rsid w:val="31BA18BD"/>
    <w:rsid w:val="31BA24B5"/>
    <w:rsid w:val="31C03585"/>
    <w:rsid w:val="31CA56EC"/>
    <w:rsid w:val="31E85B72"/>
    <w:rsid w:val="31E9779C"/>
    <w:rsid w:val="31EA7A05"/>
    <w:rsid w:val="31EB11BF"/>
    <w:rsid w:val="31F35048"/>
    <w:rsid w:val="31FA6D91"/>
    <w:rsid w:val="320078BE"/>
    <w:rsid w:val="32007DD4"/>
    <w:rsid w:val="321762AE"/>
    <w:rsid w:val="321F2FC9"/>
    <w:rsid w:val="322476A0"/>
    <w:rsid w:val="322949BD"/>
    <w:rsid w:val="322A6D50"/>
    <w:rsid w:val="323D4DDE"/>
    <w:rsid w:val="324429C5"/>
    <w:rsid w:val="32454122"/>
    <w:rsid w:val="32461DA4"/>
    <w:rsid w:val="32531113"/>
    <w:rsid w:val="325413DD"/>
    <w:rsid w:val="32601BAD"/>
    <w:rsid w:val="32652890"/>
    <w:rsid w:val="32730352"/>
    <w:rsid w:val="3276723B"/>
    <w:rsid w:val="32786134"/>
    <w:rsid w:val="327E2A57"/>
    <w:rsid w:val="32862321"/>
    <w:rsid w:val="328643BA"/>
    <w:rsid w:val="32A50A2F"/>
    <w:rsid w:val="32AA5062"/>
    <w:rsid w:val="32B67A4E"/>
    <w:rsid w:val="32BB304E"/>
    <w:rsid w:val="32C43EEA"/>
    <w:rsid w:val="32C71C2C"/>
    <w:rsid w:val="32D1757B"/>
    <w:rsid w:val="32DC73BE"/>
    <w:rsid w:val="32EE4440"/>
    <w:rsid w:val="32F96022"/>
    <w:rsid w:val="3300393D"/>
    <w:rsid w:val="33066B2A"/>
    <w:rsid w:val="33106F05"/>
    <w:rsid w:val="3317207A"/>
    <w:rsid w:val="331D6E90"/>
    <w:rsid w:val="331F2325"/>
    <w:rsid w:val="33260700"/>
    <w:rsid w:val="33297A8A"/>
    <w:rsid w:val="3342271B"/>
    <w:rsid w:val="334B6B48"/>
    <w:rsid w:val="335A484E"/>
    <w:rsid w:val="33643977"/>
    <w:rsid w:val="33743B62"/>
    <w:rsid w:val="337C2A16"/>
    <w:rsid w:val="3381680B"/>
    <w:rsid w:val="338418CB"/>
    <w:rsid w:val="33865643"/>
    <w:rsid w:val="338E397C"/>
    <w:rsid w:val="339621B6"/>
    <w:rsid w:val="33977F0C"/>
    <w:rsid w:val="33A361F5"/>
    <w:rsid w:val="33A87131"/>
    <w:rsid w:val="33A90461"/>
    <w:rsid w:val="33B77970"/>
    <w:rsid w:val="33B84A98"/>
    <w:rsid w:val="33BD71BD"/>
    <w:rsid w:val="33CB74FA"/>
    <w:rsid w:val="33D77D31"/>
    <w:rsid w:val="33DC5392"/>
    <w:rsid w:val="33DE08FD"/>
    <w:rsid w:val="34016B4A"/>
    <w:rsid w:val="34063B13"/>
    <w:rsid w:val="34192B39"/>
    <w:rsid w:val="342F5C2A"/>
    <w:rsid w:val="343108AE"/>
    <w:rsid w:val="3435729C"/>
    <w:rsid w:val="343A4C25"/>
    <w:rsid w:val="343E6F5E"/>
    <w:rsid w:val="34592D57"/>
    <w:rsid w:val="345C0E2C"/>
    <w:rsid w:val="346373E7"/>
    <w:rsid w:val="34637DC3"/>
    <w:rsid w:val="34711BC9"/>
    <w:rsid w:val="34774B3F"/>
    <w:rsid w:val="348957BF"/>
    <w:rsid w:val="34897199"/>
    <w:rsid w:val="348C5F98"/>
    <w:rsid w:val="348D2865"/>
    <w:rsid w:val="34916D5E"/>
    <w:rsid w:val="349679F1"/>
    <w:rsid w:val="34A5712B"/>
    <w:rsid w:val="34A73A14"/>
    <w:rsid w:val="34AA7828"/>
    <w:rsid w:val="34AA7AFA"/>
    <w:rsid w:val="34AC7303"/>
    <w:rsid w:val="34B1337D"/>
    <w:rsid w:val="34B26C12"/>
    <w:rsid w:val="34BB24A6"/>
    <w:rsid w:val="34C20AA1"/>
    <w:rsid w:val="34C529A2"/>
    <w:rsid w:val="34C72E2C"/>
    <w:rsid w:val="34CC6B16"/>
    <w:rsid w:val="34CE54F3"/>
    <w:rsid w:val="34D04F54"/>
    <w:rsid w:val="34D056F4"/>
    <w:rsid w:val="34D56A72"/>
    <w:rsid w:val="34DC5294"/>
    <w:rsid w:val="34E61EDD"/>
    <w:rsid w:val="34EE3E95"/>
    <w:rsid w:val="34EF1738"/>
    <w:rsid w:val="34F14685"/>
    <w:rsid w:val="34F77462"/>
    <w:rsid w:val="34FC3C8F"/>
    <w:rsid w:val="34FF4A9D"/>
    <w:rsid w:val="35076034"/>
    <w:rsid w:val="351112A0"/>
    <w:rsid w:val="35143766"/>
    <w:rsid w:val="352261D7"/>
    <w:rsid w:val="352424D5"/>
    <w:rsid w:val="352C2AEC"/>
    <w:rsid w:val="35365111"/>
    <w:rsid w:val="354C0922"/>
    <w:rsid w:val="35505F08"/>
    <w:rsid w:val="35541262"/>
    <w:rsid w:val="355C3E01"/>
    <w:rsid w:val="355E1379"/>
    <w:rsid w:val="35731A65"/>
    <w:rsid w:val="357841E5"/>
    <w:rsid w:val="357E3CD5"/>
    <w:rsid w:val="357E56A0"/>
    <w:rsid w:val="358206A2"/>
    <w:rsid w:val="35823705"/>
    <w:rsid w:val="35847960"/>
    <w:rsid w:val="3586368F"/>
    <w:rsid w:val="358F6692"/>
    <w:rsid w:val="35930341"/>
    <w:rsid w:val="359A7184"/>
    <w:rsid w:val="359E4B45"/>
    <w:rsid w:val="35A77DEC"/>
    <w:rsid w:val="35BC7F0C"/>
    <w:rsid w:val="35C21B40"/>
    <w:rsid w:val="35CF03E6"/>
    <w:rsid w:val="35DE4283"/>
    <w:rsid w:val="35DF215B"/>
    <w:rsid w:val="35E04F7B"/>
    <w:rsid w:val="35E3546D"/>
    <w:rsid w:val="35E7527E"/>
    <w:rsid w:val="35F21963"/>
    <w:rsid w:val="35F5392F"/>
    <w:rsid w:val="361861A2"/>
    <w:rsid w:val="361B02C4"/>
    <w:rsid w:val="361C228F"/>
    <w:rsid w:val="362D227F"/>
    <w:rsid w:val="36344023"/>
    <w:rsid w:val="363C648D"/>
    <w:rsid w:val="3648202E"/>
    <w:rsid w:val="36604A2B"/>
    <w:rsid w:val="3667175C"/>
    <w:rsid w:val="36774593"/>
    <w:rsid w:val="36791C78"/>
    <w:rsid w:val="3680281D"/>
    <w:rsid w:val="36833E7C"/>
    <w:rsid w:val="36842191"/>
    <w:rsid w:val="368805D5"/>
    <w:rsid w:val="36897D7F"/>
    <w:rsid w:val="369C2F39"/>
    <w:rsid w:val="36A3052F"/>
    <w:rsid w:val="36AD40A0"/>
    <w:rsid w:val="36AF1E34"/>
    <w:rsid w:val="36B84916"/>
    <w:rsid w:val="36BA16FC"/>
    <w:rsid w:val="36BA5D2F"/>
    <w:rsid w:val="36C72CFB"/>
    <w:rsid w:val="36CA2D55"/>
    <w:rsid w:val="36D641EB"/>
    <w:rsid w:val="36DD37CC"/>
    <w:rsid w:val="36E83F1F"/>
    <w:rsid w:val="370446D7"/>
    <w:rsid w:val="37057F9E"/>
    <w:rsid w:val="372E2206"/>
    <w:rsid w:val="37386D68"/>
    <w:rsid w:val="374970E3"/>
    <w:rsid w:val="374E46CA"/>
    <w:rsid w:val="37555369"/>
    <w:rsid w:val="376161AB"/>
    <w:rsid w:val="37672D3B"/>
    <w:rsid w:val="37777A79"/>
    <w:rsid w:val="37942FC3"/>
    <w:rsid w:val="37946837"/>
    <w:rsid w:val="37950385"/>
    <w:rsid w:val="3798060A"/>
    <w:rsid w:val="379F2985"/>
    <w:rsid w:val="37A50BE4"/>
    <w:rsid w:val="37AA6E0D"/>
    <w:rsid w:val="37B145A5"/>
    <w:rsid w:val="37BE78E4"/>
    <w:rsid w:val="37CE76BC"/>
    <w:rsid w:val="37CF1D30"/>
    <w:rsid w:val="37E456D8"/>
    <w:rsid w:val="37E51236"/>
    <w:rsid w:val="37EB016A"/>
    <w:rsid w:val="37F71290"/>
    <w:rsid w:val="37FA03AE"/>
    <w:rsid w:val="37FA3F1D"/>
    <w:rsid w:val="38042FDA"/>
    <w:rsid w:val="380755BE"/>
    <w:rsid w:val="38123949"/>
    <w:rsid w:val="38262F51"/>
    <w:rsid w:val="38271241"/>
    <w:rsid w:val="382811B0"/>
    <w:rsid w:val="382E341E"/>
    <w:rsid w:val="38305B3C"/>
    <w:rsid w:val="38322791"/>
    <w:rsid w:val="38361600"/>
    <w:rsid w:val="3836588A"/>
    <w:rsid w:val="383C4522"/>
    <w:rsid w:val="3840335E"/>
    <w:rsid w:val="384C3614"/>
    <w:rsid w:val="384E3C7F"/>
    <w:rsid w:val="384E5A2B"/>
    <w:rsid w:val="3851127B"/>
    <w:rsid w:val="386013EF"/>
    <w:rsid w:val="38605AE0"/>
    <w:rsid w:val="387E36DB"/>
    <w:rsid w:val="387E7B23"/>
    <w:rsid w:val="388B08B9"/>
    <w:rsid w:val="388E07B1"/>
    <w:rsid w:val="38A07EE1"/>
    <w:rsid w:val="38B32A0B"/>
    <w:rsid w:val="38B7196B"/>
    <w:rsid w:val="38BB1AA5"/>
    <w:rsid w:val="38BF0828"/>
    <w:rsid w:val="38BF587F"/>
    <w:rsid w:val="38C25FC3"/>
    <w:rsid w:val="38CF1788"/>
    <w:rsid w:val="38D41E85"/>
    <w:rsid w:val="38D45077"/>
    <w:rsid w:val="38DE2DD5"/>
    <w:rsid w:val="38E56968"/>
    <w:rsid w:val="38EA786F"/>
    <w:rsid w:val="38EC24CB"/>
    <w:rsid w:val="38EF77E6"/>
    <w:rsid w:val="38F12C50"/>
    <w:rsid w:val="39082069"/>
    <w:rsid w:val="390965D8"/>
    <w:rsid w:val="390C4998"/>
    <w:rsid w:val="39113C01"/>
    <w:rsid w:val="3929719C"/>
    <w:rsid w:val="39344A64"/>
    <w:rsid w:val="393D68F9"/>
    <w:rsid w:val="39452FE4"/>
    <w:rsid w:val="39453024"/>
    <w:rsid w:val="394B230B"/>
    <w:rsid w:val="394E09B1"/>
    <w:rsid w:val="395174EC"/>
    <w:rsid w:val="3956224D"/>
    <w:rsid w:val="395808A9"/>
    <w:rsid w:val="396401D4"/>
    <w:rsid w:val="39736414"/>
    <w:rsid w:val="397554F8"/>
    <w:rsid w:val="3982065B"/>
    <w:rsid w:val="39896ACD"/>
    <w:rsid w:val="398A2255"/>
    <w:rsid w:val="39902180"/>
    <w:rsid w:val="39931296"/>
    <w:rsid w:val="399565E0"/>
    <w:rsid w:val="39971434"/>
    <w:rsid w:val="399F745E"/>
    <w:rsid w:val="39A1607B"/>
    <w:rsid w:val="39C617AB"/>
    <w:rsid w:val="39C701B3"/>
    <w:rsid w:val="39D1502F"/>
    <w:rsid w:val="39D16F89"/>
    <w:rsid w:val="39D35D97"/>
    <w:rsid w:val="39D54A12"/>
    <w:rsid w:val="39DD260D"/>
    <w:rsid w:val="39E92488"/>
    <w:rsid w:val="39FC2F8B"/>
    <w:rsid w:val="39FC7BE4"/>
    <w:rsid w:val="39FD7C4D"/>
    <w:rsid w:val="39FE5360"/>
    <w:rsid w:val="39FF3544"/>
    <w:rsid w:val="3A093F07"/>
    <w:rsid w:val="3A145757"/>
    <w:rsid w:val="3A233BEC"/>
    <w:rsid w:val="3A2636DC"/>
    <w:rsid w:val="3A3262F9"/>
    <w:rsid w:val="3A401E2F"/>
    <w:rsid w:val="3A4060DF"/>
    <w:rsid w:val="3A436977"/>
    <w:rsid w:val="3A445910"/>
    <w:rsid w:val="3A485400"/>
    <w:rsid w:val="3A500135"/>
    <w:rsid w:val="3A51097F"/>
    <w:rsid w:val="3A5169AB"/>
    <w:rsid w:val="3A535DC2"/>
    <w:rsid w:val="3A541A42"/>
    <w:rsid w:val="3A5B610C"/>
    <w:rsid w:val="3A62745C"/>
    <w:rsid w:val="3A6A35F5"/>
    <w:rsid w:val="3A6B3D47"/>
    <w:rsid w:val="3A6E45C0"/>
    <w:rsid w:val="3A75161C"/>
    <w:rsid w:val="3A797CA7"/>
    <w:rsid w:val="3A805AD1"/>
    <w:rsid w:val="3A82117B"/>
    <w:rsid w:val="3A867F84"/>
    <w:rsid w:val="3A8C5DC6"/>
    <w:rsid w:val="3A9A062A"/>
    <w:rsid w:val="3A9E2D31"/>
    <w:rsid w:val="3AA00A71"/>
    <w:rsid w:val="3AA62F37"/>
    <w:rsid w:val="3AA86520"/>
    <w:rsid w:val="3AB40B45"/>
    <w:rsid w:val="3AB41F35"/>
    <w:rsid w:val="3AB74D2F"/>
    <w:rsid w:val="3AC2280C"/>
    <w:rsid w:val="3AD24F08"/>
    <w:rsid w:val="3ADB2C0F"/>
    <w:rsid w:val="3AE40FD0"/>
    <w:rsid w:val="3AEE3C6A"/>
    <w:rsid w:val="3AFD5E03"/>
    <w:rsid w:val="3B0C3922"/>
    <w:rsid w:val="3B236456"/>
    <w:rsid w:val="3B2969CB"/>
    <w:rsid w:val="3B2F3969"/>
    <w:rsid w:val="3B351E28"/>
    <w:rsid w:val="3B3744F4"/>
    <w:rsid w:val="3B4274CB"/>
    <w:rsid w:val="3B430B81"/>
    <w:rsid w:val="3B4D0264"/>
    <w:rsid w:val="3B65791E"/>
    <w:rsid w:val="3B6B3A9C"/>
    <w:rsid w:val="3B6B7446"/>
    <w:rsid w:val="3B7E4D5D"/>
    <w:rsid w:val="3B8907CC"/>
    <w:rsid w:val="3B8C756F"/>
    <w:rsid w:val="3BA048A1"/>
    <w:rsid w:val="3BAD1403"/>
    <w:rsid w:val="3BB2463B"/>
    <w:rsid w:val="3BB54D17"/>
    <w:rsid w:val="3BC80593"/>
    <w:rsid w:val="3BC94454"/>
    <w:rsid w:val="3BD678D4"/>
    <w:rsid w:val="3BE1378F"/>
    <w:rsid w:val="3BE42C82"/>
    <w:rsid w:val="3BE474DB"/>
    <w:rsid w:val="3BE51E10"/>
    <w:rsid w:val="3BF5508A"/>
    <w:rsid w:val="3BFA7A76"/>
    <w:rsid w:val="3C0421DB"/>
    <w:rsid w:val="3C0C355E"/>
    <w:rsid w:val="3C1915E2"/>
    <w:rsid w:val="3C1B66C9"/>
    <w:rsid w:val="3C254A5D"/>
    <w:rsid w:val="3C2E47AB"/>
    <w:rsid w:val="3C364F9D"/>
    <w:rsid w:val="3C3F79E8"/>
    <w:rsid w:val="3C447AF0"/>
    <w:rsid w:val="3C490A80"/>
    <w:rsid w:val="3C53153C"/>
    <w:rsid w:val="3C542A18"/>
    <w:rsid w:val="3C5D5898"/>
    <w:rsid w:val="3C602F4D"/>
    <w:rsid w:val="3C6C2A49"/>
    <w:rsid w:val="3C6D114E"/>
    <w:rsid w:val="3C74072E"/>
    <w:rsid w:val="3C7C75E3"/>
    <w:rsid w:val="3C886FF3"/>
    <w:rsid w:val="3C8C5CCA"/>
    <w:rsid w:val="3C8F7316"/>
    <w:rsid w:val="3C9255C4"/>
    <w:rsid w:val="3C9323C3"/>
    <w:rsid w:val="3C947ED8"/>
    <w:rsid w:val="3CA250E4"/>
    <w:rsid w:val="3CAA5E3B"/>
    <w:rsid w:val="3CAD3C40"/>
    <w:rsid w:val="3CAD3DF3"/>
    <w:rsid w:val="3CB40490"/>
    <w:rsid w:val="3CB74AD4"/>
    <w:rsid w:val="3CBE7BFC"/>
    <w:rsid w:val="3CCF5F01"/>
    <w:rsid w:val="3CDD0A65"/>
    <w:rsid w:val="3CE04016"/>
    <w:rsid w:val="3CEA0A50"/>
    <w:rsid w:val="3CF2463C"/>
    <w:rsid w:val="3CF7310E"/>
    <w:rsid w:val="3CFA1C05"/>
    <w:rsid w:val="3D0034C6"/>
    <w:rsid w:val="3D023F8C"/>
    <w:rsid w:val="3D0A2806"/>
    <w:rsid w:val="3D0F48FB"/>
    <w:rsid w:val="3D12492A"/>
    <w:rsid w:val="3D357A84"/>
    <w:rsid w:val="3D383EEB"/>
    <w:rsid w:val="3D3D526F"/>
    <w:rsid w:val="3D4C7F20"/>
    <w:rsid w:val="3D4E724C"/>
    <w:rsid w:val="3D5528E2"/>
    <w:rsid w:val="3D6332C3"/>
    <w:rsid w:val="3D6732A5"/>
    <w:rsid w:val="3D6D4665"/>
    <w:rsid w:val="3D6D76BC"/>
    <w:rsid w:val="3D6E737C"/>
    <w:rsid w:val="3D730872"/>
    <w:rsid w:val="3D7549D3"/>
    <w:rsid w:val="3D7D23D6"/>
    <w:rsid w:val="3D8250F7"/>
    <w:rsid w:val="3D846CC3"/>
    <w:rsid w:val="3D870E43"/>
    <w:rsid w:val="3D874491"/>
    <w:rsid w:val="3D8A6929"/>
    <w:rsid w:val="3D8B4BB3"/>
    <w:rsid w:val="3D974B2C"/>
    <w:rsid w:val="3D9E3872"/>
    <w:rsid w:val="3DA74768"/>
    <w:rsid w:val="3DAA0180"/>
    <w:rsid w:val="3DAA5519"/>
    <w:rsid w:val="3DAC3EF8"/>
    <w:rsid w:val="3DAE129E"/>
    <w:rsid w:val="3DC2196D"/>
    <w:rsid w:val="3DC22A59"/>
    <w:rsid w:val="3DC5179E"/>
    <w:rsid w:val="3DC53E15"/>
    <w:rsid w:val="3DC800B1"/>
    <w:rsid w:val="3DDF607B"/>
    <w:rsid w:val="3DE8490B"/>
    <w:rsid w:val="3DEC06A3"/>
    <w:rsid w:val="3DEE4511"/>
    <w:rsid w:val="3DF062BF"/>
    <w:rsid w:val="3DF748FE"/>
    <w:rsid w:val="3E0114E9"/>
    <w:rsid w:val="3E0755D2"/>
    <w:rsid w:val="3E1B038F"/>
    <w:rsid w:val="3E23240C"/>
    <w:rsid w:val="3E335BE6"/>
    <w:rsid w:val="3E3528AC"/>
    <w:rsid w:val="3E3A6F92"/>
    <w:rsid w:val="3E3A7756"/>
    <w:rsid w:val="3E46434D"/>
    <w:rsid w:val="3E52185C"/>
    <w:rsid w:val="3E54468F"/>
    <w:rsid w:val="3E606A2D"/>
    <w:rsid w:val="3E7341AD"/>
    <w:rsid w:val="3E7822C4"/>
    <w:rsid w:val="3E805434"/>
    <w:rsid w:val="3E815608"/>
    <w:rsid w:val="3E846C23"/>
    <w:rsid w:val="3E8F7B14"/>
    <w:rsid w:val="3E94330A"/>
    <w:rsid w:val="3E946671"/>
    <w:rsid w:val="3E976956"/>
    <w:rsid w:val="3EA213DC"/>
    <w:rsid w:val="3EAE4717"/>
    <w:rsid w:val="3EB72464"/>
    <w:rsid w:val="3EBA3F5B"/>
    <w:rsid w:val="3EBC03E7"/>
    <w:rsid w:val="3EBF086E"/>
    <w:rsid w:val="3EC22F0F"/>
    <w:rsid w:val="3EC56DD6"/>
    <w:rsid w:val="3EC949CD"/>
    <w:rsid w:val="3ECD0CEE"/>
    <w:rsid w:val="3ECD3467"/>
    <w:rsid w:val="3ED929DD"/>
    <w:rsid w:val="3ED93797"/>
    <w:rsid w:val="3EDE27D7"/>
    <w:rsid w:val="3EE62288"/>
    <w:rsid w:val="3EE9778D"/>
    <w:rsid w:val="3EEA17FF"/>
    <w:rsid w:val="3EEA3535"/>
    <w:rsid w:val="3EED7C9C"/>
    <w:rsid w:val="3EFB6458"/>
    <w:rsid w:val="3F0E79F6"/>
    <w:rsid w:val="3F104D83"/>
    <w:rsid w:val="3F1434CE"/>
    <w:rsid w:val="3F1B1AE7"/>
    <w:rsid w:val="3F1F72E5"/>
    <w:rsid w:val="3F291D1D"/>
    <w:rsid w:val="3F3B3785"/>
    <w:rsid w:val="3F4477A4"/>
    <w:rsid w:val="3F5C02F6"/>
    <w:rsid w:val="3F6214D5"/>
    <w:rsid w:val="3F7D062D"/>
    <w:rsid w:val="3F852C53"/>
    <w:rsid w:val="3F861027"/>
    <w:rsid w:val="3F8D1C71"/>
    <w:rsid w:val="3FA46034"/>
    <w:rsid w:val="3FAE4D5D"/>
    <w:rsid w:val="3FB963F8"/>
    <w:rsid w:val="3FD020C9"/>
    <w:rsid w:val="3FD3247F"/>
    <w:rsid w:val="3FE23C01"/>
    <w:rsid w:val="3FE35B67"/>
    <w:rsid w:val="3FEF23B5"/>
    <w:rsid w:val="3FFD062E"/>
    <w:rsid w:val="3FFD0D04"/>
    <w:rsid w:val="400F59AA"/>
    <w:rsid w:val="40120F09"/>
    <w:rsid w:val="40154126"/>
    <w:rsid w:val="401571E8"/>
    <w:rsid w:val="4015799E"/>
    <w:rsid w:val="40185875"/>
    <w:rsid w:val="401F5EFF"/>
    <w:rsid w:val="40222AFA"/>
    <w:rsid w:val="402661E4"/>
    <w:rsid w:val="402B55A8"/>
    <w:rsid w:val="402E32EA"/>
    <w:rsid w:val="402E6E46"/>
    <w:rsid w:val="403A795B"/>
    <w:rsid w:val="40442BC5"/>
    <w:rsid w:val="4049528C"/>
    <w:rsid w:val="404971E7"/>
    <w:rsid w:val="404F76C3"/>
    <w:rsid w:val="405009AC"/>
    <w:rsid w:val="405D3E77"/>
    <w:rsid w:val="405D597D"/>
    <w:rsid w:val="406867FC"/>
    <w:rsid w:val="40692863"/>
    <w:rsid w:val="406B695A"/>
    <w:rsid w:val="407D0727"/>
    <w:rsid w:val="407F76A2"/>
    <w:rsid w:val="40872ABF"/>
    <w:rsid w:val="40997ADA"/>
    <w:rsid w:val="409F01E1"/>
    <w:rsid w:val="40A77CAB"/>
    <w:rsid w:val="40B414F2"/>
    <w:rsid w:val="40B557B9"/>
    <w:rsid w:val="40B80592"/>
    <w:rsid w:val="40B97058"/>
    <w:rsid w:val="40BD03D8"/>
    <w:rsid w:val="40D169AB"/>
    <w:rsid w:val="40D34095"/>
    <w:rsid w:val="40D3481B"/>
    <w:rsid w:val="40D37B4C"/>
    <w:rsid w:val="40D94229"/>
    <w:rsid w:val="40DF13A0"/>
    <w:rsid w:val="40E67721"/>
    <w:rsid w:val="40F043A1"/>
    <w:rsid w:val="40F24318"/>
    <w:rsid w:val="40F40090"/>
    <w:rsid w:val="40FC0CF2"/>
    <w:rsid w:val="41070358"/>
    <w:rsid w:val="410B027C"/>
    <w:rsid w:val="411A73CB"/>
    <w:rsid w:val="412B1E27"/>
    <w:rsid w:val="414670D0"/>
    <w:rsid w:val="414B0433"/>
    <w:rsid w:val="4153520E"/>
    <w:rsid w:val="415F7893"/>
    <w:rsid w:val="416C16AB"/>
    <w:rsid w:val="4171417E"/>
    <w:rsid w:val="41725B1F"/>
    <w:rsid w:val="417567E6"/>
    <w:rsid w:val="417B479B"/>
    <w:rsid w:val="417D7266"/>
    <w:rsid w:val="418C7350"/>
    <w:rsid w:val="418F352F"/>
    <w:rsid w:val="4192354C"/>
    <w:rsid w:val="41A2037B"/>
    <w:rsid w:val="41A575DC"/>
    <w:rsid w:val="41B47EB0"/>
    <w:rsid w:val="41C77552"/>
    <w:rsid w:val="41C83BE3"/>
    <w:rsid w:val="41D60587"/>
    <w:rsid w:val="41D93BE5"/>
    <w:rsid w:val="41DB2F48"/>
    <w:rsid w:val="41E77C57"/>
    <w:rsid w:val="41F1637D"/>
    <w:rsid w:val="41F45E6E"/>
    <w:rsid w:val="420850EE"/>
    <w:rsid w:val="42100EF9"/>
    <w:rsid w:val="42186000"/>
    <w:rsid w:val="421B77AC"/>
    <w:rsid w:val="421E6D3F"/>
    <w:rsid w:val="42276243"/>
    <w:rsid w:val="422D579C"/>
    <w:rsid w:val="42375CB4"/>
    <w:rsid w:val="4241307A"/>
    <w:rsid w:val="42467E42"/>
    <w:rsid w:val="424F5D6C"/>
    <w:rsid w:val="42552DB0"/>
    <w:rsid w:val="425A7AF1"/>
    <w:rsid w:val="42654C09"/>
    <w:rsid w:val="42673E2F"/>
    <w:rsid w:val="426C3282"/>
    <w:rsid w:val="426C685D"/>
    <w:rsid w:val="42707588"/>
    <w:rsid w:val="4273540D"/>
    <w:rsid w:val="428200B6"/>
    <w:rsid w:val="428700F9"/>
    <w:rsid w:val="428E1E9F"/>
    <w:rsid w:val="42904DAA"/>
    <w:rsid w:val="42935246"/>
    <w:rsid w:val="42935686"/>
    <w:rsid w:val="42A23DBD"/>
    <w:rsid w:val="42A523B5"/>
    <w:rsid w:val="42C40720"/>
    <w:rsid w:val="42C574D5"/>
    <w:rsid w:val="42D01842"/>
    <w:rsid w:val="42D20ABE"/>
    <w:rsid w:val="42D77C69"/>
    <w:rsid w:val="42E07672"/>
    <w:rsid w:val="43006D78"/>
    <w:rsid w:val="430469D3"/>
    <w:rsid w:val="43065E58"/>
    <w:rsid w:val="430A1D0C"/>
    <w:rsid w:val="430A4DC2"/>
    <w:rsid w:val="430A7866"/>
    <w:rsid w:val="430B6426"/>
    <w:rsid w:val="430B7913"/>
    <w:rsid w:val="430D3E24"/>
    <w:rsid w:val="430E50D9"/>
    <w:rsid w:val="43141C25"/>
    <w:rsid w:val="431E77B5"/>
    <w:rsid w:val="43221C33"/>
    <w:rsid w:val="432335FB"/>
    <w:rsid w:val="432B2DF5"/>
    <w:rsid w:val="433724B6"/>
    <w:rsid w:val="433C618D"/>
    <w:rsid w:val="433D2782"/>
    <w:rsid w:val="434150E2"/>
    <w:rsid w:val="4355099C"/>
    <w:rsid w:val="435629F9"/>
    <w:rsid w:val="43572B58"/>
    <w:rsid w:val="435B2EBC"/>
    <w:rsid w:val="435F4B93"/>
    <w:rsid w:val="43610F4D"/>
    <w:rsid w:val="43632D4D"/>
    <w:rsid w:val="43664E65"/>
    <w:rsid w:val="436F7EA2"/>
    <w:rsid w:val="4376192A"/>
    <w:rsid w:val="438008C3"/>
    <w:rsid w:val="438A5DE2"/>
    <w:rsid w:val="438B764D"/>
    <w:rsid w:val="438C45FD"/>
    <w:rsid w:val="43903F2A"/>
    <w:rsid w:val="43A741A7"/>
    <w:rsid w:val="43A92944"/>
    <w:rsid w:val="43AC585A"/>
    <w:rsid w:val="43B03183"/>
    <w:rsid w:val="43B7222E"/>
    <w:rsid w:val="43B77122"/>
    <w:rsid w:val="43B971EC"/>
    <w:rsid w:val="43BB659B"/>
    <w:rsid w:val="43C04259"/>
    <w:rsid w:val="43CC4A3F"/>
    <w:rsid w:val="43D06BA5"/>
    <w:rsid w:val="43D53D53"/>
    <w:rsid w:val="43F115D4"/>
    <w:rsid w:val="43F313F3"/>
    <w:rsid w:val="43F54298"/>
    <w:rsid w:val="43FB60D3"/>
    <w:rsid w:val="43FD4220"/>
    <w:rsid w:val="440B65FC"/>
    <w:rsid w:val="441C2BF1"/>
    <w:rsid w:val="442435ED"/>
    <w:rsid w:val="443A4252"/>
    <w:rsid w:val="443D67BB"/>
    <w:rsid w:val="444520DE"/>
    <w:rsid w:val="444D7109"/>
    <w:rsid w:val="446813FF"/>
    <w:rsid w:val="447325DA"/>
    <w:rsid w:val="4484172B"/>
    <w:rsid w:val="44872FC9"/>
    <w:rsid w:val="44873BD2"/>
    <w:rsid w:val="448F4678"/>
    <w:rsid w:val="44965CD9"/>
    <w:rsid w:val="44974A0B"/>
    <w:rsid w:val="449A7836"/>
    <w:rsid w:val="449C5055"/>
    <w:rsid w:val="44A06561"/>
    <w:rsid w:val="44A55FDD"/>
    <w:rsid w:val="44B16BF5"/>
    <w:rsid w:val="44B3216D"/>
    <w:rsid w:val="44BA6EFA"/>
    <w:rsid w:val="44C00189"/>
    <w:rsid w:val="44C770AD"/>
    <w:rsid w:val="44CA0ACF"/>
    <w:rsid w:val="44CB3749"/>
    <w:rsid w:val="44DB03EA"/>
    <w:rsid w:val="44E4041B"/>
    <w:rsid w:val="44E6360F"/>
    <w:rsid w:val="44EE459B"/>
    <w:rsid w:val="44F31176"/>
    <w:rsid w:val="450E5498"/>
    <w:rsid w:val="451707F1"/>
    <w:rsid w:val="451764AF"/>
    <w:rsid w:val="45220856"/>
    <w:rsid w:val="452808C9"/>
    <w:rsid w:val="453749EF"/>
    <w:rsid w:val="45396B26"/>
    <w:rsid w:val="453E6BD0"/>
    <w:rsid w:val="453E79A8"/>
    <w:rsid w:val="45455285"/>
    <w:rsid w:val="454664FD"/>
    <w:rsid w:val="454C02B7"/>
    <w:rsid w:val="454C738B"/>
    <w:rsid w:val="454E0A4E"/>
    <w:rsid w:val="454E41CD"/>
    <w:rsid w:val="4552327C"/>
    <w:rsid w:val="45542AEB"/>
    <w:rsid w:val="45567F33"/>
    <w:rsid w:val="45671E49"/>
    <w:rsid w:val="457002F0"/>
    <w:rsid w:val="45775BB1"/>
    <w:rsid w:val="457F3FC3"/>
    <w:rsid w:val="458D13CD"/>
    <w:rsid w:val="459163BD"/>
    <w:rsid w:val="459256AF"/>
    <w:rsid w:val="45A76EB4"/>
    <w:rsid w:val="45BC7A00"/>
    <w:rsid w:val="45C36745"/>
    <w:rsid w:val="45CE6609"/>
    <w:rsid w:val="45CF4804"/>
    <w:rsid w:val="45D76E13"/>
    <w:rsid w:val="45E07FD6"/>
    <w:rsid w:val="45E82B47"/>
    <w:rsid w:val="45F66658"/>
    <w:rsid w:val="45FE3BBD"/>
    <w:rsid w:val="460C2DAE"/>
    <w:rsid w:val="460E1BF1"/>
    <w:rsid w:val="461641BC"/>
    <w:rsid w:val="461D428E"/>
    <w:rsid w:val="462D74DA"/>
    <w:rsid w:val="462E4075"/>
    <w:rsid w:val="463154EB"/>
    <w:rsid w:val="4634493A"/>
    <w:rsid w:val="46355F0D"/>
    <w:rsid w:val="463618FF"/>
    <w:rsid w:val="46431460"/>
    <w:rsid w:val="464372CD"/>
    <w:rsid w:val="46477E22"/>
    <w:rsid w:val="464B2356"/>
    <w:rsid w:val="46554C09"/>
    <w:rsid w:val="4661284A"/>
    <w:rsid w:val="466730B2"/>
    <w:rsid w:val="466F343D"/>
    <w:rsid w:val="467523B1"/>
    <w:rsid w:val="46816BC7"/>
    <w:rsid w:val="4686308E"/>
    <w:rsid w:val="468D6F67"/>
    <w:rsid w:val="468E1D65"/>
    <w:rsid w:val="469B0D50"/>
    <w:rsid w:val="469B2D5C"/>
    <w:rsid w:val="46A37B27"/>
    <w:rsid w:val="46A460B4"/>
    <w:rsid w:val="46B12D61"/>
    <w:rsid w:val="46B138F0"/>
    <w:rsid w:val="46B80F1A"/>
    <w:rsid w:val="46CE3249"/>
    <w:rsid w:val="46D379A4"/>
    <w:rsid w:val="46D47D45"/>
    <w:rsid w:val="46D67190"/>
    <w:rsid w:val="46D76B18"/>
    <w:rsid w:val="46DC2327"/>
    <w:rsid w:val="46DD5FA8"/>
    <w:rsid w:val="46E03A18"/>
    <w:rsid w:val="46E27759"/>
    <w:rsid w:val="46EB00CE"/>
    <w:rsid w:val="46F51CAF"/>
    <w:rsid w:val="46FE60CF"/>
    <w:rsid w:val="47026109"/>
    <w:rsid w:val="47071601"/>
    <w:rsid w:val="470B249F"/>
    <w:rsid w:val="47127D68"/>
    <w:rsid w:val="47162130"/>
    <w:rsid w:val="471E2805"/>
    <w:rsid w:val="471F2AB4"/>
    <w:rsid w:val="472506E5"/>
    <w:rsid w:val="47286027"/>
    <w:rsid w:val="47443414"/>
    <w:rsid w:val="474451A1"/>
    <w:rsid w:val="4746716B"/>
    <w:rsid w:val="475047D3"/>
    <w:rsid w:val="4754480A"/>
    <w:rsid w:val="47592C3D"/>
    <w:rsid w:val="475A2C17"/>
    <w:rsid w:val="475E52BA"/>
    <w:rsid w:val="47653A95"/>
    <w:rsid w:val="4766336A"/>
    <w:rsid w:val="477932D0"/>
    <w:rsid w:val="477C08CB"/>
    <w:rsid w:val="478B4B7E"/>
    <w:rsid w:val="478C241F"/>
    <w:rsid w:val="478C73AF"/>
    <w:rsid w:val="47936A47"/>
    <w:rsid w:val="47A33912"/>
    <w:rsid w:val="47A35A7B"/>
    <w:rsid w:val="47A67F81"/>
    <w:rsid w:val="47B5363F"/>
    <w:rsid w:val="47B71E17"/>
    <w:rsid w:val="47BF2966"/>
    <w:rsid w:val="47CB46CE"/>
    <w:rsid w:val="47CE3721"/>
    <w:rsid w:val="47D96BEF"/>
    <w:rsid w:val="47DE21F6"/>
    <w:rsid w:val="47E10C42"/>
    <w:rsid w:val="47E328E8"/>
    <w:rsid w:val="47E55C6C"/>
    <w:rsid w:val="47EA3F9B"/>
    <w:rsid w:val="47ED5134"/>
    <w:rsid w:val="47F15329"/>
    <w:rsid w:val="47FC41EE"/>
    <w:rsid w:val="48021498"/>
    <w:rsid w:val="480706A9"/>
    <w:rsid w:val="48075D9E"/>
    <w:rsid w:val="481013C3"/>
    <w:rsid w:val="48103419"/>
    <w:rsid w:val="482D3354"/>
    <w:rsid w:val="482E20D9"/>
    <w:rsid w:val="48355EF2"/>
    <w:rsid w:val="483A1140"/>
    <w:rsid w:val="4845595D"/>
    <w:rsid w:val="48465ECA"/>
    <w:rsid w:val="4855661E"/>
    <w:rsid w:val="485A1120"/>
    <w:rsid w:val="48600AF5"/>
    <w:rsid w:val="487C452D"/>
    <w:rsid w:val="487F0B87"/>
    <w:rsid w:val="48847D65"/>
    <w:rsid w:val="489553A5"/>
    <w:rsid w:val="489E055A"/>
    <w:rsid w:val="489E2F22"/>
    <w:rsid w:val="489E3831"/>
    <w:rsid w:val="48AB74D8"/>
    <w:rsid w:val="48AD09A9"/>
    <w:rsid w:val="48AD5394"/>
    <w:rsid w:val="48B85E47"/>
    <w:rsid w:val="48B87EC8"/>
    <w:rsid w:val="48BA7CD4"/>
    <w:rsid w:val="48BB76E5"/>
    <w:rsid w:val="48BD31F9"/>
    <w:rsid w:val="48BE227F"/>
    <w:rsid w:val="48C32BDB"/>
    <w:rsid w:val="48C40755"/>
    <w:rsid w:val="48C437EC"/>
    <w:rsid w:val="48CA1FE3"/>
    <w:rsid w:val="48CD0557"/>
    <w:rsid w:val="48D06654"/>
    <w:rsid w:val="48DA400F"/>
    <w:rsid w:val="48E32DA2"/>
    <w:rsid w:val="48EB6EAB"/>
    <w:rsid w:val="48EC4B45"/>
    <w:rsid w:val="48F21359"/>
    <w:rsid w:val="48F50EEE"/>
    <w:rsid w:val="490343CA"/>
    <w:rsid w:val="4904743B"/>
    <w:rsid w:val="491C14A9"/>
    <w:rsid w:val="492563C9"/>
    <w:rsid w:val="492B27EC"/>
    <w:rsid w:val="492F2942"/>
    <w:rsid w:val="49351B03"/>
    <w:rsid w:val="49397782"/>
    <w:rsid w:val="493C0699"/>
    <w:rsid w:val="494F67AB"/>
    <w:rsid w:val="4950709D"/>
    <w:rsid w:val="495233C4"/>
    <w:rsid w:val="497004D0"/>
    <w:rsid w:val="49802A68"/>
    <w:rsid w:val="49861AA1"/>
    <w:rsid w:val="49875290"/>
    <w:rsid w:val="49891215"/>
    <w:rsid w:val="498A423E"/>
    <w:rsid w:val="498B70B7"/>
    <w:rsid w:val="49A34401"/>
    <w:rsid w:val="49A455B6"/>
    <w:rsid w:val="49A63734"/>
    <w:rsid w:val="49B02FC2"/>
    <w:rsid w:val="49CF1384"/>
    <w:rsid w:val="49D7054F"/>
    <w:rsid w:val="49D95586"/>
    <w:rsid w:val="49DE6D23"/>
    <w:rsid w:val="49E17E97"/>
    <w:rsid w:val="49E65525"/>
    <w:rsid w:val="49EF1DC8"/>
    <w:rsid w:val="49F619EE"/>
    <w:rsid w:val="49FB2C9D"/>
    <w:rsid w:val="4A0A26D2"/>
    <w:rsid w:val="4A0A4BEE"/>
    <w:rsid w:val="4A0B5B9A"/>
    <w:rsid w:val="4A211429"/>
    <w:rsid w:val="4A280DFB"/>
    <w:rsid w:val="4A2C1284"/>
    <w:rsid w:val="4A34751B"/>
    <w:rsid w:val="4A35407B"/>
    <w:rsid w:val="4A361719"/>
    <w:rsid w:val="4A3634C7"/>
    <w:rsid w:val="4A416461"/>
    <w:rsid w:val="4A435FAB"/>
    <w:rsid w:val="4A4852DA"/>
    <w:rsid w:val="4A4F4589"/>
    <w:rsid w:val="4A5024D9"/>
    <w:rsid w:val="4A5565BA"/>
    <w:rsid w:val="4A5E2A1E"/>
    <w:rsid w:val="4A780DDF"/>
    <w:rsid w:val="4A916B8C"/>
    <w:rsid w:val="4A9A009E"/>
    <w:rsid w:val="4AA56C78"/>
    <w:rsid w:val="4AB63A85"/>
    <w:rsid w:val="4AC22FAD"/>
    <w:rsid w:val="4ACC3E2B"/>
    <w:rsid w:val="4AD05CCA"/>
    <w:rsid w:val="4AD30D16"/>
    <w:rsid w:val="4AD63FF4"/>
    <w:rsid w:val="4AE02BB3"/>
    <w:rsid w:val="4AE75BFB"/>
    <w:rsid w:val="4AF934EF"/>
    <w:rsid w:val="4AFF0D4D"/>
    <w:rsid w:val="4B011F0B"/>
    <w:rsid w:val="4B04239A"/>
    <w:rsid w:val="4B0C4723"/>
    <w:rsid w:val="4B115470"/>
    <w:rsid w:val="4B174A50"/>
    <w:rsid w:val="4B1A6945"/>
    <w:rsid w:val="4B1E117A"/>
    <w:rsid w:val="4B3111F3"/>
    <w:rsid w:val="4B371995"/>
    <w:rsid w:val="4B3F49CB"/>
    <w:rsid w:val="4B515C80"/>
    <w:rsid w:val="4B542EFC"/>
    <w:rsid w:val="4B560061"/>
    <w:rsid w:val="4B577B99"/>
    <w:rsid w:val="4B582BCD"/>
    <w:rsid w:val="4B5B5BAC"/>
    <w:rsid w:val="4B6015AD"/>
    <w:rsid w:val="4B643DC2"/>
    <w:rsid w:val="4B6B0F4E"/>
    <w:rsid w:val="4B6F4854"/>
    <w:rsid w:val="4B842010"/>
    <w:rsid w:val="4B90517F"/>
    <w:rsid w:val="4BA3331A"/>
    <w:rsid w:val="4BAC7EBB"/>
    <w:rsid w:val="4BAF0679"/>
    <w:rsid w:val="4BB052DA"/>
    <w:rsid w:val="4BBF181D"/>
    <w:rsid w:val="4BC734BB"/>
    <w:rsid w:val="4BCE4E1C"/>
    <w:rsid w:val="4BD50ABE"/>
    <w:rsid w:val="4BE55EEE"/>
    <w:rsid w:val="4C0D6CF6"/>
    <w:rsid w:val="4C115A9D"/>
    <w:rsid w:val="4C277DFE"/>
    <w:rsid w:val="4C30416B"/>
    <w:rsid w:val="4C327CBE"/>
    <w:rsid w:val="4C341C88"/>
    <w:rsid w:val="4C3B6EA2"/>
    <w:rsid w:val="4C453E95"/>
    <w:rsid w:val="4C591BB0"/>
    <w:rsid w:val="4C5C1CF5"/>
    <w:rsid w:val="4C60222C"/>
    <w:rsid w:val="4C615416"/>
    <w:rsid w:val="4C634C65"/>
    <w:rsid w:val="4C6A6082"/>
    <w:rsid w:val="4C6D196E"/>
    <w:rsid w:val="4C8B244E"/>
    <w:rsid w:val="4C934C01"/>
    <w:rsid w:val="4C954F21"/>
    <w:rsid w:val="4C9A4AB5"/>
    <w:rsid w:val="4CA02E3A"/>
    <w:rsid w:val="4CA34B9F"/>
    <w:rsid w:val="4CA8697D"/>
    <w:rsid w:val="4CB46265"/>
    <w:rsid w:val="4CB75AA4"/>
    <w:rsid w:val="4CB93F3C"/>
    <w:rsid w:val="4CCA0089"/>
    <w:rsid w:val="4CCC1F22"/>
    <w:rsid w:val="4CCE4AFC"/>
    <w:rsid w:val="4CCF19B1"/>
    <w:rsid w:val="4CD34FFD"/>
    <w:rsid w:val="4CE42BAA"/>
    <w:rsid w:val="4CE92A73"/>
    <w:rsid w:val="4CF64C11"/>
    <w:rsid w:val="4CFF2F93"/>
    <w:rsid w:val="4D003F07"/>
    <w:rsid w:val="4D0D7647"/>
    <w:rsid w:val="4D16313C"/>
    <w:rsid w:val="4D360113"/>
    <w:rsid w:val="4D3C32AA"/>
    <w:rsid w:val="4D571AD9"/>
    <w:rsid w:val="4D58225C"/>
    <w:rsid w:val="4D675994"/>
    <w:rsid w:val="4D6C4BBB"/>
    <w:rsid w:val="4D782049"/>
    <w:rsid w:val="4D8D5647"/>
    <w:rsid w:val="4D8D5B49"/>
    <w:rsid w:val="4D926C66"/>
    <w:rsid w:val="4DAE5E9B"/>
    <w:rsid w:val="4DB841F3"/>
    <w:rsid w:val="4DC10F6A"/>
    <w:rsid w:val="4DC4401B"/>
    <w:rsid w:val="4DC808DA"/>
    <w:rsid w:val="4DCB01B8"/>
    <w:rsid w:val="4DCB696C"/>
    <w:rsid w:val="4DD21759"/>
    <w:rsid w:val="4DD80E25"/>
    <w:rsid w:val="4DE1374A"/>
    <w:rsid w:val="4DE63297"/>
    <w:rsid w:val="4DE91BE0"/>
    <w:rsid w:val="4DEC3914"/>
    <w:rsid w:val="4DF0398D"/>
    <w:rsid w:val="4DF07472"/>
    <w:rsid w:val="4E036BCA"/>
    <w:rsid w:val="4E046DDE"/>
    <w:rsid w:val="4E08517B"/>
    <w:rsid w:val="4E0F6509"/>
    <w:rsid w:val="4E1A4EAE"/>
    <w:rsid w:val="4E2142A9"/>
    <w:rsid w:val="4E241889"/>
    <w:rsid w:val="4E24349A"/>
    <w:rsid w:val="4E2F6C3C"/>
    <w:rsid w:val="4E33103B"/>
    <w:rsid w:val="4E50663B"/>
    <w:rsid w:val="4E5572A1"/>
    <w:rsid w:val="4E5B026E"/>
    <w:rsid w:val="4E5E4577"/>
    <w:rsid w:val="4E624C32"/>
    <w:rsid w:val="4E632613"/>
    <w:rsid w:val="4E766588"/>
    <w:rsid w:val="4E816CDB"/>
    <w:rsid w:val="4E83273B"/>
    <w:rsid w:val="4E883AF0"/>
    <w:rsid w:val="4E9764FE"/>
    <w:rsid w:val="4E9904C8"/>
    <w:rsid w:val="4EA03605"/>
    <w:rsid w:val="4EA87096"/>
    <w:rsid w:val="4EBB21ED"/>
    <w:rsid w:val="4EC369F6"/>
    <w:rsid w:val="4EC92B5C"/>
    <w:rsid w:val="4ECB6FFF"/>
    <w:rsid w:val="4EDE156F"/>
    <w:rsid w:val="4EDF7DB1"/>
    <w:rsid w:val="4EEA3DF9"/>
    <w:rsid w:val="4EEB673F"/>
    <w:rsid w:val="4EF42A2A"/>
    <w:rsid w:val="4F041DE6"/>
    <w:rsid w:val="4F10750E"/>
    <w:rsid w:val="4F111C95"/>
    <w:rsid w:val="4F25442C"/>
    <w:rsid w:val="4F2726D8"/>
    <w:rsid w:val="4F275616"/>
    <w:rsid w:val="4F367A88"/>
    <w:rsid w:val="4F401DD9"/>
    <w:rsid w:val="4F404FD1"/>
    <w:rsid w:val="4F4727D9"/>
    <w:rsid w:val="4F483EC3"/>
    <w:rsid w:val="4F592DAD"/>
    <w:rsid w:val="4F636B0B"/>
    <w:rsid w:val="4F675ED1"/>
    <w:rsid w:val="4F707E4B"/>
    <w:rsid w:val="4F75441A"/>
    <w:rsid w:val="4F854876"/>
    <w:rsid w:val="4F975776"/>
    <w:rsid w:val="4F9A042C"/>
    <w:rsid w:val="4F9E69B0"/>
    <w:rsid w:val="4FB31116"/>
    <w:rsid w:val="4FC10F51"/>
    <w:rsid w:val="4FD40D5D"/>
    <w:rsid w:val="4FD41318"/>
    <w:rsid w:val="4FD939F2"/>
    <w:rsid w:val="4FDE7304"/>
    <w:rsid w:val="4FE579DE"/>
    <w:rsid w:val="4FED6ACD"/>
    <w:rsid w:val="4FF01FF1"/>
    <w:rsid w:val="4FFF26A6"/>
    <w:rsid w:val="50181DB2"/>
    <w:rsid w:val="50190581"/>
    <w:rsid w:val="501F476A"/>
    <w:rsid w:val="502838B2"/>
    <w:rsid w:val="50290799"/>
    <w:rsid w:val="502B33A2"/>
    <w:rsid w:val="502C47D7"/>
    <w:rsid w:val="503227F3"/>
    <w:rsid w:val="503B43F3"/>
    <w:rsid w:val="50406E4E"/>
    <w:rsid w:val="504306EC"/>
    <w:rsid w:val="50445371"/>
    <w:rsid w:val="50494CCA"/>
    <w:rsid w:val="504D2AB4"/>
    <w:rsid w:val="50506232"/>
    <w:rsid w:val="50506965"/>
    <w:rsid w:val="50537655"/>
    <w:rsid w:val="505473A1"/>
    <w:rsid w:val="505C355C"/>
    <w:rsid w:val="505D2C31"/>
    <w:rsid w:val="506364C3"/>
    <w:rsid w:val="50676AA3"/>
    <w:rsid w:val="506968FB"/>
    <w:rsid w:val="506F328F"/>
    <w:rsid w:val="50757226"/>
    <w:rsid w:val="50875B0C"/>
    <w:rsid w:val="50886342"/>
    <w:rsid w:val="508A1E77"/>
    <w:rsid w:val="508E6A71"/>
    <w:rsid w:val="50AA42C7"/>
    <w:rsid w:val="50AD4B67"/>
    <w:rsid w:val="50B02DD6"/>
    <w:rsid w:val="50B76FAC"/>
    <w:rsid w:val="50BC5D79"/>
    <w:rsid w:val="50BE4C0A"/>
    <w:rsid w:val="50E1483E"/>
    <w:rsid w:val="50E859AC"/>
    <w:rsid w:val="50EE68AA"/>
    <w:rsid w:val="51007F37"/>
    <w:rsid w:val="510103B6"/>
    <w:rsid w:val="51031EB6"/>
    <w:rsid w:val="510C2AA3"/>
    <w:rsid w:val="51145A71"/>
    <w:rsid w:val="511A0490"/>
    <w:rsid w:val="51206B42"/>
    <w:rsid w:val="51270D41"/>
    <w:rsid w:val="51295B34"/>
    <w:rsid w:val="51316796"/>
    <w:rsid w:val="5140188A"/>
    <w:rsid w:val="514B6A3D"/>
    <w:rsid w:val="51503B1A"/>
    <w:rsid w:val="5151441F"/>
    <w:rsid w:val="51673F9D"/>
    <w:rsid w:val="516A0074"/>
    <w:rsid w:val="51752B27"/>
    <w:rsid w:val="517E4E2D"/>
    <w:rsid w:val="5180258F"/>
    <w:rsid w:val="518B68B4"/>
    <w:rsid w:val="51A82E2D"/>
    <w:rsid w:val="51AA69E8"/>
    <w:rsid w:val="51AE6039"/>
    <w:rsid w:val="51AF6AF4"/>
    <w:rsid w:val="51B22352"/>
    <w:rsid w:val="51B76ED0"/>
    <w:rsid w:val="51B80039"/>
    <w:rsid w:val="51C705B1"/>
    <w:rsid w:val="51D41D38"/>
    <w:rsid w:val="51D67036"/>
    <w:rsid w:val="51DC3136"/>
    <w:rsid w:val="51EB32C9"/>
    <w:rsid w:val="51EF3568"/>
    <w:rsid w:val="51F81D28"/>
    <w:rsid w:val="51FF189A"/>
    <w:rsid w:val="520408E1"/>
    <w:rsid w:val="520B3BBE"/>
    <w:rsid w:val="520C73B8"/>
    <w:rsid w:val="520C7E9B"/>
    <w:rsid w:val="521850C1"/>
    <w:rsid w:val="521B256D"/>
    <w:rsid w:val="5239232C"/>
    <w:rsid w:val="523A5B1F"/>
    <w:rsid w:val="523B56F1"/>
    <w:rsid w:val="523D2C08"/>
    <w:rsid w:val="5245699D"/>
    <w:rsid w:val="524D13AE"/>
    <w:rsid w:val="525C4CD1"/>
    <w:rsid w:val="525E2122"/>
    <w:rsid w:val="52632C80"/>
    <w:rsid w:val="526B7A65"/>
    <w:rsid w:val="527728CF"/>
    <w:rsid w:val="527C06A8"/>
    <w:rsid w:val="52806535"/>
    <w:rsid w:val="52833E93"/>
    <w:rsid w:val="52842483"/>
    <w:rsid w:val="528B5393"/>
    <w:rsid w:val="528F2F76"/>
    <w:rsid w:val="528F7ECD"/>
    <w:rsid w:val="529B480F"/>
    <w:rsid w:val="52AF18EF"/>
    <w:rsid w:val="52B05486"/>
    <w:rsid w:val="52B43B7C"/>
    <w:rsid w:val="52C33D66"/>
    <w:rsid w:val="52C55A21"/>
    <w:rsid w:val="52CC51A0"/>
    <w:rsid w:val="52D46A51"/>
    <w:rsid w:val="52D65847"/>
    <w:rsid w:val="52DD16C9"/>
    <w:rsid w:val="52E147E9"/>
    <w:rsid w:val="52EC0943"/>
    <w:rsid w:val="52ED535B"/>
    <w:rsid w:val="52F566EB"/>
    <w:rsid w:val="52F87468"/>
    <w:rsid w:val="530D5F96"/>
    <w:rsid w:val="53130849"/>
    <w:rsid w:val="5315394E"/>
    <w:rsid w:val="53185218"/>
    <w:rsid w:val="532145E9"/>
    <w:rsid w:val="532A0CC9"/>
    <w:rsid w:val="532E1E69"/>
    <w:rsid w:val="53396D21"/>
    <w:rsid w:val="53430A03"/>
    <w:rsid w:val="53464EF5"/>
    <w:rsid w:val="535722C9"/>
    <w:rsid w:val="535C082D"/>
    <w:rsid w:val="535C0928"/>
    <w:rsid w:val="536A1345"/>
    <w:rsid w:val="53733AAB"/>
    <w:rsid w:val="537A1F54"/>
    <w:rsid w:val="537A50EC"/>
    <w:rsid w:val="537A6DFC"/>
    <w:rsid w:val="537F310C"/>
    <w:rsid w:val="53803A05"/>
    <w:rsid w:val="538057B3"/>
    <w:rsid w:val="538452A3"/>
    <w:rsid w:val="538E6122"/>
    <w:rsid w:val="539D5092"/>
    <w:rsid w:val="539F5A31"/>
    <w:rsid w:val="53A54A39"/>
    <w:rsid w:val="53A616BE"/>
    <w:rsid w:val="53AC58FC"/>
    <w:rsid w:val="53B03160"/>
    <w:rsid w:val="53C03500"/>
    <w:rsid w:val="53CB2DD3"/>
    <w:rsid w:val="53CD1A4E"/>
    <w:rsid w:val="53CD5848"/>
    <w:rsid w:val="53D4590E"/>
    <w:rsid w:val="53DD5244"/>
    <w:rsid w:val="53E12120"/>
    <w:rsid w:val="53EC2AC7"/>
    <w:rsid w:val="53EC68F7"/>
    <w:rsid w:val="53F7629E"/>
    <w:rsid w:val="54075E4C"/>
    <w:rsid w:val="541272B5"/>
    <w:rsid w:val="541A601C"/>
    <w:rsid w:val="541D1254"/>
    <w:rsid w:val="542028AC"/>
    <w:rsid w:val="54277074"/>
    <w:rsid w:val="54285E88"/>
    <w:rsid w:val="54295A39"/>
    <w:rsid w:val="54310657"/>
    <w:rsid w:val="543835BD"/>
    <w:rsid w:val="543F151A"/>
    <w:rsid w:val="544364BA"/>
    <w:rsid w:val="54461244"/>
    <w:rsid w:val="544743C6"/>
    <w:rsid w:val="54546905"/>
    <w:rsid w:val="54547A82"/>
    <w:rsid w:val="545972F2"/>
    <w:rsid w:val="54647739"/>
    <w:rsid w:val="54876008"/>
    <w:rsid w:val="548C110A"/>
    <w:rsid w:val="548D63DA"/>
    <w:rsid w:val="54977FF3"/>
    <w:rsid w:val="54A43E02"/>
    <w:rsid w:val="54A71288"/>
    <w:rsid w:val="54A87049"/>
    <w:rsid w:val="54B30FDA"/>
    <w:rsid w:val="54B43B98"/>
    <w:rsid w:val="54C1095F"/>
    <w:rsid w:val="54C142D5"/>
    <w:rsid w:val="54C234F5"/>
    <w:rsid w:val="54C341E7"/>
    <w:rsid w:val="54C4716B"/>
    <w:rsid w:val="54C618EB"/>
    <w:rsid w:val="54D43973"/>
    <w:rsid w:val="54D97C92"/>
    <w:rsid w:val="54DA0EF3"/>
    <w:rsid w:val="54E3520E"/>
    <w:rsid w:val="54F83030"/>
    <w:rsid w:val="550D1EE6"/>
    <w:rsid w:val="550F3292"/>
    <w:rsid w:val="551D7355"/>
    <w:rsid w:val="552F6763"/>
    <w:rsid w:val="55473479"/>
    <w:rsid w:val="554A0B9A"/>
    <w:rsid w:val="554C1DF1"/>
    <w:rsid w:val="554C54E6"/>
    <w:rsid w:val="555D3229"/>
    <w:rsid w:val="55605470"/>
    <w:rsid w:val="5560589C"/>
    <w:rsid w:val="556365B6"/>
    <w:rsid w:val="55674464"/>
    <w:rsid w:val="556A18B4"/>
    <w:rsid w:val="556D0434"/>
    <w:rsid w:val="557034D6"/>
    <w:rsid w:val="55731FB9"/>
    <w:rsid w:val="55784C31"/>
    <w:rsid w:val="557A34DA"/>
    <w:rsid w:val="557C2F63"/>
    <w:rsid w:val="557F72A0"/>
    <w:rsid w:val="5584168C"/>
    <w:rsid w:val="558477DD"/>
    <w:rsid w:val="55A54F38"/>
    <w:rsid w:val="55B1434A"/>
    <w:rsid w:val="55C4407D"/>
    <w:rsid w:val="55C6477D"/>
    <w:rsid w:val="55DA564E"/>
    <w:rsid w:val="55DD047A"/>
    <w:rsid w:val="55DE66E9"/>
    <w:rsid w:val="55E015FD"/>
    <w:rsid w:val="56010E2D"/>
    <w:rsid w:val="560A4FFD"/>
    <w:rsid w:val="56214EC6"/>
    <w:rsid w:val="56250D86"/>
    <w:rsid w:val="56262642"/>
    <w:rsid w:val="56284C96"/>
    <w:rsid w:val="56352A66"/>
    <w:rsid w:val="5641068D"/>
    <w:rsid w:val="56436DEA"/>
    <w:rsid w:val="5648754E"/>
    <w:rsid w:val="56490F3A"/>
    <w:rsid w:val="564A560B"/>
    <w:rsid w:val="56590276"/>
    <w:rsid w:val="56616D4A"/>
    <w:rsid w:val="56653CED"/>
    <w:rsid w:val="56684E13"/>
    <w:rsid w:val="56686CCC"/>
    <w:rsid w:val="566C4F24"/>
    <w:rsid w:val="566D62C8"/>
    <w:rsid w:val="56794425"/>
    <w:rsid w:val="56812748"/>
    <w:rsid w:val="56814847"/>
    <w:rsid w:val="568C1AA1"/>
    <w:rsid w:val="56985BD8"/>
    <w:rsid w:val="56AB6FEB"/>
    <w:rsid w:val="56AC6A40"/>
    <w:rsid w:val="56B04601"/>
    <w:rsid w:val="56B2508E"/>
    <w:rsid w:val="56B714EC"/>
    <w:rsid w:val="56B761E1"/>
    <w:rsid w:val="56C20A78"/>
    <w:rsid w:val="56C44B23"/>
    <w:rsid w:val="56C456D9"/>
    <w:rsid w:val="56CD6F61"/>
    <w:rsid w:val="56D3730E"/>
    <w:rsid w:val="56D62870"/>
    <w:rsid w:val="56E2111D"/>
    <w:rsid w:val="56EC4AD0"/>
    <w:rsid w:val="56F30C69"/>
    <w:rsid w:val="56F347C6"/>
    <w:rsid w:val="56F50266"/>
    <w:rsid w:val="56F97D56"/>
    <w:rsid w:val="56FD35FF"/>
    <w:rsid w:val="570C2268"/>
    <w:rsid w:val="57156E9A"/>
    <w:rsid w:val="571E67C3"/>
    <w:rsid w:val="572603CD"/>
    <w:rsid w:val="572958DA"/>
    <w:rsid w:val="572A6162"/>
    <w:rsid w:val="57303F87"/>
    <w:rsid w:val="573135F9"/>
    <w:rsid w:val="57341025"/>
    <w:rsid w:val="5736034A"/>
    <w:rsid w:val="57380B92"/>
    <w:rsid w:val="574F7976"/>
    <w:rsid w:val="575223DF"/>
    <w:rsid w:val="5758436E"/>
    <w:rsid w:val="575A1FAF"/>
    <w:rsid w:val="57610B0A"/>
    <w:rsid w:val="5762755D"/>
    <w:rsid w:val="5763201E"/>
    <w:rsid w:val="57633422"/>
    <w:rsid w:val="576F586A"/>
    <w:rsid w:val="577628F7"/>
    <w:rsid w:val="577B01BC"/>
    <w:rsid w:val="579D0825"/>
    <w:rsid w:val="57A13D4D"/>
    <w:rsid w:val="57A557E8"/>
    <w:rsid w:val="57AD1ACD"/>
    <w:rsid w:val="57B16B45"/>
    <w:rsid w:val="57B552CF"/>
    <w:rsid w:val="57B81101"/>
    <w:rsid w:val="57C57E1A"/>
    <w:rsid w:val="57C6177E"/>
    <w:rsid w:val="57C97313"/>
    <w:rsid w:val="57CB1AC4"/>
    <w:rsid w:val="57CD0181"/>
    <w:rsid w:val="57CF2865"/>
    <w:rsid w:val="57D66BD7"/>
    <w:rsid w:val="57D8796C"/>
    <w:rsid w:val="57D952B9"/>
    <w:rsid w:val="57EE3633"/>
    <w:rsid w:val="57F23E4E"/>
    <w:rsid w:val="57F329F7"/>
    <w:rsid w:val="57F3384D"/>
    <w:rsid w:val="57F4051E"/>
    <w:rsid w:val="57F82E6A"/>
    <w:rsid w:val="57F9198D"/>
    <w:rsid w:val="58062F18"/>
    <w:rsid w:val="581003FB"/>
    <w:rsid w:val="581110D0"/>
    <w:rsid w:val="58224012"/>
    <w:rsid w:val="58230859"/>
    <w:rsid w:val="582666C5"/>
    <w:rsid w:val="58276DEF"/>
    <w:rsid w:val="582C1AAF"/>
    <w:rsid w:val="5834701B"/>
    <w:rsid w:val="58350E34"/>
    <w:rsid w:val="583A23D4"/>
    <w:rsid w:val="583A5D05"/>
    <w:rsid w:val="58412EA2"/>
    <w:rsid w:val="58447867"/>
    <w:rsid w:val="584E61E8"/>
    <w:rsid w:val="58632671"/>
    <w:rsid w:val="58786589"/>
    <w:rsid w:val="5879154D"/>
    <w:rsid w:val="587A6C75"/>
    <w:rsid w:val="587C0C3F"/>
    <w:rsid w:val="587D415B"/>
    <w:rsid w:val="587E1E2E"/>
    <w:rsid w:val="58866CF4"/>
    <w:rsid w:val="588967B3"/>
    <w:rsid w:val="589233DD"/>
    <w:rsid w:val="589C0785"/>
    <w:rsid w:val="589D0BB5"/>
    <w:rsid w:val="58A722B9"/>
    <w:rsid w:val="58A75F38"/>
    <w:rsid w:val="58AA1179"/>
    <w:rsid w:val="58AD156C"/>
    <w:rsid w:val="58AE5A93"/>
    <w:rsid w:val="58BC2ED3"/>
    <w:rsid w:val="58BE7EB7"/>
    <w:rsid w:val="58CC6AA4"/>
    <w:rsid w:val="58CF0D57"/>
    <w:rsid w:val="58D17250"/>
    <w:rsid w:val="58D755D2"/>
    <w:rsid w:val="58DC1179"/>
    <w:rsid w:val="58DF1EEE"/>
    <w:rsid w:val="58FD5705"/>
    <w:rsid w:val="590B56F1"/>
    <w:rsid w:val="59126EAD"/>
    <w:rsid w:val="591841DB"/>
    <w:rsid w:val="591E5852"/>
    <w:rsid w:val="592117E6"/>
    <w:rsid w:val="59213594"/>
    <w:rsid w:val="59215342"/>
    <w:rsid w:val="59237FE9"/>
    <w:rsid w:val="593A0373"/>
    <w:rsid w:val="59440E75"/>
    <w:rsid w:val="59480A78"/>
    <w:rsid w:val="59486D73"/>
    <w:rsid w:val="594A71C2"/>
    <w:rsid w:val="59522CB1"/>
    <w:rsid w:val="595347AB"/>
    <w:rsid w:val="595F4BE8"/>
    <w:rsid w:val="596040B5"/>
    <w:rsid w:val="596F7EDB"/>
    <w:rsid w:val="59802AE1"/>
    <w:rsid w:val="59835A81"/>
    <w:rsid w:val="59883599"/>
    <w:rsid w:val="599C0E6D"/>
    <w:rsid w:val="599F1CA1"/>
    <w:rsid w:val="59A4351F"/>
    <w:rsid w:val="59A62375"/>
    <w:rsid w:val="59AC371D"/>
    <w:rsid w:val="59B625A5"/>
    <w:rsid w:val="59B6534A"/>
    <w:rsid w:val="59B81CC8"/>
    <w:rsid w:val="59BD1D45"/>
    <w:rsid w:val="59BF30F0"/>
    <w:rsid w:val="59C052AA"/>
    <w:rsid w:val="59C12087"/>
    <w:rsid w:val="59CC52AE"/>
    <w:rsid w:val="59CD62FE"/>
    <w:rsid w:val="59CE4A40"/>
    <w:rsid w:val="59D423B5"/>
    <w:rsid w:val="59E44CEE"/>
    <w:rsid w:val="59E63661"/>
    <w:rsid w:val="59F64CDB"/>
    <w:rsid w:val="59F85D06"/>
    <w:rsid w:val="59FD6606"/>
    <w:rsid w:val="5A045A26"/>
    <w:rsid w:val="5A112694"/>
    <w:rsid w:val="5A1A5670"/>
    <w:rsid w:val="5A1C57D4"/>
    <w:rsid w:val="5A1D2766"/>
    <w:rsid w:val="5A2151EA"/>
    <w:rsid w:val="5A2450EA"/>
    <w:rsid w:val="5A252C10"/>
    <w:rsid w:val="5A320CC1"/>
    <w:rsid w:val="5A340519"/>
    <w:rsid w:val="5A3F2252"/>
    <w:rsid w:val="5A405EA0"/>
    <w:rsid w:val="5A5E4C52"/>
    <w:rsid w:val="5A5E5380"/>
    <w:rsid w:val="5A5F53D0"/>
    <w:rsid w:val="5A5F7277"/>
    <w:rsid w:val="5A695F8F"/>
    <w:rsid w:val="5A6B0596"/>
    <w:rsid w:val="5A6C60F1"/>
    <w:rsid w:val="5A7354DD"/>
    <w:rsid w:val="5A752957"/>
    <w:rsid w:val="5A753B98"/>
    <w:rsid w:val="5A7744B7"/>
    <w:rsid w:val="5A7E7147"/>
    <w:rsid w:val="5A82368B"/>
    <w:rsid w:val="5A8D3750"/>
    <w:rsid w:val="5A92187A"/>
    <w:rsid w:val="5AA13016"/>
    <w:rsid w:val="5AA15FD1"/>
    <w:rsid w:val="5AA75D1B"/>
    <w:rsid w:val="5AB20948"/>
    <w:rsid w:val="5AB24D48"/>
    <w:rsid w:val="5ABF18F8"/>
    <w:rsid w:val="5AC3630F"/>
    <w:rsid w:val="5AD14B46"/>
    <w:rsid w:val="5AD36C0E"/>
    <w:rsid w:val="5AE91E90"/>
    <w:rsid w:val="5AEC4D78"/>
    <w:rsid w:val="5AEE750A"/>
    <w:rsid w:val="5AF90B79"/>
    <w:rsid w:val="5B045207"/>
    <w:rsid w:val="5B1867D0"/>
    <w:rsid w:val="5B1D0508"/>
    <w:rsid w:val="5B1E4F01"/>
    <w:rsid w:val="5B285E15"/>
    <w:rsid w:val="5B3B6512"/>
    <w:rsid w:val="5B465534"/>
    <w:rsid w:val="5B4D68C3"/>
    <w:rsid w:val="5B512E60"/>
    <w:rsid w:val="5B514F34"/>
    <w:rsid w:val="5B5A1CFF"/>
    <w:rsid w:val="5B636E11"/>
    <w:rsid w:val="5B660ADA"/>
    <w:rsid w:val="5B6B064F"/>
    <w:rsid w:val="5B6B0AF7"/>
    <w:rsid w:val="5B6E0525"/>
    <w:rsid w:val="5B6E225A"/>
    <w:rsid w:val="5B6E6265"/>
    <w:rsid w:val="5B700045"/>
    <w:rsid w:val="5B7639B9"/>
    <w:rsid w:val="5B7E6A7C"/>
    <w:rsid w:val="5B8704BA"/>
    <w:rsid w:val="5B8B17A8"/>
    <w:rsid w:val="5B8F50C8"/>
    <w:rsid w:val="5B9011C7"/>
    <w:rsid w:val="5B9067AF"/>
    <w:rsid w:val="5B951873"/>
    <w:rsid w:val="5BA07A0B"/>
    <w:rsid w:val="5BA30756"/>
    <w:rsid w:val="5BA46CE2"/>
    <w:rsid w:val="5BA65FD3"/>
    <w:rsid w:val="5BB106A8"/>
    <w:rsid w:val="5BB16E51"/>
    <w:rsid w:val="5BB56B61"/>
    <w:rsid w:val="5BB75A49"/>
    <w:rsid w:val="5BBA388A"/>
    <w:rsid w:val="5BC01EB4"/>
    <w:rsid w:val="5BC31A14"/>
    <w:rsid w:val="5BCA76EC"/>
    <w:rsid w:val="5BCD0CB1"/>
    <w:rsid w:val="5BCE2125"/>
    <w:rsid w:val="5BD45B5A"/>
    <w:rsid w:val="5BD771F3"/>
    <w:rsid w:val="5BDA47EC"/>
    <w:rsid w:val="5BDB30A7"/>
    <w:rsid w:val="5BDB3FCC"/>
    <w:rsid w:val="5BDB7A2A"/>
    <w:rsid w:val="5BE8574B"/>
    <w:rsid w:val="5BE943C7"/>
    <w:rsid w:val="5BFC7E9A"/>
    <w:rsid w:val="5BFD239E"/>
    <w:rsid w:val="5C001082"/>
    <w:rsid w:val="5C043AA7"/>
    <w:rsid w:val="5C0858B4"/>
    <w:rsid w:val="5C134749"/>
    <w:rsid w:val="5C1738D7"/>
    <w:rsid w:val="5C2301F0"/>
    <w:rsid w:val="5C264684"/>
    <w:rsid w:val="5C2B3778"/>
    <w:rsid w:val="5C2B3995"/>
    <w:rsid w:val="5C370355"/>
    <w:rsid w:val="5C3A2094"/>
    <w:rsid w:val="5C3D1576"/>
    <w:rsid w:val="5C411DD2"/>
    <w:rsid w:val="5C483F36"/>
    <w:rsid w:val="5C4952DC"/>
    <w:rsid w:val="5C4A0AE8"/>
    <w:rsid w:val="5C52505C"/>
    <w:rsid w:val="5C5D48E3"/>
    <w:rsid w:val="5C605BC7"/>
    <w:rsid w:val="5C607689"/>
    <w:rsid w:val="5C6429DB"/>
    <w:rsid w:val="5C6C4C68"/>
    <w:rsid w:val="5C7774FE"/>
    <w:rsid w:val="5C7A4FAA"/>
    <w:rsid w:val="5C854A35"/>
    <w:rsid w:val="5C884B68"/>
    <w:rsid w:val="5C8A7386"/>
    <w:rsid w:val="5CA27C92"/>
    <w:rsid w:val="5CAB38A1"/>
    <w:rsid w:val="5CAC6D2A"/>
    <w:rsid w:val="5CAD6653"/>
    <w:rsid w:val="5CB32C58"/>
    <w:rsid w:val="5CCD510D"/>
    <w:rsid w:val="5CDC4CC6"/>
    <w:rsid w:val="5CDF354A"/>
    <w:rsid w:val="5CE14CFC"/>
    <w:rsid w:val="5CE32EFD"/>
    <w:rsid w:val="5CE6025C"/>
    <w:rsid w:val="5CEE04E8"/>
    <w:rsid w:val="5CF7080A"/>
    <w:rsid w:val="5CFB216A"/>
    <w:rsid w:val="5D070B0E"/>
    <w:rsid w:val="5D0D410B"/>
    <w:rsid w:val="5D110F8A"/>
    <w:rsid w:val="5D166616"/>
    <w:rsid w:val="5D197216"/>
    <w:rsid w:val="5D1D0BC1"/>
    <w:rsid w:val="5D1D2296"/>
    <w:rsid w:val="5D2426CA"/>
    <w:rsid w:val="5D292A17"/>
    <w:rsid w:val="5D3E52C6"/>
    <w:rsid w:val="5D3F47CB"/>
    <w:rsid w:val="5D42659E"/>
    <w:rsid w:val="5D431EB6"/>
    <w:rsid w:val="5D4A2361"/>
    <w:rsid w:val="5D4D6706"/>
    <w:rsid w:val="5D4F6922"/>
    <w:rsid w:val="5D523822"/>
    <w:rsid w:val="5D5C14D4"/>
    <w:rsid w:val="5D650917"/>
    <w:rsid w:val="5D6B4144"/>
    <w:rsid w:val="5D6F7F1B"/>
    <w:rsid w:val="5D797FCF"/>
    <w:rsid w:val="5D8D50D5"/>
    <w:rsid w:val="5D8E1F07"/>
    <w:rsid w:val="5D942227"/>
    <w:rsid w:val="5D962851"/>
    <w:rsid w:val="5D995DEF"/>
    <w:rsid w:val="5DA135B4"/>
    <w:rsid w:val="5DA17B39"/>
    <w:rsid w:val="5DA44B5A"/>
    <w:rsid w:val="5DA44FD8"/>
    <w:rsid w:val="5DA65748"/>
    <w:rsid w:val="5DB46F7F"/>
    <w:rsid w:val="5DB76CD4"/>
    <w:rsid w:val="5DB875D5"/>
    <w:rsid w:val="5DBE5132"/>
    <w:rsid w:val="5DC170F4"/>
    <w:rsid w:val="5DCD5E6A"/>
    <w:rsid w:val="5DCD7847"/>
    <w:rsid w:val="5DD64ABE"/>
    <w:rsid w:val="5DD92690"/>
    <w:rsid w:val="5DDA7139"/>
    <w:rsid w:val="5DEA76BD"/>
    <w:rsid w:val="5DEC28A5"/>
    <w:rsid w:val="5DEE0E52"/>
    <w:rsid w:val="5DF14AF9"/>
    <w:rsid w:val="5DFC0783"/>
    <w:rsid w:val="5DFC350C"/>
    <w:rsid w:val="5E001B6F"/>
    <w:rsid w:val="5E031047"/>
    <w:rsid w:val="5E133900"/>
    <w:rsid w:val="5E1836DA"/>
    <w:rsid w:val="5E1A0753"/>
    <w:rsid w:val="5E1C432A"/>
    <w:rsid w:val="5E26248D"/>
    <w:rsid w:val="5E343D6A"/>
    <w:rsid w:val="5E3915E5"/>
    <w:rsid w:val="5E3D1A7C"/>
    <w:rsid w:val="5E402241"/>
    <w:rsid w:val="5E4710C0"/>
    <w:rsid w:val="5E4D1A9C"/>
    <w:rsid w:val="5E505C10"/>
    <w:rsid w:val="5E537FB3"/>
    <w:rsid w:val="5E617EAA"/>
    <w:rsid w:val="5E62188B"/>
    <w:rsid w:val="5E622BAC"/>
    <w:rsid w:val="5E6F7BDE"/>
    <w:rsid w:val="5E734892"/>
    <w:rsid w:val="5E826BE2"/>
    <w:rsid w:val="5E8A0A27"/>
    <w:rsid w:val="5E8D143F"/>
    <w:rsid w:val="5EA06436"/>
    <w:rsid w:val="5EA26EB2"/>
    <w:rsid w:val="5EA66714"/>
    <w:rsid w:val="5EB132B9"/>
    <w:rsid w:val="5EB24909"/>
    <w:rsid w:val="5EB42195"/>
    <w:rsid w:val="5EB66715"/>
    <w:rsid w:val="5EBA0DC9"/>
    <w:rsid w:val="5EBB1968"/>
    <w:rsid w:val="5EBD2EAA"/>
    <w:rsid w:val="5EBE7609"/>
    <w:rsid w:val="5EDB6056"/>
    <w:rsid w:val="5EDC73D5"/>
    <w:rsid w:val="5EE10935"/>
    <w:rsid w:val="5EF446BC"/>
    <w:rsid w:val="5EFC4365"/>
    <w:rsid w:val="5F094BCE"/>
    <w:rsid w:val="5F0A7A2E"/>
    <w:rsid w:val="5F1077F0"/>
    <w:rsid w:val="5F125509"/>
    <w:rsid w:val="5F1540E6"/>
    <w:rsid w:val="5F177F8E"/>
    <w:rsid w:val="5F1C271E"/>
    <w:rsid w:val="5F20093D"/>
    <w:rsid w:val="5F2F0120"/>
    <w:rsid w:val="5F334230"/>
    <w:rsid w:val="5F3722C3"/>
    <w:rsid w:val="5F3D5379"/>
    <w:rsid w:val="5F4F235E"/>
    <w:rsid w:val="5F5741F8"/>
    <w:rsid w:val="5F574DB8"/>
    <w:rsid w:val="5F610B8F"/>
    <w:rsid w:val="5F63295F"/>
    <w:rsid w:val="5F6446D8"/>
    <w:rsid w:val="5F7256AE"/>
    <w:rsid w:val="5F797C86"/>
    <w:rsid w:val="5F7C2A43"/>
    <w:rsid w:val="5F816BF1"/>
    <w:rsid w:val="5F8F1807"/>
    <w:rsid w:val="5F95346E"/>
    <w:rsid w:val="5F9F5213"/>
    <w:rsid w:val="5FA0174C"/>
    <w:rsid w:val="5FA36AB1"/>
    <w:rsid w:val="5FAE61A7"/>
    <w:rsid w:val="5FAE6F05"/>
    <w:rsid w:val="5FB20C8A"/>
    <w:rsid w:val="5FBC2BC1"/>
    <w:rsid w:val="5FBC7B73"/>
    <w:rsid w:val="5FC33EDE"/>
    <w:rsid w:val="5FC55B17"/>
    <w:rsid w:val="5FD30251"/>
    <w:rsid w:val="5FD74F92"/>
    <w:rsid w:val="5FDF1CF1"/>
    <w:rsid w:val="5FDF4C42"/>
    <w:rsid w:val="5FF535D7"/>
    <w:rsid w:val="5FFA557A"/>
    <w:rsid w:val="5FFF5CB2"/>
    <w:rsid w:val="60044FA7"/>
    <w:rsid w:val="600546D1"/>
    <w:rsid w:val="60140D1B"/>
    <w:rsid w:val="60162256"/>
    <w:rsid w:val="602A7D19"/>
    <w:rsid w:val="6030204D"/>
    <w:rsid w:val="60434868"/>
    <w:rsid w:val="60522CF8"/>
    <w:rsid w:val="605338BF"/>
    <w:rsid w:val="60565B04"/>
    <w:rsid w:val="60592C21"/>
    <w:rsid w:val="60691717"/>
    <w:rsid w:val="60692E08"/>
    <w:rsid w:val="606E519E"/>
    <w:rsid w:val="60710045"/>
    <w:rsid w:val="60713306"/>
    <w:rsid w:val="60882067"/>
    <w:rsid w:val="609E7D14"/>
    <w:rsid w:val="609F196E"/>
    <w:rsid w:val="60A5501C"/>
    <w:rsid w:val="60A86923"/>
    <w:rsid w:val="60AE1BB1"/>
    <w:rsid w:val="60B22A8D"/>
    <w:rsid w:val="60C45117"/>
    <w:rsid w:val="60C879D3"/>
    <w:rsid w:val="60D50E49"/>
    <w:rsid w:val="60E03D35"/>
    <w:rsid w:val="60E27AAD"/>
    <w:rsid w:val="60F1626E"/>
    <w:rsid w:val="60FF317E"/>
    <w:rsid w:val="60FF6350"/>
    <w:rsid w:val="6104418E"/>
    <w:rsid w:val="61064D61"/>
    <w:rsid w:val="610A5E3D"/>
    <w:rsid w:val="610C5DDC"/>
    <w:rsid w:val="61147228"/>
    <w:rsid w:val="6114799D"/>
    <w:rsid w:val="611A0140"/>
    <w:rsid w:val="611A4046"/>
    <w:rsid w:val="611C2FBF"/>
    <w:rsid w:val="611D2CF5"/>
    <w:rsid w:val="6125141D"/>
    <w:rsid w:val="612B3202"/>
    <w:rsid w:val="612E4AF8"/>
    <w:rsid w:val="61331572"/>
    <w:rsid w:val="61377119"/>
    <w:rsid w:val="613C7D5D"/>
    <w:rsid w:val="61544195"/>
    <w:rsid w:val="61563B00"/>
    <w:rsid w:val="615D6F2A"/>
    <w:rsid w:val="616379EA"/>
    <w:rsid w:val="61646DF3"/>
    <w:rsid w:val="61774699"/>
    <w:rsid w:val="6178696F"/>
    <w:rsid w:val="61920D91"/>
    <w:rsid w:val="61963FB3"/>
    <w:rsid w:val="6199582C"/>
    <w:rsid w:val="61A56264"/>
    <w:rsid w:val="61B44FA8"/>
    <w:rsid w:val="61BA7168"/>
    <w:rsid w:val="61BC02FE"/>
    <w:rsid w:val="61BC14F7"/>
    <w:rsid w:val="61C92447"/>
    <w:rsid w:val="61D70067"/>
    <w:rsid w:val="61E15604"/>
    <w:rsid w:val="61E22C9F"/>
    <w:rsid w:val="61E67129"/>
    <w:rsid w:val="61ED495B"/>
    <w:rsid w:val="61F37D29"/>
    <w:rsid w:val="62097594"/>
    <w:rsid w:val="621576B3"/>
    <w:rsid w:val="62165C60"/>
    <w:rsid w:val="621F21C1"/>
    <w:rsid w:val="6220263B"/>
    <w:rsid w:val="62206602"/>
    <w:rsid w:val="622B1ED0"/>
    <w:rsid w:val="622B733C"/>
    <w:rsid w:val="622D6B06"/>
    <w:rsid w:val="624125B1"/>
    <w:rsid w:val="62453143"/>
    <w:rsid w:val="624E5362"/>
    <w:rsid w:val="625979C0"/>
    <w:rsid w:val="62613170"/>
    <w:rsid w:val="626369CC"/>
    <w:rsid w:val="62674488"/>
    <w:rsid w:val="6269598B"/>
    <w:rsid w:val="626C3AD2"/>
    <w:rsid w:val="62815E02"/>
    <w:rsid w:val="62816FA0"/>
    <w:rsid w:val="628739CE"/>
    <w:rsid w:val="628F270B"/>
    <w:rsid w:val="6297021C"/>
    <w:rsid w:val="629979ED"/>
    <w:rsid w:val="629B5681"/>
    <w:rsid w:val="62A07788"/>
    <w:rsid w:val="62A24B3B"/>
    <w:rsid w:val="62A56734"/>
    <w:rsid w:val="62AC3FD2"/>
    <w:rsid w:val="62B46BE7"/>
    <w:rsid w:val="62B47227"/>
    <w:rsid w:val="62B84640"/>
    <w:rsid w:val="62C934BB"/>
    <w:rsid w:val="62D95AFC"/>
    <w:rsid w:val="62DE0626"/>
    <w:rsid w:val="62DF4377"/>
    <w:rsid w:val="62E40FF5"/>
    <w:rsid w:val="62E936E4"/>
    <w:rsid w:val="62F24C79"/>
    <w:rsid w:val="62F775D9"/>
    <w:rsid w:val="62F85366"/>
    <w:rsid w:val="6300710F"/>
    <w:rsid w:val="630A3F6B"/>
    <w:rsid w:val="63166BE1"/>
    <w:rsid w:val="63247F09"/>
    <w:rsid w:val="632C5010"/>
    <w:rsid w:val="63314950"/>
    <w:rsid w:val="633A3BD0"/>
    <w:rsid w:val="633C414F"/>
    <w:rsid w:val="634211B0"/>
    <w:rsid w:val="634347F2"/>
    <w:rsid w:val="634F6716"/>
    <w:rsid w:val="63544FFC"/>
    <w:rsid w:val="6357461A"/>
    <w:rsid w:val="63636B3B"/>
    <w:rsid w:val="63661F42"/>
    <w:rsid w:val="637D3ABD"/>
    <w:rsid w:val="638210D3"/>
    <w:rsid w:val="63822E81"/>
    <w:rsid w:val="6383661B"/>
    <w:rsid w:val="63846BFA"/>
    <w:rsid w:val="63925819"/>
    <w:rsid w:val="639C2F64"/>
    <w:rsid w:val="639D7CBB"/>
    <w:rsid w:val="63A5101B"/>
    <w:rsid w:val="63AC32F9"/>
    <w:rsid w:val="63BA7A78"/>
    <w:rsid w:val="63C60FC0"/>
    <w:rsid w:val="63C81B5F"/>
    <w:rsid w:val="63CD05A1"/>
    <w:rsid w:val="63D556A7"/>
    <w:rsid w:val="63D74E89"/>
    <w:rsid w:val="63E2651A"/>
    <w:rsid w:val="63E458E8"/>
    <w:rsid w:val="63E60B71"/>
    <w:rsid w:val="63FA7073"/>
    <w:rsid w:val="63FB50F5"/>
    <w:rsid w:val="640350D1"/>
    <w:rsid w:val="64065861"/>
    <w:rsid w:val="640C3B31"/>
    <w:rsid w:val="64113F6D"/>
    <w:rsid w:val="642C10C6"/>
    <w:rsid w:val="642E78D8"/>
    <w:rsid w:val="643C6529"/>
    <w:rsid w:val="6440631F"/>
    <w:rsid w:val="64410F8F"/>
    <w:rsid w:val="64411A82"/>
    <w:rsid w:val="644C361C"/>
    <w:rsid w:val="64595B19"/>
    <w:rsid w:val="645C4EC4"/>
    <w:rsid w:val="645D6BF5"/>
    <w:rsid w:val="64603F9B"/>
    <w:rsid w:val="6465452E"/>
    <w:rsid w:val="647A07D0"/>
    <w:rsid w:val="647B0DFA"/>
    <w:rsid w:val="648042D5"/>
    <w:rsid w:val="64855539"/>
    <w:rsid w:val="648916D0"/>
    <w:rsid w:val="649015CE"/>
    <w:rsid w:val="64A06F1A"/>
    <w:rsid w:val="64A1070E"/>
    <w:rsid w:val="64A13976"/>
    <w:rsid w:val="64A17D99"/>
    <w:rsid w:val="64A811A8"/>
    <w:rsid w:val="64AA7CF4"/>
    <w:rsid w:val="64AE31AA"/>
    <w:rsid w:val="64B11C70"/>
    <w:rsid w:val="64BB0F97"/>
    <w:rsid w:val="64C061E0"/>
    <w:rsid w:val="64C87B73"/>
    <w:rsid w:val="64E64C4F"/>
    <w:rsid w:val="64EF09EB"/>
    <w:rsid w:val="64F7143D"/>
    <w:rsid w:val="64FA0B91"/>
    <w:rsid w:val="64FB0611"/>
    <w:rsid w:val="64FD3107"/>
    <w:rsid w:val="64FF6447"/>
    <w:rsid w:val="65004EB5"/>
    <w:rsid w:val="650C6EA7"/>
    <w:rsid w:val="651144BD"/>
    <w:rsid w:val="651374B5"/>
    <w:rsid w:val="651923C6"/>
    <w:rsid w:val="65195A92"/>
    <w:rsid w:val="6519669A"/>
    <w:rsid w:val="651F1338"/>
    <w:rsid w:val="65212983"/>
    <w:rsid w:val="65280033"/>
    <w:rsid w:val="65284D99"/>
    <w:rsid w:val="652A7F0D"/>
    <w:rsid w:val="652E7111"/>
    <w:rsid w:val="65381BCA"/>
    <w:rsid w:val="654740BA"/>
    <w:rsid w:val="654B0BF7"/>
    <w:rsid w:val="65566156"/>
    <w:rsid w:val="655A6209"/>
    <w:rsid w:val="65674A08"/>
    <w:rsid w:val="657A6550"/>
    <w:rsid w:val="657C58B7"/>
    <w:rsid w:val="6592686F"/>
    <w:rsid w:val="659375C8"/>
    <w:rsid w:val="6598338B"/>
    <w:rsid w:val="659834C2"/>
    <w:rsid w:val="659A369F"/>
    <w:rsid w:val="65A6554D"/>
    <w:rsid w:val="65A73073"/>
    <w:rsid w:val="65AC72C7"/>
    <w:rsid w:val="65AE6FB6"/>
    <w:rsid w:val="65B00232"/>
    <w:rsid w:val="65B431E5"/>
    <w:rsid w:val="65B51E93"/>
    <w:rsid w:val="65BC7F16"/>
    <w:rsid w:val="65C078DB"/>
    <w:rsid w:val="65C14135"/>
    <w:rsid w:val="65D375F8"/>
    <w:rsid w:val="65D73126"/>
    <w:rsid w:val="65DC4CA1"/>
    <w:rsid w:val="65E24F49"/>
    <w:rsid w:val="65FF6CC8"/>
    <w:rsid w:val="660679A6"/>
    <w:rsid w:val="661022B5"/>
    <w:rsid w:val="66173D55"/>
    <w:rsid w:val="661835C7"/>
    <w:rsid w:val="661C580F"/>
    <w:rsid w:val="661E1452"/>
    <w:rsid w:val="6631762B"/>
    <w:rsid w:val="6632293D"/>
    <w:rsid w:val="663841E2"/>
    <w:rsid w:val="6639016F"/>
    <w:rsid w:val="66686220"/>
    <w:rsid w:val="666D606B"/>
    <w:rsid w:val="667747F4"/>
    <w:rsid w:val="66810F6F"/>
    <w:rsid w:val="668533B4"/>
    <w:rsid w:val="668A2779"/>
    <w:rsid w:val="668E095B"/>
    <w:rsid w:val="669358E1"/>
    <w:rsid w:val="669453A6"/>
    <w:rsid w:val="669575C1"/>
    <w:rsid w:val="669931DA"/>
    <w:rsid w:val="669B6734"/>
    <w:rsid w:val="669D73FD"/>
    <w:rsid w:val="669E53DB"/>
    <w:rsid w:val="669F4100"/>
    <w:rsid w:val="66A32AF4"/>
    <w:rsid w:val="66A82BFF"/>
    <w:rsid w:val="66AF3F8D"/>
    <w:rsid w:val="66B549DF"/>
    <w:rsid w:val="66B95DF4"/>
    <w:rsid w:val="66BA005C"/>
    <w:rsid w:val="66C51D2B"/>
    <w:rsid w:val="66C739CD"/>
    <w:rsid w:val="66CB2328"/>
    <w:rsid w:val="66DA67B6"/>
    <w:rsid w:val="66DB4D83"/>
    <w:rsid w:val="66E04A8F"/>
    <w:rsid w:val="66E60A76"/>
    <w:rsid w:val="66E63727"/>
    <w:rsid w:val="66EB60E4"/>
    <w:rsid w:val="66EB7C02"/>
    <w:rsid w:val="66F22ED4"/>
    <w:rsid w:val="66F37636"/>
    <w:rsid w:val="66F45A92"/>
    <w:rsid w:val="66F54498"/>
    <w:rsid w:val="67024917"/>
    <w:rsid w:val="67062F1E"/>
    <w:rsid w:val="67064B36"/>
    <w:rsid w:val="670C1AA7"/>
    <w:rsid w:val="67114B73"/>
    <w:rsid w:val="67136ED0"/>
    <w:rsid w:val="67160715"/>
    <w:rsid w:val="6722587D"/>
    <w:rsid w:val="67237D09"/>
    <w:rsid w:val="67303DFA"/>
    <w:rsid w:val="67326333"/>
    <w:rsid w:val="6738511A"/>
    <w:rsid w:val="67391B54"/>
    <w:rsid w:val="67397CFB"/>
    <w:rsid w:val="674B0589"/>
    <w:rsid w:val="675D7F82"/>
    <w:rsid w:val="676076D1"/>
    <w:rsid w:val="67621CC9"/>
    <w:rsid w:val="67631CEC"/>
    <w:rsid w:val="676A5052"/>
    <w:rsid w:val="678A5829"/>
    <w:rsid w:val="678C32CE"/>
    <w:rsid w:val="67902011"/>
    <w:rsid w:val="679879D6"/>
    <w:rsid w:val="67AB5824"/>
    <w:rsid w:val="67B42E10"/>
    <w:rsid w:val="67BF28F6"/>
    <w:rsid w:val="67C62E2C"/>
    <w:rsid w:val="67CC0B6F"/>
    <w:rsid w:val="67EE31DB"/>
    <w:rsid w:val="67F6651C"/>
    <w:rsid w:val="68040309"/>
    <w:rsid w:val="6807524B"/>
    <w:rsid w:val="68092C9C"/>
    <w:rsid w:val="68130431"/>
    <w:rsid w:val="681D46FB"/>
    <w:rsid w:val="681E611D"/>
    <w:rsid w:val="682360DE"/>
    <w:rsid w:val="682411C7"/>
    <w:rsid w:val="68282249"/>
    <w:rsid w:val="6829216D"/>
    <w:rsid w:val="6832131A"/>
    <w:rsid w:val="68356450"/>
    <w:rsid w:val="68430E0B"/>
    <w:rsid w:val="68433E26"/>
    <w:rsid w:val="685333BB"/>
    <w:rsid w:val="68541376"/>
    <w:rsid w:val="685A17EE"/>
    <w:rsid w:val="68622545"/>
    <w:rsid w:val="68646FFA"/>
    <w:rsid w:val="688A253B"/>
    <w:rsid w:val="68996CA3"/>
    <w:rsid w:val="68A235FA"/>
    <w:rsid w:val="68A9190F"/>
    <w:rsid w:val="68B569CC"/>
    <w:rsid w:val="68B74F3E"/>
    <w:rsid w:val="68B825F0"/>
    <w:rsid w:val="68BA0E02"/>
    <w:rsid w:val="68BC34E8"/>
    <w:rsid w:val="68CE384C"/>
    <w:rsid w:val="68CF6B69"/>
    <w:rsid w:val="68D10619"/>
    <w:rsid w:val="68D92277"/>
    <w:rsid w:val="68DD224F"/>
    <w:rsid w:val="68DD6960"/>
    <w:rsid w:val="68DE762A"/>
    <w:rsid w:val="68F127F5"/>
    <w:rsid w:val="68F14A85"/>
    <w:rsid w:val="690518A8"/>
    <w:rsid w:val="69107F10"/>
    <w:rsid w:val="691D306B"/>
    <w:rsid w:val="69250C66"/>
    <w:rsid w:val="69281E17"/>
    <w:rsid w:val="69290605"/>
    <w:rsid w:val="693A6306"/>
    <w:rsid w:val="693F5E25"/>
    <w:rsid w:val="694002F9"/>
    <w:rsid w:val="69410B62"/>
    <w:rsid w:val="69424C47"/>
    <w:rsid w:val="694C640B"/>
    <w:rsid w:val="69573DB3"/>
    <w:rsid w:val="696255C8"/>
    <w:rsid w:val="696324F7"/>
    <w:rsid w:val="69644728"/>
    <w:rsid w:val="6971708A"/>
    <w:rsid w:val="69735746"/>
    <w:rsid w:val="698A0F22"/>
    <w:rsid w:val="69917D90"/>
    <w:rsid w:val="6994163C"/>
    <w:rsid w:val="699B202F"/>
    <w:rsid w:val="69A43827"/>
    <w:rsid w:val="69C319EF"/>
    <w:rsid w:val="69C5077D"/>
    <w:rsid w:val="69CB6423"/>
    <w:rsid w:val="69D96D59"/>
    <w:rsid w:val="69E73610"/>
    <w:rsid w:val="69F83112"/>
    <w:rsid w:val="6A026382"/>
    <w:rsid w:val="6A19220F"/>
    <w:rsid w:val="6A1F24B0"/>
    <w:rsid w:val="6A2353BE"/>
    <w:rsid w:val="6A2473CA"/>
    <w:rsid w:val="6A253BE6"/>
    <w:rsid w:val="6A2A5E69"/>
    <w:rsid w:val="6A2C71C8"/>
    <w:rsid w:val="6A2E53F4"/>
    <w:rsid w:val="6A33672E"/>
    <w:rsid w:val="6A341457"/>
    <w:rsid w:val="6A4C56A7"/>
    <w:rsid w:val="6A4E0ECF"/>
    <w:rsid w:val="6A580EEF"/>
    <w:rsid w:val="6A667059"/>
    <w:rsid w:val="6A6A2454"/>
    <w:rsid w:val="6A77517C"/>
    <w:rsid w:val="6A787B06"/>
    <w:rsid w:val="6A793230"/>
    <w:rsid w:val="6A7B5681"/>
    <w:rsid w:val="6A7E0847"/>
    <w:rsid w:val="6A816E9F"/>
    <w:rsid w:val="6A832F9A"/>
    <w:rsid w:val="6AA24A1F"/>
    <w:rsid w:val="6AA706EE"/>
    <w:rsid w:val="6AAC696A"/>
    <w:rsid w:val="6AB47F9B"/>
    <w:rsid w:val="6AB57FE0"/>
    <w:rsid w:val="6AB63450"/>
    <w:rsid w:val="6AB70827"/>
    <w:rsid w:val="6ABC2C79"/>
    <w:rsid w:val="6ABD6C0D"/>
    <w:rsid w:val="6AC52C5F"/>
    <w:rsid w:val="6AC60721"/>
    <w:rsid w:val="6AC71ABC"/>
    <w:rsid w:val="6ACE19F6"/>
    <w:rsid w:val="6AE21113"/>
    <w:rsid w:val="6AE21243"/>
    <w:rsid w:val="6AE21ACF"/>
    <w:rsid w:val="6AEC1A84"/>
    <w:rsid w:val="6AED4D1A"/>
    <w:rsid w:val="6AF31433"/>
    <w:rsid w:val="6AF4603A"/>
    <w:rsid w:val="6B0845B4"/>
    <w:rsid w:val="6B107070"/>
    <w:rsid w:val="6B1D2A3D"/>
    <w:rsid w:val="6B1D4005"/>
    <w:rsid w:val="6B232928"/>
    <w:rsid w:val="6B252A70"/>
    <w:rsid w:val="6B274489"/>
    <w:rsid w:val="6B296944"/>
    <w:rsid w:val="6B2B3DFF"/>
    <w:rsid w:val="6B2C165A"/>
    <w:rsid w:val="6B32518D"/>
    <w:rsid w:val="6B381385"/>
    <w:rsid w:val="6B427AC6"/>
    <w:rsid w:val="6B506EB0"/>
    <w:rsid w:val="6B5408FB"/>
    <w:rsid w:val="6B5A7371"/>
    <w:rsid w:val="6B606C2A"/>
    <w:rsid w:val="6B6E08BB"/>
    <w:rsid w:val="6B70356B"/>
    <w:rsid w:val="6B7552C5"/>
    <w:rsid w:val="6B7739CC"/>
    <w:rsid w:val="6B775E46"/>
    <w:rsid w:val="6B79047D"/>
    <w:rsid w:val="6B7F4E96"/>
    <w:rsid w:val="6B806ECC"/>
    <w:rsid w:val="6B8871B5"/>
    <w:rsid w:val="6B8A27B2"/>
    <w:rsid w:val="6B905A67"/>
    <w:rsid w:val="6B9D7CCB"/>
    <w:rsid w:val="6B9E0765"/>
    <w:rsid w:val="6BA674B7"/>
    <w:rsid w:val="6BAE6F0A"/>
    <w:rsid w:val="6BBB4D94"/>
    <w:rsid w:val="6BBF0373"/>
    <w:rsid w:val="6BC96DC3"/>
    <w:rsid w:val="6BCF062C"/>
    <w:rsid w:val="6BD34BC2"/>
    <w:rsid w:val="6BD41D3A"/>
    <w:rsid w:val="6BD82003"/>
    <w:rsid w:val="6BEC6B68"/>
    <w:rsid w:val="6BFC2715"/>
    <w:rsid w:val="6C114498"/>
    <w:rsid w:val="6C17472C"/>
    <w:rsid w:val="6C1F1BB5"/>
    <w:rsid w:val="6C2076DB"/>
    <w:rsid w:val="6C2528A5"/>
    <w:rsid w:val="6C29022D"/>
    <w:rsid w:val="6C2C21A8"/>
    <w:rsid w:val="6C2E212B"/>
    <w:rsid w:val="6C3A384A"/>
    <w:rsid w:val="6C3E2441"/>
    <w:rsid w:val="6C5572FF"/>
    <w:rsid w:val="6C557788"/>
    <w:rsid w:val="6C571AC0"/>
    <w:rsid w:val="6C5D20CB"/>
    <w:rsid w:val="6C6972D4"/>
    <w:rsid w:val="6C7B083C"/>
    <w:rsid w:val="6C7C39CB"/>
    <w:rsid w:val="6C7E223D"/>
    <w:rsid w:val="6C8710B4"/>
    <w:rsid w:val="6C8F1D13"/>
    <w:rsid w:val="6C8F6758"/>
    <w:rsid w:val="6CA23AC7"/>
    <w:rsid w:val="6CA459C5"/>
    <w:rsid w:val="6CA85897"/>
    <w:rsid w:val="6CA976D1"/>
    <w:rsid w:val="6CAE11B5"/>
    <w:rsid w:val="6CB4276C"/>
    <w:rsid w:val="6CBA1B78"/>
    <w:rsid w:val="6CC4450B"/>
    <w:rsid w:val="6CC60CEF"/>
    <w:rsid w:val="6CCA0978"/>
    <w:rsid w:val="6CD40066"/>
    <w:rsid w:val="6CDE57D5"/>
    <w:rsid w:val="6CE0309E"/>
    <w:rsid w:val="6CE04B84"/>
    <w:rsid w:val="6CF40374"/>
    <w:rsid w:val="6CFF37A0"/>
    <w:rsid w:val="6D064285"/>
    <w:rsid w:val="6D1A412B"/>
    <w:rsid w:val="6D1B4534"/>
    <w:rsid w:val="6D2156DB"/>
    <w:rsid w:val="6D2173BD"/>
    <w:rsid w:val="6D2378B1"/>
    <w:rsid w:val="6D287EFD"/>
    <w:rsid w:val="6D2B6338"/>
    <w:rsid w:val="6D2D3E5E"/>
    <w:rsid w:val="6D2F407A"/>
    <w:rsid w:val="6D2F4CC8"/>
    <w:rsid w:val="6D300738"/>
    <w:rsid w:val="6D3218FC"/>
    <w:rsid w:val="6D36044B"/>
    <w:rsid w:val="6D430B98"/>
    <w:rsid w:val="6D502998"/>
    <w:rsid w:val="6D5163FB"/>
    <w:rsid w:val="6D592EA5"/>
    <w:rsid w:val="6D605FE2"/>
    <w:rsid w:val="6D657A9C"/>
    <w:rsid w:val="6D69201B"/>
    <w:rsid w:val="6D797F8F"/>
    <w:rsid w:val="6D7C4850"/>
    <w:rsid w:val="6D877A12"/>
    <w:rsid w:val="6DA86A8C"/>
    <w:rsid w:val="6DAF7323"/>
    <w:rsid w:val="6DB31AB5"/>
    <w:rsid w:val="6DBA7663"/>
    <w:rsid w:val="6DBC3DCA"/>
    <w:rsid w:val="6DC01176"/>
    <w:rsid w:val="6DC742B3"/>
    <w:rsid w:val="6DD625D7"/>
    <w:rsid w:val="6DDC5DB9"/>
    <w:rsid w:val="6DDD45E2"/>
    <w:rsid w:val="6DDD7632"/>
    <w:rsid w:val="6DE035C6"/>
    <w:rsid w:val="6DF130DE"/>
    <w:rsid w:val="6DF14613"/>
    <w:rsid w:val="6DF206A9"/>
    <w:rsid w:val="6DF60D98"/>
    <w:rsid w:val="6E0F54AD"/>
    <w:rsid w:val="6E1040CA"/>
    <w:rsid w:val="6E104455"/>
    <w:rsid w:val="6E1053A1"/>
    <w:rsid w:val="6E114991"/>
    <w:rsid w:val="6E2C4FB8"/>
    <w:rsid w:val="6E2F3A99"/>
    <w:rsid w:val="6E380A2F"/>
    <w:rsid w:val="6E3A5758"/>
    <w:rsid w:val="6E5B4E94"/>
    <w:rsid w:val="6E600245"/>
    <w:rsid w:val="6E6164B5"/>
    <w:rsid w:val="6E6C4E5A"/>
    <w:rsid w:val="6E906D9A"/>
    <w:rsid w:val="6E922385"/>
    <w:rsid w:val="6E9B31E9"/>
    <w:rsid w:val="6EA00B6A"/>
    <w:rsid w:val="6EA0518E"/>
    <w:rsid w:val="6EAF6748"/>
    <w:rsid w:val="6EB533D7"/>
    <w:rsid w:val="6EB72579"/>
    <w:rsid w:val="6EB95C23"/>
    <w:rsid w:val="6EBA7973"/>
    <w:rsid w:val="6EBD1602"/>
    <w:rsid w:val="6EBF4F8A"/>
    <w:rsid w:val="6EC04A39"/>
    <w:rsid w:val="6EC16351"/>
    <w:rsid w:val="6ECC62CB"/>
    <w:rsid w:val="6ECC63BD"/>
    <w:rsid w:val="6EDF1F2E"/>
    <w:rsid w:val="6EF32E85"/>
    <w:rsid w:val="6F0E1A9E"/>
    <w:rsid w:val="6F0F504C"/>
    <w:rsid w:val="6F15211F"/>
    <w:rsid w:val="6F1A0937"/>
    <w:rsid w:val="6F1F0958"/>
    <w:rsid w:val="6F203A7F"/>
    <w:rsid w:val="6F2104E5"/>
    <w:rsid w:val="6F2244EC"/>
    <w:rsid w:val="6F2B256F"/>
    <w:rsid w:val="6F3F5890"/>
    <w:rsid w:val="6F40256E"/>
    <w:rsid w:val="6F4316AD"/>
    <w:rsid w:val="6F461D72"/>
    <w:rsid w:val="6F5026F3"/>
    <w:rsid w:val="6F5A1075"/>
    <w:rsid w:val="6F65445A"/>
    <w:rsid w:val="6F693973"/>
    <w:rsid w:val="6F6B38C0"/>
    <w:rsid w:val="6F6C1BEA"/>
    <w:rsid w:val="6F6C2EC0"/>
    <w:rsid w:val="6F795A80"/>
    <w:rsid w:val="6F7E52E3"/>
    <w:rsid w:val="6F826DF1"/>
    <w:rsid w:val="6F891267"/>
    <w:rsid w:val="6F8B6A13"/>
    <w:rsid w:val="6F9F10F4"/>
    <w:rsid w:val="6FA3291C"/>
    <w:rsid w:val="6FAC1340"/>
    <w:rsid w:val="6FAC37EA"/>
    <w:rsid w:val="6FC039B8"/>
    <w:rsid w:val="6FC81490"/>
    <w:rsid w:val="6FC85157"/>
    <w:rsid w:val="6FCE7FAB"/>
    <w:rsid w:val="6FE078AE"/>
    <w:rsid w:val="6FEF3738"/>
    <w:rsid w:val="6FF22D39"/>
    <w:rsid w:val="70003AAC"/>
    <w:rsid w:val="700227C5"/>
    <w:rsid w:val="7007678B"/>
    <w:rsid w:val="700C31A9"/>
    <w:rsid w:val="700E77D2"/>
    <w:rsid w:val="70121783"/>
    <w:rsid w:val="70123735"/>
    <w:rsid w:val="7015190A"/>
    <w:rsid w:val="701D640C"/>
    <w:rsid w:val="701F17FD"/>
    <w:rsid w:val="70337827"/>
    <w:rsid w:val="7036018A"/>
    <w:rsid w:val="703674CE"/>
    <w:rsid w:val="703E40E6"/>
    <w:rsid w:val="703E715B"/>
    <w:rsid w:val="704166C7"/>
    <w:rsid w:val="70425C5C"/>
    <w:rsid w:val="704557B7"/>
    <w:rsid w:val="704768DE"/>
    <w:rsid w:val="704B11CB"/>
    <w:rsid w:val="7060279C"/>
    <w:rsid w:val="7072622A"/>
    <w:rsid w:val="70735EBF"/>
    <w:rsid w:val="70744C39"/>
    <w:rsid w:val="70902282"/>
    <w:rsid w:val="709D70E4"/>
    <w:rsid w:val="70A103B4"/>
    <w:rsid w:val="70A1043F"/>
    <w:rsid w:val="70A23AF4"/>
    <w:rsid w:val="70BA3C5B"/>
    <w:rsid w:val="70BC3E77"/>
    <w:rsid w:val="70BD3879"/>
    <w:rsid w:val="70BF7D0C"/>
    <w:rsid w:val="70C05466"/>
    <w:rsid w:val="70C27639"/>
    <w:rsid w:val="70D6705C"/>
    <w:rsid w:val="70D94A29"/>
    <w:rsid w:val="70DF6CD4"/>
    <w:rsid w:val="70EE43FD"/>
    <w:rsid w:val="70F0511A"/>
    <w:rsid w:val="70F13495"/>
    <w:rsid w:val="70F1560D"/>
    <w:rsid w:val="70F4004C"/>
    <w:rsid w:val="70F51B8D"/>
    <w:rsid w:val="70F76C5D"/>
    <w:rsid w:val="70FA75CE"/>
    <w:rsid w:val="7101590D"/>
    <w:rsid w:val="71034E22"/>
    <w:rsid w:val="7103616B"/>
    <w:rsid w:val="710A1499"/>
    <w:rsid w:val="710C10F0"/>
    <w:rsid w:val="71195345"/>
    <w:rsid w:val="71283699"/>
    <w:rsid w:val="712E00C6"/>
    <w:rsid w:val="712E53E1"/>
    <w:rsid w:val="71345258"/>
    <w:rsid w:val="713629EE"/>
    <w:rsid w:val="71384703"/>
    <w:rsid w:val="713A6130"/>
    <w:rsid w:val="713D663A"/>
    <w:rsid w:val="713F5B44"/>
    <w:rsid w:val="71444B55"/>
    <w:rsid w:val="714E7C4B"/>
    <w:rsid w:val="715E3342"/>
    <w:rsid w:val="71627BBC"/>
    <w:rsid w:val="71654B20"/>
    <w:rsid w:val="716A5681"/>
    <w:rsid w:val="716B46E4"/>
    <w:rsid w:val="7171042B"/>
    <w:rsid w:val="717A6E0F"/>
    <w:rsid w:val="71804EC5"/>
    <w:rsid w:val="718761F6"/>
    <w:rsid w:val="718764F1"/>
    <w:rsid w:val="718A5AF2"/>
    <w:rsid w:val="7192631E"/>
    <w:rsid w:val="71A768D5"/>
    <w:rsid w:val="71A82EF8"/>
    <w:rsid w:val="71B30FEB"/>
    <w:rsid w:val="71BD4313"/>
    <w:rsid w:val="71BF68D7"/>
    <w:rsid w:val="71C32FE3"/>
    <w:rsid w:val="71C4522A"/>
    <w:rsid w:val="71CF79A9"/>
    <w:rsid w:val="71D56F7D"/>
    <w:rsid w:val="71EA563E"/>
    <w:rsid w:val="71FB521C"/>
    <w:rsid w:val="7201640C"/>
    <w:rsid w:val="72113D4E"/>
    <w:rsid w:val="721D5926"/>
    <w:rsid w:val="72282262"/>
    <w:rsid w:val="722851A2"/>
    <w:rsid w:val="7238577F"/>
    <w:rsid w:val="724C1028"/>
    <w:rsid w:val="724D2B69"/>
    <w:rsid w:val="725953D7"/>
    <w:rsid w:val="726C7BD6"/>
    <w:rsid w:val="727F33AE"/>
    <w:rsid w:val="728E4D06"/>
    <w:rsid w:val="72910B24"/>
    <w:rsid w:val="7291595D"/>
    <w:rsid w:val="729374D3"/>
    <w:rsid w:val="729E6AF8"/>
    <w:rsid w:val="72A30573"/>
    <w:rsid w:val="72B1177E"/>
    <w:rsid w:val="72B77E8C"/>
    <w:rsid w:val="72CB1475"/>
    <w:rsid w:val="72CC4119"/>
    <w:rsid w:val="72CD5879"/>
    <w:rsid w:val="72D00517"/>
    <w:rsid w:val="72D011F2"/>
    <w:rsid w:val="72D15B74"/>
    <w:rsid w:val="72D3337E"/>
    <w:rsid w:val="72D477F2"/>
    <w:rsid w:val="72DA4A88"/>
    <w:rsid w:val="72DA7F31"/>
    <w:rsid w:val="72DF2474"/>
    <w:rsid w:val="72E01973"/>
    <w:rsid w:val="72E0581A"/>
    <w:rsid w:val="72E50EF8"/>
    <w:rsid w:val="72E51866"/>
    <w:rsid w:val="72E94CCB"/>
    <w:rsid w:val="72EA3C8F"/>
    <w:rsid w:val="72F524E3"/>
    <w:rsid w:val="72F54098"/>
    <w:rsid w:val="72F97425"/>
    <w:rsid w:val="73117A99"/>
    <w:rsid w:val="732775A1"/>
    <w:rsid w:val="732937B8"/>
    <w:rsid w:val="732F12DE"/>
    <w:rsid w:val="73333E6E"/>
    <w:rsid w:val="733F3BA1"/>
    <w:rsid w:val="734931FB"/>
    <w:rsid w:val="734B5807"/>
    <w:rsid w:val="73514C93"/>
    <w:rsid w:val="73544E2B"/>
    <w:rsid w:val="73597B32"/>
    <w:rsid w:val="735E3900"/>
    <w:rsid w:val="739C06CE"/>
    <w:rsid w:val="73A72BD8"/>
    <w:rsid w:val="73B941D6"/>
    <w:rsid w:val="73B95A3C"/>
    <w:rsid w:val="73BD0588"/>
    <w:rsid w:val="73BE3A62"/>
    <w:rsid w:val="73D33317"/>
    <w:rsid w:val="73D70D06"/>
    <w:rsid w:val="73E23B54"/>
    <w:rsid w:val="73E27B77"/>
    <w:rsid w:val="73E35F92"/>
    <w:rsid w:val="73E42CA2"/>
    <w:rsid w:val="73E5727F"/>
    <w:rsid w:val="73EA2176"/>
    <w:rsid w:val="73EE3C16"/>
    <w:rsid w:val="73F052F4"/>
    <w:rsid w:val="73F7134B"/>
    <w:rsid w:val="740767C6"/>
    <w:rsid w:val="74084724"/>
    <w:rsid w:val="740C0C71"/>
    <w:rsid w:val="7416389E"/>
    <w:rsid w:val="742A1899"/>
    <w:rsid w:val="743D6B0F"/>
    <w:rsid w:val="746A5998"/>
    <w:rsid w:val="74762924"/>
    <w:rsid w:val="748A413C"/>
    <w:rsid w:val="749A0B0A"/>
    <w:rsid w:val="749E1052"/>
    <w:rsid w:val="74A05C4F"/>
    <w:rsid w:val="74A215D5"/>
    <w:rsid w:val="74A54E21"/>
    <w:rsid w:val="74AD4F46"/>
    <w:rsid w:val="74B17D04"/>
    <w:rsid w:val="74B24854"/>
    <w:rsid w:val="74B268FB"/>
    <w:rsid w:val="74B51E7D"/>
    <w:rsid w:val="74CB044C"/>
    <w:rsid w:val="74D2128A"/>
    <w:rsid w:val="74DA5A5D"/>
    <w:rsid w:val="74E06A0F"/>
    <w:rsid w:val="74E12CBB"/>
    <w:rsid w:val="74E41BEE"/>
    <w:rsid w:val="74FE0196"/>
    <w:rsid w:val="75096F5F"/>
    <w:rsid w:val="750F267E"/>
    <w:rsid w:val="751F07B1"/>
    <w:rsid w:val="75236DCA"/>
    <w:rsid w:val="75244E2F"/>
    <w:rsid w:val="753601CC"/>
    <w:rsid w:val="753C4192"/>
    <w:rsid w:val="754E350B"/>
    <w:rsid w:val="75585C53"/>
    <w:rsid w:val="756147C6"/>
    <w:rsid w:val="756458B3"/>
    <w:rsid w:val="75674CAF"/>
    <w:rsid w:val="75753202"/>
    <w:rsid w:val="7579011B"/>
    <w:rsid w:val="757E0593"/>
    <w:rsid w:val="758915F3"/>
    <w:rsid w:val="75A0305A"/>
    <w:rsid w:val="75AC3A76"/>
    <w:rsid w:val="75CA11B6"/>
    <w:rsid w:val="75D4064B"/>
    <w:rsid w:val="75D63945"/>
    <w:rsid w:val="75D91252"/>
    <w:rsid w:val="75D92DD5"/>
    <w:rsid w:val="75E579CC"/>
    <w:rsid w:val="75E85984"/>
    <w:rsid w:val="75EB0659"/>
    <w:rsid w:val="75ED1FB3"/>
    <w:rsid w:val="75F3479D"/>
    <w:rsid w:val="75FC15AE"/>
    <w:rsid w:val="75FD596C"/>
    <w:rsid w:val="760807B1"/>
    <w:rsid w:val="7617635C"/>
    <w:rsid w:val="76193DF8"/>
    <w:rsid w:val="76215F9C"/>
    <w:rsid w:val="76312C11"/>
    <w:rsid w:val="76341DBD"/>
    <w:rsid w:val="7634625D"/>
    <w:rsid w:val="764510FA"/>
    <w:rsid w:val="764A49AC"/>
    <w:rsid w:val="764D37C3"/>
    <w:rsid w:val="765C6FAE"/>
    <w:rsid w:val="76645B8F"/>
    <w:rsid w:val="76693D11"/>
    <w:rsid w:val="76852F5D"/>
    <w:rsid w:val="76963C93"/>
    <w:rsid w:val="769907B6"/>
    <w:rsid w:val="769D3FF8"/>
    <w:rsid w:val="76A26488"/>
    <w:rsid w:val="76AA5600"/>
    <w:rsid w:val="76AD71D8"/>
    <w:rsid w:val="76B23B30"/>
    <w:rsid w:val="76B30503"/>
    <w:rsid w:val="76C84476"/>
    <w:rsid w:val="76CB02EF"/>
    <w:rsid w:val="76D060C9"/>
    <w:rsid w:val="76D628DA"/>
    <w:rsid w:val="76DF08BF"/>
    <w:rsid w:val="76DF266D"/>
    <w:rsid w:val="76E61C4D"/>
    <w:rsid w:val="76E86402"/>
    <w:rsid w:val="76EF6628"/>
    <w:rsid w:val="76FB76A4"/>
    <w:rsid w:val="7700690C"/>
    <w:rsid w:val="770D60E9"/>
    <w:rsid w:val="77121A94"/>
    <w:rsid w:val="771238C5"/>
    <w:rsid w:val="77176249"/>
    <w:rsid w:val="77203127"/>
    <w:rsid w:val="77242776"/>
    <w:rsid w:val="772F5612"/>
    <w:rsid w:val="77416E84"/>
    <w:rsid w:val="774F4E26"/>
    <w:rsid w:val="775070C7"/>
    <w:rsid w:val="77587283"/>
    <w:rsid w:val="775B1577"/>
    <w:rsid w:val="77630D60"/>
    <w:rsid w:val="7763741C"/>
    <w:rsid w:val="7767317B"/>
    <w:rsid w:val="777B7DFA"/>
    <w:rsid w:val="777D4F47"/>
    <w:rsid w:val="77831C5F"/>
    <w:rsid w:val="779416A9"/>
    <w:rsid w:val="779C1699"/>
    <w:rsid w:val="779C5A93"/>
    <w:rsid w:val="77B10B6D"/>
    <w:rsid w:val="77BF2228"/>
    <w:rsid w:val="77C75B25"/>
    <w:rsid w:val="77D17C45"/>
    <w:rsid w:val="77D6233B"/>
    <w:rsid w:val="77D85632"/>
    <w:rsid w:val="77DA2AD5"/>
    <w:rsid w:val="77E51F05"/>
    <w:rsid w:val="77F34DF1"/>
    <w:rsid w:val="77FB434F"/>
    <w:rsid w:val="780A371A"/>
    <w:rsid w:val="780E2663"/>
    <w:rsid w:val="781047D4"/>
    <w:rsid w:val="781219C0"/>
    <w:rsid w:val="7819395D"/>
    <w:rsid w:val="782C28A7"/>
    <w:rsid w:val="783B2CFA"/>
    <w:rsid w:val="7844752F"/>
    <w:rsid w:val="784529A4"/>
    <w:rsid w:val="78471C17"/>
    <w:rsid w:val="784B4F5A"/>
    <w:rsid w:val="786F17CF"/>
    <w:rsid w:val="787434C6"/>
    <w:rsid w:val="7899684C"/>
    <w:rsid w:val="78AB0C01"/>
    <w:rsid w:val="78AB549C"/>
    <w:rsid w:val="78AF69D1"/>
    <w:rsid w:val="78B60185"/>
    <w:rsid w:val="78BA2CBE"/>
    <w:rsid w:val="78DE6DBD"/>
    <w:rsid w:val="78EE4DE9"/>
    <w:rsid w:val="78FB431C"/>
    <w:rsid w:val="79076F92"/>
    <w:rsid w:val="790C733D"/>
    <w:rsid w:val="790D64D0"/>
    <w:rsid w:val="790F60A3"/>
    <w:rsid w:val="79175E8F"/>
    <w:rsid w:val="791F00ED"/>
    <w:rsid w:val="79241437"/>
    <w:rsid w:val="793252B5"/>
    <w:rsid w:val="7945183D"/>
    <w:rsid w:val="7945303A"/>
    <w:rsid w:val="794A28C1"/>
    <w:rsid w:val="795E0D04"/>
    <w:rsid w:val="795F1F28"/>
    <w:rsid w:val="79607369"/>
    <w:rsid w:val="79654F10"/>
    <w:rsid w:val="7967100B"/>
    <w:rsid w:val="79687C77"/>
    <w:rsid w:val="7974624F"/>
    <w:rsid w:val="797F7B85"/>
    <w:rsid w:val="79923994"/>
    <w:rsid w:val="799568F7"/>
    <w:rsid w:val="79992863"/>
    <w:rsid w:val="799B3335"/>
    <w:rsid w:val="799C50A8"/>
    <w:rsid w:val="79C27D1B"/>
    <w:rsid w:val="79C4247A"/>
    <w:rsid w:val="79CD1CEB"/>
    <w:rsid w:val="79D7587D"/>
    <w:rsid w:val="79DC748D"/>
    <w:rsid w:val="79DE25D3"/>
    <w:rsid w:val="79DF0B4D"/>
    <w:rsid w:val="79E25065"/>
    <w:rsid w:val="79E77089"/>
    <w:rsid w:val="79E81839"/>
    <w:rsid w:val="79EA3712"/>
    <w:rsid w:val="79ED50A1"/>
    <w:rsid w:val="7A002E23"/>
    <w:rsid w:val="7A081EDB"/>
    <w:rsid w:val="7A0E0072"/>
    <w:rsid w:val="7A187C44"/>
    <w:rsid w:val="7A1F3A84"/>
    <w:rsid w:val="7A2361FE"/>
    <w:rsid w:val="7A2A1655"/>
    <w:rsid w:val="7A2F7DE7"/>
    <w:rsid w:val="7A313B69"/>
    <w:rsid w:val="7A3A4431"/>
    <w:rsid w:val="7A470762"/>
    <w:rsid w:val="7A480094"/>
    <w:rsid w:val="7A4A59E0"/>
    <w:rsid w:val="7A4B51B7"/>
    <w:rsid w:val="7A4E29B8"/>
    <w:rsid w:val="7A5E1330"/>
    <w:rsid w:val="7A656714"/>
    <w:rsid w:val="7A665F33"/>
    <w:rsid w:val="7A682979"/>
    <w:rsid w:val="7A6A38D7"/>
    <w:rsid w:val="7A6C47D5"/>
    <w:rsid w:val="7A71004F"/>
    <w:rsid w:val="7A7509B3"/>
    <w:rsid w:val="7A7916E1"/>
    <w:rsid w:val="7A7A1293"/>
    <w:rsid w:val="7A897483"/>
    <w:rsid w:val="7A9149E2"/>
    <w:rsid w:val="7A9733E4"/>
    <w:rsid w:val="7A9C7FA1"/>
    <w:rsid w:val="7A9D6BAD"/>
    <w:rsid w:val="7AA253FF"/>
    <w:rsid w:val="7AA65250"/>
    <w:rsid w:val="7AB5623D"/>
    <w:rsid w:val="7ABB21C4"/>
    <w:rsid w:val="7ABB45FE"/>
    <w:rsid w:val="7ABC7494"/>
    <w:rsid w:val="7ABD507C"/>
    <w:rsid w:val="7ABD50BE"/>
    <w:rsid w:val="7AD33A6E"/>
    <w:rsid w:val="7AD41A39"/>
    <w:rsid w:val="7AD43BFC"/>
    <w:rsid w:val="7ADF4789"/>
    <w:rsid w:val="7AEA15E0"/>
    <w:rsid w:val="7AF102F7"/>
    <w:rsid w:val="7AF80F26"/>
    <w:rsid w:val="7B044EDB"/>
    <w:rsid w:val="7B05606C"/>
    <w:rsid w:val="7B06453C"/>
    <w:rsid w:val="7B1732F1"/>
    <w:rsid w:val="7B191EC6"/>
    <w:rsid w:val="7B203564"/>
    <w:rsid w:val="7B2621F5"/>
    <w:rsid w:val="7B2B642C"/>
    <w:rsid w:val="7B2C1484"/>
    <w:rsid w:val="7B2F6AE7"/>
    <w:rsid w:val="7B3C408E"/>
    <w:rsid w:val="7B5F59F1"/>
    <w:rsid w:val="7B630B71"/>
    <w:rsid w:val="7B655433"/>
    <w:rsid w:val="7B683ED4"/>
    <w:rsid w:val="7B6A1EF2"/>
    <w:rsid w:val="7B6B7E32"/>
    <w:rsid w:val="7B7446F2"/>
    <w:rsid w:val="7B777CE4"/>
    <w:rsid w:val="7B80557B"/>
    <w:rsid w:val="7B95614B"/>
    <w:rsid w:val="7B9B36C4"/>
    <w:rsid w:val="7BA563C1"/>
    <w:rsid w:val="7BAA4755"/>
    <w:rsid w:val="7BAE4B8D"/>
    <w:rsid w:val="7BB00E79"/>
    <w:rsid w:val="7BB429C6"/>
    <w:rsid w:val="7BB86DAF"/>
    <w:rsid w:val="7BC34D8C"/>
    <w:rsid w:val="7BCC20B9"/>
    <w:rsid w:val="7BD5390A"/>
    <w:rsid w:val="7BD74B8F"/>
    <w:rsid w:val="7BDE06A1"/>
    <w:rsid w:val="7BDE262B"/>
    <w:rsid w:val="7BE40551"/>
    <w:rsid w:val="7BEC1388"/>
    <w:rsid w:val="7BF300B9"/>
    <w:rsid w:val="7BF86D86"/>
    <w:rsid w:val="7BF96B20"/>
    <w:rsid w:val="7C013085"/>
    <w:rsid w:val="7C074735"/>
    <w:rsid w:val="7C1827CB"/>
    <w:rsid w:val="7C191FBE"/>
    <w:rsid w:val="7C2F78AC"/>
    <w:rsid w:val="7C3760E1"/>
    <w:rsid w:val="7C3D13B9"/>
    <w:rsid w:val="7C4021AE"/>
    <w:rsid w:val="7C425523"/>
    <w:rsid w:val="7C43159D"/>
    <w:rsid w:val="7C433102"/>
    <w:rsid w:val="7C436F66"/>
    <w:rsid w:val="7C4371FA"/>
    <w:rsid w:val="7C496256"/>
    <w:rsid w:val="7C4C0828"/>
    <w:rsid w:val="7C584C7C"/>
    <w:rsid w:val="7C5B7E73"/>
    <w:rsid w:val="7C5F20B9"/>
    <w:rsid w:val="7C6A2BD0"/>
    <w:rsid w:val="7C6C6ADD"/>
    <w:rsid w:val="7C6E40A4"/>
    <w:rsid w:val="7C73264A"/>
    <w:rsid w:val="7C7360B2"/>
    <w:rsid w:val="7C7A1E50"/>
    <w:rsid w:val="7C8166E2"/>
    <w:rsid w:val="7C851D70"/>
    <w:rsid w:val="7CA9143D"/>
    <w:rsid w:val="7CAF4890"/>
    <w:rsid w:val="7CB16B29"/>
    <w:rsid w:val="7CB7338C"/>
    <w:rsid w:val="7CB96336"/>
    <w:rsid w:val="7CC145C3"/>
    <w:rsid w:val="7CCD517C"/>
    <w:rsid w:val="7CE54755"/>
    <w:rsid w:val="7CE85FF3"/>
    <w:rsid w:val="7CF127A0"/>
    <w:rsid w:val="7D0C3D15"/>
    <w:rsid w:val="7D1358ED"/>
    <w:rsid w:val="7D151A1A"/>
    <w:rsid w:val="7D1943FF"/>
    <w:rsid w:val="7D222642"/>
    <w:rsid w:val="7D256900"/>
    <w:rsid w:val="7D312C66"/>
    <w:rsid w:val="7D337075"/>
    <w:rsid w:val="7D342FE7"/>
    <w:rsid w:val="7D3A360A"/>
    <w:rsid w:val="7D3A7930"/>
    <w:rsid w:val="7D3E5C13"/>
    <w:rsid w:val="7D447A84"/>
    <w:rsid w:val="7D6605F4"/>
    <w:rsid w:val="7D6C2781"/>
    <w:rsid w:val="7D6E6C69"/>
    <w:rsid w:val="7D7358BD"/>
    <w:rsid w:val="7D7670C3"/>
    <w:rsid w:val="7D84306B"/>
    <w:rsid w:val="7D8529F8"/>
    <w:rsid w:val="7D8C5F00"/>
    <w:rsid w:val="7D91786B"/>
    <w:rsid w:val="7D954F56"/>
    <w:rsid w:val="7D96327C"/>
    <w:rsid w:val="7D965A4F"/>
    <w:rsid w:val="7D9667EC"/>
    <w:rsid w:val="7D985805"/>
    <w:rsid w:val="7D9B4E14"/>
    <w:rsid w:val="7D9B554F"/>
    <w:rsid w:val="7D9C536E"/>
    <w:rsid w:val="7D9E716D"/>
    <w:rsid w:val="7DA10FC4"/>
    <w:rsid w:val="7DA251FD"/>
    <w:rsid w:val="7DC662D7"/>
    <w:rsid w:val="7DCA3AD5"/>
    <w:rsid w:val="7DD0567E"/>
    <w:rsid w:val="7DD76698"/>
    <w:rsid w:val="7DE021D6"/>
    <w:rsid w:val="7DE30207"/>
    <w:rsid w:val="7DFA5FDE"/>
    <w:rsid w:val="7E153868"/>
    <w:rsid w:val="7E1D229E"/>
    <w:rsid w:val="7E1E04DC"/>
    <w:rsid w:val="7E244E09"/>
    <w:rsid w:val="7E2453C6"/>
    <w:rsid w:val="7E2E7A36"/>
    <w:rsid w:val="7E3037B8"/>
    <w:rsid w:val="7E311815"/>
    <w:rsid w:val="7E374B3D"/>
    <w:rsid w:val="7E386B07"/>
    <w:rsid w:val="7E3A4583"/>
    <w:rsid w:val="7E3C65F7"/>
    <w:rsid w:val="7E3D1B83"/>
    <w:rsid w:val="7E4427B4"/>
    <w:rsid w:val="7E4A74EC"/>
    <w:rsid w:val="7E5042D1"/>
    <w:rsid w:val="7E51090D"/>
    <w:rsid w:val="7E5F22E5"/>
    <w:rsid w:val="7E611BB9"/>
    <w:rsid w:val="7E715A46"/>
    <w:rsid w:val="7E7328EA"/>
    <w:rsid w:val="7E742588"/>
    <w:rsid w:val="7E77762F"/>
    <w:rsid w:val="7E7B0D5F"/>
    <w:rsid w:val="7E7F678B"/>
    <w:rsid w:val="7E7F7B88"/>
    <w:rsid w:val="7E81370B"/>
    <w:rsid w:val="7E84725B"/>
    <w:rsid w:val="7E857F59"/>
    <w:rsid w:val="7E8809BA"/>
    <w:rsid w:val="7E8A5D41"/>
    <w:rsid w:val="7E98191C"/>
    <w:rsid w:val="7E9E46A1"/>
    <w:rsid w:val="7EA54816"/>
    <w:rsid w:val="7EA919D9"/>
    <w:rsid w:val="7EB31977"/>
    <w:rsid w:val="7EB459DD"/>
    <w:rsid w:val="7EB62E02"/>
    <w:rsid w:val="7EBA511B"/>
    <w:rsid w:val="7EC301BA"/>
    <w:rsid w:val="7ED10D4F"/>
    <w:rsid w:val="7ED11F1F"/>
    <w:rsid w:val="7ED148FF"/>
    <w:rsid w:val="7ED56104"/>
    <w:rsid w:val="7ED646CA"/>
    <w:rsid w:val="7EDC56E4"/>
    <w:rsid w:val="7EE30010"/>
    <w:rsid w:val="7EE3058E"/>
    <w:rsid w:val="7EE91CD8"/>
    <w:rsid w:val="7EEE2011"/>
    <w:rsid w:val="7EF0677F"/>
    <w:rsid w:val="7EF168FE"/>
    <w:rsid w:val="7EF639AA"/>
    <w:rsid w:val="7F076C05"/>
    <w:rsid w:val="7F083BEE"/>
    <w:rsid w:val="7F0D1E11"/>
    <w:rsid w:val="7F0E232F"/>
    <w:rsid w:val="7F184147"/>
    <w:rsid w:val="7F1D6224"/>
    <w:rsid w:val="7F2805F8"/>
    <w:rsid w:val="7F332846"/>
    <w:rsid w:val="7F3666C1"/>
    <w:rsid w:val="7F3C6183"/>
    <w:rsid w:val="7F4F2EF3"/>
    <w:rsid w:val="7F5954E9"/>
    <w:rsid w:val="7F5E259D"/>
    <w:rsid w:val="7F6D2970"/>
    <w:rsid w:val="7F7335B4"/>
    <w:rsid w:val="7F885137"/>
    <w:rsid w:val="7F961D37"/>
    <w:rsid w:val="7F983FE1"/>
    <w:rsid w:val="7F9939A3"/>
    <w:rsid w:val="7FA30959"/>
    <w:rsid w:val="7FB64187"/>
    <w:rsid w:val="7FC8156B"/>
    <w:rsid w:val="7FDF1DF9"/>
    <w:rsid w:val="7FEB643C"/>
    <w:rsid w:val="7FEF6C3D"/>
    <w:rsid w:val="7FF33CFB"/>
    <w:rsid w:val="7FF473E6"/>
    <w:rsid w:val="7FFB1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046"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autoRedefine/>
    <w:qFormat/>
    <w:uiPriority w:val="0"/>
    <w:pPr>
      <w:keepNext w:val="0"/>
      <w:keepLines w:val="0"/>
      <w:pageBreakBefore w:val="0"/>
      <w:widowControl w:val="0"/>
      <w:adjustRightInd/>
      <w:snapToGrid/>
      <w:spacing w:before="0" w:beforeLines="0" w:beforeAutospacing="0" w:after="0" w:afterLines="0" w:afterAutospacing="0" w:line="360" w:lineRule="auto"/>
      <w:outlineLvl w:val="0"/>
    </w:pPr>
    <w:rPr>
      <w:rFonts w:hint="default" w:ascii="Times New Roman" w:hAnsi="Times New Roman" w:eastAsia="黑体" w:cstheme="minorBidi"/>
      <w:kern w:val="44"/>
      <w:sz w:val="28"/>
      <w:lang w:val="en-US" w:eastAsia="zh-CN"/>
    </w:rPr>
  </w:style>
  <w:style w:type="paragraph" w:styleId="3">
    <w:name w:val="heading 2"/>
    <w:basedOn w:val="1"/>
    <w:next w:val="1"/>
    <w:link w:val="27"/>
    <w:autoRedefine/>
    <w:unhideWhenUsed/>
    <w:qFormat/>
    <w:uiPriority w:val="0"/>
    <w:pPr>
      <w:keepNext w:val="0"/>
      <w:keepLines w:val="0"/>
      <w:spacing w:beforeLines="0" w:beforeAutospacing="0" w:afterLines="0" w:afterAutospacing="0" w:line="360" w:lineRule="auto"/>
      <w:ind w:firstLine="0" w:firstLineChars="0"/>
      <w:jc w:val="left"/>
      <w:outlineLvl w:val="1"/>
    </w:pPr>
    <w:rPr>
      <w:rFonts w:ascii="Times New Roman" w:hAnsi="Times New Roman" w:eastAsia="黑体"/>
      <w:sz w:val="24"/>
    </w:rPr>
  </w:style>
  <w:style w:type="paragraph" w:styleId="4">
    <w:name w:val="heading 3"/>
    <w:basedOn w:val="2"/>
    <w:next w:val="1"/>
    <w:autoRedefine/>
    <w:unhideWhenUsed/>
    <w:qFormat/>
    <w:uiPriority w:val="0"/>
    <w:pPr>
      <w:keepNext/>
      <w:keepLines/>
      <w:ind w:firstLine="0" w:firstLineChars="0"/>
      <w:outlineLvl w:val="2"/>
    </w:pPr>
    <w:rPr>
      <w:b/>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spacing w:line="360" w:lineRule="auto"/>
      <w:ind w:firstLine="420" w:firstLineChars="200"/>
    </w:pPr>
  </w:style>
  <w:style w:type="paragraph" w:styleId="7">
    <w:name w:val="annotation text"/>
    <w:basedOn w:val="1"/>
    <w:autoRedefine/>
    <w:qFormat/>
    <w:uiPriority w:val="0"/>
    <w:pPr>
      <w:jc w:val="left"/>
    </w:pPr>
  </w:style>
  <w:style w:type="paragraph" w:styleId="8">
    <w:name w:val="Body Text 3"/>
    <w:basedOn w:val="1"/>
    <w:autoRedefine/>
    <w:qFormat/>
    <w:uiPriority w:val="0"/>
    <w:pPr>
      <w:spacing w:line="360" w:lineRule="auto"/>
      <w:ind w:firstLine="602" w:firstLineChars="200"/>
    </w:pPr>
    <w:rPr>
      <w:kern w:val="0"/>
      <w:szCs w:val="16"/>
    </w:rPr>
  </w:style>
  <w:style w:type="paragraph" w:styleId="9">
    <w:name w:val="Body Text"/>
    <w:basedOn w:val="1"/>
    <w:next w:val="1"/>
    <w:autoRedefine/>
    <w:qFormat/>
    <w:uiPriority w:val="0"/>
    <w:pPr>
      <w:spacing w:after="120" w:afterLines="0" w:afterAutospacing="0"/>
    </w:pPr>
  </w:style>
  <w:style w:type="paragraph" w:styleId="10">
    <w:name w:val="Body Text Indent"/>
    <w:basedOn w:val="1"/>
    <w:next w:val="11"/>
    <w:autoRedefine/>
    <w:qFormat/>
    <w:uiPriority w:val="0"/>
    <w:pPr>
      <w:ind w:left="0" w:leftChars="0"/>
    </w:pPr>
    <w:rPr>
      <w:rFonts w:ascii="Times New Roman" w:hAnsi="Times New Roman" w:eastAsia="宋体"/>
      <w:kern w:val="0"/>
      <w:szCs w:val="20"/>
    </w:rPr>
  </w:style>
  <w:style w:type="paragraph" w:styleId="11">
    <w:name w:val="Body Text First Indent 2"/>
    <w:basedOn w:val="10"/>
    <w:next w:val="1"/>
    <w:autoRedefine/>
    <w:qFormat/>
    <w:uiPriority w:val="0"/>
    <w:pPr>
      <w:ind w:firstLine="420"/>
    </w:pPr>
    <w:rPr>
      <w:sz w:val="21"/>
    </w:rPr>
  </w:style>
  <w:style w:type="paragraph" w:styleId="12">
    <w:name w:val="toc 3"/>
    <w:basedOn w:val="1"/>
    <w:next w:val="1"/>
    <w:autoRedefine/>
    <w:qFormat/>
    <w:uiPriority w:val="0"/>
    <w:pPr>
      <w:ind w:left="840" w:leftChars="400"/>
    </w:pPr>
  </w:style>
  <w:style w:type="paragraph" w:styleId="13">
    <w:name w:val="Plain Text"/>
    <w:basedOn w:val="1"/>
    <w:next w:val="1"/>
    <w:autoRedefine/>
    <w:unhideWhenUsed/>
    <w:qFormat/>
    <w:uiPriority w:val="0"/>
    <w:pPr>
      <w:adjustRightInd w:val="0"/>
      <w:snapToGrid w:val="0"/>
    </w:pPr>
    <w:rPr>
      <w:rFonts w:ascii="宋体" w:hAnsi="Courier New" w:cs="Times New Roman"/>
      <w:kern w:val="24"/>
      <w:szCs w:val="20"/>
    </w:rPr>
  </w:style>
  <w:style w:type="paragraph" w:styleId="14">
    <w:name w:val="Body Text Indent 2"/>
    <w:basedOn w:val="1"/>
    <w:next w:val="1"/>
    <w:autoRedefine/>
    <w:qFormat/>
    <w:uiPriority w:val="0"/>
    <w:pPr>
      <w:widowControl w:val="0"/>
      <w:autoSpaceDE/>
      <w:autoSpaceDN/>
      <w:spacing w:before="0" w:after="120" w:line="480" w:lineRule="auto"/>
      <w:ind w:left="4004" w:firstLine="3584"/>
      <w:jc w:val="both"/>
    </w:p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autoRedefine/>
    <w:qFormat/>
    <w:uiPriority w:val="0"/>
  </w:style>
  <w:style w:type="paragraph" w:styleId="18">
    <w:name w:val="toc 2"/>
    <w:basedOn w:val="1"/>
    <w:next w:val="1"/>
    <w:autoRedefine/>
    <w:qFormat/>
    <w:uiPriority w:val="0"/>
    <w:pPr>
      <w:ind w:left="420" w:leftChars="200"/>
    </w:p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9"/>
    <w:next w:val="1"/>
    <w:autoRedefine/>
    <w:qFormat/>
    <w:uiPriority w:val="0"/>
    <w:pPr>
      <w:adjustRightInd w:val="0"/>
      <w:snapToGrid w:val="0"/>
      <w:spacing w:line="360" w:lineRule="auto"/>
      <w:ind w:firstLine="200" w:firstLineChars="200"/>
    </w:pPr>
    <w:rPr>
      <w:rFonts w:asciiTheme="minorAscii" w:hAnsiTheme="minorAscii" w:eastAsiaTheme="minorEastAsia"/>
      <w:sz w:val="24"/>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basedOn w:val="24"/>
    <w:autoRedefine/>
    <w:qFormat/>
    <w:uiPriority w:val="0"/>
    <w:rPr>
      <w:color w:val="0000FF"/>
      <w:u w:val="single"/>
    </w:rPr>
  </w:style>
  <w:style w:type="character" w:customStyle="1" w:styleId="27">
    <w:name w:val="标题 2 Char"/>
    <w:link w:val="3"/>
    <w:autoRedefine/>
    <w:qFormat/>
    <w:uiPriority w:val="0"/>
    <w:rPr>
      <w:rFonts w:ascii="Times New Roman" w:hAnsi="Times New Roman" w:eastAsia="黑体"/>
      <w:sz w:val="24"/>
    </w:rPr>
  </w:style>
  <w:style w:type="paragraph" w:customStyle="1" w:styleId="28">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29">
    <w:name w:val="Default"/>
    <w:basedOn w:val="30"/>
    <w:next w:val="1"/>
    <w:autoRedefine/>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0">
    <w:name w:val="纯文本1"/>
    <w:basedOn w:val="1"/>
    <w:next w:val="13"/>
    <w:autoRedefine/>
    <w:qFormat/>
    <w:uiPriority w:val="0"/>
    <w:pPr>
      <w:adjustRightInd w:val="0"/>
    </w:pPr>
    <w:rPr>
      <w:rFonts w:ascii="宋体" w:hAnsi="Courier New"/>
      <w:szCs w:val="20"/>
    </w:rPr>
  </w:style>
  <w:style w:type="paragraph" w:customStyle="1" w:styleId="31">
    <w:name w:val="！正文 Alt+0"/>
    <w:basedOn w:val="1"/>
    <w:qFormat/>
    <w:uiPriority w:val="0"/>
    <w:pPr>
      <w:ind w:firstLine="200"/>
    </w:pPr>
    <w:rPr>
      <w:sz w:val="28"/>
      <w:szCs w:val="28"/>
    </w:rPr>
  </w:style>
  <w:style w:type="paragraph" w:customStyle="1" w:styleId="32">
    <w:name w:val="样式 正文文本缩进 + 行距: 1.5 倍行距"/>
    <w:basedOn w:val="10"/>
    <w:autoRedefine/>
    <w:qFormat/>
    <w:uiPriority w:val="0"/>
    <w:pPr>
      <w:ind w:left="90" w:leftChars="32" w:firstLine="560"/>
    </w:pPr>
    <w:rPr>
      <w:rFonts w:cs="宋体"/>
    </w:rPr>
  </w:style>
  <w:style w:type="paragraph" w:customStyle="1" w:styleId="33">
    <w:name w:val="表格标题"/>
    <w:basedOn w:val="1"/>
    <w:autoRedefine/>
    <w:qFormat/>
    <w:uiPriority w:val="0"/>
    <w:pPr>
      <w:jc w:val="center"/>
    </w:pPr>
    <w:rPr>
      <w:rFonts w:ascii="Times New Roman" w:hAnsi="Times New Roman" w:eastAsia="黑体"/>
      <w:sz w:val="24"/>
    </w:rPr>
  </w:style>
  <w:style w:type="paragraph" w:customStyle="1" w:styleId="34">
    <w:name w:val="表格"/>
    <w:basedOn w:val="9"/>
    <w:next w:val="1"/>
    <w:link w:val="36"/>
    <w:autoRedefine/>
    <w:qFormat/>
    <w:uiPriority w:val="0"/>
    <w:pPr>
      <w:tabs>
        <w:tab w:val="left" w:pos="1021"/>
      </w:tabs>
      <w:adjustRightInd w:val="0"/>
      <w:snapToGrid w:val="0"/>
      <w:spacing w:beforeLines="0" w:after="0" w:line="400" w:lineRule="exact"/>
      <w:jc w:val="center"/>
    </w:pPr>
    <w:rPr>
      <w:rFonts w:hint="eastAsia" w:ascii="Times New Roman" w:hAnsi="Times New Roman" w:eastAsia="宋体"/>
      <w:color w:val="000000"/>
      <w:sz w:val="21"/>
    </w:rPr>
  </w:style>
  <w:style w:type="paragraph" w:customStyle="1" w:styleId="35">
    <w:name w:val="表头"/>
    <w:basedOn w:val="13"/>
    <w:next w:val="1"/>
    <w:autoRedefine/>
    <w:qFormat/>
    <w:uiPriority w:val="0"/>
    <w:pPr>
      <w:tabs>
        <w:tab w:val="left" w:pos="1021"/>
      </w:tabs>
      <w:jc w:val="center"/>
    </w:pPr>
    <w:rPr>
      <w:rFonts w:ascii="Times New Roman" w:hAnsi="Times New Roman"/>
      <w:szCs w:val="21"/>
    </w:rPr>
  </w:style>
  <w:style w:type="character" w:customStyle="1" w:styleId="36">
    <w:name w:val="表格 Char"/>
    <w:link w:val="34"/>
    <w:autoRedefine/>
    <w:qFormat/>
    <w:uiPriority w:val="0"/>
    <w:rPr>
      <w:rFonts w:hint="eastAsia" w:ascii="Times New Roman" w:hAnsi="Times New Roman" w:eastAsia="宋体"/>
      <w:color w:val="000000"/>
      <w:sz w:val="21"/>
    </w:rPr>
  </w:style>
  <w:style w:type="paragraph" w:customStyle="1" w:styleId="37">
    <w:name w:val="表格内容"/>
    <w:basedOn w:val="38"/>
    <w:autoRedefine/>
    <w:qFormat/>
    <w:uiPriority w:val="0"/>
    <w:pPr>
      <w:spacing w:line="360" w:lineRule="exact"/>
      <w:ind w:firstLine="0" w:firstLineChars="0"/>
      <w:jc w:val="center"/>
    </w:pPr>
    <w:rPr>
      <w:rFonts w:ascii="Times New Roman" w:hAnsi="Times New Roman" w:eastAsia="宋体"/>
    </w:rPr>
  </w:style>
  <w:style w:type="paragraph" w:customStyle="1" w:styleId="38">
    <w:name w:val="表 图 内容"/>
    <w:basedOn w:val="1"/>
    <w:qFormat/>
    <w:uiPriority w:val="99"/>
    <w:pPr>
      <w:jc w:val="center"/>
    </w:pPr>
    <w:rPr>
      <w:color w:val="000000"/>
    </w:rPr>
  </w:style>
  <w:style w:type="paragraph" w:customStyle="1" w:styleId="39">
    <w:name w:val="表格文字"/>
    <w:basedOn w:val="21"/>
    <w:next w:val="1"/>
    <w:autoRedefine/>
    <w:qFormat/>
    <w:uiPriority w:val="0"/>
    <w:pPr>
      <w:adjustRightInd w:val="0"/>
      <w:snapToGrid w:val="0"/>
      <w:spacing w:after="0" w:line="360" w:lineRule="exact"/>
      <w:ind w:firstLine="0" w:firstLineChars="0"/>
      <w:jc w:val="center"/>
    </w:pPr>
    <w:rPr>
      <w:rFonts w:ascii="Times New Roman" w:hAnsi="Times New Roman"/>
      <w:sz w:val="21"/>
    </w:rPr>
  </w:style>
  <w:style w:type="paragraph" w:customStyle="1" w:styleId="40">
    <w:name w:val="表中文字"/>
    <w:basedOn w:val="35"/>
    <w:autoRedefine/>
    <w:qFormat/>
    <w:uiPriority w:val="0"/>
    <w:pPr>
      <w:spacing w:line="240" w:lineRule="auto"/>
    </w:pPr>
  </w:style>
  <w:style w:type="paragraph" w:customStyle="1" w:styleId="41">
    <w:name w:val="表格正文"/>
    <w:basedOn w:val="42"/>
    <w:next w:val="1"/>
    <w:autoRedefine/>
    <w:qFormat/>
    <w:uiPriority w:val="0"/>
    <w:pPr>
      <w:snapToGrid w:val="0"/>
      <w:spacing w:line="240" w:lineRule="auto"/>
      <w:ind w:firstLine="0" w:firstLineChars="0"/>
      <w:jc w:val="center"/>
    </w:pPr>
    <w:rPr>
      <w:rFonts w:ascii="Times New Roman" w:hAnsi="Times New Roman" w:eastAsia="宋体"/>
      <w:color w:val="000000"/>
      <w:kern w:val="0"/>
      <w:sz w:val="21"/>
      <w:szCs w:val="21"/>
    </w:rPr>
  </w:style>
  <w:style w:type="paragraph" w:customStyle="1" w:styleId="42">
    <w:name w:val="表格格式"/>
    <w:basedOn w:val="1"/>
    <w:autoRedefine/>
    <w:qFormat/>
    <w:uiPriority w:val="0"/>
    <w:pPr>
      <w:jc w:val="center"/>
    </w:pPr>
    <w:rPr>
      <w:b/>
      <w:kern w:val="0"/>
      <w:szCs w:val="21"/>
    </w:rPr>
  </w:style>
  <w:style w:type="paragraph" w:customStyle="1" w:styleId="43">
    <w:name w:val="正文1"/>
    <w:basedOn w:val="1"/>
    <w:autoRedefine/>
    <w:qFormat/>
    <w:uiPriority w:val="0"/>
    <w:pPr>
      <w:spacing w:line="360" w:lineRule="auto"/>
      <w:ind w:firstLine="723" w:firstLineChars="200"/>
    </w:pPr>
    <w:rPr>
      <w:rFonts w:ascii="Times New Roman" w:hAnsi="Times New Roman"/>
      <w:sz w:val="24"/>
    </w:rPr>
  </w:style>
  <w:style w:type="paragraph" w:customStyle="1" w:styleId="44">
    <w:name w:val="正文表格"/>
    <w:basedOn w:val="1"/>
    <w:next w:val="1"/>
    <w:autoRedefine/>
    <w:qFormat/>
    <w:uiPriority w:val="0"/>
    <w:pPr>
      <w:keepNext/>
      <w:keepLines/>
      <w:spacing w:beforeLines="0" w:afterLines="0" w:line="320" w:lineRule="exact"/>
      <w:ind w:firstLine="0" w:firstLineChars="0"/>
      <w:jc w:val="center"/>
      <w:outlineLvl w:val="2"/>
    </w:pPr>
    <w:rPr>
      <w:rFonts w:hint="eastAsia"/>
      <w:sz w:val="21"/>
    </w:rPr>
  </w:style>
  <w:style w:type="paragraph" w:customStyle="1" w:styleId="45">
    <w:name w:val="段落"/>
    <w:basedOn w:val="1"/>
    <w:autoRedefine/>
    <w:qFormat/>
    <w:uiPriority w:val="0"/>
    <w:pPr>
      <w:tabs>
        <w:tab w:val="left" w:pos="1021"/>
      </w:tabs>
      <w:adjustRightInd w:val="0"/>
      <w:snapToGrid w:val="0"/>
      <w:spacing w:line="360" w:lineRule="auto"/>
    </w:pPr>
    <w:rPr>
      <w:rFonts w:ascii="宋体" w:hAnsi="宋体"/>
      <w:sz w:val="24"/>
    </w:rPr>
  </w:style>
  <w:style w:type="paragraph" w:customStyle="1" w:styleId="46">
    <w:name w:val="p15"/>
    <w:basedOn w:val="1"/>
    <w:autoRedefine/>
    <w:qFormat/>
    <w:uiPriority w:val="0"/>
    <w:pPr>
      <w:widowControl/>
      <w:jc w:val="left"/>
    </w:pPr>
    <w:rPr>
      <w:kern w:val="0"/>
      <w:sz w:val="20"/>
      <w:szCs w:val="20"/>
    </w:rPr>
  </w:style>
  <w:style w:type="paragraph" w:customStyle="1" w:styleId="47">
    <w:name w:val="样式san"/>
    <w:basedOn w:val="43"/>
    <w:autoRedefine/>
    <w:qFormat/>
    <w:uiPriority w:val="0"/>
  </w:style>
  <w:style w:type="paragraph" w:customStyle="1" w:styleId="48">
    <w:name w:val="表格内格式"/>
    <w:basedOn w:val="1"/>
    <w:next w:val="1"/>
    <w:autoRedefine/>
    <w:qFormat/>
    <w:uiPriority w:val="0"/>
    <w:pPr>
      <w:widowControl/>
      <w:adjustRightInd w:val="0"/>
      <w:snapToGrid w:val="0"/>
      <w:spacing w:line="240" w:lineRule="auto"/>
      <w:ind w:firstLine="0" w:firstLineChars="0"/>
      <w:jc w:val="center"/>
    </w:pPr>
    <w:rPr>
      <w:rFonts w:ascii="Calibri" w:hAnsi="Calibri" w:cs="Times New Roman"/>
      <w:sz w:val="21"/>
      <w:szCs w:val="21"/>
    </w:rPr>
  </w:style>
  <w:style w:type="paragraph" w:customStyle="1" w:styleId="49">
    <w:name w:val="Table Paragraph"/>
    <w:basedOn w:val="1"/>
    <w:qFormat/>
    <w:uiPriority w:val="1"/>
  </w:style>
  <w:style w:type="paragraph" w:customStyle="1" w:styleId="50">
    <w:name w:val="A表头"/>
    <w:basedOn w:val="1"/>
    <w:autoRedefine/>
    <w:qFormat/>
    <w:uiPriority w:val="0"/>
    <w:pPr>
      <w:jc w:val="center"/>
    </w:pPr>
    <w:rPr>
      <w:szCs w:val="20"/>
    </w:rPr>
  </w:style>
  <w:style w:type="paragraph" w:customStyle="1" w:styleId="51">
    <w:name w:val="四级条标题"/>
    <w:basedOn w:val="52"/>
    <w:next w:val="56"/>
    <w:autoRedefine/>
    <w:qFormat/>
    <w:uiPriority w:val="0"/>
    <w:pPr>
      <w:widowControl/>
      <w:numPr>
        <w:ilvl w:val="3"/>
        <w:numId w:val="0"/>
      </w:numPr>
      <w:tabs>
        <w:tab w:val="left" w:pos="1260"/>
        <w:tab w:val="left" w:pos="1680"/>
      </w:tabs>
      <w:outlineLvl w:val="5"/>
    </w:pPr>
    <w:rPr>
      <w:rFonts w:ascii="黑体" w:eastAsia="黑体"/>
      <w:kern w:val="0"/>
      <w:szCs w:val="20"/>
    </w:rPr>
  </w:style>
  <w:style w:type="paragraph" w:customStyle="1" w:styleId="52">
    <w:name w:val="三级条标题"/>
    <w:basedOn w:val="53"/>
    <w:next w:val="56"/>
    <w:autoRedefine/>
    <w:qFormat/>
    <w:uiPriority w:val="0"/>
    <w:pPr>
      <w:numPr>
        <w:ilvl w:val="3"/>
        <w:numId w:val="0"/>
      </w:numPr>
      <w:tabs>
        <w:tab w:val="left" w:pos="1260"/>
        <w:tab w:val="left" w:pos="1680"/>
      </w:tabs>
      <w:outlineLvl w:val="4"/>
    </w:pPr>
  </w:style>
  <w:style w:type="paragraph" w:customStyle="1" w:styleId="53">
    <w:name w:val="二级条标题"/>
    <w:basedOn w:val="54"/>
    <w:next w:val="56"/>
    <w:autoRedefine/>
    <w:qFormat/>
    <w:uiPriority w:val="0"/>
    <w:pPr>
      <w:numPr>
        <w:ilvl w:val="3"/>
        <w:numId w:val="1"/>
      </w:numPr>
      <w:tabs>
        <w:tab w:val="left" w:pos="1260"/>
      </w:tabs>
      <w:outlineLvl w:val="3"/>
    </w:pPr>
  </w:style>
  <w:style w:type="paragraph" w:customStyle="1" w:styleId="54">
    <w:name w:val="一级条标题"/>
    <w:basedOn w:val="55"/>
    <w:next w:val="56"/>
    <w:autoRedefine/>
    <w:qFormat/>
    <w:uiPriority w:val="0"/>
    <w:pPr>
      <w:numPr>
        <w:ilvl w:val="2"/>
        <w:numId w:val="1"/>
      </w:numPr>
      <w:spacing w:before="0" w:beforeLines="0" w:after="0" w:afterLines="0"/>
      <w:outlineLvl w:val="2"/>
    </w:pPr>
  </w:style>
  <w:style w:type="paragraph" w:customStyle="1" w:styleId="55">
    <w:name w:val="章标题"/>
    <w:next w:val="56"/>
    <w:autoRedefine/>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5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table" w:customStyle="1" w:styleId="57">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4"/>
      <w:szCs w:val="24"/>
      <w:lang w:val="en-US" w:eastAsia="en-US" w:bidi="ar-SA"/>
    </w:rPr>
  </w:style>
  <w:style w:type="character" w:customStyle="1" w:styleId="59">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wmf"/><Relationship Id="rId34" Type="http://schemas.openxmlformats.org/officeDocument/2006/relationships/oleObject" Target="embeddings/oleObject9.bin"/><Relationship Id="rId33" Type="http://schemas.openxmlformats.org/officeDocument/2006/relationships/image" Target="media/image12.wmf"/><Relationship Id="rId32" Type="http://schemas.openxmlformats.org/officeDocument/2006/relationships/oleObject" Target="embeddings/oleObject8.bin"/><Relationship Id="rId31" Type="http://schemas.openxmlformats.org/officeDocument/2006/relationships/image" Target="media/image11.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6.bin"/><Relationship Id="rId27" Type="http://schemas.openxmlformats.org/officeDocument/2006/relationships/image" Target="media/image9.png"/><Relationship Id="rId26" Type="http://schemas.openxmlformats.org/officeDocument/2006/relationships/image" Target="media/image8.emf"/><Relationship Id="rId25" Type="http://schemas.openxmlformats.org/officeDocument/2006/relationships/oleObject" Target="embeddings/oleObject5.bin"/><Relationship Id="rId24" Type="http://schemas.openxmlformats.org/officeDocument/2006/relationships/image" Target="media/image7.emf"/><Relationship Id="rId23" Type="http://schemas.openxmlformats.org/officeDocument/2006/relationships/oleObject" Target="embeddings/oleObject4.bin"/><Relationship Id="rId22" Type="http://schemas.openxmlformats.org/officeDocument/2006/relationships/image" Target="media/image6.emf"/><Relationship Id="rId21" Type="http://schemas.openxmlformats.org/officeDocument/2006/relationships/oleObject" Target="embeddings/oleObject3.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png"/><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6319</Words>
  <Characters>6720</Characters>
  <Lines>0</Lines>
  <Paragraphs>0</Paragraphs>
  <TotalTime>8</TotalTime>
  <ScaleCrop>false</ScaleCrop>
  <LinksUpToDate>false</LinksUpToDate>
  <CharactersWithSpaces>6841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2022-12-21T03:04:00Z</dcterms:created>
  <dc:creator>中嘉泰禾</dc:creator>
  <cp:lastModifiedBy>阳彦博</cp:lastModifiedBy>
  <dcterms:modified xsi:type="dcterms:W3CDTF">2026-01-07T12:43:36Z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92C30F9125FB4507A38DCEB6305F15DF_13</vt:lpwstr>
  </property>
  <property fmtid="{D5CDD505-2E9C-101B-9397-08002B2CF9AE}" pid="4" name="KSOTemplateDocerSaveRecord">
    <vt:lpwstr>eyJoZGlkIjoiNWI5N2NiYjZmZTIyYTdjYjExZmUwZTdkZWY5YmY2ZmEiLCJ1c2VySWQiOiIzMTIzOTY4NjcifQ==</vt:lpwstr>
  </property>
</Properties>
</file>