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8A5D08">
      <w:pPr>
        <w:adjustRightInd/>
        <w:snapToGrid/>
        <w:spacing w:line="240" w:lineRule="auto"/>
        <w:jc w:val="center"/>
        <w:outlineLvl w:val="9"/>
        <w:rPr>
          <w:rFonts w:hint="eastAsia" w:eastAsia="宋体"/>
          <w:sz w:val="32"/>
          <w:szCs w:val="32"/>
          <w:lang w:eastAsia="zh-CN"/>
        </w:rPr>
        <w:sectPr>
          <w:headerReference r:id="rId5" w:type="default"/>
          <w:footerReference r:id="rId6" w:type="default"/>
          <w:pgSz w:w="11906" w:h="16838"/>
          <w:pgMar w:top="1440" w:right="1083" w:bottom="1440" w:left="1083" w:header="850"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0" w:name="_Toc16023"/>
      <w:r>
        <w:rPr>
          <w:rFonts w:hint="eastAsia" w:ascii="方正小标宋_GBK" w:hAnsi="Times New Roman" w:eastAsia="方正小标宋_GBK" w:cs="Times New Roman"/>
          <w:b w:val="0"/>
          <w:bCs/>
          <w:color w:val="auto"/>
          <w:kern w:val="2"/>
          <w:sz w:val="72"/>
          <w:szCs w:val="72"/>
          <w:highlight w:val="none"/>
          <w:u w:val="none"/>
          <w:lang w:val="en-US" w:eastAsia="zh-CN" w:bidi="ar-SA"/>
        </w:rPr>
        <w:drawing>
          <wp:anchor distT="0" distB="0" distL="114300" distR="114300" simplePos="0" relativeHeight="251662336" behindDoc="1" locked="0" layoutInCell="1" allowOverlap="1">
            <wp:simplePos x="0" y="0"/>
            <wp:positionH relativeFrom="column">
              <wp:posOffset>-684530</wp:posOffset>
            </wp:positionH>
            <wp:positionV relativeFrom="paragraph">
              <wp:posOffset>-909320</wp:posOffset>
            </wp:positionV>
            <wp:extent cx="7244080" cy="10706735"/>
            <wp:effectExtent l="0" t="0" r="13970" b="18415"/>
            <wp:wrapNone/>
            <wp:docPr id="133" name="图片 133" descr="封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封面_01"/>
                    <pic:cNvPicPr>
                      <a:picLocks noChangeAspect="1"/>
                    </pic:cNvPicPr>
                  </pic:nvPicPr>
                  <pic:blipFill>
                    <a:blip r:embed="rId11"/>
                    <a:stretch>
                      <a:fillRect/>
                    </a:stretch>
                  </pic:blipFill>
                  <pic:spPr>
                    <a:xfrm>
                      <a:off x="0" y="0"/>
                      <a:ext cx="7244080" cy="10706735"/>
                    </a:xfrm>
                    <a:prstGeom prst="rect">
                      <a:avLst/>
                    </a:prstGeom>
                  </pic:spPr>
                </pic:pic>
              </a:graphicData>
            </a:graphic>
          </wp:anchor>
        </w:drawing>
      </w:r>
      <w:bookmarkEnd w:id="0"/>
    </w:p>
    <w:p w14:paraId="24633EF9">
      <w:pPr>
        <w:adjustRightInd/>
        <w:snapToGrid/>
        <w:spacing w:line="240" w:lineRule="auto"/>
        <w:jc w:val="center"/>
        <w:outlineLvl w:val="9"/>
        <w:rPr>
          <w:rFonts w:hint="eastAsia" w:eastAsia="宋体"/>
          <w:sz w:val="32"/>
          <w:szCs w:val="32"/>
          <w:lang w:eastAsia="zh-CN"/>
        </w:rPr>
        <w:sectPr>
          <w:pgSz w:w="11906" w:h="16838"/>
          <w:pgMar w:top="1440" w:right="1083" w:bottom="1440" w:left="1083" w:header="850"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12" w:name="_GoBack"/>
      <w:bookmarkEnd w:id="12"/>
      <w:r>
        <w:rPr>
          <w:rFonts w:hint="eastAsia" w:eastAsia="宋体"/>
          <w:sz w:val="32"/>
          <w:szCs w:val="32"/>
          <w:lang w:eastAsia="zh-CN"/>
        </w:rPr>
        <w:drawing>
          <wp:anchor distT="0" distB="0" distL="114300" distR="114300" simplePos="0" relativeHeight="251664384" behindDoc="1" locked="0" layoutInCell="1" allowOverlap="1">
            <wp:simplePos x="0" y="0"/>
            <wp:positionH relativeFrom="column">
              <wp:posOffset>-654685</wp:posOffset>
            </wp:positionH>
            <wp:positionV relativeFrom="paragraph">
              <wp:posOffset>-907415</wp:posOffset>
            </wp:positionV>
            <wp:extent cx="7240270" cy="10692130"/>
            <wp:effectExtent l="0" t="0" r="17780" b="13970"/>
            <wp:wrapNone/>
            <wp:docPr id="145" name="图片 145" descr="复核签字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复核签字页"/>
                    <pic:cNvPicPr>
                      <a:picLocks noChangeAspect="1"/>
                    </pic:cNvPicPr>
                  </pic:nvPicPr>
                  <pic:blipFill>
                    <a:blip r:embed="rId12"/>
                    <a:stretch>
                      <a:fillRect/>
                    </a:stretch>
                  </pic:blipFill>
                  <pic:spPr>
                    <a:xfrm>
                      <a:off x="0" y="0"/>
                      <a:ext cx="7240270" cy="10692130"/>
                    </a:xfrm>
                    <a:prstGeom prst="rect">
                      <a:avLst/>
                    </a:prstGeom>
                  </pic:spPr>
                </pic:pic>
              </a:graphicData>
            </a:graphic>
          </wp:anchor>
        </w:drawing>
      </w:r>
    </w:p>
    <w:p w14:paraId="2EEFB80E">
      <w:pPr>
        <w:autoSpaceDE/>
        <w:autoSpaceDN/>
        <w:adjustRightInd w:val="0"/>
        <w:snapToGrid w:val="0"/>
        <w:spacing w:line="288" w:lineRule="auto"/>
        <w:jc w:val="both"/>
        <w:rPr>
          <w:rFonts w:hint="eastAsia" w:ascii="楷体_GB2312" w:hAnsi="Times New Roman" w:eastAsia="楷体_GB2312" w:cs="Times New Roman"/>
          <w:color w:val="auto"/>
          <w:kern w:val="2"/>
          <w:sz w:val="36"/>
          <w:szCs w:val="36"/>
          <w:highlight w:val="none"/>
          <w:u w:val="none"/>
          <w:lang w:val="en-US" w:bidi="ar-SA"/>
        </w:rPr>
      </w:pPr>
    </w:p>
    <w:p w14:paraId="5B6F3172">
      <w:pPr>
        <w:jc w:val="center"/>
        <w:rPr>
          <w:rFonts w:cs="Times New Roman"/>
          <w:b/>
          <w:bCs/>
          <w:color w:val="auto"/>
          <w:sz w:val="32"/>
          <w:szCs w:val="32"/>
          <w:highlight w:val="none"/>
          <w:u w:val="none"/>
          <w:lang w:val="en-US"/>
        </w:rPr>
      </w:pPr>
      <w:r>
        <w:rPr>
          <w:rFonts w:cs="Times New Roman"/>
          <w:b/>
          <w:bCs/>
          <w:color w:val="auto"/>
          <w:sz w:val="32"/>
          <w:szCs w:val="32"/>
          <w:highlight w:val="none"/>
          <w:u w:val="none"/>
          <w:lang w:val="en-US"/>
        </w:rPr>
        <w:t>目  录</w:t>
      </w:r>
    </w:p>
    <w:p w14:paraId="2B36272D">
      <w:pPr>
        <w:pStyle w:val="22"/>
        <w:tabs>
          <w:tab w:val="right" w:leader="dot" w:pos="9730"/>
        </w:tabs>
        <w:rPr>
          <w:rFonts w:asciiTheme="minorHAnsi" w:hAnsiTheme="minorHAnsi" w:eastAsiaTheme="minorEastAsia" w:cstheme="minorBidi"/>
          <w:color w:val="auto"/>
          <w:kern w:val="2"/>
          <w:sz w:val="21"/>
          <w:szCs w:val="22"/>
          <w:highlight w:val="none"/>
          <w:u w:val="none"/>
          <w:lang w:val="en-US" w:bidi="ar-SA"/>
          <w14:ligatures w14:val="standardContextual"/>
        </w:rPr>
      </w:pPr>
      <w:r>
        <w:rPr>
          <w:color w:val="auto"/>
          <w:highlight w:val="none"/>
          <w:u w:val="none"/>
        </w:rPr>
        <w:fldChar w:fldCharType="begin"/>
      </w:r>
      <w:r>
        <w:rPr>
          <w:color w:val="auto"/>
          <w:highlight w:val="none"/>
          <w:u w:val="none"/>
        </w:rPr>
        <w:instrText xml:space="preserve">TOC \o "1-1" \h \u </w:instrText>
      </w:r>
      <w:r>
        <w:rPr>
          <w:color w:val="auto"/>
          <w:highlight w:val="none"/>
          <w:u w:val="none"/>
        </w:rPr>
        <w:fldChar w:fldCharType="separate"/>
      </w:r>
      <w:r>
        <w:rPr>
          <w:color w:val="auto"/>
          <w:highlight w:val="none"/>
          <w:u w:val="none"/>
        </w:rPr>
        <w:fldChar w:fldCharType="begin"/>
      </w:r>
      <w:r>
        <w:rPr>
          <w:color w:val="auto"/>
          <w:highlight w:val="none"/>
          <w:u w:val="none"/>
        </w:rPr>
        <w:instrText xml:space="preserve"> HYPERLINK \l "_Toc134635715" </w:instrText>
      </w:r>
      <w:r>
        <w:rPr>
          <w:color w:val="auto"/>
          <w:highlight w:val="none"/>
          <w:u w:val="none"/>
        </w:rPr>
        <w:fldChar w:fldCharType="separate"/>
      </w:r>
      <w:r>
        <w:rPr>
          <w:rStyle w:val="41"/>
          <w:color w:val="auto"/>
          <w:highlight w:val="none"/>
          <w:u w:val="none"/>
          <w:lang w:val="en-US"/>
        </w:rPr>
        <w:t>一、建设项目基本情况</w:t>
      </w:r>
      <w:r>
        <w:rPr>
          <w:color w:val="auto"/>
          <w:highlight w:val="none"/>
          <w:u w:val="none"/>
        </w:rPr>
        <w:tab/>
      </w:r>
      <w:r>
        <w:rPr>
          <w:color w:val="auto"/>
          <w:highlight w:val="none"/>
          <w:u w:val="none"/>
        </w:rPr>
        <w:fldChar w:fldCharType="begin"/>
      </w:r>
      <w:r>
        <w:rPr>
          <w:color w:val="auto"/>
          <w:highlight w:val="none"/>
          <w:u w:val="none"/>
        </w:rPr>
        <w:instrText xml:space="preserve"> PAGEREF _Toc134635715 \h </w:instrText>
      </w:r>
      <w:r>
        <w:rPr>
          <w:color w:val="auto"/>
          <w:highlight w:val="none"/>
          <w:u w:val="none"/>
        </w:rPr>
        <w:fldChar w:fldCharType="separate"/>
      </w:r>
      <w:r>
        <w:rPr>
          <w:color w:val="auto"/>
          <w:highlight w:val="none"/>
          <w:u w:val="none"/>
        </w:rPr>
        <w:t>1</w:t>
      </w:r>
      <w:r>
        <w:rPr>
          <w:color w:val="auto"/>
          <w:highlight w:val="none"/>
          <w:u w:val="none"/>
        </w:rPr>
        <w:fldChar w:fldCharType="end"/>
      </w:r>
      <w:r>
        <w:rPr>
          <w:color w:val="auto"/>
          <w:highlight w:val="none"/>
          <w:u w:val="none"/>
        </w:rPr>
        <w:fldChar w:fldCharType="end"/>
      </w:r>
    </w:p>
    <w:p w14:paraId="19E79A04">
      <w:pPr>
        <w:pStyle w:val="22"/>
        <w:tabs>
          <w:tab w:val="right" w:leader="dot" w:pos="9730"/>
        </w:tabs>
        <w:rPr>
          <w:rFonts w:asciiTheme="minorHAnsi" w:hAnsiTheme="minorHAnsi" w:eastAsiaTheme="minorEastAsia" w:cstheme="minorBidi"/>
          <w:color w:val="auto"/>
          <w:kern w:val="2"/>
          <w:sz w:val="21"/>
          <w:szCs w:val="22"/>
          <w:highlight w:val="none"/>
          <w:u w:val="none"/>
          <w:lang w:val="en-US" w:bidi="ar-SA"/>
          <w14:ligatures w14:val="standardContextual"/>
        </w:rPr>
      </w:pPr>
      <w:r>
        <w:rPr>
          <w:color w:val="auto"/>
          <w:highlight w:val="none"/>
          <w:u w:val="none"/>
        </w:rPr>
        <w:fldChar w:fldCharType="begin"/>
      </w:r>
      <w:r>
        <w:rPr>
          <w:color w:val="auto"/>
          <w:highlight w:val="none"/>
          <w:u w:val="none"/>
        </w:rPr>
        <w:instrText xml:space="preserve"> HYPERLINK \l "_Toc134635716" </w:instrText>
      </w:r>
      <w:r>
        <w:rPr>
          <w:color w:val="auto"/>
          <w:highlight w:val="none"/>
          <w:u w:val="none"/>
        </w:rPr>
        <w:fldChar w:fldCharType="separate"/>
      </w:r>
      <w:r>
        <w:rPr>
          <w:rStyle w:val="41"/>
          <w:color w:val="auto"/>
          <w:highlight w:val="none"/>
          <w:u w:val="none"/>
          <w:lang w:val="en-US"/>
        </w:rPr>
        <w:t>二、建设项目工程分析</w:t>
      </w:r>
      <w:r>
        <w:rPr>
          <w:color w:val="auto"/>
          <w:highlight w:val="none"/>
          <w:u w:val="none"/>
        </w:rPr>
        <w:tab/>
      </w:r>
      <w:r>
        <w:rPr>
          <w:color w:val="auto"/>
          <w:highlight w:val="none"/>
          <w:u w:val="none"/>
        </w:rPr>
        <w:fldChar w:fldCharType="begin"/>
      </w:r>
      <w:r>
        <w:rPr>
          <w:color w:val="auto"/>
          <w:highlight w:val="none"/>
          <w:u w:val="none"/>
        </w:rPr>
        <w:instrText xml:space="preserve"> PAGEREF _Toc134635716 \h </w:instrText>
      </w:r>
      <w:r>
        <w:rPr>
          <w:color w:val="auto"/>
          <w:highlight w:val="none"/>
          <w:u w:val="none"/>
        </w:rPr>
        <w:fldChar w:fldCharType="separate"/>
      </w:r>
      <w:r>
        <w:rPr>
          <w:color w:val="auto"/>
          <w:highlight w:val="none"/>
          <w:u w:val="none"/>
        </w:rPr>
        <w:t>14</w:t>
      </w:r>
      <w:r>
        <w:rPr>
          <w:color w:val="auto"/>
          <w:highlight w:val="none"/>
          <w:u w:val="none"/>
        </w:rPr>
        <w:fldChar w:fldCharType="end"/>
      </w:r>
      <w:r>
        <w:rPr>
          <w:color w:val="auto"/>
          <w:highlight w:val="none"/>
          <w:u w:val="none"/>
        </w:rPr>
        <w:fldChar w:fldCharType="end"/>
      </w:r>
    </w:p>
    <w:p w14:paraId="4EFCFD8D">
      <w:pPr>
        <w:pStyle w:val="22"/>
        <w:tabs>
          <w:tab w:val="right" w:leader="dot" w:pos="9730"/>
        </w:tabs>
        <w:rPr>
          <w:rFonts w:asciiTheme="minorHAnsi" w:hAnsiTheme="minorHAnsi" w:eastAsiaTheme="minorEastAsia" w:cstheme="minorBidi"/>
          <w:color w:val="auto"/>
          <w:kern w:val="2"/>
          <w:sz w:val="21"/>
          <w:szCs w:val="22"/>
          <w:highlight w:val="none"/>
          <w:u w:val="none"/>
          <w:lang w:val="en-US" w:bidi="ar-SA"/>
          <w14:ligatures w14:val="standardContextual"/>
        </w:rPr>
      </w:pPr>
      <w:r>
        <w:rPr>
          <w:color w:val="auto"/>
          <w:highlight w:val="none"/>
          <w:u w:val="none"/>
        </w:rPr>
        <w:fldChar w:fldCharType="begin"/>
      </w:r>
      <w:r>
        <w:rPr>
          <w:color w:val="auto"/>
          <w:highlight w:val="none"/>
          <w:u w:val="none"/>
        </w:rPr>
        <w:instrText xml:space="preserve"> HYPERLINK \l "_Toc134635717" </w:instrText>
      </w:r>
      <w:r>
        <w:rPr>
          <w:color w:val="auto"/>
          <w:highlight w:val="none"/>
          <w:u w:val="none"/>
        </w:rPr>
        <w:fldChar w:fldCharType="separate"/>
      </w:r>
      <w:r>
        <w:rPr>
          <w:rStyle w:val="41"/>
          <w:color w:val="auto"/>
          <w:highlight w:val="none"/>
          <w:u w:val="none"/>
          <w:lang w:val="en-US"/>
        </w:rPr>
        <w:t>三、区域环境质量现状、环境保护目标及评价标准</w:t>
      </w:r>
      <w:r>
        <w:rPr>
          <w:color w:val="auto"/>
          <w:highlight w:val="none"/>
          <w:u w:val="none"/>
        </w:rPr>
        <w:tab/>
      </w:r>
      <w:r>
        <w:rPr>
          <w:color w:val="auto"/>
          <w:highlight w:val="none"/>
          <w:u w:val="none"/>
        </w:rPr>
        <w:fldChar w:fldCharType="begin"/>
      </w:r>
      <w:r>
        <w:rPr>
          <w:color w:val="auto"/>
          <w:highlight w:val="none"/>
          <w:u w:val="none"/>
        </w:rPr>
        <w:instrText xml:space="preserve"> PAGEREF _Toc134635717 \h </w:instrText>
      </w:r>
      <w:r>
        <w:rPr>
          <w:color w:val="auto"/>
          <w:highlight w:val="none"/>
          <w:u w:val="none"/>
        </w:rPr>
        <w:fldChar w:fldCharType="separate"/>
      </w:r>
      <w:r>
        <w:rPr>
          <w:color w:val="auto"/>
          <w:highlight w:val="none"/>
          <w:u w:val="none"/>
        </w:rPr>
        <w:t>30</w:t>
      </w:r>
      <w:r>
        <w:rPr>
          <w:color w:val="auto"/>
          <w:highlight w:val="none"/>
          <w:u w:val="none"/>
        </w:rPr>
        <w:fldChar w:fldCharType="end"/>
      </w:r>
      <w:r>
        <w:rPr>
          <w:color w:val="auto"/>
          <w:highlight w:val="none"/>
          <w:u w:val="none"/>
        </w:rPr>
        <w:fldChar w:fldCharType="end"/>
      </w:r>
    </w:p>
    <w:p w14:paraId="65DEA0B0">
      <w:pPr>
        <w:pStyle w:val="22"/>
        <w:tabs>
          <w:tab w:val="right" w:leader="dot" w:pos="9730"/>
        </w:tabs>
        <w:rPr>
          <w:rFonts w:asciiTheme="minorHAnsi" w:hAnsiTheme="minorHAnsi" w:eastAsiaTheme="minorEastAsia" w:cstheme="minorBidi"/>
          <w:color w:val="auto"/>
          <w:kern w:val="2"/>
          <w:sz w:val="21"/>
          <w:szCs w:val="22"/>
          <w:highlight w:val="none"/>
          <w:u w:val="none"/>
          <w:lang w:val="en-US" w:bidi="ar-SA"/>
          <w14:ligatures w14:val="standardContextual"/>
        </w:rPr>
      </w:pPr>
      <w:r>
        <w:rPr>
          <w:color w:val="auto"/>
          <w:highlight w:val="none"/>
          <w:u w:val="none"/>
        </w:rPr>
        <w:fldChar w:fldCharType="begin"/>
      </w:r>
      <w:r>
        <w:rPr>
          <w:color w:val="auto"/>
          <w:highlight w:val="none"/>
          <w:u w:val="none"/>
        </w:rPr>
        <w:instrText xml:space="preserve"> HYPERLINK \l "_Toc134635718" </w:instrText>
      </w:r>
      <w:r>
        <w:rPr>
          <w:color w:val="auto"/>
          <w:highlight w:val="none"/>
          <w:u w:val="none"/>
        </w:rPr>
        <w:fldChar w:fldCharType="separate"/>
      </w:r>
      <w:r>
        <w:rPr>
          <w:rStyle w:val="41"/>
          <w:color w:val="auto"/>
          <w:highlight w:val="none"/>
          <w:u w:val="none"/>
          <w:lang w:val="en-US"/>
        </w:rPr>
        <w:t>四、主要环境影响和保护措施</w:t>
      </w:r>
      <w:r>
        <w:rPr>
          <w:color w:val="auto"/>
          <w:highlight w:val="none"/>
          <w:u w:val="none"/>
        </w:rPr>
        <w:tab/>
      </w:r>
      <w:r>
        <w:rPr>
          <w:color w:val="auto"/>
          <w:highlight w:val="none"/>
          <w:u w:val="none"/>
        </w:rPr>
        <w:fldChar w:fldCharType="begin"/>
      </w:r>
      <w:r>
        <w:rPr>
          <w:color w:val="auto"/>
          <w:highlight w:val="none"/>
          <w:u w:val="none"/>
        </w:rPr>
        <w:instrText xml:space="preserve"> PAGEREF _Toc134635718 \h </w:instrText>
      </w:r>
      <w:r>
        <w:rPr>
          <w:color w:val="auto"/>
          <w:highlight w:val="none"/>
          <w:u w:val="none"/>
        </w:rPr>
        <w:fldChar w:fldCharType="separate"/>
      </w:r>
      <w:r>
        <w:rPr>
          <w:color w:val="auto"/>
          <w:highlight w:val="none"/>
          <w:u w:val="none"/>
        </w:rPr>
        <w:t>36</w:t>
      </w:r>
      <w:r>
        <w:rPr>
          <w:color w:val="auto"/>
          <w:highlight w:val="none"/>
          <w:u w:val="none"/>
        </w:rPr>
        <w:fldChar w:fldCharType="end"/>
      </w:r>
      <w:r>
        <w:rPr>
          <w:color w:val="auto"/>
          <w:highlight w:val="none"/>
          <w:u w:val="none"/>
        </w:rPr>
        <w:fldChar w:fldCharType="end"/>
      </w:r>
    </w:p>
    <w:p w14:paraId="044BDFB0">
      <w:pPr>
        <w:pStyle w:val="22"/>
        <w:tabs>
          <w:tab w:val="right" w:leader="dot" w:pos="9730"/>
        </w:tabs>
        <w:rPr>
          <w:rFonts w:asciiTheme="minorHAnsi" w:hAnsiTheme="minorHAnsi" w:eastAsiaTheme="minorEastAsia" w:cstheme="minorBidi"/>
          <w:color w:val="auto"/>
          <w:kern w:val="2"/>
          <w:sz w:val="21"/>
          <w:szCs w:val="22"/>
          <w:highlight w:val="none"/>
          <w:u w:val="none"/>
          <w:lang w:val="en-US" w:bidi="ar-SA"/>
          <w14:ligatures w14:val="standardContextual"/>
        </w:rPr>
      </w:pPr>
      <w:r>
        <w:rPr>
          <w:color w:val="auto"/>
          <w:highlight w:val="none"/>
          <w:u w:val="none"/>
        </w:rPr>
        <w:fldChar w:fldCharType="begin"/>
      </w:r>
      <w:r>
        <w:rPr>
          <w:color w:val="auto"/>
          <w:highlight w:val="none"/>
          <w:u w:val="none"/>
        </w:rPr>
        <w:instrText xml:space="preserve"> HYPERLINK \l "_Toc134635719" </w:instrText>
      </w:r>
      <w:r>
        <w:rPr>
          <w:color w:val="auto"/>
          <w:highlight w:val="none"/>
          <w:u w:val="none"/>
        </w:rPr>
        <w:fldChar w:fldCharType="separate"/>
      </w:r>
      <w:r>
        <w:rPr>
          <w:rStyle w:val="41"/>
          <w:color w:val="auto"/>
          <w:highlight w:val="none"/>
          <w:u w:val="none"/>
          <w:lang w:val="en-US"/>
        </w:rPr>
        <w:t>五、环境保护措施督查检查清单</w:t>
      </w:r>
      <w:r>
        <w:rPr>
          <w:color w:val="auto"/>
          <w:highlight w:val="none"/>
          <w:u w:val="none"/>
        </w:rPr>
        <w:tab/>
      </w:r>
      <w:r>
        <w:rPr>
          <w:color w:val="auto"/>
          <w:highlight w:val="none"/>
          <w:u w:val="none"/>
        </w:rPr>
        <w:fldChar w:fldCharType="begin"/>
      </w:r>
      <w:r>
        <w:rPr>
          <w:color w:val="auto"/>
          <w:highlight w:val="none"/>
          <w:u w:val="none"/>
        </w:rPr>
        <w:instrText xml:space="preserve"> PAGEREF _Toc134635719 \h </w:instrText>
      </w:r>
      <w:r>
        <w:rPr>
          <w:color w:val="auto"/>
          <w:highlight w:val="none"/>
          <w:u w:val="none"/>
        </w:rPr>
        <w:fldChar w:fldCharType="separate"/>
      </w:r>
      <w:r>
        <w:rPr>
          <w:color w:val="auto"/>
          <w:highlight w:val="none"/>
          <w:u w:val="none"/>
        </w:rPr>
        <w:t>64</w:t>
      </w:r>
      <w:r>
        <w:rPr>
          <w:color w:val="auto"/>
          <w:highlight w:val="none"/>
          <w:u w:val="none"/>
        </w:rPr>
        <w:fldChar w:fldCharType="end"/>
      </w:r>
      <w:r>
        <w:rPr>
          <w:color w:val="auto"/>
          <w:highlight w:val="none"/>
          <w:u w:val="none"/>
        </w:rPr>
        <w:fldChar w:fldCharType="end"/>
      </w:r>
    </w:p>
    <w:p w14:paraId="7C5C266F">
      <w:pPr>
        <w:pStyle w:val="22"/>
        <w:tabs>
          <w:tab w:val="right" w:leader="dot" w:pos="9730"/>
        </w:tabs>
        <w:rPr>
          <w:rFonts w:asciiTheme="minorHAnsi" w:hAnsiTheme="minorHAnsi" w:eastAsiaTheme="minorEastAsia" w:cstheme="minorBidi"/>
          <w:color w:val="auto"/>
          <w:kern w:val="2"/>
          <w:sz w:val="21"/>
          <w:szCs w:val="22"/>
          <w:highlight w:val="none"/>
          <w:u w:val="none"/>
          <w:lang w:val="en-US" w:bidi="ar-SA"/>
          <w14:ligatures w14:val="standardContextual"/>
        </w:rPr>
      </w:pPr>
      <w:r>
        <w:rPr>
          <w:color w:val="auto"/>
          <w:highlight w:val="none"/>
          <w:u w:val="none"/>
        </w:rPr>
        <w:fldChar w:fldCharType="begin"/>
      </w:r>
      <w:r>
        <w:rPr>
          <w:color w:val="auto"/>
          <w:highlight w:val="none"/>
          <w:u w:val="none"/>
        </w:rPr>
        <w:instrText xml:space="preserve"> HYPERLINK \l "_Toc134635720" </w:instrText>
      </w:r>
      <w:r>
        <w:rPr>
          <w:color w:val="auto"/>
          <w:highlight w:val="none"/>
          <w:u w:val="none"/>
        </w:rPr>
        <w:fldChar w:fldCharType="separate"/>
      </w:r>
      <w:r>
        <w:rPr>
          <w:rStyle w:val="41"/>
          <w:color w:val="auto"/>
          <w:highlight w:val="none"/>
          <w:u w:val="none"/>
          <w:lang w:val="en-US"/>
        </w:rPr>
        <w:t>六、结论</w:t>
      </w:r>
      <w:r>
        <w:rPr>
          <w:color w:val="auto"/>
          <w:highlight w:val="none"/>
          <w:u w:val="none"/>
        </w:rPr>
        <w:tab/>
      </w:r>
      <w:r>
        <w:rPr>
          <w:color w:val="auto"/>
          <w:highlight w:val="none"/>
          <w:u w:val="none"/>
        </w:rPr>
        <w:fldChar w:fldCharType="begin"/>
      </w:r>
      <w:r>
        <w:rPr>
          <w:color w:val="auto"/>
          <w:highlight w:val="none"/>
          <w:u w:val="none"/>
        </w:rPr>
        <w:instrText xml:space="preserve"> PAGEREF _Toc134635720 \h </w:instrText>
      </w:r>
      <w:r>
        <w:rPr>
          <w:color w:val="auto"/>
          <w:highlight w:val="none"/>
          <w:u w:val="none"/>
        </w:rPr>
        <w:fldChar w:fldCharType="separate"/>
      </w:r>
      <w:r>
        <w:rPr>
          <w:color w:val="auto"/>
          <w:highlight w:val="none"/>
          <w:u w:val="none"/>
        </w:rPr>
        <w:t>67</w:t>
      </w:r>
      <w:r>
        <w:rPr>
          <w:color w:val="auto"/>
          <w:highlight w:val="none"/>
          <w:u w:val="none"/>
        </w:rPr>
        <w:fldChar w:fldCharType="end"/>
      </w:r>
      <w:r>
        <w:rPr>
          <w:color w:val="auto"/>
          <w:highlight w:val="none"/>
          <w:u w:val="none"/>
        </w:rPr>
        <w:fldChar w:fldCharType="end"/>
      </w:r>
    </w:p>
    <w:p w14:paraId="6F021483">
      <w:pPr>
        <w:rPr>
          <w:rFonts w:hint="eastAsia" w:ascii="Times New Roman" w:hAnsi="Times New Roman" w:eastAsia="宋体" w:cs="Times New Roman"/>
          <w:b w:val="0"/>
          <w:bCs w:val="0"/>
          <w:color w:val="auto"/>
          <w:sz w:val="24"/>
          <w:szCs w:val="24"/>
          <w:u w:val="none"/>
          <w:lang w:val="en-US" w:eastAsia="zh-CN"/>
        </w:rPr>
      </w:pPr>
      <w:r>
        <w:rPr>
          <w:color w:val="auto"/>
          <w:highlight w:val="none"/>
          <w:u w:val="none"/>
        </w:rPr>
        <w:fldChar w:fldCharType="end"/>
      </w:r>
      <w:bookmarkStart w:id="1" w:name="_Toc134635715"/>
      <w:r>
        <w:rPr>
          <w:rFonts w:hint="eastAsia" w:ascii="Times New Roman" w:hAnsi="Times New Roman" w:eastAsia="宋体" w:cs="Times New Roman"/>
          <w:b w:val="0"/>
          <w:bCs w:val="0"/>
          <w:color w:val="auto"/>
          <w:sz w:val="24"/>
          <w:szCs w:val="24"/>
          <w:u w:val="none"/>
          <w:lang w:val="en-US" w:eastAsia="zh-CN"/>
        </w:rPr>
        <w:t>附件1：委托书</w:t>
      </w:r>
    </w:p>
    <w:p w14:paraId="7B9833C7">
      <w:pPr>
        <w:rPr>
          <w:rFonts w:hint="eastAsia"/>
          <w:lang w:val="en-US" w:eastAsia="zh-CN"/>
        </w:rPr>
      </w:pPr>
      <w:r>
        <w:rPr>
          <w:rFonts w:hint="eastAsia"/>
          <w:lang w:val="en-US" w:eastAsia="zh-CN"/>
        </w:rPr>
        <w:t>附件2：事业单位法人证书</w:t>
      </w:r>
    </w:p>
    <w:p w14:paraId="414F7D87">
      <w:pPr>
        <w:rPr>
          <w:rFonts w:hint="eastAsia"/>
          <w:lang w:val="en-US" w:eastAsia="zh-CN"/>
        </w:rPr>
      </w:pPr>
      <w:r>
        <w:rPr>
          <w:rFonts w:hint="eastAsia"/>
          <w:lang w:val="en-US" w:eastAsia="zh-CN"/>
        </w:rPr>
        <w:t>附件3：现有医疗机构执业许可证及排污许可登记回执</w:t>
      </w:r>
    </w:p>
    <w:p w14:paraId="61EAC452">
      <w:pPr>
        <w:rPr>
          <w:rFonts w:hint="eastAsia"/>
          <w:lang w:val="en-US" w:eastAsia="zh-CN"/>
        </w:rPr>
      </w:pPr>
      <w:r>
        <w:rPr>
          <w:rFonts w:hint="eastAsia"/>
          <w:lang w:val="en-US" w:eastAsia="zh-CN"/>
        </w:rPr>
        <w:t>附件4：低庄镇中心卫生院日常监测报告</w:t>
      </w:r>
    </w:p>
    <w:p w14:paraId="783DE15B">
      <w:pPr>
        <w:rPr>
          <w:rFonts w:hint="eastAsia"/>
          <w:lang w:val="en-US" w:eastAsia="zh-CN"/>
        </w:rPr>
      </w:pPr>
      <w:r>
        <w:rPr>
          <w:rFonts w:hint="eastAsia"/>
          <w:lang w:val="en-US" w:eastAsia="zh-CN"/>
        </w:rPr>
        <w:t>附件5：低庄镇中心卫生院现有危废处置合同</w:t>
      </w:r>
    </w:p>
    <w:p w14:paraId="1B302C1A">
      <w:pPr>
        <w:rPr>
          <w:rFonts w:hint="eastAsia"/>
          <w:lang w:val="en-US" w:eastAsia="zh-CN"/>
        </w:rPr>
      </w:pPr>
      <w:r>
        <w:rPr>
          <w:rFonts w:hint="eastAsia"/>
          <w:lang w:val="en-US" w:eastAsia="zh-CN"/>
        </w:rPr>
        <w:t>附件6：用地预审与选址意见书</w:t>
      </w:r>
    </w:p>
    <w:p w14:paraId="748A40E7">
      <w:pPr>
        <w:rPr>
          <w:rFonts w:hint="eastAsia"/>
          <w:lang w:val="en-US" w:eastAsia="zh-CN"/>
        </w:rPr>
      </w:pPr>
      <w:r>
        <w:rPr>
          <w:rFonts w:hint="eastAsia"/>
          <w:lang w:val="en-US" w:eastAsia="zh-CN"/>
        </w:rPr>
        <w:t>附件7：县卫健局审查意见</w:t>
      </w:r>
    </w:p>
    <w:p w14:paraId="0FC32D9C">
      <w:pPr>
        <w:rPr>
          <w:rFonts w:hint="eastAsia"/>
          <w:lang w:val="en-US" w:eastAsia="zh-CN"/>
        </w:rPr>
      </w:pPr>
      <w:r>
        <w:rPr>
          <w:rFonts w:hint="eastAsia"/>
          <w:lang w:val="en-US" w:eastAsia="zh-CN"/>
        </w:rPr>
        <w:t>附件8：项目可研批复</w:t>
      </w:r>
    </w:p>
    <w:p w14:paraId="5BDD66B8">
      <w:pPr>
        <w:rPr>
          <w:rFonts w:hint="eastAsia"/>
          <w:lang w:val="en-US" w:eastAsia="zh-CN"/>
        </w:rPr>
      </w:pPr>
      <w:r>
        <w:rPr>
          <w:rFonts w:hint="eastAsia"/>
          <w:lang w:val="en-US" w:eastAsia="zh-CN"/>
        </w:rPr>
        <w:t>附件9：用地性质调整文件（节选）</w:t>
      </w:r>
    </w:p>
    <w:p w14:paraId="2D49709F">
      <w:pPr>
        <w:rPr>
          <w:rFonts w:hint="eastAsia"/>
          <w:lang w:val="en-US" w:eastAsia="zh-CN"/>
        </w:rPr>
      </w:pPr>
      <w:r>
        <w:rPr>
          <w:rFonts w:hint="eastAsia"/>
          <w:lang w:val="en-US" w:eastAsia="zh-CN"/>
        </w:rPr>
        <w:t>附件10：纳管证明</w:t>
      </w:r>
    </w:p>
    <w:p w14:paraId="6A93ACF9">
      <w:pPr>
        <w:rPr>
          <w:rFonts w:hint="eastAsia"/>
          <w:lang w:val="en-US" w:eastAsia="zh-CN"/>
        </w:rPr>
      </w:pPr>
      <w:r>
        <w:rPr>
          <w:rFonts w:hint="eastAsia"/>
          <w:lang w:val="en-US" w:eastAsia="zh-CN"/>
        </w:rPr>
        <w:t>附件11：噪声监测报告</w:t>
      </w:r>
    </w:p>
    <w:p w14:paraId="2B8A75A2">
      <w:pPr>
        <w:rPr>
          <w:rFonts w:hint="eastAsia"/>
          <w:lang w:val="en-US" w:eastAsia="zh-CN"/>
        </w:rPr>
      </w:pPr>
      <w:r>
        <w:rPr>
          <w:rFonts w:hint="eastAsia"/>
          <w:lang w:val="en-US" w:eastAsia="zh-CN"/>
        </w:rPr>
        <w:t>附件12：专家意见及签到表</w:t>
      </w:r>
    </w:p>
    <w:p w14:paraId="165346EE">
      <w:pPr>
        <w:rPr>
          <w:rFonts w:hint="eastAsia"/>
          <w:lang w:val="en-US" w:eastAsia="zh-CN"/>
        </w:rPr>
      </w:pPr>
      <w:r>
        <w:rPr>
          <w:rFonts w:hint="eastAsia"/>
          <w:lang w:val="en-US" w:eastAsia="zh-CN"/>
        </w:rPr>
        <w:t>附图1 项目地理位置图</w:t>
      </w:r>
    </w:p>
    <w:p w14:paraId="564DFD5F">
      <w:pPr>
        <w:rPr>
          <w:rFonts w:hint="eastAsia"/>
          <w:lang w:val="en-US" w:eastAsia="zh-CN"/>
        </w:rPr>
      </w:pPr>
      <w:r>
        <w:rPr>
          <w:rFonts w:hint="eastAsia"/>
          <w:lang w:val="en-US" w:eastAsia="zh-CN"/>
        </w:rPr>
        <w:t>附图2 平面布置图</w:t>
      </w:r>
    </w:p>
    <w:p w14:paraId="57B87FAE">
      <w:pPr>
        <w:rPr>
          <w:rFonts w:hint="eastAsia"/>
          <w:lang w:val="en-US" w:eastAsia="zh-CN"/>
        </w:rPr>
      </w:pPr>
      <w:r>
        <w:rPr>
          <w:rFonts w:hint="eastAsia"/>
          <w:lang w:val="en-US" w:eastAsia="zh-CN"/>
        </w:rPr>
        <w:t>附图3 敏感目标分布图</w:t>
      </w:r>
    </w:p>
    <w:p w14:paraId="5F02DDBF">
      <w:pPr>
        <w:rPr>
          <w:rFonts w:hint="eastAsia"/>
          <w:lang w:val="en-US" w:eastAsia="zh-CN"/>
        </w:rPr>
      </w:pPr>
      <w:r>
        <w:rPr>
          <w:rFonts w:hint="eastAsia"/>
          <w:lang w:val="en-US" w:eastAsia="zh-CN"/>
        </w:rPr>
        <w:t>附图4 监测布点图</w:t>
      </w:r>
    </w:p>
    <w:p w14:paraId="3B7D4863">
      <w:pPr>
        <w:rPr>
          <w:rFonts w:hint="eastAsia"/>
          <w:lang w:val="en-US" w:eastAsia="zh-CN"/>
        </w:rPr>
      </w:pPr>
      <w:r>
        <w:rPr>
          <w:rFonts w:hint="eastAsia"/>
          <w:lang w:val="en-US" w:eastAsia="zh-CN"/>
        </w:rPr>
        <w:t>附图5 污水走向图</w:t>
      </w:r>
    </w:p>
    <w:p w14:paraId="3A6D608C">
      <w:pPr>
        <w:rPr>
          <w:rFonts w:hint="eastAsia" w:eastAsia="宋体"/>
          <w:lang w:val="en-US" w:eastAsia="zh-CN"/>
        </w:rPr>
      </w:pPr>
      <w:r>
        <w:rPr>
          <w:rFonts w:hint="eastAsia"/>
          <w:lang w:val="en-US" w:eastAsia="zh-CN"/>
        </w:rPr>
        <w:t>附图6 低庄镇镇区土地利用规划图（2013-2030）</w:t>
      </w:r>
    </w:p>
    <w:p w14:paraId="38EB7876">
      <w:pPr>
        <w:rPr>
          <w:rFonts w:hint="eastAsia"/>
          <w:lang w:val="en-US" w:eastAsia="zh-CN"/>
        </w:rPr>
      </w:pPr>
      <w:r>
        <w:rPr>
          <w:rFonts w:hint="eastAsia"/>
          <w:lang w:val="en-US" w:eastAsia="zh-CN"/>
        </w:rPr>
        <w:t>附图7 项目现场照片</w:t>
      </w:r>
    </w:p>
    <w:p w14:paraId="6AE69104">
      <w:pPr>
        <w:rPr>
          <w:rFonts w:hint="eastAsia"/>
          <w:color w:val="auto"/>
          <w:highlight w:val="none"/>
          <w:u w:val="none"/>
          <w:lang w:val="en-US"/>
        </w:rPr>
        <w:sectPr>
          <w:pgSz w:w="11906" w:h="16838"/>
          <w:pgMar w:top="1440" w:right="1083" w:bottom="1440" w:left="1083" w:header="850"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465DC0BD">
      <w:pPr>
        <w:pStyle w:val="2"/>
        <w:rPr>
          <w:color w:val="auto"/>
          <w:highlight w:val="none"/>
          <w:u w:val="none"/>
          <w:lang w:val="en-US"/>
        </w:rPr>
      </w:pPr>
      <w:r>
        <w:rPr>
          <w:rFonts w:hint="eastAsia"/>
          <w:color w:val="auto"/>
          <w:highlight w:val="none"/>
          <w:u w:val="none"/>
          <w:lang w:val="en-US"/>
        </w:rPr>
        <w:t>一、建设项目基本情况</w:t>
      </w:r>
      <w:bookmarkEnd w:id="1"/>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7"/>
        <w:gridCol w:w="3007"/>
        <w:gridCol w:w="1655"/>
        <w:gridCol w:w="3907"/>
      </w:tblGrid>
      <w:tr w14:paraId="144CF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01" w:type="pct"/>
            <w:vAlign w:val="center"/>
          </w:tcPr>
          <w:p w14:paraId="0CD1DC05">
            <w:pPr>
              <w:pStyle w:val="58"/>
              <w:widowControl w:val="0"/>
              <w:rPr>
                <w:color w:val="auto"/>
                <w:sz w:val="24"/>
                <w:szCs w:val="24"/>
                <w:highlight w:val="none"/>
                <w:u w:val="none"/>
              </w:rPr>
            </w:pPr>
            <w:r>
              <w:rPr>
                <w:color w:val="auto"/>
                <w:sz w:val="24"/>
                <w:szCs w:val="24"/>
                <w:highlight w:val="none"/>
                <w:u w:val="none"/>
              </w:rPr>
              <w:t>建设项目名称</w:t>
            </w:r>
          </w:p>
        </w:tc>
        <w:tc>
          <w:tcPr>
            <w:tcW w:w="4298" w:type="pct"/>
            <w:gridSpan w:val="3"/>
            <w:vAlign w:val="center"/>
          </w:tcPr>
          <w:p w14:paraId="6E83994D">
            <w:pPr>
              <w:pStyle w:val="58"/>
              <w:widowControl w:val="0"/>
              <w:rPr>
                <w:rFonts w:eastAsia="宋体"/>
                <w:color w:val="auto"/>
                <w:sz w:val="24"/>
                <w:szCs w:val="24"/>
                <w:highlight w:val="none"/>
                <w:u w:val="none"/>
              </w:rPr>
            </w:pPr>
            <w:r>
              <w:rPr>
                <w:rFonts w:hint="eastAsia"/>
                <w:color w:val="auto"/>
                <w:sz w:val="24"/>
                <w:szCs w:val="24"/>
                <w:highlight w:val="none"/>
                <w:u w:val="none"/>
                <w:lang w:val="en-US" w:eastAsia="zh-CN"/>
              </w:rPr>
              <w:t>溆浦县第四人民医院建设项目</w:t>
            </w:r>
          </w:p>
        </w:tc>
      </w:tr>
      <w:tr w14:paraId="15B32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701" w:type="pct"/>
            <w:vAlign w:val="center"/>
          </w:tcPr>
          <w:p w14:paraId="16373D65">
            <w:pPr>
              <w:pStyle w:val="58"/>
              <w:widowControl w:val="0"/>
              <w:spacing w:line="360" w:lineRule="auto"/>
              <w:rPr>
                <w:color w:val="auto"/>
                <w:sz w:val="24"/>
                <w:szCs w:val="24"/>
                <w:highlight w:val="none"/>
                <w:u w:val="none"/>
              </w:rPr>
            </w:pPr>
            <w:r>
              <w:rPr>
                <w:color w:val="auto"/>
                <w:sz w:val="24"/>
                <w:szCs w:val="24"/>
                <w:highlight w:val="none"/>
                <w:u w:val="none"/>
              </w:rPr>
              <w:t>项目代码</w:t>
            </w:r>
          </w:p>
        </w:tc>
        <w:tc>
          <w:tcPr>
            <w:tcW w:w="4298" w:type="pct"/>
            <w:gridSpan w:val="3"/>
            <w:vAlign w:val="center"/>
          </w:tcPr>
          <w:p w14:paraId="76EDDF24">
            <w:pPr>
              <w:pStyle w:val="58"/>
              <w:widowControl w:val="0"/>
              <w:rPr>
                <w:rFonts w:hint="default" w:eastAsia="宋体"/>
                <w:color w:val="auto"/>
                <w:sz w:val="24"/>
                <w:szCs w:val="24"/>
                <w:highlight w:val="none"/>
                <w:u w:val="none"/>
                <w:lang w:val="en-US" w:eastAsia="zh-CN"/>
              </w:rPr>
            </w:pPr>
            <w:r>
              <w:rPr>
                <w:rFonts w:hint="eastAsia" w:ascii="Times New Roman" w:hAnsi="Times New Roman" w:eastAsia="宋体" w:cs="Times New Roman"/>
                <w:color w:val="auto"/>
                <w:szCs w:val="21"/>
                <w:u w:val="none"/>
                <w:lang w:val="en-US" w:eastAsia="zh-CN"/>
              </w:rPr>
              <w:t>2405-431224-04-01-770766</w:t>
            </w:r>
          </w:p>
        </w:tc>
      </w:tr>
      <w:tr w14:paraId="79FE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Align w:val="center"/>
          </w:tcPr>
          <w:p w14:paraId="78C7B7A3">
            <w:pPr>
              <w:pStyle w:val="58"/>
              <w:widowControl w:val="0"/>
              <w:rPr>
                <w:color w:val="auto"/>
                <w:sz w:val="24"/>
                <w:szCs w:val="24"/>
                <w:highlight w:val="none"/>
                <w:u w:val="none"/>
              </w:rPr>
            </w:pPr>
            <w:r>
              <w:rPr>
                <w:color w:val="auto"/>
                <w:sz w:val="24"/>
                <w:szCs w:val="24"/>
                <w:highlight w:val="none"/>
                <w:u w:val="none"/>
              </w:rPr>
              <w:t>建设单位</w:t>
            </w:r>
          </w:p>
          <w:p w14:paraId="6BEE5945">
            <w:pPr>
              <w:pStyle w:val="58"/>
              <w:widowControl w:val="0"/>
              <w:rPr>
                <w:color w:val="auto"/>
                <w:sz w:val="24"/>
                <w:szCs w:val="24"/>
                <w:highlight w:val="none"/>
                <w:u w:val="none"/>
              </w:rPr>
            </w:pPr>
            <w:r>
              <w:rPr>
                <w:color w:val="auto"/>
                <w:sz w:val="24"/>
                <w:szCs w:val="24"/>
                <w:highlight w:val="none"/>
                <w:u w:val="none"/>
              </w:rPr>
              <w:t>联系人</w:t>
            </w:r>
          </w:p>
        </w:tc>
        <w:tc>
          <w:tcPr>
            <w:tcW w:w="1508" w:type="pct"/>
            <w:vAlign w:val="center"/>
          </w:tcPr>
          <w:p w14:paraId="69185ACF">
            <w:pPr>
              <w:pStyle w:val="58"/>
              <w:widowControl w:val="0"/>
              <w:rPr>
                <w:rFonts w:hint="default" w:eastAsia="宋体"/>
                <w:color w:val="auto"/>
                <w:sz w:val="24"/>
                <w:szCs w:val="24"/>
                <w:highlight w:val="none"/>
                <w:u w:val="none"/>
                <w:lang w:val="en-US" w:eastAsia="zh-CN"/>
              </w:rPr>
            </w:pPr>
            <w:r>
              <w:rPr>
                <w:rFonts w:hint="eastAsia" w:cs="Times New Roman"/>
                <w:color w:val="auto"/>
                <w:szCs w:val="21"/>
                <w:u w:val="none"/>
                <w:lang w:val="en-US" w:eastAsia="zh-CN"/>
              </w:rPr>
              <w:t>/</w:t>
            </w:r>
          </w:p>
        </w:tc>
        <w:tc>
          <w:tcPr>
            <w:tcW w:w="830" w:type="pct"/>
            <w:vAlign w:val="center"/>
          </w:tcPr>
          <w:p w14:paraId="162421A2">
            <w:pPr>
              <w:pStyle w:val="58"/>
              <w:widowControl w:val="0"/>
              <w:rPr>
                <w:color w:val="auto"/>
                <w:sz w:val="24"/>
                <w:szCs w:val="24"/>
                <w:highlight w:val="none"/>
                <w:u w:val="none"/>
              </w:rPr>
            </w:pPr>
            <w:r>
              <w:rPr>
                <w:color w:val="auto"/>
                <w:sz w:val="24"/>
                <w:szCs w:val="24"/>
                <w:highlight w:val="none"/>
                <w:u w:val="none"/>
              </w:rPr>
              <w:t>联系方式</w:t>
            </w:r>
          </w:p>
        </w:tc>
        <w:tc>
          <w:tcPr>
            <w:tcW w:w="1959" w:type="pct"/>
            <w:vAlign w:val="center"/>
          </w:tcPr>
          <w:p w14:paraId="18BA02BF">
            <w:pPr>
              <w:pStyle w:val="58"/>
              <w:widowControl w:val="0"/>
              <w:rPr>
                <w:rFonts w:hint="default" w:eastAsia="宋体"/>
                <w:color w:val="auto"/>
                <w:sz w:val="24"/>
                <w:szCs w:val="24"/>
                <w:highlight w:val="none"/>
                <w:u w:val="none"/>
                <w:lang w:val="en-US" w:eastAsia="zh-CN"/>
              </w:rPr>
            </w:pPr>
            <w:r>
              <w:rPr>
                <w:rFonts w:hint="eastAsia" w:cs="Times New Roman"/>
                <w:color w:val="auto"/>
                <w:szCs w:val="21"/>
                <w:u w:val="none"/>
                <w:lang w:val="en-US" w:eastAsia="zh-CN"/>
              </w:rPr>
              <w:t>/</w:t>
            </w:r>
          </w:p>
        </w:tc>
      </w:tr>
      <w:tr w14:paraId="13FF4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701" w:type="pct"/>
            <w:vAlign w:val="center"/>
          </w:tcPr>
          <w:p w14:paraId="7ACB7614">
            <w:pPr>
              <w:pStyle w:val="58"/>
              <w:widowControl w:val="0"/>
              <w:spacing w:line="360" w:lineRule="auto"/>
              <w:rPr>
                <w:color w:val="auto"/>
                <w:sz w:val="24"/>
                <w:szCs w:val="24"/>
                <w:highlight w:val="none"/>
                <w:u w:val="none"/>
              </w:rPr>
            </w:pPr>
            <w:r>
              <w:rPr>
                <w:color w:val="auto"/>
                <w:sz w:val="24"/>
                <w:szCs w:val="24"/>
                <w:highlight w:val="none"/>
                <w:u w:val="none"/>
              </w:rPr>
              <w:t>建设地点</w:t>
            </w:r>
          </w:p>
        </w:tc>
        <w:tc>
          <w:tcPr>
            <w:tcW w:w="4298" w:type="pct"/>
            <w:gridSpan w:val="3"/>
            <w:vAlign w:val="center"/>
          </w:tcPr>
          <w:p w14:paraId="4EBA07D3">
            <w:pPr>
              <w:pStyle w:val="58"/>
              <w:widowControl w:val="0"/>
              <w:spacing w:line="360" w:lineRule="auto"/>
              <w:rPr>
                <w:rFonts w:hint="eastAsia" w:eastAsia="宋体"/>
                <w:color w:val="auto"/>
                <w:sz w:val="24"/>
                <w:szCs w:val="24"/>
                <w:highlight w:val="none"/>
                <w:u w:val="none"/>
                <w:lang w:val="en-US" w:eastAsia="zh-CN"/>
              </w:rPr>
            </w:pPr>
            <w:r>
              <w:rPr>
                <w:rFonts w:hint="eastAsia"/>
                <w:color w:val="auto"/>
                <w:sz w:val="24"/>
                <w:szCs w:val="24"/>
                <w:highlight w:val="none"/>
                <w:u w:val="none"/>
                <w:lang w:eastAsia="zh-CN"/>
              </w:rPr>
              <w:t>怀化市溆浦县低庄镇低庄村</w:t>
            </w:r>
          </w:p>
        </w:tc>
      </w:tr>
      <w:tr w14:paraId="505F8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701" w:type="pct"/>
            <w:vAlign w:val="center"/>
          </w:tcPr>
          <w:p w14:paraId="7BCDE4C5">
            <w:pPr>
              <w:pStyle w:val="58"/>
              <w:widowControl w:val="0"/>
              <w:spacing w:line="360" w:lineRule="auto"/>
              <w:rPr>
                <w:color w:val="auto"/>
                <w:sz w:val="24"/>
                <w:szCs w:val="24"/>
                <w:highlight w:val="none"/>
                <w:u w:val="none"/>
              </w:rPr>
            </w:pPr>
            <w:r>
              <w:rPr>
                <w:color w:val="auto"/>
                <w:sz w:val="24"/>
                <w:szCs w:val="24"/>
                <w:highlight w:val="none"/>
                <w:u w:val="none"/>
              </w:rPr>
              <w:t>地理坐标</w:t>
            </w:r>
          </w:p>
        </w:tc>
        <w:tc>
          <w:tcPr>
            <w:tcW w:w="4298" w:type="pct"/>
            <w:gridSpan w:val="3"/>
            <w:vAlign w:val="center"/>
          </w:tcPr>
          <w:p w14:paraId="0D5DBF76">
            <w:pPr>
              <w:pStyle w:val="58"/>
              <w:widowControl w:val="0"/>
              <w:spacing w:line="360" w:lineRule="auto"/>
              <w:rPr>
                <w:rFonts w:hint="eastAsia" w:eastAsia="宋体"/>
                <w:color w:val="auto"/>
                <w:sz w:val="24"/>
                <w:szCs w:val="24"/>
                <w:highlight w:val="none"/>
                <w:u w:val="none"/>
                <w:lang w:eastAsia="zh-CN"/>
              </w:rPr>
            </w:pPr>
            <w:r>
              <w:rPr>
                <w:rFonts w:hint="eastAsia" w:cs="Times New Roman"/>
                <w:color w:val="auto"/>
                <w:szCs w:val="21"/>
                <w:u w:val="none"/>
                <w:lang w:eastAsia="zh-CN"/>
              </w:rPr>
              <w:t>东经：</w:t>
            </w:r>
            <w:r>
              <w:rPr>
                <w:rFonts w:hint="eastAsia" w:cs="Times New Roman"/>
                <w:color w:val="auto"/>
                <w:szCs w:val="21"/>
                <w:u w:val="none"/>
                <w:lang w:val="en-US" w:eastAsia="zh-CN"/>
              </w:rPr>
              <w:t>/</w:t>
            </w:r>
            <w:r>
              <w:rPr>
                <w:rFonts w:hint="default" w:ascii="Times New Roman" w:hAnsi="Times New Roman" w:eastAsia="宋体" w:cs="Times New Roman"/>
                <w:color w:val="auto"/>
                <w:szCs w:val="21"/>
                <w:u w:val="none"/>
              </w:rPr>
              <w:t>，</w:t>
            </w:r>
            <w:r>
              <w:rPr>
                <w:rFonts w:hint="eastAsia" w:cs="Times New Roman"/>
                <w:color w:val="auto"/>
                <w:szCs w:val="21"/>
                <w:u w:val="none"/>
                <w:lang w:eastAsia="zh-CN"/>
              </w:rPr>
              <w:t>北纬：</w:t>
            </w:r>
            <w:r>
              <w:rPr>
                <w:rFonts w:hint="eastAsia" w:cs="Times New Roman"/>
                <w:color w:val="auto"/>
                <w:szCs w:val="21"/>
                <w:u w:val="none"/>
                <w:lang w:val="en-US" w:eastAsia="zh-CN"/>
              </w:rPr>
              <w:t>/</w:t>
            </w:r>
          </w:p>
        </w:tc>
      </w:tr>
      <w:tr w14:paraId="618CD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1" w:type="pct"/>
            <w:vAlign w:val="center"/>
          </w:tcPr>
          <w:p w14:paraId="69911888">
            <w:pPr>
              <w:pStyle w:val="13"/>
              <w:spacing w:line="240" w:lineRule="auto"/>
              <w:jc w:val="center"/>
              <w:rPr>
                <w:rFonts w:ascii="Times New Roman" w:hAnsi="Times New Roman" w:cs="Times New Roman"/>
                <w:color w:val="auto"/>
                <w:sz w:val="24"/>
                <w:szCs w:val="24"/>
                <w:highlight w:val="none"/>
                <w:u w:val="none"/>
              </w:rPr>
            </w:pPr>
            <w:r>
              <w:rPr>
                <w:rFonts w:ascii="Times New Roman" w:hAnsi="Times New Roman" w:cs="Times New Roman"/>
                <w:color w:val="auto"/>
                <w:sz w:val="24"/>
                <w:szCs w:val="24"/>
                <w:highlight w:val="none"/>
                <w:u w:val="none"/>
              </w:rPr>
              <w:t>国民经济</w:t>
            </w:r>
          </w:p>
          <w:p w14:paraId="3304461B">
            <w:pPr>
              <w:pStyle w:val="13"/>
              <w:spacing w:line="240" w:lineRule="auto"/>
              <w:jc w:val="center"/>
              <w:rPr>
                <w:color w:val="auto"/>
                <w:sz w:val="24"/>
                <w:szCs w:val="24"/>
                <w:highlight w:val="none"/>
                <w:u w:val="none"/>
                <w:lang w:val="en-US"/>
              </w:rPr>
            </w:pPr>
            <w:r>
              <w:rPr>
                <w:rFonts w:ascii="Times New Roman" w:hAnsi="Times New Roman" w:cs="Times New Roman"/>
                <w:color w:val="auto"/>
                <w:sz w:val="24"/>
                <w:szCs w:val="24"/>
                <w:highlight w:val="none"/>
                <w:u w:val="none"/>
              </w:rPr>
              <w:t>行业类别</w:t>
            </w:r>
          </w:p>
        </w:tc>
        <w:tc>
          <w:tcPr>
            <w:tcW w:w="1508" w:type="pct"/>
            <w:vAlign w:val="center"/>
          </w:tcPr>
          <w:p w14:paraId="4752CBE7">
            <w:pPr>
              <w:keepNext w:val="0"/>
              <w:keepLines w:val="0"/>
              <w:widowControl/>
              <w:suppressLineNumbers w:val="0"/>
              <w:spacing w:line="240" w:lineRule="auto"/>
              <w:jc w:val="left"/>
              <w:rPr>
                <w:rFonts w:hint="default" w:ascii="Times New Roman" w:hAnsi="Times New Roman" w:eastAsia="宋体" w:cstheme="minorBidi"/>
                <w:color w:val="auto"/>
                <w:sz w:val="24"/>
                <w:szCs w:val="24"/>
                <w:highlight w:val="none"/>
                <w:u w:val="none"/>
                <w:lang w:val="en-US" w:eastAsia="zh-CN" w:bidi="ar-SA"/>
              </w:rPr>
            </w:pPr>
            <w:r>
              <w:rPr>
                <w:rFonts w:hint="default" w:ascii="Times New Roman" w:hAnsi="Times New Roman" w:eastAsia="宋体" w:cs="Times New Roman"/>
                <w:color w:val="auto"/>
                <w:kern w:val="0"/>
                <w:sz w:val="24"/>
                <w:szCs w:val="24"/>
                <w:u w:val="none"/>
                <w:lang w:val="en-US" w:eastAsia="zh-CN" w:bidi="ar"/>
              </w:rPr>
              <w:t>Q84</w:t>
            </w:r>
            <w:r>
              <w:rPr>
                <w:rFonts w:hint="eastAsia" w:ascii="Times New Roman" w:hAnsi="Times New Roman" w:eastAsia="宋体" w:cs="Times New Roman"/>
                <w:color w:val="auto"/>
                <w:kern w:val="0"/>
                <w:sz w:val="24"/>
                <w:szCs w:val="24"/>
                <w:u w:val="none"/>
                <w:lang w:val="en-US" w:eastAsia="zh-CN" w:bidi="ar"/>
              </w:rPr>
              <w:t>11</w:t>
            </w:r>
            <w:r>
              <w:rPr>
                <w:rFonts w:hint="default" w:ascii="Times New Roman" w:hAnsi="Times New Roman" w:eastAsia="宋体" w:cs="Times New Roman"/>
                <w:color w:val="auto"/>
                <w:kern w:val="0"/>
                <w:sz w:val="24"/>
                <w:szCs w:val="24"/>
                <w:u w:val="none"/>
                <w:lang w:val="en-US" w:eastAsia="zh-CN" w:bidi="ar"/>
              </w:rPr>
              <w:t xml:space="preserve"> </w:t>
            </w:r>
            <w:r>
              <w:rPr>
                <w:rFonts w:hint="eastAsia" w:ascii="宋体" w:hAnsi="宋体" w:eastAsia="宋体" w:cs="宋体"/>
                <w:color w:val="auto"/>
                <w:kern w:val="0"/>
                <w:sz w:val="24"/>
                <w:szCs w:val="24"/>
                <w:u w:val="none"/>
                <w:lang w:val="en-US" w:eastAsia="zh-CN" w:bidi="ar"/>
              </w:rPr>
              <w:t>综合医院</w:t>
            </w:r>
          </w:p>
        </w:tc>
        <w:tc>
          <w:tcPr>
            <w:tcW w:w="830" w:type="pct"/>
            <w:vAlign w:val="center"/>
          </w:tcPr>
          <w:p w14:paraId="084D7BD5">
            <w:pPr>
              <w:pStyle w:val="13"/>
              <w:spacing w:line="240" w:lineRule="auto"/>
              <w:jc w:val="center"/>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建设项目</w:t>
            </w:r>
          </w:p>
          <w:p w14:paraId="04E8C28E">
            <w:pPr>
              <w:pStyle w:val="13"/>
              <w:spacing w:line="240" w:lineRule="auto"/>
              <w:jc w:val="center"/>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行业类别</w:t>
            </w:r>
          </w:p>
        </w:tc>
        <w:tc>
          <w:tcPr>
            <w:tcW w:w="1959" w:type="pct"/>
            <w:vAlign w:val="center"/>
          </w:tcPr>
          <w:p w14:paraId="07F3FE84">
            <w:pPr>
              <w:adjustRightInd w:val="0"/>
              <w:snapToGrid w:val="0"/>
              <w:spacing w:line="360" w:lineRule="auto"/>
              <w:jc w:val="both"/>
              <w:rPr>
                <w:rFonts w:hint="eastAsia" w:ascii="Times New Roman" w:hAnsi="Times New Roman" w:eastAsia="宋体" w:cs="Times New Roman"/>
                <w:color w:val="auto"/>
                <w:sz w:val="24"/>
                <w:szCs w:val="24"/>
                <w:highlight w:val="none"/>
                <w:u w:val="none"/>
                <w:lang w:val="en-US" w:eastAsia="zh-CN"/>
              </w:rPr>
            </w:pPr>
            <w:r>
              <w:rPr>
                <w:rFonts w:hint="eastAsia"/>
                <w:color w:val="auto"/>
                <w:kern w:val="0"/>
                <w:sz w:val="24"/>
                <w:highlight w:val="none"/>
                <w:u w:val="none" w:color="auto"/>
                <w:lang w:val="en-US" w:eastAsia="zh-CN"/>
              </w:rPr>
              <w:t>四十九</w:t>
            </w:r>
            <w:r>
              <w:rPr>
                <w:rFonts w:hint="eastAsia"/>
                <w:color w:val="auto"/>
                <w:kern w:val="0"/>
                <w:sz w:val="24"/>
                <w:highlight w:val="none"/>
                <w:u w:val="none" w:color="auto"/>
              </w:rPr>
              <w:t>、</w:t>
            </w:r>
            <w:r>
              <w:rPr>
                <w:rFonts w:hint="eastAsia"/>
                <w:color w:val="auto"/>
                <w:kern w:val="0"/>
                <w:sz w:val="24"/>
                <w:highlight w:val="none"/>
                <w:u w:val="none" w:color="auto"/>
                <w:lang w:val="en-US" w:eastAsia="zh-CN"/>
              </w:rPr>
              <w:t>卫生84 108.医院841 其他（住院病床20张床位以下的除外）</w:t>
            </w:r>
          </w:p>
        </w:tc>
      </w:tr>
      <w:tr w14:paraId="58419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 w:hRule="atLeast"/>
        </w:trPr>
        <w:tc>
          <w:tcPr>
            <w:tcW w:w="701" w:type="pct"/>
            <w:vAlign w:val="center"/>
          </w:tcPr>
          <w:p w14:paraId="211079FF">
            <w:pPr>
              <w:pStyle w:val="13"/>
              <w:jc w:val="center"/>
              <w:rPr>
                <w:rFonts w:ascii="Times New Roman" w:hAnsi="Times New Roman" w:cs="Times New Roman"/>
                <w:color w:val="auto"/>
                <w:sz w:val="24"/>
                <w:szCs w:val="24"/>
                <w:highlight w:val="none"/>
                <w:u w:val="none"/>
                <w:lang w:val="en-US"/>
              </w:rPr>
            </w:pPr>
            <w:r>
              <w:rPr>
                <w:rFonts w:ascii="Times New Roman" w:hAnsi="Times New Roman" w:cs="Times New Roman"/>
                <w:color w:val="auto"/>
                <w:sz w:val="24"/>
                <w:szCs w:val="24"/>
                <w:highlight w:val="none"/>
                <w:u w:val="none"/>
              </w:rPr>
              <w:t>建设性质</w:t>
            </w:r>
          </w:p>
        </w:tc>
        <w:tc>
          <w:tcPr>
            <w:tcW w:w="1508" w:type="pct"/>
            <w:vAlign w:val="center"/>
          </w:tcPr>
          <w:p w14:paraId="000C2591">
            <w:pPr>
              <w:autoSpaceDE/>
              <w:autoSpaceDN/>
              <w:spacing w:line="240" w:lineRule="auto"/>
              <w:jc w:val="left"/>
              <w:rPr>
                <w:rFonts w:ascii="Times New Roman" w:hAnsi="Times New Roman" w:eastAsia="宋体" w:cs="Times New Roman"/>
                <w:color w:val="auto"/>
                <w:kern w:val="2"/>
                <w:sz w:val="24"/>
                <w:szCs w:val="24"/>
                <w:highlight w:val="none"/>
                <w:u w:val="none"/>
                <w:lang w:val="en-US" w:bidi="ar-SA"/>
              </w:rPr>
            </w:pPr>
            <w:r>
              <w:rPr>
                <w:rFonts w:ascii="Times New Roman" w:hAnsi="Times New Roman" w:eastAsia="宋体" w:cs="Times New Roman"/>
                <w:color w:val="auto"/>
                <w:kern w:val="2"/>
                <w:sz w:val="24"/>
                <w:szCs w:val="24"/>
                <w:highlight w:val="none"/>
                <w:u w:val="none"/>
                <w:lang w:val="en-US" w:bidi="ar-SA"/>
              </w:rPr>
              <w:sym w:font="Wingdings" w:char="00FE"/>
            </w:r>
            <w:r>
              <w:rPr>
                <w:rFonts w:ascii="Times New Roman" w:hAnsi="Times New Roman" w:eastAsia="宋体" w:cs="Times New Roman"/>
                <w:color w:val="auto"/>
                <w:kern w:val="2"/>
                <w:sz w:val="24"/>
                <w:szCs w:val="24"/>
                <w:highlight w:val="none"/>
                <w:u w:val="none"/>
                <w:lang w:val="en-US" w:bidi="ar-SA"/>
              </w:rPr>
              <w:t>新建（迁建）</w:t>
            </w:r>
          </w:p>
          <w:p w14:paraId="2D34C1AD">
            <w:pPr>
              <w:autoSpaceDE/>
              <w:autoSpaceDN/>
              <w:spacing w:line="240" w:lineRule="auto"/>
              <w:jc w:val="left"/>
              <w:rPr>
                <w:rFonts w:ascii="Times New Roman" w:hAnsi="Times New Roman" w:eastAsia="宋体" w:cs="Times New Roman"/>
                <w:color w:val="auto"/>
                <w:kern w:val="2"/>
                <w:sz w:val="24"/>
                <w:szCs w:val="24"/>
                <w:highlight w:val="none"/>
                <w:u w:val="none"/>
                <w:lang w:val="en-US" w:bidi="ar-SA"/>
              </w:rPr>
            </w:pPr>
            <w:r>
              <w:rPr>
                <w:rFonts w:ascii="Times New Roman" w:hAnsi="Times New Roman" w:eastAsia="宋体" w:cs="Times New Roman"/>
                <w:color w:val="auto"/>
                <w:kern w:val="2"/>
                <w:sz w:val="24"/>
                <w:szCs w:val="24"/>
                <w:highlight w:val="none"/>
                <w:u w:val="none"/>
                <w:lang w:val="en-US" w:bidi="ar-SA"/>
              </w:rPr>
              <w:sym w:font="Wingdings" w:char="00A8"/>
            </w:r>
            <w:r>
              <w:rPr>
                <w:rFonts w:ascii="Times New Roman" w:hAnsi="Times New Roman" w:eastAsia="宋体" w:cs="Times New Roman"/>
                <w:color w:val="auto"/>
                <w:kern w:val="2"/>
                <w:sz w:val="24"/>
                <w:szCs w:val="24"/>
                <w:highlight w:val="none"/>
                <w:u w:val="none"/>
                <w:lang w:val="en-US" w:bidi="ar-SA"/>
              </w:rPr>
              <w:t>改建</w:t>
            </w:r>
          </w:p>
          <w:p w14:paraId="34CCD648">
            <w:pPr>
              <w:autoSpaceDE/>
              <w:autoSpaceDN/>
              <w:spacing w:line="240" w:lineRule="auto"/>
              <w:jc w:val="left"/>
              <w:rPr>
                <w:rFonts w:ascii="Times New Roman" w:hAnsi="Times New Roman" w:eastAsia="宋体" w:cs="Times New Roman"/>
                <w:color w:val="auto"/>
                <w:kern w:val="2"/>
                <w:sz w:val="24"/>
                <w:szCs w:val="24"/>
                <w:highlight w:val="none"/>
                <w:u w:val="none"/>
                <w:lang w:val="en-US" w:bidi="ar-SA"/>
              </w:rPr>
            </w:pPr>
            <w:r>
              <w:rPr>
                <w:rFonts w:ascii="Times New Roman" w:hAnsi="Times New Roman" w:eastAsia="宋体" w:cs="Times New Roman"/>
                <w:color w:val="auto"/>
                <w:kern w:val="2"/>
                <w:sz w:val="24"/>
                <w:szCs w:val="24"/>
                <w:highlight w:val="none"/>
                <w:u w:val="none"/>
                <w:lang w:val="en-US" w:bidi="ar-SA"/>
              </w:rPr>
              <w:sym w:font="Wingdings" w:char="00A8"/>
            </w:r>
            <w:r>
              <w:rPr>
                <w:rFonts w:ascii="Times New Roman" w:hAnsi="Times New Roman" w:eastAsia="宋体" w:cs="Times New Roman"/>
                <w:color w:val="auto"/>
                <w:kern w:val="2"/>
                <w:sz w:val="24"/>
                <w:szCs w:val="24"/>
                <w:highlight w:val="none"/>
                <w:u w:val="none"/>
                <w:lang w:val="en-US" w:bidi="ar-SA"/>
              </w:rPr>
              <w:t>扩建</w:t>
            </w:r>
          </w:p>
          <w:p w14:paraId="07963A9B">
            <w:pPr>
              <w:autoSpaceDE/>
              <w:autoSpaceDN/>
              <w:spacing w:line="240" w:lineRule="auto"/>
              <w:jc w:val="left"/>
              <w:rPr>
                <w:rFonts w:ascii="Times New Roman" w:hAnsi="Times New Roman" w:cs="Times New Roman"/>
                <w:color w:val="auto"/>
                <w:sz w:val="24"/>
                <w:szCs w:val="24"/>
                <w:highlight w:val="none"/>
                <w:u w:val="none"/>
                <w:lang w:val="en-US"/>
              </w:rPr>
            </w:pPr>
            <w:r>
              <w:rPr>
                <w:rFonts w:ascii="Times New Roman" w:hAnsi="Times New Roman" w:eastAsia="宋体" w:cs="Times New Roman"/>
                <w:color w:val="auto"/>
                <w:kern w:val="2"/>
                <w:sz w:val="24"/>
                <w:szCs w:val="24"/>
                <w:highlight w:val="none"/>
                <w:u w:val="none"/>
                <w:lang w:val="en-US" w:bidi="ar-SA"/>
              </w:rPr>
              <w:sym w:font="Wingdings" w:char="00A8"/>
            </w:r>
            <w:r>
              <w:rPr>
                <w:rFonts w:ascii="Times New Roman" w:hAnsi="Times New Roman" w:eastAsia="宋体" w:cs="Times New Roman"/>
                <w:color w:val="auto"/>
                <w:kern w:val="2"/>
                <w:sz w:val="24"/>
                <w:szCs w:val="24"/>
                <w:highlight w:val="none"/>
                <w:u w:val="none"/>
                <w:lang w:val="en-US" w:bidi="ar-SA"/>
              </w:rPr>
              <w:t>技术改造</w:t>
            </w:r>
          </w:p>
        </w:tc>
        <w:tc>
          <w:tcPr>
            <w:tcW w:w="830" w:type="pct"/>
            <w:vAlign w:val="center"/>
          </w:tcPr>
          <w:p w14:paraId="6AE90DC7">
            <w:pPr>
              <w:pStyle w:val="13"/>
              <w:spacing w:line="240" w:lineRule="auto"/>
              <w:jc w:val="center"/>
              <w:rPr>
                <w:rFonts w:ascii="Times New Roman" w:hAnsi="Times New Roman" w:cs="Times New Roman"/>
                <w:color w:val="auto"/>
                <w:sz w:val="24"/>
                <w:szCs w:val="24"/>
                <w:highlight w:val="none"/>
                <w:u w:val="none"/>
                <w:lang w:val="en-US"/>
              </w:rPr>
            </w:pPr>
            <w:r>
              <w:rPr>
                <w:rFonts w:ascii="Times New Roman" w:hAnsi="Times New Roman" w:cs="Times New Roman"/>
                <w:color w:val="auto"/>
                <w:sz w:val="24"/>
                <w:szCs w:val="24"/>
                <w:highlight w:val="none"/>
                <w:u w:val="none"/>
              </w:rPr>
              <w:t>建设项</w:t>
            </w:r>
            <w:r>
              <w:rPr>
                <w:rFonts w:ascii="Times New Roman" w:hAnsi="Times New Roman" w:cs="Times New Roman"/>
                <w:color w:val="auto"/>
                <w:sz w:val="24"/>
                <w:szCs w:val="24"/>
                <w:highlight w:val="none"/>
                <w:u w:val="none"/>
                <w:lang w:val="en-US"/>
              </w:rPr>
              <w:t>目</w:t>
            </w:r>
          </w:p>
          <w:p w14:paraId="1C698E97">
            <w:pPr>
              <w:pStyle w:val="13"/>
              <w:spacing w:line="240" w:lineRule="auto"/>
              <w:jc w:val="center"/>
              <w:rPr>
                <w:rFonts w:ascii="Times New Roman" w:hAnsi="Times New Roman" w:cs="Times New Roman"/>
                <w:color w:val="auto"/>
                <w:sz w:val="24"/>
                <w:szCs w:val="24"/>
                <w:highlight w:val="none"/>
                <w:u w:val="none"/>
                <w:lang w:val="en-US"/>
              </w:rPr>
            </w:pPr>
            <w:r>
              <w:rPr>
                <w:rFonts w:ascii="Times New Roman" w:hAnsi="Times New Roman" w:cs="Times New Roman"/>
                <w:color w:val="auto"/>
                <w:sz w:val="24"/>
                <w:szCs w:val="24"/>
                <w:highlight w:val="none"/>
                <w:u w:val="none"/>
              </w:rPr>
              <w:t>申报情形</w:t>
            </w:r>
          </w:p>
        </w:tc>
        <w:tc>
          <w:tcPr>
            <w:tcW w:w="1959" w:type="pct"/>
            <w:vAlign w:val="center"/>
          </w:tcPr>
          <w:p w14:paraId="68BCCE32">
            <w:pPr>
              <w:autoSpaceDE/>
              <w:autoSpaceDN/>
              <w:spacing w:line="240" w:lineRule="auto"/>
              <w:jc w:val="left"/>
              <w:rPr>
                <w:rFonts w:ascii="Times New Roman" w:hAnsi="Times New Roman" w:eastAsia="宋体" w:cs="Times New Roman"/>
                <w:color w:val="auto"/>
                <w:kern w:val="2"/>
                <w:sz w:val="24"/>
                <w:szCs w:val="24"/>
                <w:highlight w:val="none"/>
                <w:u w:val="none"/>
                <w:lang w:val="en-US" w:bidi="ar-SA"/>
              </w:rPr>
            </w:pPr>
            <w:r>
              <w:rPr>
                <w:rFonts w:ascii="Times New Roman" w:hAnsi="Times New Roman" w:eastAsia="宋体" w:cs="Times New Roman"/>
                <w:color w:val="auto"/>
                <w:kern w:val="2"/>
                <w:sz w:val="24"/>
                <w:szCs w:val="24"/>
                <w:highlight w:val="none"/>
                <w:u w:val="none"/>
                <w:lang w:val="en-US" w:bidi="ar-SA"/>
              </w:rPr>
              <w:sym w:font="Wingdings" w:char="00FE"/>
            </w:r>
            <w:r>
              <w:rPr>
                <w:rFonts w:ascii="Times New Roman" w:hAnsi="Times New Roman" w:eastAsia="宋体" w:cs="Times New Roman"/>
                <w:color w:val="auto"/>
                <w:kern w:val="2"/>
                <w:sz w:val="24"/>
                <w:szCs w:val="24"/>
                <w:highlight w:val="none"/>
                <w:u w:val="none"/>
                <w:lang w:val="en-US" w:bidi="ar-SA"/>
              </w:rPr>
              <w:t>首次申报项目</w:t>
            </w:r>
          </w:p>
          <w:p w14:paraId="10871B29">
            <w:pPr>
              <w:autoSpaceDE/>
              <w:autoSpaceDN/>
              <w:spacing w:line="240" w:lineRule="auto"/>
              <w:jc w:val="left"/>
              <w:rPr>
                <w:rFonts w:ascii="Times New Roman" w:hAnsi="Times New Roman" w:eastAsia="宋体" w:cs="Times New Roman"/>
                <w:color w:val="auto"/>
                <w:kern w:val="2"/>
                <w:sz w:val="24"/>
                <w:szCs w:val="24"/>
                <w:highlight w:val="none"/>
                <w:u w:val="none"/>
                <w:lang w:val="en-US" w:bidi="ar-SA"/>
              </w:rPr>
            </w:pPr>
            <w:r>
              <w:rPr>
                <w:rFonts w:ascii="Times New Roman" w:hAnsi="Times New Roman" w:eastAsia="宋体" w:cs="Times New Roman"/>
                <w:color w:val="auto"/>
                <w:kern w:val="2"/>
                <w:sz w:val="24"/>
                <w:szCs w:val="24"/>
                <w:highlight w:val="none"/>
                <w:u w:val="none"/>
                <w:lang w:val="en-US" w:bidi="ar-SA"/>
              </w:rPr>
              <w:sym w:font="Wingdings" w:char="00A8"/>
            </w:r>
            <w:r>
              <w:rPr>
                <w:rFonts w:ascii="Times New Roman" w:hAnsi="Times New Roman" w:eastAsia="宋体" w:cs="Times New Roman"/>
                <w:color w:val="auto"/>
                <w:kern w:val="2"/>
                <w:sz w:val="24"/>
                <w:szCs w:val="24"/>
                <w:highlight w:val="none"/>
                <w:u w:val="none"/>
                <w:lang w:val="en-US" w:bidi="ar-SA"/>
              </w:rPr>
              <w:t>不予批准后再次申报项目</w:t>
            </w:r>
          </w:p>
          <w:p w14:paraId="402CCF8E">
            <w:pPr>
              <w:autoSpaceDE/>
              <w:autoSpaceDN/>
              <w:spacing w:line="240" w:lineRule="auto"/>
              <w:jc w:val="left"/>
              <w:rPr>
                <w:rFonts w:ascii="Times New Roman" w:hAnsi="Times New Roman" w:eastAsia="宋体" w:cs="Times New Roman"/>
                <w:color w:val="auto"/>
                <w:kern w:val="2"/>
                <w:sz w:val="24"/>
                <w:szCs w:val="24"/>
                <w:highlight w:val="none"/>
                <w:u w:val="none"/>
                <w:lang w:val="en-US" w:bidi="ar-SA"/>
              </w:rPr>
            </w:pPr>
            <w:r>
              <w:rPr>
                <w:rFonts w:ascii="Times New Roman" w:hAnsi="Times New Roman" w:eastAsia="宋体" w:cs="Times New Roman"/>
                <w:color w:val="auto"/>
                <w:kern w:val="2"/>
                <w:sz w:val="24"/>
                <w:szCs w:val="24"/>
                <w:highlight w:val="none"/>
                <w:u w:val="none"/>
                <w:lang w:val="en-US" w:bidi="ar-SA"/>
              </w:rPr>
              <w:sym w:font="Wingdings" w:char="00A8"/>
            </w:r>
            <w:r>
              <w:rPr>
                <w:rFonts w:ascii="Times New Roman" w:hAnsi="Times New Roman" w:eastAsia="宋体" w:cs="Times New Roman"/>
                <w:color w:val="auto"/>
                <w:kern w:val="2"/>
                <w:sz w:val="24"/>
                <w:szCs w:val="24"/>
                <w:highlight w:val="none"/>
                <w:u w:val="none"/>
                <w:lang w:val="en-US" w:bidi="ar-SA"/>
              </w:rPr>
              <w:t>超五年重新审核项目</w:t>
            </w:r>
          </w:p>
          <w:p w14:paraId="2F04EE74">
            <w:pPr>
              <w:autoSpaceDE/>
              <w:autoSpaceDN/>
              <w:spacing w:line="240" w:lineRule="auto"/>
              <w:jc w:val="left"/>
              <w:rPr>
                <w:rFonts w:cs="Times New Roman"/>
                <w:color w:val="auto"/>
                <w:sz w:val="24"/>
                <w:szCs w:val="24"/>
                <w:highlight w:val="none"/>
                <w:u w:val="none"/>
                <w:lang w:val="en-US"/>
              </w:rPr>
            </w:pPr>
            <w:r>
              <w:rPr>
                <w:rFonts w:ascii="Times New Roman" w:hAnsi="Times New Roman" w:eastAsia="宋体" w:cs="Times New Roman"/>
                <w:color w:val="auto"/>
                <w:kern w:val="2"/>
                <w:sz w:val="24"/>
                <w:szCs w:val="24"/>
                <w:highlight w:val="none"/>
                <w:u w:val="none"/>
                <w:lang w:val="en-US" w:bidi="ar-SA"/>
              </w:rPr>
              <w:sym w:font="Wingdings" w:char="00A8"/>
            </w:r>
            <w:r>
              <w:rPr>
                <w:rFonts w:ascii="Times New Roman" w:hAnsi="Times New Roman" w:eastAsia="宋体" w:cs="Times New Roman"/>
                <w:color w:val="auto"/>
                <w:kern w:val="2"/>
                <w:sz w:val="24"/>
                <w:szCs w:val="24"/>
                <w:highlight w:val="none"/>
                <w:u w:val="none"/>
                <w:lang w:val="en-US" w:bidi="ar-SA"/>
              </w:rPr>
              <w:t>重大变动重新报批项目</w:t>
            </w:r>
          </w:p>
        </w:tc>
      </w:tr>
      <w:tr w14:paraId="3DFE0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Align w:val="center"/>
          </w:tcPr>
          <w:p w14:paraId="112EE245">
            <w:pPr>
              <w:pStyle w:val="13"/>
              <w:spacing w:line="276" w:lineRule="auto"/>
              <w:jc w:val="center"/>
              <w:rPr>
                <w:rFonts w:ascii="Times New Roman" w:hAnsi="Times New Roman" w:cs="Times New Roman"/>
                <w:color w:val="auto"/>
                <w:sz w:val="24"/>
                <w:szCs w:val="24"/>
                <w:highlight w:val="none"/>
                <w:u w:val="none"/>
              </w:rPr>
            </w:pPr>
            <w:r>
              <w:rPr>
                <w:rFonts w:ascii="Times New Roman" w:hAnsi="Times New Roman" w:cs="Times New Roman"/>
                <w:color w:val="auto"/>
                <w:sz w:val="24"/>
                <w:szCs w:val="24"/>
                <w:highlight w:val="none"/>
                <w:u w:val="none"/>
              </w:rPr>
              <w:t>项目审批</w:t>
            </w:r>
          </w:p>
          <w:p w14:paraId="360760F2">
            <w:pPr>
              <w:pStyle w:val="13"/>
              <w:spacing w:line="276" w:lineRule="auto"/>
              <w:jc w:val="center"/>
              <w:rPr>
                <w:rFonts w:ascii="Times New Roman" w:hAnsi="Times New Roman" w:cs="Times New Roman"/>
                <w:color w:val="auto"/>
                <w:sz w:val="24"/>
                <w:szCs w:val="24"/>
                <w:highlight w:val="none"/>
                <w:u w:val="none"/>
                <w:lang w:val="en-US"/>
              </w:rPr>
            </w:pPr>
            <w:r>
              <w:rPr>
                <w:rFonts w:ascii="Times New Roman" w:hAnsi="Times New Roman" w:cs="Times New Roman"/>
                <w:color w:val="auto"/>
                <w:sz w:val="24"/>
                <w:szCs w:val="24"/>
                <w:highlight w:val="none"/>
                <w:u w:val="none"/>
              </w:rPr>
              <w:t>（核准/备案）部门（选填）</w:t>
            </w:r>
          </w:p>
        </w:tc>
        <w:tc>
          <w:tcPr>
            <w:tcW w:w="1508" w:type="pct"/>
            <w:vAlign w:val="center"/>
          </w:tcPr>
          <w:p w14:paraId="39BCE451">
            <w:pPr>
              <w:pStyle w:val="13"/>
              <w:spacing w:line="276" w:lineRule="auto"/>
              <w:jc w:val="center"/>
              <w:rPr>
                <w:rFonts w:hint="default" w:ascii="Times New Roman" w:hAnsi="Times New Roman" w:cs="Times New Roman"/>
                <w:color w:val="auto"/>
                <w:sz w:val="24"/>
                <w:szCs w:val="24"/>
                <w:highlight w:val="none"/>
                <w:u w:val="none"/>
                <w:lang w:val="en-US"/>
              </w:rPr>
            </w:pPr>
            <w:r>
              <w:rPr>
                <w:rFonts w:hint="eastAsia" w:ascii="Times New Roman" w:hAnsi="Times New Roman" w:cs="Times New Roman"/>
                <w:color w:val="auto"/>
                <w:sz w:val="24"/>
                <w:szCs w:val="24"/>
                <w:highlight w:val="none"/>
                <w:u w:val="none"/>
                <w:lang w:val="en-US" w:eastAsia="zh-CN"/>
              </w:rPr>
              <w:t>溆浦县发展和改革局</w:t>
            </w:r>
          </w:p>
        </w:tc>
        <w:tc>
          <w:tcPr>
            <w:tcW w:w="830" w:type="pct"/>
            <w:vAlign w:val="center"/>
          </w:tcPr>
          <w:p w14:paraId="61822A9E">
            <w:pPr>
              <w:pStyle w:val="13"/>
              <w:spacing w:line="276" w:lineRule="auto"/>
              <w:jc w:val="center"/>
              <w:rPr>
                <w:rFonts w:ascii="Times New Roman" w:hAnsi="Times New Roman" w:cs="Times New Roman"/>
                <w:color w:val="auto"/>
                <w:sz w:val="24"/>
                <w:szCs w:val="24"/>
                <w:highlight w:val="none"/>
                <w:u w:val="none"/>
              </w:rPr>
            </w:pPr>
            <w:r>
              <w:rPr>
                <w:rFonts w:ascii="Times New Roman" w:hAnsi="Times New Roman" w:cs="Times New Roman"/>
                <w:color w:val="auto"/>
                <w:sz w:val="24"/>
                <w:szCs w:val="24"/>
                <w:highlight w:val="none"/>
                <w:u w:val="none"/>
              </w:rPr>
              <w:t>项目审批</w:t>
            </w:r>
          </w:p>
          <w:p w14:paraId="03572F3A">
            <w:pPr>
              <w:pStyle w:val="13"/>
              <w:spacing w:line="276" w:lineRule="auto"/>
              <w:jc w:val="center"/>
              <w:rPr>
                <w:rFonts w:ascii="Times New Roman" w:hAnsi="Times New Roman" w:cs="Times New Roman"/>
                <w:color w:val="auto"/>
                <w:sz w:val="24"/>
                <w:szCs w:val="24"/>
                <w:highlight w:val="none"/>
                <w:u w:val="none"/>
              </w:rPr>
            </w:pPr>
            <w:r>
              <w:rPr>
                <w:rFonts w:ascii="Times New Roman" w:hAnsi="Times New Roman" w:cs="Times New Roman"/>
                <w:color w:val="auto"/>
                <w:sz w:val="24"/>
                <w:szCs w:val="24"/>
                <w:highlight w:val="none"/>
                <w:u w:val="none"/>
              </w:rPr>
              <w:t>（核准/备案）</w:t>
            </w:r>
          </w:p>
          <w:p w14:paraId="393E672F">
            <w:pPr>
              <w:pStyle w:val="13"/>
              <w:spacing w:line="276" w:lineRule="auto"/>
              <w:jc w:val="center"/>
              <w:rPr>
                <w:rFonts w:ascii="Times New Roman" w:hAnsi="Times New Roman" w:cs="Times New Roman"/>
                <w:color w:val="auto"/>
                <w:sz w:val="24"/>
                <w:szCs w:val="24"/>
                <w:highlight w:val="none"/>
                <w:u w:val="none"/>
                <w:lang w:val="en-US"/>
              </w:rPr>
            </w:pPr>
            <w:r>
              <w:rPr>
                <w:rFonts w:ascii="Times New Roman" w:hAnsi="Times New Roman" w:cs="Times New Roman"/>
                <w:color w:val="auto"/>
                <w:sz w:val="24"/>
                <w:szCs w:val="24"/>
                <w:highlight w:val="none"/>
                <w:u w:val="none"/>
              </w:rPr>
              <w:t>文号（选填）</w:t>
            </w:r>
          </w:p>
        </w:tc>
        <w:tc>
          <w:tcPr>
            <w:tcW w:w="1959" w:type="pct"/>
            <w:vAlign w:val="center"/>
          </w:tcPr>
          <w:p w14:paraId="6E91EC6E">
            <w:pPr>
              <w:pStyle w:val="13"/>
              <w:spacing w:line="276" w:lineRule="auto"/>
              <w:jc w:val="center"/>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Cs w:val="21"/>
                <w:u w:val="none"/>
                <w:lang w:val="en-US" w:eastAsia="zh-CN"/>
              </w:rPr>
              <w:t>溆发改社会〔2024〕6号</w:t>
            </w:r>
          </w:p>
        </w:tc>
      </w:tr>
      <w:tr w14:paraId="65F68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1" w:type="pct"/>
            <w:vAlign w:val="center"/>
          </w:tcPr>
          <w:p w14:paraId="22D1AF49">
            <w:pPr>
              <w:pStyle w:val="13"/>
              <w:spacing w:line="240" w:lineRule="auto"/>
              <w:jc w:val="center"/>
              <w:rPr>
                <w:rFonts w:ascii="Times New Roman" w:hAnsi="Times New Roman" w:cs="Times New Roman"/>
                <w:color w:val="auto"/>
                <w:sz w:val="24"/>
                <w:szCs w:val="24"/>
                <w:highlight w:val="none"/>
                <w:u w:val="none"/>
              </w:rPr>
            </w:pPr>
            <w:r>
              <w:rPr>
                <w:rFonts w:ascii="Times New Roman" w:hAnsi="Times New Roman" w:cs="Times New Roman"/>
                <w:color w:val="auto"/>
                <w:sz w:val="24"/>
                <w:szCs w:val="24"/>
                <w:highlight w:val="none"/>
                <w:u w:val="none"/>
              </w:rPr>
              <w:t>总投资</w:t>
            </w:r>
          </w:p>
          <w:p w14:paraId="02CF1908">
            <w:pPr>
              <w:pStyle w:val="13"/>
              <w:spacing w:line="240" w:lineRule="auto"/>
              <w:jc w:val="center"/>
              <w:rPr>
                <w:rFonts w:ascii="Times New Roman" w:hAnsi="Times New Roman" w:cs="Times New Roman"/>
                <w:color w:val="auto"/>
                <w:sz w:val="24"/>
                <w:szCs w:val="24"/>
                <w:highlight w:val="none"/>
                <w:u w:val="none"/>
                <w:lang w:val="en-US"/>
              </w:rPr>
            </w:pPr>
            <w:r>
              <w:rPr>
                <w:rFonts w:ascii="Times New Roman" w:hAnsi="Times New Roman" w:cs="Times New Roman"/>
                <w:color w:val="auto"/>
                <w:sz w:val="24"/>
                <w:szCs w:val="24"/>
                <w:highlight w:val="none"/>
                <w:u w:val="none"/>
              </w:rPr>
              <w:t>（万元）</w:t>
            </w:r>
          </w:p>
        </w:tc>
        <w:tc>
          <w:tcPr>
            <w:tcW w:w="1508" w:type="pct"/>
            <w:vAlign w:val="center"/>
          </w:tcPr>
          <w:p w14:paraId="0830659D">
            <w:pPr>
              <w:pStyle w:val="13"/>
              <w:spacing w:line="240" w:lineRule="auto"/>
              <w:jc w:val="center"/>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cs="Times New Roman"/>
                <w:color w:val="auto"/>
                <w:sz w:val="24"/>
                <w:szCs w:val="24"/>
                <w:highlight w:val="none"/>
                <w:u w:val="none"/>
                <w:lang w:val="en-US" w:eastAsia="zh-CN"/>
              </w:rPr>
              <w:t>19200</w:t>
            </w:r>
          </w:p>
        </w:tc>
        <w:tc>
          <w:tcPr>
            <w:tcW w:w="830" w:type="pct"/>
            <w:vAlign w:val="center"/>
          </w:tcPr>
          <w:p w14:paraId="0351EBB8">
            <w:pPr>
              <w:pStyle w:val="13"/>
              <w:spacing w:line="240" w:lineRule="auto"/>
              <w:jc w:val="center"/>
              <w:rPr>
                <w:rFonts w:ascii="Times New Roman" w:hAnsi="Times New Roman" w:cs="Times New Roman"/>
                <w:color w:val="auto"/>
                <w:sz w:val="24"/>
                <w:szCs w:val="24"/>
                <w:highlight w:val="none"/>
                <w:u w:val="none"/>
              </w:rPr>
            </w:pPr>
            <w:r>
              <w:rPr>
                <w:rFonts w:hint="eastAsia" w:ascii="Times New Roman" w:hAnsi="Times New Roman" w:cs="Times New Roman"/>
                <w:color w:val="auto"/>
                <w:sz w:val="24"/>
                <w:szCs w:val="24"/>
                <w:highlight w:val="none"/>
                <w:u w:val="none"/>
              </w:rPr>
              <w:t>环保投资</w:t>
            </w:r>
          </w:p>
          <w:p w14:paraId="2735ADEF">
            <w:pPr>
              <w:pStyle w:val="13"/>
              <w:spacing w:line="240" w:lineRule="auto"/>
              <w:jc w:val="center"/>
              <w:rPr>
                <w:rFonts w:ascii="Times New Roman" w:hAnsi="Times New Roman" w:cs="Times New Roman"/>
                <w:color w:val="auto"/>
                <w:sz w:val="24"/>
                <w:szCs w:val="24"/>
                <w:highlight w:val="none"/>
                <w:u w:val="none"/>
                <w:lang w:val="en-US"/>
              </w:rPr>
            </w:pPr>
            <w:r>
              <w:rPr>
                <w:rFonts w:hint="eastAsia" w:ascii="Times New Roman" w:hAnsi="Times New Roman" w:cs="Times New Roman"/>
                <w:color w:val="auto"/>
                <w:sz w:val="24"/>
                <w:szCs w:val="24"/>
                <w:highlight w:val="none"/>
                <w:u w:val="none"/>
              </w:rPr>
              <w:t>（万元）</w:t>
            </w:r>
          </w:p>
        </w:tc>
        <w:tc>
          <w:tcPr>
            <w:tcW w:w="1959" w:type="pct"/>
            <w:vAlign w:val="center"/>
          </w:tcPr>
          <w:p w14:paraId="32F26351">
            <w:pPr>
              <w:pStyle w:val="13"/>
              <w:spacing w:line="240" w:lineRule="auto"/>
              <w:jc w:val="center"/>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cs="Times New Roman"/>
                <w:color w:val="auto"/>
                <w:sz w:val="24"/>
                <w:szCs w:val="24"/>
                <w:highlight w:val="none"/>
                <w:u w:val="none"/>
                <w:lang w:val="en-US" w:eastAsia="zh-CN"/>
              </w:rPr>
              <w:t>273</w:t>
            </w:r>
          </w:p>
        </w:tc>
      </w:tr>
      <w:tr w14:paraId="22018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Align w:val="center"/>
          </w:tcPr>
          <w:p w14:paraId="4E946E12">
            <w:pPr>
              <w:pStyle w:val="13"/>
              <w:spacing w:line="240" w:lineRule="auto"/>
              <w:jc w:val="center"/>
              <w:rPr>
                <w:rFonts w:ascii="Times New Roman" w:hAnsi="Times New Roman" w:cs="Times New Roman"/>
                <w:color w:val="auto"/>
                <w:sz w:val="24"/>
                <w:szCs w:val="24"/>
                <w:highlight w:val="none"/>
                <w:u w:val="none"/>
                <w:lang w:val="en-US"/>
              </w:rPr>
            </w:pPr>
            <w:r>
              <w:rPr>
                <w:rFonts w:hint="eastAsia" w:ascii="Times New Roman" w:hAnsi="Times New Roman" w:cs="Times New Roman"/>
                <w:color w:val="auto"/>
                <w:sz w:val="24"/>
                <w:szCs w:val="24"/>
                <w:highlight w:val="none"/>
                <w:u w:val="none"/>
              </w:rPr>
              <w:t>环保投资占比（</w:t>
            </w:r>
            <w:r>
              <w:rPr>
                <w:rFonts w:ascii="Times New Roman" w:hAnsi="Times New Roman" w:cs="Times New Roman"/>
                <w:color w:val="auto"/>
                <w:sz w:val="24"/>
                <w:szCs w:val="24"/>
                <w:highlight w:val="none"/>
                <w:u w:val="none"/>
              </w:rPr>
              <w:t>%</w:t>
            </w:r>
            <w:r>
              <w:rPr>
                <w:rFonts w:hint="eastAsia" w:ascii="Times New Roman" w:hAnsi="Times New Roman" w:cs="Times New Roman"/>
                <w:color w:val="auto"/>
                <w:sz w:val="24"/>
                <w:szCs w:val="24"/>
                <w:highlight w:val="none"/>
                <w:u w:val="none"/>
              </w:rPr>
              <w:t>）</w:t>
            </w:r>
          </w:p>
        </w:tc>
        <w:tc>
          <w:tcPr>
            <w:tcW w:w="1508" w:type="pct"/>
            <w:vAlign w:val="center"/>
          </w:tcPr>
          <w:p w14:paraId="72ADE9AD">
            <w:pPr>
              <w:pStyle w:val="13"/>
              <w:spacing w:line="276" w:lineRule="auto"/>
              <w:jc w:val="center"/>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cs="Times New Roman"/>
                <w:color w:val="auto"/>
                <w:sz w:val="24"/>
                <w:szCs w:val="24"/>
                <w:highlight w:val="none"/>
                <w:u w:val="none"/>
                <w:lang w:val="en-US" w:eastAsia="zh-CN"/>
              </w:rPr>
              <w:t>1.42</w:t>
            </w:r>
          </w:p>
        </w:tc>
        <w:tc>
          <w:tcPr>
            <w:tcW w:w="830" w:type="pct"/>
            <w:vAlign w:val="center"/>
          </w:tcPr>
          <w:p w14:paraId="07E7C01E">
            <w:pPr>
              <w:pStyle w:val="13"/>
              <w:spacing w:line="240" w:lineRule="auto"/>
              <w:jc w:val="center"/>
              <w:rPr>
                <w:rFonts w:ascii="Times New Roman" w:hAnsi="Times New Roman" w:cs="Times New Roman"/>
                <w:color w:val="auto"/>
                <w:sz w:val="24"/>
                <w:szCs w:val="24"/>
                <w:highlight w:val="none"/>
                <w:u w:val="none"/>
                <w:lang w:val="en-US"/>
              </w:rPr>
            </w:pPr>
            <w:r>
              <w:rPr>
                <w:rFonts w:ascii="Times New Roman" w:hAnsi="Times New Roman" w:cs="Times New Roman"/>
                <w:color w:val="auto"/>
                <w:sz w:val="24"/>
                <w:szCs w:val="24"/>
                <w:highlight w:val="none"/>
                <w:u w:val="none"/>
              </w:rPr>
              <w:t>施工工期</w:t>
            </w:r>
          </w:p>
        </w:tc>
        <w:tc>
          <w:tcPr>
            <w:tcW w:w="1959" w:type="pct"/>
            <w:vAlign w:val="center"/>
          </w:tcPr>
          <w:p w14:paraId="56BEB2BA">
            <w:pPr>
              <w:pStyle w:val="13"/>
              <w:spacing w:line="240" w:lineRule="auto"/>
              <w:jc w:val="center"/>
              <w:rPr>
                <w:rFonts w:hint="default" w:ascii="Times New Roman" w:hAnsi="Times New Roman" w:cs="Times New Roman"/>
                <w:color w:val="auto"/>
                <w:sz w:val="24"/>
                <w:szCs w:val="24"/>
                <w:highlight w:val="none"/>
                <w:u w:val="none"/>
                <w:lang w:val="en-US"/>
              </w:rPr>
            </w:pPr>
            <w:r>
              <w:rPr>
                <w:rFonts w:hint="eastAsia" w:ascii="Times New Roman" w:hAnsi="Times New Roman" w:cs="Times New Roman"/>
                <w:color w:val="auto"/>
                <w:sz w:val="24"/>
                <w:szCs w:val="24"/>
                <w:highlight w:val="none"/>
                <w:u w:val="none"/>
                <w:lang w:val="en-US" w:eastAsia="zh-CN"/>
              </w:rPr>
              <w:t>24个月</w:t>
            </w:r>
          </w:p>
        </w:tc>
      </w:tr>
      <w:tr w14:paraId="36468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Align w:val="center"/>
          </w:tcPr>
          <w:p w14:paraId="5C991A9E">
            <w:pPr>
              <w:pStyle w:val="13"/>
              <w:spacing w:line="240" w:lineRule="auto"/>
              <w:jc w:val="center"/>
              <w:rPr>
                <w:rFonts w:ascii="Times New Roman" w:hAnsi="Times New Roman" w:cs="Times New Roman"/>
                <w:color w:val="auto"/>
                <w:sz w:val="24"/>
                <w:szCs w:val="24"/>
                <w:highlight w:val="none"/>
                <w:u w:val="none"/>
                <w:lang w:val="en-US"/>
              </w:rPr>
            </w:pPr>
            <w:r>
              <w:rPr>
                <w:rFonts w:ascii="Times New Roman" w:hAnsi="Times New Roman" w:cs="Times New Roman"/>
                <w:color w:val="auto"/>
                <w:sz w:val="24"/>
                <w:szCs w:val="24"/>
                <w:highlight w:val="none"/>
                <w:u w:val="none"/>
              </w:rPr>
              <w:t>是否开工建设</w:t>
            </w:r>
          </w:p>
        </w:tc>
        <w:tc>
          <w:tcPr>
            <w:tcW w:w="1508" w:type="pct"/>
            <w:vAlign w:val="center"/>
          </w:tcPr>
          <w:p w14:paraId="4D3E7EAB">
            <w:pPr>
              <w:pStyle w:val="13"/>
              <w:spacing w:line="276" w:lineRule="auto"/>
              <w:jc w:val="left"/>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sym w:font="Wingdings" w:char="00FE"/>
            </w:r>
            <w:r>
              <w:rPr>
                <w:rFonts w:hint="eastAsia" w:ascii="Times New Roman" w:hAnsi="Times New Roman" w:eastAsia="宋体" w:cs="Times New Roman"/>
                <w:color w:val="auto"/>
                <w:sz w:val="24"/>
                <w:szCs w:val="24"/>
                <w:highlight w:val="none"/>
                <w:u w:val="none"/>
                <w:lang w:val="en-US" w:eastAsia="zh-CN"/>
              </w:rPr>
              <w:t>否</w:t>
            </w:r>
          </w:p>
          <w:p w14:paraId="380584DC">
            <w:pPr>
              <w:keepNext w:val="0"/>
              <w:keepLines w:val="0"/>
              <w:widowControl/>
              <w:suppressLineNumbers w:val="0"/>
              <w:spacing w:line="240" w:lineRule="auto"/>
              <w:jc w:val="left"/>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sym w:font="Wingdings" w:char="00A8"/>
            </w:r>
            <w:r>
              <w:rPr>
                <w:rFonts w:hint="eastAsia" w:ascii="Times New Roman" w:hAnsi="Times New Roman" w:eastAsia="宋体" w:cs="Times New Roman"/>
                <w:color w:val="auto"/>
                <w:sz w:val="24"/>
                <w:szCs w:val="24"/>
                <w:highlight w:val="none"/>
                <w:u w:val="none"/>
                <w:lang w:val="en-US" w:eastAsia="zh-CN"/>
              </w:rPr>
              <w:t>是</w:t>
            </w:r>
          </w:p>
        </w:tc>
        <w:tc>
          <w:tcPr>
            <w:tcW w:w="830" w:type="pct"/>
            <w:vAlign w:val="center"/>
          </w:tcPr>
          <w:p w14:paraId="5C572419">
            <w:pPr>
              <w:pStyle w:val="13"/>
              <w:spacing w:line="240" w:lineRule="auto"/>
              <w:jc w:val="center"/>
              <w:rPr>
                <w:rFonts w:ascii="Times New Roman" w:hAnsi="Times New Roman" w:cs="Times New Roman"/>
                <w:color w:val="auto"/>
                <w:sz w:val="24"/>
                <w:szCs w:val="24"/>
                <w:highlight w:val="none"/>
                <w:u w:val="none"/>
              </w:rPr>
            </w:pPr>
            <w:r>
              <w:rPr>
                <w:rFonts w:ascii="Times New Roman" w:hAnsi="Times New Roman" w:cs="Times New Roman"/>
                <w:color w:val="auto"/>
                <w:sz w:val="24"/>
                <w:szCs w:val="24"/>
                <w:highlight w:val="none"/>
                <w:u w:val="none"/>
              </w:rPr>
              <w:t>用地（用海）</w:t>
            </w:r>
          </w:p>
          <w:p w14:paraId="77C092E6">
            <w:pPr>
              <w:pStyle w:val="13"/>
              <w:spacing w:line="240" w:lineRule="auto"/>
              <w:jc w:val="center"/>
              <w:rPr>
                <w:rFonts w:ascii="Times New Roman" w:hAnsi="Times New Roman" w:cs="Times New Roman"/>
                <w:color w:val="auto"/>
                <w:sz w:val="24"/>
                <w:szCs w:val="24"/>
                <w:highlight w:val="none"/>
                <w:u w:val="none"/>
                <w:lang w:val="en-US"/>
              </w:rPr>
            </w:pPr>
            <w:r>
              <w:rPr>
                <w:rFonts w:ascii="Times New Roman" w:hAnsi="Times New Roman" w:cs="Times New Roman"/>
                <w:color w:val="auto"/>
                <w:sz w:val="24"/>
                <w:szCs w:val="24"/>
                <w:highlight w:val="none"/>
                <w:u w:val="none"/>
              </w:rPr>
              <w:t>面积</w:t>
            </w:r>
            <w:r>
              <w:rPr>
                <w:rFonts w:hint="eastAsia" w:ascii="Times New Roman" w:hAnsi="Times New Roman" w:cs="Times New Roman"/>
                <w:color w:val="auto"/>
                <w:sz w:val="24"/>
                <w:szCs w:val="24"/>
                <w:highlight w:val="none"/>
                <w:u w:val="none"/>
              </w:rPr>
              <w:t>（</w:t>
            </w:r>
            <w:r>
              <w:rPr>
                <w:rFonts w:hint="eastAsia" w:ascii="Times New Roman" w:hAnsi="Times New Roman" w:cs="Times New Roman"/>
                <w:color w:val="auto"/>
                <w:sz w:val="24"/>
                <w:szCs w:val="24"/>
                <w:highlight w:val="none"/>
                <w:u w:val="none"/>
                <w:lang w:val="en-US"/>
              </w:rPr>
              <w:t>m</w:t>
            </w:r>
            <w:r>
              <w:rPr>
                <w:rFonts w:hint="eastAsia" w:ascii="Times New Roman" w:hAnsi="Times New Roman" w:cs="Times New Roman"/>
                <w:color w:val="auto"/>
                <w:sz w:val="24"/>
                <w:szCs w:val="24"/>
                <w:highlight w:val="none"/>
                <w:u w:val="none"/>
                <w:vertAlign w:val="superscript"/>
                <w:lang w:val="en-US"/>
              </w:rPr>
              <w:t>2</w:t>
            </w:r>
            <w:r>
              <w:rPr>
                <w:rFonts w:hint="eastAsia" w:ascii="Times New Roman" w:hAnsi="Times New Roman" w:cs="Times New Roman"/>
                <w:color w:val="auto"/>
                <w:sz w:val="24"/>
                <w:szCs w:val="24"/>
                <w:highlight w:val="none"/>
                <w:u w:val="none"/>
              </w:rPr>
              <w:t>）</w:t>
            </w:r>
          </w:p>
        </w:tc>
        <w:tc>
          <w:tcPr>
            <w:tcW w:w="1959" w:type="pct"/>
            <w:vAlign w:val="center"/>
          </w:tcPr>
          <w:p w14:paraId="6E6859B3">
            <w:pPr>
              <w:pStyle w:val="13"/>
              <w:spacing w:line="240" w:lineRule="auto"/>
              <w:jc w:val="center"/>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cs="Times New Roman"/>
                <w:color w:val="auto"/>
                <w:sz w:val="24"/>
                <w:szCs w:val="24"/>
                <w:highlight w:val="none"/>
                <w:u w:val="single"/>
                <w:lang w:val="en-US" w:eastAsia="zh-CN"/>
              </w:rPr>
              <w:t>19992.77</w:t>
            </w:r>
          </w:p>
        </w:tc>
      </w:tr>
      <w:tr w14:paraId="50531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701" w:type="pct"/>
            <w:vAlign w:val="center"/>
          </w:tcPr>
          <w:p w14:paraId="7D72A935">
            <w:pPr>
              <w:pStyle w:val="13"/>
              <w:spacing w:line="240" w:lineRule="auto"/>
              <w:jc w:val="center"/>
              <w:rPr>
                <w:rFonts w:hint="eastAsia" w:ascii="Times New Roman" w:hAnsi="Times New Roman" w:eastAsia="宋体" w:cs="Times New Roman"/>
                <w:color w:val="auto"/>
                <w:sz w:val="24"/>
                <w:szCs w:val="24"/>
                <w:highlight w:val="none"/>
                <w:u w:val="none"/>
                <w:lang w:val="en-US"/>
              </w:rPr>
            </w:pPr>
            <w:r>
              <w:rPr>
                <w:rFonts w:hint="eastAsia" w:ascii="Times New Roman" w:hAnsi="Times New Roman" w:eastAsia="宋体" w:cs="Times New Roman"/>
                <w:color w:val="auto"/>
                <w:sz w:val="24"/>
                <w:szCs w:val="24"/>
                <w:highlight w:val="none"/>
                <w:u w:val="none"/>
                <w:lang w:val="en-US"/>
              </w:rPr>
              <w:t>专项评价</w:t>
            </w:r>
          </w:p>
          <w:p w14:paraId="7FF0065D">
            <w:pPr>
              <w:pStyle w:val="13"/>
              <w:spacing w:line="240" w:lineRule="auto"/>
              <w:jc w:val="center"/>
              <w:rPr>
                <w:rFonts w:hint="eastAsia" w:ascii="Times New Roman" w:hAnsi="Times New Roman" w:eastAsia="宋体" w:cs="Times New Roman"/>
                <w:color w:val="auto"/>
                <w:sz w:val="24"/>
                <w:szCs w:val="24"/>
                <w:highlight w:val="none"/>
                <w:u w:val="none"/>
                <w:lang w:val="en-US"/>
              </w:rPr>
            </w:pPr>
            <w:r>
              <w:rPr>
                <w:rFonts w:hint="eastAsia" w:ascii="Times New Roman" w:hAnsi="Times New Roman" w:eastAsia="宋体" w:cs="Times New Roman"/>
                <w:color w:val="auto"/>
                <w:sz w:val="24"/>
                <w:szCs w:val="24"/>
                <w:highlight w:val="none"/>
                <w:u w:val="none"/>
                <w:lang w:val="en-US"/>
              </w:rPr>
              <w:t>设置情况</w:t>
            </w:r>
          </w:p>
        </w:tc>
        <w:tc>
          <w:tcPr>
            <w:tcW w:w="4298" w:type="pct"/>
            <w:gridSpan w:val="3"/>
            <w:vAlign w:val="center"/>
          </w:tcPr>
          <w:p w14:paraId="4EEF0904">
            <w:pPr>
              <w:pStyle w:val="58"/>
              <w:widowControl w:val="0"/>
              <w:spacing w:line="360" w:lineRule="auto"/>
              <w:rPr>
                <w:rFonts w:cs="Times New Roman"/>
                <w:b/>
                <w:bCs/>
                <w:color w:val="auto"/>
                <w:sz w:val="21"/>
                <w:szCs w:val="21"/>
                <w:highlight w:val="none"/>
                <w:u w:val="none"/>
              </w:rPr>
            </w:pPr>
            <w:r>
              <w:rPr>
                <w:rFonts w:hint="eastAsia" w:cs="Times New Roman"/>
                <w:b/>
                <w:bCs/>
                <w:color w:val="auto"/>
                <w:sz w:val="21"/>
                <w:szCs w:val="21"/>
                <w:highlight w:val="none"/>
                <w:u w:val="none"/>
              </w:rPr>
              <w:t>表1</w:t>
            </w:r>
            <w:r>
              <w:rPr>
                <w:rFonts w:cs="Times New Roman"/>
                <w:b/>
                <w:bCs/>
                <w:color w:val="auto"/>
                <w:sz w:val="21"/>
                <w:szCs w:val="21"/>
                <w:highlight w:val="none"/>
                <w:u w:val="none"/>
              </w:rPr>
              <w:t xml:space="preserve">-1 </w:t>
            </w:r>
            <w:r>
              <w:rPr>
                <w:rFonts w:hint="eastAsia" w:cs="Times New Roman"/>
                <w:b/>
                <w:bCs/>
                <w:color w:val="auto"/>
                <w:sz w:val="21"/>
                <w:szCs w:val="21"/>
                <w:highlight w:val="none"/>
                <w:u w:val="none"/>
                <w:lang w:val="en-US" w:eastAsia="zh-CN"/>
              </w:rPr>
              <w:t xml:space="preserve">  </w:t>
            </w:r>
            <w:r>
              <w:rPr>
                <w:rFonts w:hint="eastAsia" w:cs="Times New Roman"/>
                <w:b/>
                <w:bCs/>
                <w:color w:val="auto"/>
                <w:sz w:val="21"/>
                <w:szCs w:val="21"/>
                <w:highlight w:val="none"/>
                <w:u w:val="none"/>
              </w:rPr>
              <w:t>本</w:t>
            </w:r>
            <w:r>
              <w:rPr>
                <w:rFonts w:cs="Times New Roman"/>
                <w:b/>
                <w:bCs/>
                <w:color w:val="auto"/>
                <w:sz w:val="21"/>
                <w:szCs w:val="21"/>
                <w:highlight w:val="none"/>
                <w:u w:val="none"/>
              </w:rPr>
              <w:t>项目专项评价设置情况分析表</w:t>
            </w:r>
          </w:p>
          <w:tbl>
            <w:tblPr>
              <w:tblStyle w:val="35"/>
              <w:tblW w:w="4986" w:type="pct"/>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9"/>
              <w:gridCol w:w="2440"/>
              <w:gridCol w:w="3425"/>
              <w:gridCol w:w="1386"/>
            </w:tblGrid>
            <w:tr w14:paraId="63681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642" w:type="pct"/>
                  <w:vAlign w:val="center"/>
                </w:tcPr>
                <w:p w14:paraId="236B705D">
                  <w:pPr>
                    <w:pStyle w:val="59"/>
                    <w:widowControl w:val="0"/>
                    <w:spacing w:line="240" w:lineRule="auto"/>
                    <w:rPr>
                      <w:b/>
                      <w:bCs/>
                      <w:color w:val="auto"/>
                      <w:highlight w:val="none"/>
                      <w:u w:val="none"/>
                    </w:rPr>
                  </w:pPr>
                  <w:r>
                    <w:rPr>
                      <w:b/>
                      <w:bCs/>
                      <w:color w:val="auto"/>
                      <w:highlight w:val="none"/>
                      <w:u w:val="none"/>
                    </w:rPr>
                    <w:t>专项评价的类别</w:t>
                  </w:r>
                </w:p>
              </w:tc>
              <w:tc>
                <w:tcPr>
                  <w:tcW w:w="1466" w:type="pct"/>
                  <w:vAlign w:val="center"/>
                </w:tcPr>
                <w:p w14:paraId="19A1D8CB">
                  <w:pPr>
                    <w:pStyle w:val="59"/>
                    <w:widowControl w:val="0"/>
                    <w:spacing w:line="240" w:lineRule="auto"/>
                    <w:rPr>
                      <w:b/>
                      <w:bCs/>
                      <w:color w:val="auto"/>
                      <w:highlight w:val="none"/>
                      <w:u w:val="none"/>
                    </w:rPr>
                  </w:pPr>
                  <w:r>
                    <w:rPr>
                      <w:b/>
                      <w:bCs/>
                      <w:color w:val="auto"/>
                      <w:highlight w:val="none"/>
                      <w:u w:val="none"/>
                    </w:rPr>
                    <w:t>设置原则</w:t>
                  </w:r>
                </w:p>
              </w:tc>
              <w:tc>
                <w:tcPr>
                  <w:tcW w:w="2058" w:type="pct"/>
                  <w:vAlign w:val="center"/>
                </w:tcPr>
                <w:p w14:paraId="78DF69C5">
                  <w:pPr>
                    <w:pStyle w:val="59"/>
                    <w:widowControl w:val="0"/>
                    <w:spacing w:line="240" w:lineRule="auto"/>
                    <w:rPr>
                      <w:b/>
                      <w:bCs/>
                      <w:color w:val="auto"/>
                      <w:highlight w:val="none"/>
                      <w:u w:val="none"/>
                    </w:rPr>
                  </w:pPr>
                  <w:r>
                    <w:rPr>
                      <w:b/>
                      <w:bCs/>
                      <w:color w:val="auto"/>
                      <w:highlight w:val="none"/>
                      <w:u w:val="none"/>
                    </w:rPr>
                    <w:t>本项目情况</w:t>
                  </w:r>
                </w:p>
              </w:tc>
              <w:tc>
                <w:tcPr>
                  <w:tcW w:w="833" w:type="pct"/>
                  <w:shd w:val="clear" w:color="auto" w:fill="auto"/>
                  <w:vAlign w:val="center"/>
                </w:tcPr>
                <w:p w14:paraId="0959C14B">
                  <w:pPr>
                    <w:bidi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rPr>
                    <w:t>是否需要开展专项评价</w:t>
                  </w:r>
                </w:p>
              </w:tc>
            </w:tr>
            <w:tr w14:paraId="5C921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642" w:type="pct"/>
                  <w:vAlign w:val="center"/>
                </w:tcPr>
                <w:p w14:paraId="4C3CA953">
                  <w:pPr>
                    <w:pStyle w:val="59"/>
                    <w:widowControl w:val="0"/>
                    <w:rPr>
                      <w:color w:val="auto"/>
                      <w:highlight w:val="none"/>
                      <w:u w:val="none"/>
                    </w:rPr>
                  </w:pPr>
                  <w:r>
                    <w:rPr>
                      <w:color w:val="auto"/>
                      <w:highlight w:val="none"/>
                      <w:u w:val="none"/>
                    </w:rPr>
                    <w:t>大气</w:t>
                  </w:r>
                </w:p>
              </w:tc>
              <w:tc>
                <w:tcPr>
                  <w:tcW w:w="1466" w:type="pct"/>
                  <w:vAlign w:val="center"/>
                </w:tcPr>
                <w:p w14:paraId="4F7865A3">
                  <w:pPr>
                    <w:pStyle w:val="59"/>
                    <w:widowControl w:val="0"/>
                    <w:spacing w:line="240" w:lineRule="auto"/>
                    <w:rPr>
                      <w:color w:val="auto"/>
                      <w:highlight w:val="none"/>
                      <w:u w:val="none"/>
                    </w:rPr>
                  </w:pPr>
                  <w:r>
                    <w:rPr>
                      <w:color w:val="auto"/>
                      <w:highlight w:val="none"/>
                      <w:u w:val="none"/>
                    </w:rPr>
                    <w:t>排放废气</w:t>
                  </w:r>
                  <w:r>
                    <w:rPr>
                      <w:rFonts w:hint="eastAsia"/>
                      <w:color w:val="auto"/>
                      <w:highlight w:val="none"/>
                      <w:u w:val="none"/>
                    </w:rPr>
                    <w:t>含有毒有害污染物</w:t>
                  </w:r>
                  <w:r>
                    <w:rPr>
                      <w:rFonts w:hint="eastAsia"/>
                      <w:color w:val="auto"/>
                      <w:highlight w:val="none"/>
                      <w:u w:val="none"/>
                      <w:vertAlign w:val="superscript"/>
                    </w:rPr>
                    <w:t>1</w:t>
                  </w:r>
                  <w:r>
                    <w:rPr>
                      <w:color w:val="auto"/>
                      <w:highlight w:val="none"/>
                      <w:u w:val="none"/>
                    </w:rPr>
                    <w:t>、二噁英、苯并</w:t>
                  </w:r>
                  <w:r>
                    <w:rPr>
                      <w:rFonts w:hint="eastAsia"/>
                      <w:color w:val="auto"/>
                      <w:highlight w:val="none"/>
                      <w:u w:val="none"/>
                    </w:rPr>
                    <w:t>[</w:t>
                  </w:r>
                  <w:r>
                    <w:rPr>
                      <w:color w:val="auto"/>
                      <w:highlight w:val="none"/>
                      <w:u w:val="none"/>
                    </w:rPr>
                    <w:t>a]</w:t>
                  </w:r>
                  <w:r>
                    <w:rPr>
                      <w:rFonts w:hint="eastAsia"/>
                      <w:color w:val="auto"/>
                      <w:highlight w:val="none"/>
                      <w:u w:val="none"/>
                    </w:rPr>
                    <w:t>芘、氰化物、氯气且厂界外5</w:t>
                  </w:r>
                  <w:r>
                    <w:rPr>
                      <w:color w:val="auto"/>
                      <w:highlight w:val="none"/>
                      <w:u w:val="none"/>
                    </w:rPr>
                    <w:t>00米范围内有环境</w:t>
                  </w:r>
                  <w:r>
                    <w:rPr>
                      <w:rFonts w:hint="eastAsia"/>
                      <w:color w:val="auto"/>
                      <w:highlight w:val="none"/>
                      <w:u w:val="none"/>
                    </w:rPr>
                    <w:t>空气保护目标</w:t>
                  </w:r>
                  <w:r>
                    <w:rPr>
                      <w:rFonts w:hint="eastAsia"/>
                      <w:color w:val="auto"/>
                      <w:highlight w:val="none"/>
                      <w:u w:val="none"/>
                      <w:vertAlign w:val="superscript"/>
                    </w:rPr>
                    <w:t>2</w:t>
                  </w:r>
                  <w:r>
                    <w:rPr>
                      <w:color w:val="auto"/>
                      <w:highlight w:val="none"/>
                      <w:u w:val="none"/>
                    </w:rPr>
                    <w:t>的建设项目</w:t>
                  </w:r>
                </w:p>
              </w:tc>
              <w:tc>
                <w:tcPr>
                  <w:tcW w:w="2058" w:type="pct"/>
                  <w:vAlign w:val="center"/>
                </w:tcPr>
                <w:p w14:paraId="70E618CF">
                  <w:pPr>
                    <w:pStyle w:val="59"/>
                    <w:widowControl w:val="0"/>
                    <w:rPr>
                      <w:color w:val="auto"/>
                      <w:highlight w:val="none"/>
                      <w:u w:val="none"/>
                    </w:rPr>
                  </w:pPr>
                  <w:r>
                    <w:rPr>
                      <w:rFonts w:hint="default" w:ascii="Times New Roman" w:hAnsi="Times New Roman" w:eastAsia="宋体" w:cs="Times New Roman"/>
                      <w:color w:val="auto"/>
                      <w:sz w:val="21"/>
                      <w:szCs w:val="21"/>
                      <w:u w:val="none"/>
                    </w:rPr>
                    <w:t>本项目</w:t>
                  </w:r>
                  <w:r>
                    <w:rPr>
                      <w:rFonts w:hint="eastAsia" w:cs="Times New Roman"/>
                      <w:color w:val="auto"/>
                      <w:sz w:val="21"/>
                      <w:szCs w:val="21"/>
                      <w:u w:val="none"/>
                      <w:lang w:eastAsia="zh-CN"/>
                    </w:rPr>
                    <w:t>污水消毒使用的是</w:t>
                  </w:r>
                  <w:r>
                    <w:rPr>
                      <w:rFonts w:hint="eastAsia" w:cs="Times New Roman"/>
                      <w:color w:val="auto"/>
                      <w:sz w:val="21"/>
                      <w:szCs w:val="21"/>
                      <w:u w:val="none"/>
                      <w:lang w:val="en-US" w:eastAsia="zh-CN"/>
                    </w:rPr>
                    <w:t>活性氧消毒粉</w:t>
                  </w:r>
                  <w:r>
                    <w:rPr>
                      <w:rFonts w:hint="default" w:ascii="Times New Roman" w:hAnsi="Times New Roman" w:eastAsia="宋体" w:cs="Times New Roman"/>
                      <w:color w:val="auto"/>
                      <w:sz w:val="21"/>
                      <w:szCs w:val="21"/>
                      <w:u w:val="none"/>
                    </w:rPr>
                    <w:t>，</w:t>
                  </w:r>
                  <w:r>
                    <w:rPr>
                      <w:rFonts w:hint="eastAsia" w:cs="Times New Roman"/>
                      <w:color w:val="auto"/>
                      <w:sz w:val="21"/>
                      <w:szCs w:val="21"/>
                      <w:u w:val="none"/>
                      <w:lang w:eastAsia="zh-CN"/>
                    </w:rPr>
                    <w:t>不产生氯气</w:t>
                  </w:r>
                </w:p>
              </w:tc>
              <w:tc>
                <w:tcPr>
                  <w:tcW w:w="833" w:type="pct"/>
                  <w:shd w:val="clear" w:color="auto" w:fill="auto"/>
                  <w:vAlign w:val="center"/>
                </w:tcPr>
                <w:p w14:paraId="684AA643">
                  <w:pPr>
                    <w:bidi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rPr>
                    <w:t>否</w:t>
                  </w:r>
                </w:p>
              </w:tc>
            </w:tr>
            <w:tr w14:paraId="35C6D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642" w:type="pct"/>
                  <w:vAlign w:val="center"/>
                </w:tcPr>
                <w:p w14:paraId="184CE007">
                  <w:pPr>
                    <w:pStyle w:val="59"/>
                    <w:widowControl w:val="0"/>
                    <w:rPr>
                      <w:color w:val="auto"/>
                      <w:highlight w:val="none"/>
                      <w:u w:val="none"/>
                    </w:rPr>
                  </w:pPr>
                  <w:r>
                    <w:rPr>
                      <w:color w:val="auto"/>
                      <w:highlight w:val="none"/>
                      <w:u w:val="none"/>
                    </w:rPr>
                    <w:t>地表水</w:t>
                  </w:r>
                </w:p>
              </w:tc>
              <w:tc>
                <w:tcPr>
                  <w:tcW w:w="1466" w:type="pct"/>
                  <w:vAlign w:val="center"/>
                </w:tcPr>
                <w:p w14:paraId="38483DB8">
                  <w:pPr>
                    <w:pStyle w:val="59"/>
                    <w:widowControl w:val="0"/>
                    <w:spacing w:line="240" w:lineRule="auto"/>
                    <w:rPr>
                      <w:color w:val="auto"/>
                      <w:highlight w:val="none"/>
                      <w:u w:val="none"/>
                    </w:rPr>
                  </w:pPr>
                  <w:r>
                    <w:rPr>
                      <w:color w:val="auto"/>
                      <w:highlight w:val="none"/>
                      <w:u w:val="none"/>
                    </w:rPr>
                    <w:t>新增工业废水直排建设项目（</w:t>
                  </w:r>
                  <w:r>
                    <w:rPr>
                      <w:rFonts w:hint="eastAsia"/>
                      <w:color w:val="auto"/>
                      <w:highlight w:val="none"/>
                      <w:u w:val="none"/>
                    </w:rPr>
                    <w:t>槽罐车外送</w:t>
                  </w:r>
                  <w:r>
                    <w:rPr>
                      <w:rFonts w:hint="eastAsia"/>
                      <w:color w:val="auto"/>
                      <w:highlight w:val="none"/>
                      <w:u w:val="none"/>
                      <w:lang w:eastAsia="zh-CN"/>
                    </w:rPr>
                    <w:t>低庄镇污水处理厂</w:t>
                  </w:r>
                  <w:r>
                    <w:rPr>
                      <w:rFonts w:hint="eastAsia"/>
                      <w:color w:val="auto"/>
                      <w:highlight w:val="none"/>
                      <w:u w:val="none"/>
                    </w:rPr>
                    <w:t>的除外</w:t>
                  </w:r>
                  <w:r>
                    <w:rPr>
                      <w:color w:val="auto"/>
                      <w:highlight w:val="none"/>
                      <w:u w:val="none"/>
                    </w:rPr>
                    <w:t>）</w:t>
                  </w:r>
                  <w:r>
                    <w:rPr>
                      <w:rFonts w:hint="eastAsia"/>
                      <w:color w:val="auto"/>
                      <w:highlight w:val="none"/>
                      <w:u w:val="none"/>
                    </w:rPr>
                    <w:t>；新增废水直排的污水集中处理厂</w:t>
                  </w:r>
                </w:p>
              </w:tc>
              <w:tc>
                <w:tcPr>
                  <w:tcW w:w="2058" w:type="pct"/>
                  <w:vAlign w:val="center"/>
                </w:tcPr>
                <w:p w14:paraId="016ADE57">
                  <w:pPr>
                    <w:bidi w:val="0"/>
                    <w:jc w:val="center"/>
                    <w:rPr>
                      <w:rFonts w:hint="eastAsia" w:eastAsia="宋体"/>
                      <w:color w:val="auto"/>
                      <w:highlight w:val="none"/>
                      <w:u w:val="none"/>
                      <w:lang w:eastAsia="zh-CN"/>
                    </w:rPr>
                  </w:pPr>
                  <w:r>
                    <w:rPr>
                      <w:rFonts w:hint="default" w:ascii="Times New Roman" w:hAnsi="Times New Roman" w:eastAsia="宋体" w:cs="Times New Roman"/>
                      <w:color w:val="auto"/>
                      <w:sz w:val="21"/>
                      <w:szCs w:val="21"/>
                      <w:u w:val="none"/>
                    </w:rPr>
                    <w:t>本项目综合废水经污水处理站处理达标后，排入市政管网</w:t>
                  </w:r>
                  <w:r>
                    <w:rPr>
                      <w:rFonts w:hint="eastAsia" w:ascii="Times New Roman" w:hAnsi="Times New Roman" w:eastAsia="宋体" w:cs="Times New Roman"/>
                      <w:color w:val="auto"/>
                      <w:sz w:val="21"/>
                      <w:szCs w:val="21"/>
                      <w:u w:val="none"/>
                      <w:lang w:eastAsia="zh-CN"/>
                    </w:rPr>
                    <w:t>后进入</w:t>
                  </w:r>
                  <w:r>
                    <w:rPr>
                      <w:rFonts w:hint="eastAsia" w:cs="Times New Roman"/>
                      <w:color w:val="auto"/>
                      <w:sz w:val="21"/>
                      <w:szCs w:val="21"/>
                      <w:u w:val="none"/>
                      <w:lang w:eastAsia="zh-CN"/>
                    </w:rPr>
                    <w:t>低庄镇污水处理厂</w:t>
                  </w:r>
                  <w:r>
                    <w:rPr>
                      <w:rFonts w:hint="eastAsia" w:ascii="Times New Roman" w:hAnsi="Times New Roman" w:eastAsia="宋体" w:cs="Times New Roman"/>
                      <w:color w:val="auto"/>
                      <w:sz w:val="21"/>
                      <w:szCs w:val="21"/>
                      <w:u w:val="none"/>
                      <w:lang w:eastAsia="zh-CN"/>
                    </w:rPr>
                    <w:t>处理</w:t>
                  </w:r>
                </w:p>
              </w:tc>
              <w:tc>
                <w:tcPr>
                  <w:tcW w:w="833" w:type="pct"/>
                  <w:vAlign w:val="center"/>
                </w:tcPr>
                <w:p w14:paraId="28EEEE73">
                  <w:pPr>
                    <w:spacing w:line="240" w:lineRule="auto"/>
                    <w:jc w:val="center"/>
                    <w:rPr>
                      <w:rFonts w:hint="eastAsia" w:ascii="Times New Roman" w:hAnsi="Times New Roman" w:eastAsia="宋体" w:cs="Times New Roman"/>
                      <w:b w:val="0"/>
                      <w:bCs w:val="0"/>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rPr>
                    <w:t>否</w:t>
                  </w:r>
                </w:p>
              </w:tc>
            </w:tr>
            <w:tr w14:paraId="53D04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642" w:type="pct"/>
                  <w:vAlign w:val="center"/>
                </w:tcPr>
                <w:p w14:paraId="7AC16613">
                  <w:pPr>
                    <w:pStyle w:val="59"/>
                    <w:widowControl w:val="0"/>
                    <w:rPr>
                      <w:color w:val="auto"/>
                      <w:highlight w:val="none"/>
                      <w:u w:val="none"/>
                    </w:rPr>
                  </w:pPr>
                  <w:r>
                    <w:rPr>
                      <w:color w:val="auto"/>
                      <w:highlight w:val="none"/>
                      <w:u w:val="none"/>
                    </w:rPr>
                    <w:t>环境风险</w:t>
                  </w:r>
                </w:p>
              </w:tc>
              <w:tc>
                <w:tcPr>
                  <w:tcW w:w="1466" w:type="pct"/>
                  <w:vAlign w:val="center"/>
                </w:tcPr>
                <w:p w14:paraId="38EA8E8B">
                  <w:pPr>
                    <w:pStyle w:val="59"/>
                    <w:widowControl w:val="0"/>
                    <w:spacing w:line="240" w:lineRule="auto"/>
                    <w:rPr>
                      <w:color w:val="auto"/>
                      <w:highlight w:val="none"/>
                      <w:u w:val="none"/>
                    </w:rPr>
                  </w:pPr>
                  <w:r>
                    <w:rPr>
                      <w:color w:val="auto"/>
                      <w:highlight w:val="none"/>
                      <w:u w:val="none"/>
                    </w:rPr>
                    <w:t>有毒有害和易燃易爆危险物质存储量过临界量</w:t>
                  </w:r>
                  <w:r>
                    <w:rPr>
                      <w:rFonts w:hint="eastAsia"/>
                      <w:color w:val="auto"/>
                      <w:highlight w:val="none"/>
                      <w:u w:val="none"/>
                      <w:vertAlign w:val="superscript"/>
                    </w:rPr>
                    <w:t>3</w:t>
                  </w:r>
                  <w:r>
                    <w:rPr>
                      <w:color w:val="auto"/>
                      <w:highlight w:val="none"/>
                      <w:u w:val="none"/>
                    </w:rPr>
                    <w:t>的建设项目</w:t>
                  </w:r>
                </w:p>
              </w:tc>
              <w:tc>
                <w:tcPr>
                  <w:tcW w:w="2058" w:type="pct"/>
                  <w:vAlign w:val="center"/>
                </w:tcPr>
                <w:p w14:paraId="20996995">
                  <w:pPr>
                    <w:keepNext w:val="0"/>
                    <w:keepLines w:val="0"/>
                    <w:widowControl/>
                    <w:suppressLineNumbers w:val="0"/>
                    <w:jc w:val="left"/>
                    <w:rPr>
                      <w:color w:val="auto"/>
                      <w:highlight w:val="none"/>
                      <w:u w:val="none"/>
                    </w:rPr>
                  </w:pPr>
                  <w:r>
                    <w:rPr>
                      <w:rFonts w:hint="eastAsia" w:cs="Times New Roman"/>
                      <w:color w:val="auto"/>
                      <w:sz w:val="21"/>
                      <w:szCs w:val="21"/>
                      <w:highlight w:val="none"/>
                      <w:u w:val="none"/>
                      <w:lang w:val="en-US" w:eastAsia="zh-CN" w:bidi="ar-SA"/>
                    </w:rPr>
                    <w:t>风险物质</w:t>
                  </w:r>
                  <w:r>
                    <w:rPr>
                      <w:rFonts w:hint="eastAsia" w:ascii="Times New Roman" w:hAnsi="Times New Roman" w:eastAsia="宋体" w:cs="Times New Roman"/>
                      <w:color w:val="auto"/>
                      <w:sz w:val="21"/>
                      <w:szCs w:val="21"/>
                      <w:highlight w:val="none"/>
                      <w:u w:val="none"/>
                      <w:lang w:val="en-US" w:eastAsia="zh-CN" w:bidi="ar-SA"/>
                    </w:rPr>
                    <w:t>暂存量未超过临界量</w:t>
                  </w:r>
                </w:p>
              </w:tc>
              <w:tc>
                <w:tcPr>
                  <w:tcW w:w="833" w:type="pct"/>
                  <w:vAlign w:val="center"/>
                </w:tcPr>
                <w:p w14:paraId="08387980">
                  <w:pPr>
                    <w:pStyle w:val="59"/>
                    <w:widowControl w:val="0"/>
                    <w:rPr>
                      <w:color w:val="auto"/>
                      <w:highlight w:val="none"/>
                      <w:u w:val="none"/>
                    </w:rPr>
                  </w:pPr>
                  <w:r>
                    <w:rPr>
                      <w:rFonts w:hint="default" w:ascii="Times New Roman" w:hAnsi="Times New Roman" w:eastAsia="宋体" w:cs="Times New Roman"/>
                      <w:color w:val="auto"/>
                      <w:sz w:val="21"/>
                      <w:szCs w:val="21"/>
                      <w:u w:val="none"/>
                      <w:lang w:val="en-US" w:eastAsia="zh-CN"/>
                    </w:rPr>
                    <w:t>否</w:t>
                  </w:r>
                </w:p>
              </w:tc>
            </w:tr>
            <w:tr w14:paraId="76D8B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642" w:type="pct"/>
                  <w:vAlign w:val="center"/>
                </w:tcPr>
                <w:p w14:paraId="2708A086">
                  <w:pPr>
                    <w:pStyle w:val="59"/>
                    <w:widowControl w:val="0"/>
                    <w:rPr>
                      <w:color w:val="auto"/>
                      <w:highlight w:val="none"/>
                      <w:u w:val="none"/>
                    </w:rPr>
                  </w:pPr>
                  <w:r>
                    <w:rPr>
                      <w:rFonts w:hint="eastAsia"/>
                      <w:color w:val="auto"/>
                      <w:highlight w:val="none"/>
                      <w:u w:val="none"/>
                    </w:rPr>
                    <w:t>生态</w:t>
                  </w:r>
                </w:p>
              </w:tc>
              <w:tc>
                <w:tcPr>
                  <w:tcW w:w="1466" w:type="pct"/>
                  <w:vAlign w:val="center"/>
                </w:tcPr>
                <w:p w14:paraId="7107622F">
                  <w:pPr>
                    <w:pStyle w:val="59"/>
                    <w:widowControl w:val="0"/>
                    <w:spacing w:line="240" w:lineRule="auto"/>
                    <w:rPr>
                      <w:color w:val="auto"/>
                      <w:highlight w:val="none"/>
                      <w:u w:val="none"/>
                    </w:rPr>
                  </w:pPr>
                  <w:r>
                    <w:rPr>
                      <w:rFonts w:hint="eastAsia"/>
                      <w:color w:val="auto"/>
                      <w:highlight w:val="none"/>
                      <w:u w:val="none"/>
                    </w:rPr>
                    <w:t>取水口下游500米范围内有重要水生生物的自然产卵场、索饵场、越冬场和洄游通道的新增河道取水的污染类建设项目</w:t>
                  </w:r>
                </w:p>
              </w:tc>
              <w:tc>
                <w:tcPr>
                  <w:tcW w:w="2058" w:type="pct"/>
                  <w:vAlign w:val="center"/>
                </w:tcPr>
                <w:p w14:paraId="77988238">
                  <w:pPr>
                    <w:bidi w:val="0"/>
                    <w:jc w:val="center"/>
                    <w:rPr>
                      <w:color w:val="auto"/>
                      <w:highlight w:val="none"/>
                      <w:u w:val="none"/>
                    </w:rPr>
                  </w:pPr>
                  <w:r>
                    <w:rPr>
                      <w:rFonts w:hint="default" w:ascii="Times New Roman" w:hAnsi="Times New Roman" w:eastAsia="宋体" w:cs="Times New Roman"/>
                      <w:color w:val="auto"/>
                      <w:sz w:val="21"/>
                      <w:szCs w:val="21"/>
                      <w:u w:val="none"/>
                      <w:lang w:val="en-US" w:eastAsia="zh-CN"/>
                    </w:rPr>
                    <w:t>不涉及</w:t>
                  </w:r>
                </w:p>
              </w:tc>
              <w:tc>
                <w:tcPr>
                  <w:tcW w:w="833" w:type="pct"/>
                  <w:vAlign w:val="center"/>
                </w:tcPr>
                <w:p w14:paraId="6A536B48">
                  <w:pPr>
                    <w:pStyle w:val="59"/>
                    <w:widowControl w:val="0"/>
                    <w:rPr>
                      <w:color w:val="auto"/>
                      <w:highlight w:val="none"/>
                      <w:u w:val="none"/>
                    </w:rPr>
                  </w:pPr>
                  <w:r>
                    <w:rPr>
                      <w:rFonts w:hint="default" w:ascii="Times New Roman" w:hAnsi="Times New Roman" w:eastAsia="宋体" w:cs="Times New Roman"/>
                      <w:color w:val="auto"/>
                      <w:sz w:val="21"/>
                      <w:szCs w:val="21"/>
                      <w:u w:val="none"/>
                      <w:lang w:val="en-US" w:eastAsia="zh-CN"/>
                    </w:rPr>
                    <w:t>否</w:t>
                  </w:r>
                </w:p>
              </w:tc>
            </w:tr>
            <w:tr w14:paraId="724FD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642" w:type="pct"/>
                  <w:vAlign w:val="center"/>
                </w:tcPr>
                <w:p w14:paraId="53231191">
                  <w:pPr>
                    <w:pStyle w:val="59"/>
                    <w:widowControl w:val="0"/>
                    <w:rPr>
                      <w:color w:val="auto"/>
                      <w:highlight w:val="none"/>
                      <w:u w:val="none"/>
                    </w:rPr>
                  </w:pPr>
                  <w:r>
                    <w:rPr>
                      <w:rFonts w:hint="eastAsia"/>
                      <w:color w:val="auto"/>
                      <w:highlight w:val="none"/>
                      <w:u w:val="none"/>
                    </w:rPr>
                    <w:t>海洋</w:t>
                  </w:r>
                </w:p>
              </w:tc>
              <w:tc>
                <w:tcPr>
                  <w:tcW w:w="1466" w:type="pct"/>
                  <w:vAlign w:val="center"/>
                </w:tcPr>
                <w:p w14:paraId="6DB91D4A">
                  <w:pPr>
                    <w:pStyle w:val="59"/>
                    <w:widowControl w:val="0"/>
                    <w:spacing w:line="240" w:lineRule="auto"/>
                    <w:rPr>
                      <w:color w:val="auto"/>
                      <w:highlight w:val="none"/>
                      <w:u w:val="none"/>
                    </w:rPr>
                  </w:pPr>
                  <w:r>
                    <w:rPr>
                      <w:rFonts w:hint="eastAsia"/>
                      <w:color w:val="auto"/>
                      <w:highlight w:val="none"/>
                      <w:u w:val="none"/>
                    </w:rPr>
                    <w:t>直接向海排放污染物的海洋工程建设项目</w:t>
                  </w:r>
                </w:p>
              </w:tc>
              <w:tc>
                <w:tcPr>
                  <w:tcW w:w="2058" w:type="pct"/>
                  <w:vAlign w:val="center"/>
                </w:tcPr>
                <w:p w14:paraId="09AD4A8F">
                  <w:pPr>
                    <w:pStyle w:val="59"/>
                    <w:widowControl w:val="0"/>
                    <w:rPr>
                      <w:color w:val="auto"/>
                      <w:highlight w:val="none"/>
                      <w:u w:val="none"/>
                    </w:rPr>
                  </w:pPr>
                  <w:r>
                    <w:rPr>
                      <w:color w:val="auto"/>
                      <w:highlight w:val="none"/>
                      <w:u w:val="none"/>
                    </w:rPr>
                    <w:t>不涉及</w:t>
                  </w:r>
                </w:p>
              </w:tc>
              <w:tc>
                <w:tcPr>
                  <w:tcW w:w="833" w:type="pct"/>
                  <w:vAlign w:val="center"/>
                </w:tcPr>
                <w:p w14:paraId="1E008FF6">
                  <w:pPr>
                    <w:pStyle w:val="59"/>
                    <w:widowControl w:val="0"/>
                    <w:rPr>
                      <w:color w:val="auto"/>
                      <w:highlight w:val="none"/>
                      <w:u w:val="none"/>
                    </w:rPr>
                  </w:pPr>
                  <w:r>
                    <w:rPr>
                      <w:rFonts w:hint="default" w:ascii="Times New Roman" w:hAnsi="Times New Roman" w:eastAsia="宋体" w:cs="Times New Roman"/>
                      <w:color w:val="auto"/>
                      <w:sz w:val="21"/>
                      <w:szCs w:val="21"/>
                      <w:u w:val="none"/>
                      <w:lang w:val="en-US" w:eastAsia="zh-CN"/>
                    </w:rPr>
                    <w:t>否</w:t>
                  </w:r>
                </w:p>
              </w:tc>
            </w:tr>
          </w:tbl>
          <w:p w14:paraId="09077557">
            <w:pPr>
              <w:pStyle w:val="13"/>
              <w:spacing w:line="360" w:lineRule="auto"/>
              <w:ind w:firstLine="480" w:firstLineChars="200"/>
              <w:jc w:val="both"/>
              <w:rPr>
                <w:rFonts w:hint="eastAsia" w:ascii="Times New Roman" w:hAnsi="Times New Roman" w:eastAsia="宋体" w:cs="Times New Roman"/>
                <w:color w:val="auto"/>
                <w:sz w:val="24"/>
                <w:szCs w:val="24"/>
                <w:highlight w:val="none"/>
                <w:u w:val="none"/>
                <w:lang w:val="en-US"/>
              </w:rPr>
            </w:pPr>
            <w:r>
              <w:rPr>
                <w:color w:val="auto"/>
                <w:highlight w:val="none"/>
                <w:u w:val="none"/>
              </w:rPr>
              <w:t>根据上表可知，本项目</w:t>
            </w:r>
            <w:r>
              <w:rPr>
                <w:rFonts w:hint="eastAsia"/>
                <w:color w:val="auto"/>
                <w:highlight w:val="none"/>
                <w:u w:val="none"/>
              </w:rPr>
              <w:t>无需开展专项评价。</w:t>
            </w:r>
          </w:p>
        </w:tc>
      </w:tr>
      <w:tr w14:paraId="7C5A1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701" w:type="pct"/>
            <w:vAlign w:val="center"/>
          </w:tcPr>
          <w:p w14:paraId="72E29F21">
            <w:pPr>
              <w:pStyle w:val="13"/>
              <w:spacing w:line="240" w:lineRule="auto"/>
              <w:jc w:val="center"/>
              <w:rPr>
                <w:rFonts w:ascii="Times New Roman" w:hAnsi="Times New Roman" w:eastAsia="宋体" w:cs="Times New Roman"/>
                <w:color w:val="auto"/>
                <w:sz w:val="24"/>
                <w:szCs w:val="24"/>
                <w:highlight w:val="none"/>
                <w:u w:val="none"/>
                <w:lang w:val="en-US"/>
              </w:rPr>
            </w:pPr>
            <w:r>
              <w:rPr>
                <w:rFonts w:ascii="Times New Roman" w:hAnsi="Times New Roman" w:eastAsia="宋体" w:cs="Times New Roman"/>
                <w:color w:val="auto"/>
                <w:sz w:val="24"/>
                <w:szCs w:val="24"/>
                <w:highlight w:val="none"/>
                <w:u w:val="none"/>
              </w:rPr>
              <w:t>规划情况</w:t>
            </w:r>
          </w:p>
        </w:tc>
        <w:tc>
          <w:tcPr>
            <w:tcW w:w="4298" w:type="pct"/>
            <w:gridSpan w:val="3"/>
            <w:vAlign w:val="center"/>
          </w:tcPr>
          <w:p w14:paraId="101F005C">
            <w:pPr>
              <w:pStyle w:val="13"/>
              <w:spacing w:line="360" w:lineRule="auto"/>
              <w:jc w:val="center"/>
              <w:rPr>
                <w:rFonts w:hint="eastAsia" w:ascii="Times New Roman" w:hAnsi="Times New Roman" w:cs="Times New Roman"/>
                <w:b w:val="0"/>
                <w:color w:val="auto"/>
                <w:sz w:val="24"/>
                <w:szCs w:val="24"/>
                <w:highlight w:val="none"/>
                <w:u w:val="none"/>
                <w:lang w:val="en-US" w:eastAsia="zh-CN" w:bidi="zh-CN"/>
              </w:rPr>
            </w:pPr>
            <w:r>
              <w:rPr>
                <w:rFonts w:hint="eastAsia" w:ascii="Times New Roman" w:hAnsi="Times New Roman" w:cs="Times New Roman"/>
                <w:b w:val="0"/>
                <w:color w:val="auto"/>
                <w:sz w:val="24"/>
                <w:szCs w:val="24"/>
                <w:highlight w:val="none"/>
                <w:u w:val="none"/>
                <w:lang w:val="en-US" w:eastAsia="zh-CN" w:bidi="zh-CN"/>
              </w:rPr>
              <w:t>《健康湖南“十四五”建设规划》湘政办发</w:t>
            </w:r>
            <w:r>
              <w:rPr>
                <w:rFonts w:hint="eastAsia" w:ascii="Times New Roman" w:hAnsi="Times New Roman" w:eastAsia="宋体" w:cs="Times New Roman"/>
                <w:b w:val="0"/>
                <w:bCs w:val="0"/>
                <w:color w:val="auto"/>
                <w:kern w:val="0"/>
                <w:sz w:val="24"/>
                <w:szCs w:val="24"/>
                <w:u w:val="none"/>
                <w:lang w:val="en-US" w:eastAsia="zh-CN" w:bidi="ar"/>
              </w:rPr>
              <w:t>〔202</w:t>
            </w:r>
            <w:r>
              <w:rPr>
                <w:rFonts w:hint="eastAsia" w:ascii="Times New Roman" w:hAnsi="Times New Roman" w:cs="Times New Roman"/>
                <w:b w:val="0"/>
                <w:bCs w:val="0"/>
                <w:color w:val="auto"/>
                <w:kern w:val="0"/>
                <w:sz w:val="24"/>
                <w:szCs w:val="24"/>
                <w:u w:val="none"/>
                <w:lang w:val="en-US" w:eastAsia="zh-CN" w:bidi="ar"/>
              </w:rPr>
              <w:t>1</w:t>
            </w:r>
            <w:r>
              <w:rPr>
                <w:rFonts w:hint="eastAsia" w:ascii="Times New Roman" w:hAnsi="Times New Roman" w:eastAsia="宋体" w:cs="Times New Roman"/>
                <w:b w:val="0"/>
                <w:bCs w:val="0"/>
                <w:color w:val="auto"/>
                <w:kern w:val="0"/>
                <w:sz w:val="24"/>
                <w:szCs w:val="24"/>
                <w:u w:val="none"/>
                <w:lang w:val="en-US" w:eastAsia="zh-CN" w:bidi="ar"/>
              </w:rPr>
              <w:t>〕</w:t>
            </w:r>
            <w:r>
              <w:rPr>
                <w:rFonts w:hint="eastAsia" w:ascii="Times New Roman" w:hAnsi="Times New Roman" w:cs="Times New Roman"/>
                <w:b w:val="0"/>
                <w:bCs w:val="0"/>
                <w:color w:val="auto"/>
                <w:kern w:val="0"/>
                <w:sz w:val="24"/>
                <w:szCs w:val="24"/>
                <w:u w:val="none"/>
                <w:lang w:val="en-US" w:eastAsia="zh-CN" w:bidi="ar"/>
              </w:rPr>
              <w:t>48</w:t>
            </w:r>
            <w:r>
              <w:rPr>
                <w:rFonts w:hint="eastAsia" w:ascii="Times New Roman" w:hAnsi="Times New Roman" w:eastAsia="宋体" w:cs="Times New Roman"/>
                <w:b w:val="0"/>
                <w:bCs w:val="0"/>
                <w:color w:val="auto"/>
                <w:kern w:val="0"/>
                <w:sz w:val="24"/>
                <w:szCs w:val="24"/>
                <w:u w:val="none"/>
                <w:lang w:val="en-US" w:eastAsia="zh-CN" w:bidi="ar"/>
              </w:rPr>
              <w:t>号</w:t>
            </w:r>
          </w:p>
          <w:p w14:paraId="0FB9E658">
            <w:pPr>
              <w:pStyle w:val="13"/>
              <w:spacing w:line="360" w:lineRule="auto"/>
              <w:jc w:val="center"/>
              <w:rPr>
                <w:rFonts w:hint="eastAsia" w:ascii="Times New Roman" w:hAnsi="Times New Roman" w:cs="Times New Roman"/>
                <w:b w:val="0"/>
                <w:color w:val="auto"/>
                <w:sz w:val="24"/>
                <w:szCs w:val="24"/>
                <w:highlight w:val="none"/>
                <w:u w:val="none"/>
                <w:lang w:val="en-US" w:eastAsia="zh-CN" w:bidi="zh-CN"/>
              </w:rPr>
            </w:pPr>
            <w:r>
              <w:rPr>
                <w:rFonts w:hint="eastAsia" w:ascii="Times New Roman" w:hAnsi="Times New Roman" w:eastAsia="宋体" w:cs="Times New Roman"/>
                <w:b w:val="0"/>
                <w:bCs w:val="0"/>
                <w:color w:val="auto"/>
                <w:kern w:val="0"/>
                <w:sz w:val="24"/>
                <w:szCs w:val="24"/>
                <w:u w:val="none"/>
                <w:lang w:val="en-US" w:eastAsia="zh-CN" w:bidi="ar"/>
              </w:rPr>
              <w:t>《湖南省医疗卫生服务体系“十四五”规划》湘卫发〔2022〕3号</w:t>
            </w:r>
          </w:p>
          <w:p w14:paraId="168C891E">
            <w:pPr>
              <w:pStyle w:val="13"/>
              <w:spacing w:line="360" w:lineRule="auto"/>
              <w:jc w:val="center"/>
              <w:rPr>
                <w:rFonts w:hint="eastAsia" w:ascii="Times New Roman" w:hAnsi="Times New Roman" w:cs="Times New Roman"/>
                <w:b w:val="0"/>
                <w:color w:val="auto"/>
                <w:sz w:val="24"/>
                <w:szCs w:val="24"/>
                <w:highlight w:val="none"/>
                <w:u w:val="none"/>
                <w:lang w:val="en-US" w:eastAsia="zh-CN" w:bidi="zh-CN"/>
              </w:rPr>
            </w:pPr>
            <w:r>
              <w:rPr>
                <w:rFonts w:hint="eastAsia" w:ascii="Times New Roman" w:hAnsi="Times New Roman" w:cs="Times New Roman"/>
                <w:b w:val="0"/>
                <w:color w:val="auto"/>
                <w:sz w:val="24"/>
                <w:szCs w:val="24"/>
                <w:highlight w:val="none"/>
                <w:u w:val="none"/>
                <w:lang w:val="en-US" w:eastAsia="zh-CN" w:bidi="zh-CN"/>
              </w:rPr>
              <w:t>《怀化市区域卫生健康规划（2021-2025年）》怀化市卫生健康委员会</w:t>
            </w:r>
          </w:p>
          <w:p w14:paraId="5BBBFBC5">
            <w:pPr>
              <w:jc w:val="center"/>
              <w:rPr>
                <w:rFonts w:hint="eastAsia" w:cs="Times New Roman"/>
                <w:b w:val="0"/>
                <w:color w:val="FF0000"/>
                <w:sz w:val="24"/>
                <w:szCs w:val="24"/>
                <w:highlight w:val="none"/>
                <w:u w:val="single"/>
                <w:lang w:val="en-US" w:eastAsia="zh-CN" w:bidi="zh-CN"/>
              </w:rPr>
            </w:pPr>
            <w:r>
              <w:rPr>
                <w:rFonts w:hint="eastAsia" w:cs="Times New Roman"/>
                <w:b w:val="0"/>
                <w:color w:val="FF0000"/>
                <w:sz w:val="24"/>
                <w:szCs w:val="24"/>
                <w:highlight w:val="none"/>
                <w:u w:val="single"/>
                <w:lang w:val="en-US" w:eastAsia="zh-CN" w:bidi="zh-CN"/>
              </w:rPr>
              <w:t>《溆浦县国土空间总体规划（2021-2035年）》溆浦县人民政府</w:t>
            </w:r>
          </w:p>
          <w:p w14:paraId="3574809B">
            <w:pPr>
              <w:jc w:val="center"/>
              <w:rPr>
                <w:rFonts w:hint="eastAsia" w:cs="Times New Roman"/>
                <w:b w:val="0"/>
                <w:color w:val="auto"/>
                <w:sz w:val="24"/>
                <w:szCs w:val="24"/>
                <w:highlight w:val="none"/>
                <w:u w:val="none"/>
                <w:lang w:val="en-US" w:eastAsia="zh-CN" w:bidi="zh-CN"/>
              </w:rPr>
            </w:pPr>
            <w:r>
              <w:rPr>
                <w:rFonts w:hint="eastAsia" w:cs="Times New Roman"/>
                <w:b w:val="0"/>
                <w:color w:val="FF0000"/>
                <w:sz w:val="24"/>
                <w:szCs w:val="24"/>
                <w:highlight w:val="none"/>
                <w:u w:val="single"/>
                <w:lang w:val="en-US" w:eastAsia="zh-CN" w:bidi="zh-CN"/>
              </w:rPr>
              <w:t>《溆浦县低庄镇总体规划（2013-2030）》溆浦县自然资源局</w:t>
            </w:r>
          </w:p>
        </w:tc>
      </w:tr>
      <w:tr w14:paraId="73BDE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701" w:type="pct"/>
            <w:vAlign w:val="center"/>
          </w:tcPr>
          <w:p w14:paraId="324BB339">
            <w:pPr>
              <w:pStyle w:val="13"/>
              <w:spacing w:line="240" w:lineRule="auto"/>
              <w:jc w:val="center"/>
              <w:rPr>
                <w:rFonts w:ascii="Times New Roman" w:hAnsi="Times New Roman" w:eastAsia="宋体" w:cs="Times New Roman"/>
                <w:color w:val="auto"/>
                <w:sz w:val="24"/>
                <w:szCs w:val="24"/>
                <w:highlight w:val="none"/>
                <w:u w:val="none"/>
                <w:lang w:val="en-US"/>
              </w:rPr>
            </w:pPr>
            <w:r>
              <w:rPr>
                <w:rFonts w:ascii="Times New Roman" w:hAnsi="Times New Roman" w:eastAsia="宋体" w:cs="Times New Roman"/>
                <w:color w:val="auto"/>
                <w:sz w:val="24"/>
                <w:szCs w:val="24"/>
                <w:highlight w:val="none"/>
                <w:u w:val="none"/>
              </w:rPr>
              <w:t>规划环境影响评价情况</w:t>
            </w:r>
          </w:p>
        </w:tc>
        <w:tc>
          <w:tcPr>
            <w:tcW w:w="4298" w:type="pct"/>
            <w:gridSpan w:val="3"/>
            <w:vAlign w:val="center"/>
          </w:tcPr>
          <w:p w14:paraId="48D0DD47">
            <w:pPr>
              <w:pStyle w:val="13"/>
              <w:spacing w:line="240" w:lineRule="auto"/>
              <w:jc w:val="center"/>
              <w:rPr>
                <w:rFonts w:ascii="Times New Roman" w:hAnsi="Times New Roman" w:eastAsia="宋体" w:cs="Times New Roman"/>
                <w:color w:val="auto"/>
                <w:sz w:val="24"/>
                <w:szCs w:val="24"/>
                <w:highlight w:val="none"/>
                <w:u w:val="none"/>
              </w:rPr>
            </w:pPr>
            <w:r>
              <w:rPr>
                <w:rFonts w:hint="eastAsia" w:ascii="Times New Roman" w:hAnsi="Times New Roman" w:eastAsia="宋体" w:cs="Times New Roman"/>
                <w:color w:val="auto"/>
                <w:sz w:val="24"/>
                <w:szCs w:val="24"/>
                <w:highlight w:val="none"/>
                <w:u w:val="none"/>
                <w:lang w:val="en-US"/>
              </w:rPr>
              <w:t>无</w:t>
            </w:r>
          </w:p>
        </w:tc>
      </w:tr>
      <w:tr w14:paraId="2A08F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trPr>
        <w:tc>
          <w:tcPr>
            <w:tcW w:w="701" w:type="pct"/>
            <w:vAlign w:val="center"/>
          </w:tcPr>
          <w:p w14:paraId="307351DE">
            <w:pPr>
              <w:pStyle w:val="13"/>
              <w:spacing w:line="240" w:lineRule="auto"/>
              <w:jc w:val="center"/>
              <w:rPr>
                <w:rFonts w:ascii="Times New Roman" w:hAnsi="Times New Roman" w:eastAsia="宋体" w:cs="Times New Roman"/>
                <w:color w:val="auto"/>
                <w:sz w:val="24"/>
                <w:szCs w:val="24"/>
                <w:highlight w:val="none"/>
                <w:u w:val="none"/>
              </w:rPr>
            </w:pPr>
            <w:r>
              <w:rPr>
                <w:rFonts w:hint="eastAsia" w:ascii="Times New Roman" w:hAnsi="Times New Roman" w:eastAsia="宋体" w:cs="Times New Roman"/>
                <w:color w:val="auto"/>
                <w:sz w:val="24"/>
                <w:szCs w:val="24"/>
                <w:highlight w:val="none"/>
                <w:u w:val="none"/>
              </w:rPr>
              <w:t>规划及规划环境影响评价符合性分析</w:t>
            </w:r>
          </w:p>
        </w:tc>
        <w:tc>
          <w:tcPr>
            <w:tcW w:w="4298" w:type="pct"/>
            <w:gridSpan w:val="3"/>
            <w:vAlign w:val="center"/>
          </w:tcPr>
          <w:p w14:paraId="10797E64">
            <w:pPr>
              <w:pStyle w:val="13"/>
              <w:spacing w:line="360" w:lineRule="auto"/>
              <w:ind w:firstLine="482" w:firstLineChars="200"/>
              <w:jc w:val="both"/>
              <w:rPr>
                <w:rFonts w:hint="eastAsia" w:ascii="Times New Roman" w:hAnsi="Times New Roman" w:eastAsia="宋体" w:cs="Times New Roman"/>
                <w:b/>
                <w:bCs/>
                <w:color w:val="auto"/>
                <w:kern w:val="0"/>
                <w:sz w:val="24"/>
                <w:szCs w:val="24"/>
                <w:u w:val="none"/>
                <w:lang w:val="en-US" w:eastAsia="zh-CN" w:bidi="ar"/>
              </w:rPr>
            </w:pPr>
            <w:r>
              <w:rPr>
                <w:rFonts w:hint="eastAsia" w:ascii="Times New Roman" w:hAnsi="Times New Roman" w:cs="宋体"/>
                <w:b/>
                <w:bCs/>
                <w:color w:val="auto"/>
                <w:sz w:val="24"/>
                <w:szCs w:val="24"/>
                <w:highlight w:val="none"/>
                <w:u w:val="none"/>
                <w:lang w:val="en-US" w:eastAsia="zh-CN" w:bidi="zh-CN"/>
              </w:rPr>
              <w:t>1.1</w:t>
            </w:r>
            <w:r>
              <w:rPr>
                <w:rFonts w:hint="eastAsia" w:ascii="Times New Roman" w:hAnsi="Times New Roman" w:eastAsia="宋体" w:cs="Times New Roman"/>
                <w:b/>
                <w:bCs/>
                <w:color w:val="auto"/>
                <w:kern w:val="0"/>
                <w:sz w:val="24"/>
                <w:szCs w:val="24"/>
                <w:u w:val="none"/>
                <w:lang w:val="en-US" w:eastAsia="zh-CN" w:bidi="ar"/>
              </w:rPr>
              <w:t>与《</w:t>
            </w:r>
            <w:r>
              <w:rPr>
                <w:rFonts w:hint="eastAsia" w:ascii="Times New Roman" w:hAnsi="Times New Roman" w:cs="Times New Roman"/>
                <w:b/>
                <w:bCs/>
                <w:color w:val="auto"/>
                <w:kern w:val="0"/>
                <w:sz w:val="24"/>
                <w:szCs w:val="24"/>
                <w:u w:val="none"/>
                <w:lang w:val="en-US" w:eastAsia="zh-CN" w:bidi="ar"/>
              </w:rPr>
              <w:t>健康</w:t>
            </w:r>
            <w:r>
              <w:rPr>
                <w:rFonts w:hint="eastAsia" w:ascii="Times New Roman" w:hAnsi="Times New Roman" w:eastAsia="宋体" w:cs="Times New Roman"/>
                <w:b/>
                <w:bCs/>
                <w:color w:val="auto"/>
                <w:kern w:val="0"/>
                <w:sz w:val="24"/>
                <w:szCs w:val="24"/>
                <w:u w:val="none"/>
                <w:lang w:val="en-US" w:eastAsia="zh-CN" w:bidi="ar"/>
              </w:rPr>
              <w:t>湖南“十四五”</w:t>
            </w:r>
            <w:r>
              <w:rPr>
                <w:rFonts w:hint="eastAsia" w:ascii="Times New Roman" w:hAnsi="Times New Roman" w:cs="Times New Roman"/>
                <w:b/>
                <w:bCs/>
                <w:color w:val="auto"/>
                <w:kern w:val="0"/>
                <w:sz w:val="24"/>
                <w:szCs w:val="24"/>
                <w:u w:val="none"/>
                <w:lang w:val="en-US" w:eastAsia="zh-CN" w:bidi="ar"/>
              </w:rPr>
              <w:t>建设</w:t>
            </w:r>
            <w:r>
              <w:rPr>
                <w:rFonts w:hint="eastAsia" w:ascii="Times New Roman" w:hAnsi="Times New Roman" w:eastAsia="宋体" w:cs="Times New Roman"/>
                <w:b/>
                <w:bCs/>
                <w:color w:val="auto"/>
                <w:kern w:val="0"/>
                <w:sz w:val="24"/>
                <w:szCs w:val="24"/>
                <w:u w:val="none"/>
                <w:lang w:val="en-US" w:eastAsia="zh-CN" w:bidi="ar"/>
              </w:rPr>
              <w:t>规划》相符性</w:t>
            </w:r>
          </w:p>
          <w:p w14:paraId="536C74E8">
            <w:pPr>
              <w:pStyle w:val="13"/>
              <w:spacing w:line="360" w:lineRule="auto"/>
              <w:ind w:firstLine="480" w:firstLineChars="200"/>
              <w:jc w:val="both"/>
              <w:rPr>
                <w:rFonts w:hint="eastAsia" w:ascii="Times New Roman" w:hAnsi="Times New Roman" w:cs="Times New Roman"/>
                <w:b w:val="0"/>
                <w:bCs w:val="0"/>
                <w:color w:val="auto"/>
                <w:sz w:val="24"/>
                <w:szCs w:val="24"/>
                <w:highlight w:val="none"/>
                <w:u w:val="none"/>
                <w:lang w:val="en-US" w:eastAsia="zh-CN" w:bidi="zh-CN"/>
              </w:rPr>
            </w:pPr>
            <w:r>
              <w:rPr>
                <w:rFonts w:hint="eastAsia" w:ascii="Times New Roman" w:hAnsi="Times New Roman" w:eastAsia="宋体" w:cs="Times New Roman"/>
                <w:color w:val="auto"/>
                <w:u w:val="none"/>
                <w:lang w:val="en-US" w:eastAsia="zh-CN"/>
              </w:rPr>
              <w:t>《规划》提出</w:t>
            </w:r>
            <w:r>
              <w:rPr>
                <w:rFonts w:hint="eastAsia" w:ascii="Times New Roman" w:hAnsi="Times New Roman" w:cs="Times New Roman"/>
                <w:color w:val="auto"/>
                <w:u w:val="none"/>
                <w:lang w:val="en-US" w:eastAsia="zh-CN"/>
              </w:rPr>
              <w:t>：</w:t>
            </w:r>
            <w:r>
              <w:rPr>
                <w:rFonts w:hint="eastAsia" w:ascii="Times New Roman" w:hAnsi="Times New Roman" w:cs="Times New Roman"/>
                <w:b w:val="0"/>
                <w:bCs w:val="0"/>
                <w:color w:val="auto"/>
                <w:sz w:val="24"/>
                <w:szCs w:val="24"/>
                <w:highlight w:val="none"/>
                <w:u w:val="none"/>
                <w:lang w:val="en-US" w:eastAsia="zh-CN" w:bidi="zh-CN"/>
              </w:rPr>
              <w:t>深化基层综合医改，持续改善基层医疗卫生机构条件。按照打造“15分钟就医圈”的目标，完善基层医疗卫生机构设置及设施设备，着力加强急诊抢救、常规手术、妇产科及儿科常见病、多发病等基本医疗服务能力建设。积极推进中心乡镇卫生院和社区医院建设，继续完成未达标的建制和非建制乡镇卫生院、社区卫生服务中心的标准化建设</w:t>
            </w:r>
            <w:r>
              <w:rPr>
                <w:rFonts w:hint="eastAsia" w:ascii="Times New Roman" w:hAnsi="Times New Roman" w:cs="Times New Roman"/>
                <w:b w:val="0"/>
                <w:bCs w:val="0"/>
                <w:color w:val="auto"/>
                <w:sz w:val="24"/>
                <w:szCs w:val="24"/>
                <w:u w:val="none"/>
                <w:lang w:val="en-US" w:eastAsia="zh-CN" w:bidi="zh-CN"/>
              </w:rPr>
              <w:t>。本项目为乡镇综合医院建设，着力提升低庄镇基层医疗卫生机构条件，符合</w:t>
            </w:r>
            <w:r>
              <w:rPr>
                <w:rFonts w:hint="eastAsia" w:ascii="Times New Roman" w:hAnsi="Times New Roman" w:cs="Times New Roman"/>
                <w:b w:val="0"/>
                <w:color w:val="auto"/>
                <w:sz w:val="24"/>
                <w:szCs w:val="24"/>
                <w:highlight w:val="none"/>
                <w:u w:val="none"/>
                <w:lang w:val="en-US" w:eastAsia="zh-CN" w:bidi="zh-CN"/>
              </w:rPr>
              <w:t>《健康湖南“十四五”建设规划》要求。</w:t>
            </w:r>
          </w:p>
          <w:p w14:paraId="143CC7B9">
            <w:pPr>
              <w:pStyle w:val="13"/>
              <w:spacing w:line="360" w:lineRule="auto"/>
              <w:ind w:firstLine="482" w:firstLineChars="200"/>
              <w:jc w:val="both"/>
              <w:rPr>
                <w:rFonts w:hint="eastAsia" w:ascii="Times New Roman" w:hAnsi="Times New Roman" w:eastAsia="宋体" w:cs="Times New Roman"/>
                <w:b/>
                <w:bCs/>
                <w:color w:val="auto"/>
                <w:kern w:val="0"/>
                <w:sz w:val="24"/>
                <w:szCs w:val="24"/>
                <w:u w:val="none"/>
                <w:lang w:val="en-US" w:eastAsia="zh-CN" w:bidi="ar"/>
              </w:rPr>
            </w:pPr>
            <w:r>
              <w:rPr>
                <w:rFonts w:hint="eastAsia" w:ascii="Times New Roman" w:hAnsi="Times New Roman" w:cs="宋体"/>
                <w:b/>
                <w:bCs/>
                <w:color w:val="auto"/>
                <w:sz w:val="24"/>
                <w:szCs w:val="24"/>
                <w:highlight w:val="none"/>
                <w:u w:val="none"/>
                <w:lang w:val="en-US" w:eastAsia="zh-CN" w:bidi="zh-CN"/>
              </w:rPr>
              <w:t>1.2</w:t>
            </w:r>
            <w:r>
              <w:rPr>
                <w:rFonts w:hint="eastAsia" w:ascii="Times New Roman" w:hAnsi="Times New Roman" w:eastAsia="宋体" w:cs="Times New Roman"/>
                <w:b/>
                <w:bCs/>
                <w:color w:val="auto"/>
                <w:kern w:val="0"/>
                <w:sz w:val="24"/>
                <w:szCs w:val="24"/>
                <w:u w:val="none"/>
                <w:lang w:val="en-US" w:eastAsia="zh-CN" w:bidi="ar"/>
              </w:rPr>
              <w:t>与《湖南省医疗卫生服务体系“十四五”规划》相符性</w:t>
            </w:r>
          </w:p>
          <w:p w14:paraId="4DC7012E">
            <w:pPr>
              <w:pStyle w:val="13"/>
              <w:keepNext w:val="0"/>
              <w:keepLines w:val="0"/>
              <w:pageBreakBefore w:val="0"/>
              <w:widowControl w:val="0"/>
              <w:kinsoku/>
              <w:wordWrap/>
              <w:overflowPunct/>
              <w:topLinePunct w:val="0"/>
              <w:autoSpaceDE/>
              <w:autoSpaceDN/>
              <w:bidi w:val="0"/>
              <w:adjustRightInd/>
              <w:snapToGrid/>
              <w:spacing w:beforeLines="0" w:beforeAutospacing="0" w:afterLines="0" w:afterAutospacing="0"/>
              <w:ind w:firstLineChars="200"/>
              <w:jc w:val="both"/>
              <w:textAlignment w:val="auto"/>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规划》提出到2025年，基本建成与全省经济社会发展水平相适应、与人民群众健康需求相匹配的医疗卫生服务体系，重大疫情防控救治和突发公共卫生事件应对能力显著提升，公立医院高质量发展取得明显成效，基层医疗卫生机构普遍具备首诊分诊和健康守门人能力，中医药服务特色优势得到充分发挥，全方位全生命周期健康服务能力全面增强，预防、治疗、康复、护理等医疗卫生资源配置协调发展，基层首诊、双向转诊、上下联动、急慢分治的就医格局加快形成，城乡居民健康水平和满意度持续提升。主要发展指标包括疾病预防控制体系、应急医疗救治体系、床位和人力配置、中医药服务体系、重点人群健康服务补短板、健康水平6个方面的19个主要指标。</w:t>
            </w:r>
          </w:p>
          <w:p w14:paraId="3BF71E04">
            <w:pPr>
              <w:pStyle w:val="13"/>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color w:val="auto"/>
                <w:kern w:val="2"/>
                <w:sz w:val="24"/>
                <w:szCs w:val="24"/>
                <w:u w:val="none"/>
                <w:lang w:val="en-US" w:eastAsia="zh-CN" w:bidi="ar-SA"/>
              </w:rPr>
            </w:pPr>
            <w:r>
              <w:rPr>
                <w:rFonts w:hint="eastAsia" w:ascii="Times New Roman" w:hAnsi="Times New Roman" w:eastAsia="宋体" w:cs="Times New Roman"/>
                <w:color w:val="auto"/>
                <w:kern w:val="2"/>
                <w:sz w:val="24"/>
                <w:szCs w:val="24"/>
                <w:u w:val="none"/>
                <w:lang w:val="en-US" w:eastAsia="zh-CN" w:bidi="ar-SA"/>
              </w:rPr>
              <w:t>本医院为低庄镇综合医院，设计床位300张。院内科室较为齐全，拟设置预防保健科、全科医疗科、内科（呼吸内科专业，消化内科专业，神经内科专业，心血管内科专业，血液内科专业，肾病学专业，老年病专业，其他）、外科（普通外科专业，骨科专业，泌尿外科专业，烧伤科专业，其他）、妇产科（妇科专业，产科专业，其他）、儿科、眼科、耳鼻咽喉科、口腔科、皮肤科、急诊医学科、康复医学科、麻醉科、医学检验科、医学影像科、中医科等（具体科室设置根据主管部门核准），能够全方位</w:t>
            </w:r>
            <w:r>
              <w:rPr>
                <w:rFonts w:hint="eastAsia" w:ascii="Times New Roman" w:hAnsi="Times New Roman" w:cs="Times New Roman"/>
                <w:color w:val="auto"/>
                <w:kern w:val="2"/>
                <w:sz w:val="24"/>
                <w:szCs w:val="24"/>
                <w:u w:val="none"/>
                <w:lang w:val="en-US" w:eastAsia="zh-CN" w:bidi="ar-SA"/>
              </w:rPr>
              <w:t>地</w:t>
            </w:r>
            <w:r>
              <w:rPr>
                <w:rFonts w:hint="eastAsia" w:ascii="Times New Roman" w:hAnsi="Times New Roman" w:eastAsia="宋体" w:cs="Times New Roman"/>
                <w:color w:val="auto"/>
                <w:kern w:val="2"/>
                <w:sz w:val="24"/>
                <w:szCs w:val="24"/>
                <w:u w:val="none"/>
                <w:lang w:val="en-US" w:eastAsia="zh-CN" w:bidi="ar-SA"/>
              </w:rPr>
              <w:t>为患者进行服务、预防、康复、护理，院内具有相关医疗卫生资源。与《湖南省医疗卫生服务体系“十四五”规划》相符。</w:t>
            </w:r>
          </w:p>
          <w:p w14:paraId="09247B8D">
            <w:pPr>
              <w:pStyle w:val="13"/>
              <w:spacing w:line="360" w:lineRule="auto"/>
              <w:ind w:firstLine="482" w:firstLineChars="200"/>
              <w:jc w:val="both"/>
              <w:rPr>
                <w:rFonts w:hint="eastAsia" w:ascii="Times New Roman" w:hAnsi="Times New Roman" w:eastAsia="宋体" w:cs="Times New Roman"/>
                <w:b/>
                <w:bCs/>
                <w:color w:val="auto"/>
                <w:kern w:val="0"/>
                <w:sz w:val="24"/>
                <w:szCs w:val="24"/>
                <w:u w:val="none"/>
                <w:lang w:val="en-US" w:eastAsia="zh-CN" w:bidi="ar"/>
              </w:rPr>
            </w:pPr>
            <w:r>
              <w:rPr>
                <w:rFonts w:hint="eastAsia" w:ascii="Times New Roman" w:hAnsi="Times New Roman" w:cs="宋体"/>
                <w:b/>
                <w:bCs/>
                <w:color w:val="auto"/>
                <w:sz w:val="24"/>
                <w:szCs w:val="24"/>
                <w:highlight w:val="none"/>
                <w:u w:val="none"/>
                <w:lang w:val="en-US" w:eastAsia="zh-CN" w:bidi="zh-CN"/>
              </w:rPr>
              <w:t>1.3</w:t>
            </w:r>
            <w:r>
              <w:rPr>
                <w:rFonts w:hint="eastAsia" w:ascii="Times New Roman" w:hAnsi="Times New Roman" w:eastAsia="宋体" w:cs="Times New Roman"/>
                <w:b/>
                <w:bCs/>
                <w:color w:val="auto"/>
                <w:kern w:val="0"/>
                <w:sz w:val="24"/>
                <w:szCs w:val="24"/>
                <w:u w:val="none"/>
                <w:lang w:val="en-US" w:eastAsia="zh-CN" w:bidi="ar"/>
              </w:rPr>
              <w:t>与《怀化市区域卫生健康规划（2021-2025年）》相符性</w:t>
            </w:r>
          </w:p>
          <w:p w14:paraId="325F5D85">
            <w:pPr>
              <w:pStyle w:val="13"/>
              <w:spacing w:line="360" w:lineRule="auto"/>
              <w:ind w:firstLine="480" w:firstLineChars="200"/>
              <w:jc w:val="both"/>
              <w:rPr>
                <w:rFonts w:hint="eastAsia" w:ascii="Times New Roman" w:hAnsi="Times New Roman" w:cs="宋体"/>
                <w:color w:val="auto"/>
                <w:sz w:val="24"/>
                <w:szCs w:val="24"/>
                <w:highlight w:val="none"/>
                <w:u w:val="none"/>
                <w:lang w:val="en-US" w:eastAsia="zh-CN" w:bidi="zh-CN"/>
              </w:rPr>
            </w:pPr>
            <w:r>
              <w:rPr>
                <w:rFonts w:hint="eastAsia" w:ascii="Times New Roman" w:hAnsi="Times New Roman" w:cs="宋体"/>
                <w:color w:val="auto"/>
                <w:sz w:val="24"/>
                <w:szCs w:val="24"/>
                <w:highlight w:val="none"/>
                <w:u w:val="none"/>
                <w:lang w:val="en-US" w:eastAsia="zh-CN" w:bidi="zh-CN"/>
              </w:rPr>
              <w:t>文件中提出以满足人民群众日益增长的健康需求为宗旨，以打造“健康怀化”为核心，以建设大湘西区域医疗卫生中心为抓手，进一步整合优化资源配置，提高医疗卫生健康服务质量和服务效率，提升群众满意度。合理布局医疗卫生机构；加强基层医疗卫生服务机构建设；加快分级诊疗与双向转诊机制建设，个人就医负担明显减轻，看病难问题基本解决；加强公共卫生体系建设，推进市县两级疾病预防控制中心标准化建设，深入开展爱国卫生运动，提升公共卫生现代化水平；完善妇幼健康服务体系，提升妇幼健康服务水平；完善中医医疗服务体系，积极发展中医预防保健服务，大力提升农村和社区中医药服务能力和中医药产业发展水平。到2025年，建立与怀化市社会经济发展水平相一致，与居民健康需求相匹配、体系完整、分工明确、功能互补、密切协作的整合型医疗卫生服务体系，逐步实现基本公共卫生服务均等化，人人享有基本医疗卫生服务，基本适应全市人民群众的多层次卫生服务需求。</w:t>
            </w:r>
          </w:p>
          <w:p w14:paraId="5A0EA7E5">
            <w:pPr>
              <w:pStyle w:val="13"/>
              <w:spacing w:line="360" w:lineRule="auto"/>
              <w:ind w:firstLine="480" w:firstLineChars="200"/>
              <w:jc w:val="both"/>
              <w:rPr>
                <w:rFonts w:hint="eastAsia" w:ascii="Times New Roman" w:hAnsi="Times New Roman" w:cs="Times New Roman"/>
                <w:b w:val="0"/>
                <w:color w:val="auto"/>
                <w:sz w:val="24"/>
                <w:szCs w:val="24"/>
                <w:highlight w:val="none"/>
                <w:u w:val="none"/>
                <w:lang w:val="en-US" w:eastAsia="zh-CN" w:bidi="zh-CN"/>
              </w:rPr>
            </w:pPr>
            <w:r>
              <w:rPr>
                <w:rFonts w:hint="eastAsia" w:ascii="Times New Roman" w:hAnsi="Times New Roman" w:cs="宋体"/>
                <w:color w:val="auto"/>
                <w:sz w:val="24"/>
                <w:szCs w:val="24"/>
                <w:highlight w:val="none"/>
                <w:u w:val="none"/>
                <w:lang w:val="en-US" w:eastAsia="zh-CN" w:bidi="zh-CN"/>
              </w:rPr>
              <w:t>本项目“以病人为中心，以质量为关键”，提高医疗安全、诊断水平、服务质量、市场导向、全面提高医院的品牌，以深化医院医疗体制改革为动力，着力加强医院绩效考核为主的管理、医疗质量安全管理、医疗技术等内涵建设，建设一座低庄镇具有辐射带动能力的综合性二级甲等医院。项目的建设与</w:t>
            </w:r>
            <w:r>
              <w:rPr>
                <w:rFonts w:hint="eastAsia" w:ascii="Times New Roman" w:hAnsi="Times New Roman" w:cs="Times New Roman"/>
                <w:b w:val="0"/>
                <w:color w:val="auto"/>
                <w:sz w:val="24"/>
                <w:szCs w:val="24"/>
                <w:highlight w:val="none"/>
                <w:u w:val="none"/>
                <w:lang w:val="en-US" w:eastAsia="zh-CN" w:bidi="zh-CN"/>
              </w:rPr>
              <w:t>《怀化市区域卫生健康规划（2021-2025年）》相符。</w:t>
            </w:r>
          </w:p>
          <w:p w14:paraId="0902AA27">
            <w:pPr>
              <w:pStyle w:val="13"/>
              <w:spacing w:line="360" w:lineRule="auto"/>
              <w:ind w:firstLine="482" w:firstLineChars="200"/>
              <w:jc w:val="both"/>
              <w:rPr>
                <w:rFonts w:hint="eastAsia" w:ascii="Times New Roman" w:hAnsi="Times New Roman" w:eastAsia="宋体" w:cs="Times New Roman"/>
                <w:b/>
                <w:bCs/>
                <w:color w:val="0000FF"/>
                <w:kern w:val="0"/>
                <w:sz w:val="24"/>
                <w:szCs w:val="24"/>
                <w:u w:val="single"/>
                <w:lang w:val="en-US" w:eastAsia="zh-CN" w:bidi="ar"/>
              </w:rPr>
            </w:pPr>
            <w:r>
              <w:rPr>
                <w:rFonts w:hint="eastAsia" w:ascii="Times New Roman" w:hAnsi="Times New Roman" w:cs="宋体"/>
                <w:b/>
                <w:bCs/>
                <w:color w:val="0000FF"/>
                <w:sz w:val="24"/>
                <w:szCs w:val="24"/>
                <w:highlight w:val="none"/>
                <w:u w:val="single"/>
                <w:lang w:val="en-US" w:eastAsia="zh-CN" w:bidi="zh-CN"/>
              </w:rPr>
              <w:t>1.4</w:t>
            </w:r>
            <w:r>
              <w:rPr>
                <w:rFonts w:hint="eastAsia" w:ascii="Times New Roman" w:hAnsi="Times New Roman" w:eastAsia="宋体" w:cs="Times New Roman"/>
                <w:b/>
                <w:bCs/>
                <w:color w:val="0000FF"/>
                <w:kern w:val="0"/>
                <w:sz w:val="24"/>
                <w:szCs w:val="24"/>
                <w:u w:val="single"/>
                <w:lang w:val="en-US" w:eastAsia="zh-CN" w:bidi="ar"/>
              </w:rPr>
              <w:t>与</w:t>
            </w:r>
            <w:r>
              <w:rPr>
                <w:rFonts w:hint="eastAsia" w:cs="Times New Roman"/>
                <w:b/>
                <w:bCs/>
                <w:color w:val="0000FF"/>
                <w:sz w:val="24"/>
                <w:szCs w:val="24"/>
                <w:highlight w:val="none"/>
                <w:u w:val="single"/>
                <w:lang w:val="en-US" w:eastAsia="zh-CN" w:bidi="zh-CN"/>
              </w:rPr>
              <w:t>《溆浦县国土空间总体规划（2021-2035年）》</w:t>
            </w:r>
            <w:r>
              <w:rPr>
                <w:rFonts w:hint="eastAsia" w:ascii="Times New Roman" w:hAnsi="Times New Roman" w:eastAsia="宋体" w:cs="Times New Roman"/>
                <w:b/>
                <w:bCs/>
                <w:color w:val="0000FF"/>
                <w:kern w:val="0"/>
                <w:sz w:val="24"/>
                <w:szCs w:val="24"/>
                <w:u w:val="single"/>
                <w:lang w:val="en-US" w:eastAsia="zh-CN" w:bidi="ar"/>
              </w:rPr>
              <w:t>相符性</w:t>
            </w:r>
          </w:p>
          <w:p w14:paraId="3DC59F2B">
            <w:pPr>
              <w:pStyle w:val="13"/>
              <w:spacing w:line="360" w:lineRule="auto"/>
              <w:ind w:firstLine="480" w:firstLineChars="200"/>
              <w:jc w:val="both"/>
              <w:rPr>
                <w:rFonts w:hint="eastAsia" w:ascii="Times New Roman" w:hAnsi="Times New Roman" w:cs="Times New Roman"/>
                <w:b w:val="0"/>
                <w:bCs w:val="0"/>
                <w:color w:val="0000FF"/>
                <w:sz w:val="24"/>
                <w:szCs w:val="24"/>
                <w:u w:val="single"/>
                <w:lang w:val="en-US" w:eastAsia="zh-CN" w:bidi="zh-CN"/>
              </w:rPr>
            </w:pPr>
            <w:r>
              <w:rPr>
                <w:rFonts w:hint="eastAsia" w:ascii="Times New Roman" w:hAnsi="Times New Roman" w:eastAsia="宋体" w:cs="Times New Roman"/>
                <w:color w:val="0000FF"/>
                <w:u w:val="single"/>
                <w:lang w:val="en-US" w:eastAsia="zh-CN"/>
              </w:rPr>
              <w:t>《规划》</w:t>
            </w:r>
            <w:r>
              <w:rPr>
                <w:rFonts w:hint="eastAsia" w:ascii="Times New Roman" w:hAnsi="Times New Roman" w:cs="Times New Roman"/>
                <w:color w:val="0000FF"/>
                <w:u w:val="single"/>
                <w:lang w:val="en-US" w:eastAsia="zh-CN"/>
              </w:rPr>
              <w:t>中提出通过政府引领和市场主导，优化多元办医格局，依托区域生态优势，整合区域医疗资源，组建医联体，突出发展中医特色的疗养结合的医疗服务设施。构建与全县经济社会发展水平相匹配、与城乡居民健康需求相适应、惠及全县居民的卫生健康体系，全县居民健康水平和健康素养进一步提升，整合型医疗服务体系进一步优化，扩大优质卫生资源供给，优质均衡的公共卫生服务体系基本形成。溆浦县重点建设安排表中，本项目-溆浦县第四人民医院为重点建设项目，因此本项目的建设</w:t>
            </w:r>
            <w:r>
              <w:rPr>
                <w:rFonts w:hint="eastAsia" w:ascii="Times New Roman" w:hAnsi="Times New Roman" w:cs="Times New Roman"/>
                <w:b w:val="0"/>
                <w:bCs w:val="0"/>
                <w:color w:val="0000FF"/>
                <w:sz w:val="24"/>
                <w:szCs w:val="24"/>
                <w:u w:val="single"/>
                <w:lang w:val="en-US" w:eastAsia="zh-CN" w:bidi="zh-CN"/>
              </w:rPr>
              <w:t>符合</w:t>
            </w:r>
            <w:r>
              <w:rPr>
                <w:rFonts w:hint="eastAsia" w:cs="Times New Roman"/>
                <w:b w:val="0"/>
                <w:bCs w:val="0"/>
                <w:color w:val="0000FF"/>
                <w:sz w:val="24"/>
                <w:szCs w:val="24"/>
                <w:highlight w:val="none"/>
                <w:u w:val="single"/>
                <w:lang w:val="en-US" w:eastAsia="zh-CN" w:bidi="zh-CN"/>
              </w:rPr>
              <w:t>《溆浦县国土空间总体规划（2021-2035年）》</w:t>
            </w:r>
            <w:r>
              <w:rPr>
                <w:rFonts w:hint="eastAsia" w:ascii="Times New Roman" w:hAnsi="Times New Roman" w:cs="Times New Roman"/>
                <w:b w:val="0"/>
                <w:color w:val="0000FF"/>
                <w:sz w:val="24"/>
                <w:szCs w:val="24"/>
                <w:highlight w:val="none"/>
                <w:u w:val="single"/>
                <w:lang w:val="en-US" w:eastAsia="zh-CN" w:bidi="zh-CN"/>
              </w:rPr>
              <w:t>要求。</w:t>
            </w:r>
          </w:p>
          <w:p w14:paraId="18DD3FB5">
            <w:pPr>
              <w:pStyle w:val="13"/>
              <w:spacing w:line="360" w:lineRule="auto"/>
              <w:ind w:firstLine="482" w:firstLineChars="200"/>
              <w:jc w:val="both"/>
              <w:rPr>
                <w:rFonts w:hint="eastAsia" w:ascii="Times New Roman" w:hAnsi="Times New Roman" w:eastAsia="宋体" w:cs="Times New Roman"/>
                <w:b/>
                <w:bCs/>
                <w:color w:val="0000FF"/>
                <w:kern w:val="0"/>
                <w:sz w:val="24"/>
                <w:szCs w:val="24"/>
                <w:u w:val="single"/>
                <w:lang w:val="en-US" w:eastAsia="zh-CN" w:bidi="ar"/>
              </w:rPr>
            </w:pPr>
            <w:r>
              <w:rPr>
                <w:rFonts w:hint="eastAsia" w:ascii="Times New Roman" w:hAnsi="Times New Roman" w:cs="宋体"/>
                <w:b/>
                <w:bCs/>
                <w:color w:val="0000FF"/>
                <w:sz w:val="24"/>
                <w:szCs w:val="24"/>
                <w:highlight w:val="none"/>
                <w:u w:val="single"/>
                <w:lang w:val="en-US" w:eastAsia="zh-CN" w:bidi="zh-CN"/>
              </w:rPr>
              <w:t>1.5</w:t>
            </w:r>
            <w:r>
              <w:rPr>
                <w:rFonts w:hint="eastAsia" w:ascii="Times New Roman" w:hAnsi="Times New Roman" w:eastAsia="宋体" w:cs="Times New Roman"/>
                <w:b/>
                <w:bCs/>
                <w:color w:val="0000FF"/>
                <w:kern w:val="0"/>
                <w:sz w:val="24"/>
                <w:szCs w:val="24"/>
                <w:u w:val="single"/>
                <w:lang w:val="en-US" w:eastAsia="zh-CN" w:bidi="ar"/>
              </w:rPr>
              <w:t>与</w:t>
            </w:r>
            <w:r>
              <w:rPr>
                <w:rFonts w:hint="eastAsia" w:cs="Times New Roman"/>
                <w:b/>
                <w:bCs/>
                <w:color w:val="0000FF"/>
                <w:sz w:val="24"/>
                <w:szCs w:val="24"/>
                <w:highlight w:val="none"/>
                <w:u w:val="single"/>
                <w:lang w:val="en-US" w:eastAsia="zh-CN" w:bidi="zh-CN"/>
              </w:rPr>
              <w:t>《溆浦县低庄镇总体规划（2013-2030）》</w:t>
            </w:r>
            <w:r>
              <w:rPr>
                <w:rFonts w:hint="eastAsia" w:ascii="Times New Roman" w:hAnsi="Times New Roman" w:eastAsia="宋体" w:cs="Times New Roman"/>
                <w:b/>
                <w:bCs/>
                <w:color w:val="0000FF"/>
                <w:kern w:val="0"/>
                <w:sz w:val="24"/>
                <w:szCs w:val="24"/>
                <w:u w:val="single"/>
                <w:lang w:val="en-US" w:eastAsia="zh-CN" w:bidi="ar"/>
              </w:rPr>
              <w:t>相符性</w:t>
            </w:r>
          </w:p>
          <w:p w14:paraId="43DBC698">
            <w:pPr>
              <w:pStyle w:val="13"/>
              <w:ind w:firstLine="480" w:firstLineChars="200"/>
              <w:jc w:val="both"/>
              <w:rPr>
                <w:rFonts w:hint="default" w:eastAsia="宋体"/>
                <w:lang w:val="en-US" w:eastAsia="zh-CN"/>
              </w:rPr>
            </w:pPr>
            <w:r>
              <w:rPr>
                <w:rFonts w:hint="eastAsia" w:ascii="Times New Roman" w:hAnsi="Times New Roman" w:cs="宋体"/>
                <w:color w:val="0000FF"/>
                <w:sz w:val="24"/>
                <w:szCs w:val="24"/>
                <w:highlight w:val="none"/>
                <w:u w:val="single"/>
                <w:lang w:val="en-US" w:eastAsia="zh-CN" w:bidi="zh-CN"/>
              </w:rPr>
              <w:t>根据</w:t>
            </w:r>
            <w:r>
              <w:rPr>
                <w:rFonts w:hint="eastAsia" w:cs="Times New Roman"/>
                <w:b w:val="0"/>
                <w:color w:val="0000FF"/>
                <w:sz w:val="24"/>
                <w:szCs w:val="24"/>
                <w:highlight w:val="none"/>
                <w:u w:val="single"/>
                <w:lang w:val="en-US" w:eastAsia="zh-CN" w:bidi="zh-CN"/>
              </w:rPr>
              <w:t>《溆浦县低庄镇总体规划（2013-2030）》</w:t>
            </w:r>
            <w:r>
              <w:rPr>
                <w:rFonts w:hint="eastAsia" w:ascii="Times New Roman" w:hAnsi="Times New Roman" w:cs="宋体"/>
                <w:color w:val="0000FF"/>
                <w:sz w:val="24"/>
                <w:szCs w:val="24"/>
                <w:highlight w:val="none"/>
                <w:u w:val="single"/>
                <w:lang w:val="en-US" w:eastAsia="zh-CN" w:bidi="zh-CN"/>
              </w:rPr>
              <w:t>本项目原用地规划为居住用地，根据溆浦县城乡规划委员会会议纪要〔2024〕第6期（附件9）中相关决议，将居住用地调整为医疗卫生用地。项目的建设与</w:t>
            </w:r>
            <w:r>
              <w:rPr>
                <w:rFonts w:hint="eastAsia" w:cs="Times New Roman"/>
                <w:b w:val="0"/>
                <w:color w:val="0000FF"/>
                <w:sz w:val="24"/>
                <w:szCs w:val="24"/>
                <w:highlight w:val="none"/>
                <w:u w:val="single"/>
                <w:lang w:val="en-US" w:eastAsia="zh-CN" w:bidi="zh-CN"/>
              </w:rPr>
              <w:t>《溆浦县低庄镇总体规划（2013-2030）》</w:t>
            </w:r>
            <w:r>
              <w:rPr>
                <w:rFonts w:hint="eastAsia" w:ascii="Times New Roman" w:hAnsi="Times New Roman" w:cs="Times New Roman"/>
                <w:b w:val="0"/>
                <w:color w:val="0000FF"/>
                <w:sz w:val="24"/>
                <w:szCs w:val="24"/>
                <w:highlight w:val="none"/>
                <w:u w:val="single"/>
                <w:lang w:val="en-US" w:eastAsia="zh-CN" w:bidi="zh-CN"/>
              </w:rPr>
              <w:t>相符。</w:t>
            </w:r>
          </w:p>
        </w:tc>
      </w:tr>
      <w:tr w14:paraId="78480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1" w:hRule="atLeast"/>
        </w:trPr>
        <w:tc>
          <w:tcPr>
            <w:tcW w:w="701" w:type="pct"/>
            <w:vAlign w:val="center"/>
          </w:tcPr>
          <w:p w14:paraId="75642CF4">
            <w:pPr>
              <w:pStyle w:val="58"/>
              <w:widowControl w:val="0"/>
              <w:spacing w:line="240" w:lineRule="auto"/>
              <w:jc w:val="center"/>
              <w:rPr>
                <w:color w:val="auto"/>
                <w:highlight w:val="none"/>
                <w:u w:val="none"/>
              </w:rPr>
            </w:pPr>
            <w:r>
              <w:rPr>
                <w:rFonts w:cs="Times New Roman"/>
                <w:color w:val="auto"/>
                <w:highlight w:val="none"/>
                <w:u w:val="none"/>
              </w:rPr>
              <w:t>其他符合性分析</w:t>
            </w:r>
          </w:p>
        </w:tc>
        <w:tc>
          <w:tcPr>
            <w:tcW w:w="4298" w:type="pct"/>
            <w:gridSpan w:val="3"/>
          </w:tcPr>
          <w:p w14:paraId="5C01309D">
            <w:pPr>
              <w:pStyle w:val="54"/>
              <w:widowControl w:val="0"/>
              <w:ind w:firstLine="482"/>
              <w:rPr>
                <w:b/>
                <w:bCs/>
                <w:color w:val="auto"/>
                <w:highlight w:val="none"/>
                <w:u w:val="none"/>
              </w:rPr>
            </w:pPr>
            <w:r>
              <w:rPr>
                <w:rFonts w:hint="eastAsia"/>
                <w:b/>
                <w:bCs/>
                <w:color w:val="auto"/>
                <w:highlight w:val="none"/>
                <w:u w:val="none"/>
                <w:lang w:val="en-US" w:eastAsia="zh-CN"/>
              </w:rPr>
              <w:t>2.1</w:t>
            </w:r>
            <w:r>
              <w:rPr>
                <w:rFonts w:hint="eastAsia"/>
                <w:b/>
                <w:bCs/>
                <w:color w:val="auto"/>
                <w:highlight w:val="none"/>
                <w:u w:val="none"/>
              </w:rPr>
              <w:t>产业政策符合性分析</w:t>
            </w:r>
          </w:p>
          <w:p w14:paraId="7FF33C57">
            <w:pPr>
              <w:pStyle w:val="13"/>
              <w:ind w:firstLine="422"/>
              <w:jc w:val="both"/>
              <w:rPr>
                <w:rFonts w:ascii="Times New Roman" w:hAnsi="Times New Roman" w:eastAsia="宋体"/>
                <w:b w:val="0"/>
                <w:bCs w:val="0"/>
                <w:color w:val="auto"/>
                <w:sz w:val="24"/>
                <w:szCs w:val="24"/>
                <w:lang w:val="zh-CN"/>
              </w:rPr>
            </w:pPr>
            <w:r>
              <w:rPr>
                <w:rFonts w:hint="eastAsia" w:ascii="Times New Roman" w:hAnsi="Times New Roman" w:eastAsia="宋体"/>
                <w:b w:val="0"/>
                <w:bCs w:val="0"/>
                <w:color w:val="auto"/>
                <w:sz w:val="24"/>
                <w:szCs w:val="24"/>
                <w:lang w:eastAsia="zh-CN"/>
              </w:rPr>
              <w:t>（</w:t>
            </w:r>
            <w:r>
              <w:rPr>
                <w:rFonts w:hint="eastAsia" w:ascii="Times New Roman" w:hAnsi="Times New Roman" w:eastAsia="宋体"/>
                <w:b w:val="0"/>
                <w:bCs w:val="0"/>
                <w:color w:val="auto"/>
                <w:sz w:val="24"/>
                <w:szCs w:val="24"/>
                <w:lang w:val="en-US" w:eastAsia="zh-CN"/>
              </w:rPr>
              <w:t>1</w:t>
            </w:r>
            <w:r>
              <w:rPr>
                <w:rFonts w:hint="eastAsia" w:ascii="Times New Roman" w:hAnsi="Times New Roman" w:eastAsia="宋体"/>
                <w:b w:val="0"/>
                <w:bCs w:val="0"/>
                <w:color w:val="auto"/>
                <w:sz w:val="24"/>
                <w:szCs w:val="24"/>
                <w:lang w:eastAsia="zh-CN"/>
              </w:rPr>
              <w:t>）</w:t>
            </w:r>
            <w:r>
              <w:rPr>
                <w:rFonts w:hint="eastAsia" w:ascii="Times New Roman" w:hAnsi="Times New Roman" w:eastAsia="宋体"/>
                <w:b w:val="0"/>
                <w:bCs w:val="0"/>
                <w:color w:val="auto"/>
                <w:sz w:val="24"/>
                <w:szCs w:val="24"/>
              </w:rPr>
              <w:t>与《产业结构调整指导目录（</w:t>
            </w:r>
            <w:r>
              <w:rPr>
                <w:rFonts w:ascii="Times New Roman" w:hAnsi="Times New Roman" w:eastAsia="宋体"/>
                <w:b w:val="0"/>
                <w:bCs w:val="0"/>
                <w:color w:val="auto"/>
                <w:sz w:val="24"/>
                <w:szCs w:val="24"/>
              </w:rPr>
              <w:t>20</w:t>
            </w:r>
            <w:r>
              <w:rPr>
                <w:rFonts w:hint="eastAsia" w:ascii="Times New Roman" w:hAnsi="Times New Roman" w:eastAsia="宋体"/>
                <w:b w:val="0"/>
                <w:bCs w:val="0"/>
                <w:color w:val="auto"/>
                <w:sz w:val="24"/>
                <w:szCs w:val="24"/>
                <w:lang w:val="en-US" w:eastAsia="zh-CN"/>
              </w:rPr>
              <w:t>24</w:t>
            </w:r>
            <w:r>
              <w:rPr>
                <w:rFonts w:hint="eastAsia" w:ascii="Times New Roman" w:hAnsi="Times New Roman" w:eastAsia="宋体"/>
                <w:b w:val="0"/>
                <w:bCs w:val="0"/>
                <w:color w:val="auto"/>
                <w:sz w:val="24"/>
                <w:szCs w:val="24"/>
              </w:rPr>
              <w:t>年本）》相符性分析</w:t>
            </w:r>
          </w:p>
          <w:p w14:paraId="315ED536">
            <w:pPr>
              <w:pStyle w:val="13"/>
              <w:ind w:firstLine="422"/>
              <w:jc w:val="both"/>
              <w:rPr>
                <w:rFonts w:ascii="Times New Roman" w:hAnsi="Times New Roman" w:eastAsia="宋体"/>
                <w:b w:val="0"/>
                <w:bCs w:val="0"/>
                <w:color w:val="auto"/>
                <w:sz w:val="24"/>
                <w:szCs w:val="24"/>
              </w:rPr>
            </w:pPr>
            <w:r>
              <w:rPr>
                <w:rFonts w:ascii="Times New Roman" w:hAnsi="Times New Roman" w:eastAsia="宋体"/>
                <w:b w:val="0"/>
                <w:bCs w:val="0"/>
                <w:color w:val="auto"/>
                <w:sz w:val="24"/>
                <w:szCs w:val="24"/>
              </w:rPr>
              <w:t>本项目为</w:t>
            </w:r>
            <w:r>
              <w:rPr>
                <w:rFonts w:hint="eastAsia" w:ascii="Times New Roman" w:hAnsi="Times New Roman" w:eastAsia="宋体"/>
                <w:b w:val="0"/>
                <w:bCs w:val="0"/>
                <w:color w:val="auto"/>
                <w:sz w:val="24"/>
                <w:szCs w:val="24"/>
                <w:lang w:eastAsia="zh-CN"/>
              </w:rPr>
              <w:t>溆浦县第四人民医院</w:t>
            </w:r>
            <w:r>
              <w:rPr>
                <w:rFonts w:ascii="Times New Roman" w:hAnsi="Times New Roman" w:eastAsia="宋体"/>
                <w:b w:val="0"/>
                <w:bCs w:val="0"/>
                <w:color w:val="auto"/>
                <w:sz w:val="24"/>
                <w:szCs w:val="24"/>
              </w:rPr>
              <w:t>，</w:t>
            </w:r>
            <w:r>
              <w:rPr>
                <w:rFonts w:hint="eastAsia" w:ascii="Times New Roman" w:hAnsi="Times New Roman" w:eastAsia="宋体"/>
                <w:b w:val="0"/>
                <w:bCs w:val="0"/>
                <w:color w:val="auto"/>
                <w:sz w:val="24"/>
                <w:szCs w:val="24"/>
                <w:lang w:val="en-US" w:eastAsia="zh-CN"/>
              </w:rPr>
              <w:t>属于</w:t>
            </w:r>
            <w:r>
              <w:rPr>
                <w:rFonts w:hint="eastAsia" w:ascii="Times New Roman" w:hAnsi="Times New Roman" w:eastAsia="宋体"/>
                <w:b w:val="0"/>
                <w:bCs w:val="0"/>
                <w:color w:val="auto"/>
                <w:sz w:val="24"/>
                <w:szCs w:val="24"/>
              </w:rPr>
              <w:t>《产业结构调整指导目录（2024年本）》中“第一类鼓励类”中的“三十七、卫生健康”中的“1、</w:t>
            </w:r>
            <w:r>
              <w:rPr>
                <w:rFonts w:hint="eastAsia" w:ascii="Times New Roman" w:hAnsi="Times New Roman"/>
                <w:b w:val="0"/>
                <w:bCs w:val="0"/>
                <w:color w:val="auto"/>
                <w:sz w:val="24"/>
                <w:szCs w:val="24"/>
                <w:lang w:eastAsia="zh-CN"/>
              </w:rPr>
              <w:t>医疗卫生服务设施建设</w:t>
            </w:r>
            <w:r>
              <w:rPr>
                <w:rFonts w:hint="eastAsia" w:ascii="Times New Roman" w:hAnsi="Times New Roman" w:eastAsia="宋体"/>
                <w:b w:val="0"/>
                <w:bCs w:val="0"/>
                <w:color w:val="auto"/>
                <w:sz w:val="24"/>
                <w:szCs w:val="24"/>
              </w:rPr>
              <w:t>”</w:t>
            </w:r>
            <w:r>
              <w:rPr>
                <w:rFonts w:hint="eastAsia" w:ascii="Times New Roman" w:hAnsi="Times New Roman" w:eastAsia="宋体"/>
                <w:b w:val="0"/>
                <w:bCs w:val="0"/>
                <w:color w:val="auto"/>
                <w:sz w:val="24"/>
                <w:szCs w:val="24"/>
                <w:lang w:eastAsia="zh-CN"/>
              </w:rPr>
              <w:t>，</w:t>
            </w:r>
            <w:r>
              <w:rPr>
                <w:rFonts w:ascii="Times New Roman" w:hAnsi="Times New Roman" w:eastAsia="宋体"/>
                <w:b w:val="0"/>
                <w:bCs w:val="0"/>
                <w:color w:val="auto"/>
                <w:sz w:val="24"/>
                <w:szCs w:val="24"/>
              </w:rPr>
              <w:t>本项目建设符合国家产业政策。</w:t>
            </w:r>
          </w:p>
          <w:p w14:paraId="03A4AAD0">
            <w:pPr>
              <w:pStyle w:val="54"/>
              <w:widowControl w:val="0"/>
              <w:ind w:firstLine="482"/>
              <w:rPr>
                <w:rFonts w:hint="eastAsia" w:ascii="Times New Roman" w:hAnsi="Times New Roman" w:eastAsia="宋体"/>
                <w:b/>
                <w:bCs/>
                <w:color w:val="auto"/>
                <w:highlight w:val="none"/>
                <w:u w:val="none"/>
                <w:lang w:val="en-US" w:eastAsia="zh-CN"/>
              </w:rPr>
            </w:pPr>
            <w:r>
              <w:rPr>
                <w:rFonts w:hint="eastAsia"/>
                <w:b/>
                <w:bCs/>
                <w:color w:val="auto"/>
                <w:highlight w:val="none"/>
                <w:u w:val="none"/>
                <w:lang w:val="en-US" w:eastAsia="zh-CN"/>
              </w:rPr>
              <w:t>2</w:t>
            </w:r>
            <w:r>
              <w:rPr>
                <w:rFonts w:hint="eastAsia" w:ascii="Times New Roman" w:hAnsi="Times New Roman" w:eastAsia="宋体"/>
                <w:b/>
                <w:bCs/>
                <w:color w:val="auto"/>
                <w:highlight w:val="none"/>
                <w:u w:val="none"/>
                <w:lang w:val="en-US" w:eastAsia="zh-CN"/>
              </w:rPr>
              <w:t>.2选址合理性分析</w:t>
            </w:r>
          </w:p>
          <w:p w14:paraId="445BFDF1">
            <w:pPr>
              <w:widowControl/>
              <w:spacing w:line="360" w:lineRule="auto"/>
              <w:ind w:firstLine="480" w:firstLineChars="200"/>
              <w:jc w:val="left"/>
              <w:rPr>
                <w:rFonts w:hint="default" w:ascii="Times New Roman" w:hAnsi="Times New Roman" w:eastAsia="宋体" w:cs="Times New Roman"/>
                <w:color w:val="0000FF"/>
                <w:kern w:val="0"/>
                <w:sz w:val="24"/>
                <w:u w:val="single"/>
              </w:rPr>
            </w:pPr>
            <w:r>
              <w:rPr>
                <w:rFonts w:hint="default" w:ascii="Times New Roman" w:hAnsi="Times New Roman" w:eastAsia="宋体" w:cs="Times New Roman"/>
                <w:color w:val="0000FF"/>
                <w:kern w:val="0"/>
                <w:sz w:val="24"/>
                <w:u w:val="single"/>
              </w:rPr>
              <w:t>本项目选址于</w:t>
            </w:r>
            <w:r>
              <w:rPr>
                <w:rFonts w:hint="eastAsia" w:cs="Times New Roman"/>
                <w:color w:val="0000FF"/>
                <w:sz w:val="24"/>
                <w:szCs w:val="24"/>
                <w:u w:val="single"/>
                <w:lang w:val="en-US" w:eastAsia="zh-CN"/>
              </w:rPr>
              <w:t>湖南省怀化市溆浦县低庄镇低庄村</w:t>
            </w:r>
            <w:r>
              <w:rPr>
                <w:rFonts w:hint="default" w:ascii="Times New Roman" w:hAnsi="Times New Roman" w:eastAsia="宋体" w:cs="Times New Roman"/>
                <w:color w:val="0000FF"/>
                <w:kern w:val="0"/>
                <w:sz w:val="24"/>
                <w:u w:val="single"/>
              </w:rPr>
              <w:t>，</w:t>
            </w:r>
            <w:r>
              <w:rPr>
                <w:rFonts w:hint="eastAsia" w:cs="Times New Roman"/>
                <w:color w:val="0000FF"/>
                <w:kern w:val="0"/>
                <w:sz w:val="24"/>
                <w:u w:val="single"/>
                <w:lang w:eastAsia="zh-CN"/>
              </w:rPr>
              <w:t>项目用地规划为居住用地，不涉及基本农田，调整为医疗卫生用地，符合</w:t>
            </w:r>
            <w:r>
              <w:rPr>
                <w:rFonts w:hint="eastAsia" w:cs="Times New Roman"/>
                <w:b w:val="0"/>
                <w:bCs w:val="0"/>
                <w:color w:val="0000FF"/>
                <w:sz w:val="24"/>
                <w:szCs w:val="24"/>
                <w:highlight w:val="none"/>
                <w:u w:val="single"/>
                <w:lang w:val="en-US" w:eastAsia="zh-CN" w:bidi="zh-CN"/>
              </w:rPr>
              <w:t>《溆浦县国土空间总体规划（2021-2035年）》、</w:t>
            </w:r>
            <w:r>
              <w:rPr>
                <w:rFonts w:hint="eastAsia" w:cs="Times New Roman"/>
                <w:b w:val="0"/>
                <w:color w:val="0000FF"/>
                <w:sz w:val="24"/>
                <w:szCs w:val="24"/>
                <w:highlight w:val="none"/>
                <w:u w:val="single"/>
                <w:lang w:val="en-US" w:eastAsia="zh-CN" w:bidi="zh-CN"/>
              </w:rPr>
              <w:t>《溆浦县低庄镇总体规划（2013-2030）》要求</w:t>
            </w:r>
            <w:r>
              <w:rPr>
                <w:rFonts w:hint="eastAsia" w:cs="Times New Roman"/>
                <w:color w:val="0000FF"/>
                <w:kern w:val="0"/>
                <w:sz w:val="24"/>
                <w:u w:val="single"/>
                <w:lang w:eastAsia="zh-CN"/>
              </w:rPr>
              <w:t>。因暂时未进行开发建设，现状为荒地和水田，</w:t>
            </w:r>
            <w:r>
              <w:rPr>
                <w:rFonts w:hint="default" w:ascii="Times New Roman" w:hAnsi="Times New Roman" w:eastAsia="宋体" w:cs="Times New Roman"/>
                <w:color w:val="0000FF"/>
                <w:kern w:val="0"/>
                <w:sz w:val="24"/>
                <w:u w:val="single"/>
              </w:rPr>
              <w:t>周围没有自然保护区、风景名胜、文物古迹，集中生活饮用水源地等需要特别保护的目标</w:t>
            </w:r>
            <w:r>
              <w:rPr>
                <w:rFonts w:hint="eastAsia" w:cs="Times New Roman"/>
                <w:color w:val="0000FF"/>
                <w:kern w:val="0"/>
                <w:sz w:val="24"/>
                <w:u w:val="single"/>
                <w:lang w:eastAsia="zh-CN"/>
              </w:rPr>
              <w:t>。</w:t>
            </w:r>
            <w:r>
              <w:rPr>
                <w:rFonts w:hint="default" w:ascii="Times New Roman" w:hAnsi="Times New Roman" w:eastAsia="宋体" w:cs="Times New Roman"/>
                <w:color w:val="0000FF"/>
                <w:kern w:val="0"/>
                <w:sz w:val="24"/>
                <w:u w:val="single"/>
              </w:rPr>
              <w:t>项目用水由市政管道供应，供电由市政电网提供，可满足本项目生产用电需要：交通便利，周边环境质量现状良好，无</w:t>
            </w:r>
            <w:r>
              <w:rPr>
                <w:rFonts w:hint="eastAsia" w:cs="Times New Roman"/>
                <w:color w:val="0000FF"/>
                <w:kern w:val="0"/>
                <w:sz w:val="24"/>
                <w:u w:val="single"/>
                <w:lang w:eastAsia="zh-CN"/>
              </w:rPr>
              <w:t>明显</w:t>
            </w:r>
            <w:r>
              <w:rPr>
                <w:rFonts w:hint="default" w:ascii="Times New Roman" w:hAnsi="Times New Roman" w:eastAsia="宋体" w:cs="Times New Roman"/>
                <w:color w:val="0000FF"/>
                <w:kern w:val="0"/>
                <w:sz w:val="24"/>
                <w:u w:val="single"/>
              </w:rPr>
              <w:t>环境制约因素。</w:t>
            </w:r>
          </w:p>
          <w:p w14:paraId="6C6F2434">
            <w:pPr>
              <w:widowControl/>
              <w:spacing w:line="360" w:lineRule="auto"/>
              <w:ind w:firstLine="480" w:firstLineChars="200"/>
              <w:jc w:val="left"/>
              <w:rPr>
                <w:rFonts w:hint="default" w:ascii="Times New Roman" w:hAnsi="Times New Roman" w:eastAsia="宋体" w:cs="Times New Roman"/>
                <w:color w:val="0000FF"/>
                <w:kern w:val="0"/>
                <w:sz w:val="24"/>
                <w:u w:val="single"/>
              </w:rPr>
            </w:pPr>
            <w:r>
              <w:rPr>
                <w:rFonts w:hint="default" w:ascii="Times New Roman" w:hAnsi="Times New Roman" w:eastAsia="宋体" w:cs="Times New Roman"/>
                <w:color w:val="0000FF"/>
                <w:kern w:val="0"/>
                <w:sz w:val="24"/>
                <w:u w:val="single"/>
              </w:rPr>
              <w:t>“鼓励新增医疗机构在中心城区周边居民集中居住区设置，推动各区域医疗资源均衡布局、同质化发展。医院选择应交通便利，面临2条城市道路为宜；同时宜便于利用城市基础设施；环境宜安静远离污染源；地形力求规整，适宜医院功能布局；远离易燃、易爆物品的生产和储存区；不应临近少年儿童活动密集场所；不应污染、影响城市其他区域。”项目位于</w:t>
            </w:r>
            <w:r>
              <w:rPr>
                <w:rFonts w:hint="eastAsia" w:cs="Times New Roman"/>
                <w:color w:val="0000FF"/>
                <w:kern w:val="0"/>
                <w:sz w:val="24"/>
                <w:u w:val="single"/>
                <w:lang w:eastAsia="zh-CN"/>
              </w:rPr>
              <w:t>怀化市溆浦县低庄镇低庄村</w:t>
            </w:r>
            <w:r>
              <w:rPr>
                <w:rFonts w:hint="default" w:ascii="Times New Roman" w:hAnsi="Times New Roman" w:eastAsia="宋体" w:cs="Times New Roman"/>
                <w:color w:val="0000FF"/>
                <w:kern w:val="0"/>
                <w:sz w:val="24"/>
                <w:u w:val="single"/>
              </w:rPr>
              <w:t>，周边为居民集中区。项目</w:t>
            </w:r>
            <w:r>
              <w:rPr>
                <w:rFonts w:hint="eastAsia" w:cs="Times New Roman"/>
                <w:color w:val="0000FF"/>
                <w:kern w:val="0"/>
                <w:sz w:val="24"/>
                <w:u w:val="single"/>
                <w:lang w:eastAsia="zh-CN"/>
              </w:rPr>
              <w:t>北侧和东侧有道路相通，南侧和西侧规划有城市道路，</w:t>
            </w:r>
            <w:r>
              <w:rPr>
                <w:rFonts w:hint="default" w:ascii="Times New Roman" w:hAnsi="Times New Roman" w:eastAsia="宋体" w:cs="Times New Roman"/>
                <w:color w:val="0000FF"/>
                <w:kern w:val="0"/>
                <w:sz w:val="24"/>
                <w:u w:val="single"/>
              </w:rPr>
              <w:t>交通便利，城市基础设施完善。项目周边无易燃易爆企业。本项目选址合理，符合相关要求。</w:t>
            </w:r>
          </w:p>
          <w:p w14:paraId="4AEDB42D">
            <w:pPr>
              <w:pStyle w:val="54"/>
              <w:widowControl w:val="0"/>
              <w:ind w:firstLine="482"/>
              <w:rPr>
                <w:color w:val="0000FF"/>
                <w:spacing w:val="-3"/>
                <w:sz w:val="24"/>
                <w:szCs w:val="24"/>
                <w:u w:val="single"/>
              </w:rPr>
            </w:pPr>
            <w:r>
              <w:rPr>
                <w:color w:val="0000FF"/>
                <w:sz w:val="24"/>
                <w:szCs w:val="24"/>
                <w:u w:val="single"/>
              </w:rPr>
              <w:t>综上所述，本项目选址具有良好的区位优势，周围环境没有对本</w:t>
            </w:r>
            <w:r>
              <w:rPr>
                <w:rFonts w:hint="eastAsia"/>
                <w:color w:val="0000FF"/>
                <w:sz w:val="24"/>
                <w:szCs w:val="24"/>
                <w:u w:val="single"/>
                <w:lang w:val="en-US" w:eastAsia="zh-CN"/>
              </w:rPr>
              <w:t>项</w:t>
            </w:r>
            <w:r>
              <w:rPr>
                <w:color w:val="0000FF"/>
                <w:sz w:val="24"/>
                <w:szCs w:val="24"/>
                <w:u w:val="single"/>
              </w:rPr>
              <w:t>目建设的制约因素，项目建设与周围环境具有较高的相容性。项目的建设不会改变当地环境功能，从环保的角度考虑，拟建项目的选址</w:t>
            </w:r>
            <w:r>
              <w:rPr>
                <w:color w:val="0000FF"/>
                <w:spacing w:val="-3"/>
                <w:sz w:val="24"/>
                <w:szCs w:val="24"/>
                <w:u w:val="single"/>
              </w:rPr>
              <w:t>是合理的。</w:t>
            </w:r>
          </w:p>
          <w:p w14:paraId="1A3A3A77">
            <w:pPr>
              <w:pStyle w:val="119"/>
              <w:numPr>
                <w:ilvl w:val="-1"/>
                <w:numId w:val="0"/>
              </w:numPr>
              <w:spacing w:before="35" w:line="354" w:lineRule="auto"/>
              <w:ind w:left="0" w:right="102" w:firstLine="482" w:firstLineChars="200"/>
              <w:jc w:val="both"/>
              <w:rPr>
                <w:b/>
                <w:bCs/>
                <w:color w:val="auto"/>
                <w:spacing w:val="-3"/>
                <w:sz w:val="24"/>
                <w:szCs w:val="24"/>
                <w:highlight w:val="none"/>
              </w:rPr>
            </w:pPr>
            <w:r>
              <w:rPr>
                <w:rFonts w:hint="eastAsia" w:ascii="Times New Roman" w:hAnsi="Times New Roman" w:cs="Times New Roman"/>
                <w:b/>
                <w:bCs/>
                <w:color w:val="auto"/>
                <w:sz w:val="24"/>
                <w:szCs w:val="24"/>
                <w:highlight w:val="none"/>
                <w:u w:val="none"/>
                <w:lang w:val="en-US" w:eastAsia="zh-CN"/>
              </w:rPr>
              <w:t>2.3</w:t>
            </w:r>
            <w:r>
              <w:rPr>
                <w:b/>
                <w:bCs/>
                <w:color w:val="auto"/>
                <w:sz w:val="24"/>
                <w:szCs w:val="24"/>
                <w:highlight w:val="none"/>
              </w:rPr>
              <w:t>与</w:t>
            </w:r>
            <w:r>
              <w:rPr>
                <w:rFonts w:ascii="Times New Roman" w:hAnsi="Times New Roman" w:cs="宋体"/>
                <w:b/>
                <w:bCs/>
                <w:color w:val="auto"/>
                <w:spacing w:val="0"/>
                <w:sz w:val="24"/>
                <w:szCs w:val="24"/>
                <w:highlight w:val="none"/>
                <w:u w:val="none"/>
                <w:lang w:val="zh-CN" w:eastAsia="zh-CN" w:bidi="zh-CN"/>
              </w:rPr>
              <w:t>《</w:t>
            </w:r>
            <w:r>
              <w:rPr>
                <w:rFonts w:hint="default" w:ascii="Times New Roman" w:hAnsi="Times New Roman" w:cs="宋体"/>
                <w:b/>
                <w:bCs/>
                <w:color w:val="auto"/>
                <w:spacing w:val="0"/>
                <w:sz w:val="24"/>
                <w:szCs w:val="24"/>
                <w:highlight w:val="none"/>
                <w:u w:val="none"/>
                <w:lang w:val="zh-CN" w:eastAsia="zh-CN" w:bidi="zh-CN"/>
              </w:rPr>
              <w:t>怀化市生态环境分区管控基本要求暨环境管控单元</w:t>
            </w:r>
            <w:r>
              <w:rPr>
                <w:rFonts w:ascii="Times New Roman" w:hAnsi="Times New Roman" w:cs="宋体"/>
                <w:b/>
                <w:bCs/>
                <w:color w:val="auto"/>
                <w:spacing w:val="0"/>
                <w:sz w:val="24"/>
                <w:szCs w:val="24"/>
                <w:highlight w:val="none"/>
                <w:u w:val="none"/>
                <w:lang w:val="zh-CN" w:eastAsia="zh-CN" w:bidi="zh-CN"/>
              </w:rPr>
              <w:t>（省级以上产业园区除外）生态环境准入清单</w:t>
            </w:r>
            <w:r>
              <w:rPr>
                <w:rFonts w:hint="default" w:ascii="Times New Roman" w:hAnsi="Times New Roman" w:cs="宋体"/>
                <w:b/>
                <w:bCs/>
                <w:color w:val="auto"/>
                <w:spacing w:val="0"/>
                <w:sz w:val="24"/>
                <w:szCs w:val="24"/>
                <w:highlight w:val="none"/>
                <w:u w:val="none"/>
                <w:lang w:val="zh-CN" w:eastAsia="zh-CN" w:bidi="zh-CN"/>
              </w:rPr>
              <w:t>（2023版）</w:t>
            </w:r>
            <w:r>
              <w:rPr>
                <w:rFonts w:ascii="Times New Roman" w:hAnsi="Times New Roman" w:cs="宋体"/>
                <w:b/>
                <w:bCs/>
                <w:color w:val="auto"/>
                <w:spacing w:val="0"/>
                <w:sz w:val="24"/>
                <w:szCs w:val="24"/>
                <w:highlight w:val="none"/>
                <w:u w:val="none"/>
                <w:lang w:val="zh-CN" w:eastAsia="zh-CN" w:bidi="zh-CN"/>
              </w:rPr>
              <w:t>》</w:t>
            </w:r>
            <w:r>
              <w:rPr>
                <w:rFonts w:hint="eastAsia" w:ascii="Times New Roman" w:hAnsi="Times New Roman" w:eastAsia="宋体" w:cs="宋体"/>
                <w:b/>
                <w:bCs/>
                <w:color w:val="auto"/>
                <w:spacing w:val="0"/>
                <w:sz w:val="24"/>
                <w:szCs w:val="24"/>
                <w:highlight w:val="none"/>
                <w:u w:val="none"/>
                <w:lang w:val="zh-CN" w:eastAsia="zh-CN" w:bidi="zh-CN"/>
              </w:rPr>
              <w:t>（怀环发</w:t>
            </w:r>
            <w:r>
              <w:rPr>
                <w:rFonts w:hint="eastAsia" w:ascii="Times New Roman" w:hAnsi="Times New Roman" w:cs="宋体"/>
                <w:b/>
                <w:bCs/>
                <w:color w:val="auto"/>
                <w:spacing w:val="0"/>
                <w:sz w:val="24"/>
                <w:szCs w:val="24"/>
                <w:highlight w:val="none"/>
                <w:u w:val="none"/>
                <w:lang w:val="zh-CN" w:eastAsia="zh-CN" w:bidi="zh-CN"/>
              </w:rPr>
              <w:t>〔2024〕28号</w:t>
            </w:r>
            <w:r>
              <w:rPr>
                <w:rFonts w:hint="eastAsia" w:ascii="Times New Roman" w:hAnsi="Times New Roman" w:eastAsia="宋体" w:cs="宋体"/>
                <w:b/>
                <w:bCs/>
                <w:color w:val="auto"/>
                <w:spacing w:val="0"/>
                <w:sz w:val="24"/>
                <w:szCs w:val="24"/>
                <w:highlight w:val="none"/>
                <w:u w:val="none"/>
                <w:lang w:val="zh-CN" w:eastAsia="zh-CN" w:bidi="zh-CN"/>
              </w:rPr>
              <w:t>）</w:t>
            </w:r>
            <w:r>
              <w:rPr>
                <w:rFonts w:ascii="Times New Roman" w:hAnsi="Times New Roman" w:eastAsia="宋体" w:cs="宋体"/>
                <w:b/>
                <w:bCs/>
                <w:color w:val="auto"/>
                <w:sz w:val="24"/>
                <w:szCs w:val="24"/>
                <w:highlight w:val="none"/>
                <w:u w:val="none"/>
                <w:lang w:val="zh-CN" w:eastAsia="zh-CN" w:bidi="zh-CN"/>
              </w:rPr>
              <w:t>符合性分析</w:t>
            </w:r>
          </w:p>
          <w:p w14:paraId="00056C9A">
            <w:pPr>
              <w:pStyle w:val="119"/>
              <w:spacing w:before="31" w:line="362" w:lineRule="auto"/>
              <w:ind w:left="0" w:leftChars="0" w:right="109" w:firstLine="476" w:firstLineChars="200"/>
              <w:jc w:val="both"/>
              <w:rPr>
                <w:rFonts w:ascii="Times New Roman" w:hAnsi="Times New Roman"/>
                <w:b w:val="0"/>
                <w:bCs w:val="0"/>
                <w:color w:val="auto"/>
                <w:spacing w:val="-1"/>
                <w:sz w:val="24"/>
                <w:szCs w:val="24"/>
                <w:highlight w:val="none"/>
                <w:u w:val="none"/>
                <w:lang w:val="zh-CN" w:eastAsia="zh-CN" w:bidi="zh-CN"/>
              </w:rPr>
            </w:pPr>
            <w:r>
              <w:rPr>
                <w:rFonts w:ascii="Times New Roman" w:hAnsi="Times New Roman"/>
                <w:color w:val="auto"/>
                <w:spacing w:val="-1"/>
                <w:sz w:val="24"/>
                <w:szCs w:val="24"/>
                <w:highlight w:val="none"/>
                <w:u w:val="none"/>
                <w:lang w:val="zh-CN" w:eastAsia="zh-CN" w:bidi="zh-CN"/>
              </w:rPr>
              <w:t>根据</w:t>
            </w:r>
            <w:r>
              <w:rPr>
                <w:rFonts w:ascii="Times New Roman" w:hAnsi="Times New Roman" w:eastAsia="宋体" w:cs="宋体"/>
                <w:b w:val="0"/>
                <w:bCs w:val="0"/>
                <w:color w:val="auto"/>
                <w:spacing w:val="-1"/>
                <w:sz w:val="24"/>
                <w:szCs w:val="24"/>
                <w:highlight w:val="none"/>
                <w:u w:val="none"/>
                <w:lang w:val="zh-CN" w:eastAsia="zh-CN" w:bidi="zh-CN"/>
              </w:rPr>
              <w:t>《</w:t>
            </w:r>
            <w:r>
              <w:rPr>
                <w:rFonts w:hint="default" w:ascii="Times New Roman" w:hAnsi="Times New Roman" w:eastAsia="宋体" w:cs="宋体"/>
                <w:b w:val="0"/>
                <w:bCs w:val="0"/>
                <w:color w:val="auto"/>
                <w:spacing w:val="-1"/>
                <w:sz w:val="24"/>
                <w:szCs w:val="24"/>
                <w:highlight w:val="none"/>
                <w:u w:val="none"/>
                <w:lang w:val="zh-CN" w:eastAsia="zh-CN" w:bidi="zh-CN"/>
              </w:rPr>
              <w:t>怀化市生态环境分区管控基本要求暨环境管控单元</w:t>
            </w:r>
            <w:r>
              <w:rPr>
                <w:rFonts w:ascii="Times New Roman" w:hAnsi="Times New Roman" w:eastAsia="宋体" w:cs="宋体"/>
                <w:b w:val="0"/>
                <w:bCs w:val="0"/>
                <w:color w:val="auto"/>
                <w:spacing w:val="-1"/>
                <w:sz w:val="24"/>
                <w:szCs w:val="24"/>
                <w:highlight w:val="none"/>
                <w:u w:val="none"/>
                <w:lang w:val="zh-CN" w:eastAsia="zh-CN" w:bidi="zh-CN"/>
              </w:rPr>
              <w:t>（省级以上产业园区除外）生态环境准入清单</w:t>
            </w:r>
            <w:r>
              <w:rPr>
                <w:rFonts w:hint="default" w:ascii="Times New Roman" w:hAnsi="Times New Roman" w:eastAsia="宋体" w:cs="宋体"/>
                <w:b w:val="0"/>
                <w:bCs w:val="0"/>
                <w:color w:val="auto"/>
                <w:spacing w:val="-1"/>
                <w:sz w:val="24"/>
                <w:szCs w:val="24"/>
                <w:highlight w:val="none"/>
                <w:u w:val="none"/>
                <w:lang w:val="zh-CN" w:eastAsia="zh-CN" w:bidi="zh-CN"/>
              </w:rPr>
              <w:t>（2023版）</w:t>
            </w:r>
            <w:r>
              <w:rPr>
                <w:rFonts w:ascii="Times New Roman" w:hAnsi="Times New Roman" w:eastAsia="宋体" w:cs="宋体"/>
                <w:b w:val="0"/>
                <w:bCs w:val="0"/>
                <w:color w:val="auto"/>
                <w:spacing w:val="-1"/>
                <w:sz w:val="24"/>
                <w:szCs w:val="24"/>
                <w:highlight w:val="none"/>
                <w:u w:val="none"/>
                <w:lang w:val="zh-CN" w:eastAsia="zh-CN" w:bidi="zh-CN"/>
              </w:rPr>
              <w:t>》</w:t>
            </w:r>
            <w:r>
              <w:rPr>
                <w:rFonts w:ascii="Times New Roman" w:hAnsi="Times New Roman"/>
                <w:color w:val="auto"/>
                <w:spacing w:val="-1"/>
                <w:sz w:val="24"/>
                <w:szCs w:val="24"/>
                <w:highlight w:val="none"/>
                <w:u w:val="none"/>
                <w:lang w:val="zh-CN" w:eastAsia="zh-CN" w:bidi="zh-CN"/>
              </w:rPr>
              <w:t>，</w:t>
            </w:r>
            <w:r>
              <w:rPr>
                <w:rFonts w:hint="eastAsia" w:ascii="Times New Roman" w:hAnsi="Times New Roman"/>
                <w:color w:val="auto"/>
                <w:spacing w:val="-1"/>
                <w:sz w:val="24"/>
                <w:szCs w:val="24"/>
                <w:highlight w:val="none"/>
                <w:u w:val="none"/>
                <w:lang w:val="zh-CN" w:eastAsia="zh-CN" w:bidi="zh-CN"/>
              </w:rPr>
              <w:t>低庄镇</w:t>
            </w:r>
            <w:r>
              <w:rPr>
                <w:rFonts w:ascii="Times New Roman" w:hAnsi="Times New Roman"/>
                <w:color w:val="auto"/>
                <w:spacing w:val="-1"/>
                <w:sz w:val="24"/>
                <w:szCs w:val="24"/>
                <w:highlight w:val="none"/>
                <w:u w:val="none"/>
                <w:lang w:val="zh-CN" w:eastAsia="zh-CN" w:bidi="zh-CN"/>
              </w:rPr>
              <w:t>为重点管控单元。</w:t>
            </w:r>
          </w:p>
          <w:p w14:paraId="6FBF687C">
            <w:pPr>
              <w:pStyle w:val="119"/>
              <w:spacing w:before="31" w:line="362" w:lineRule="auto"/>
              <w:ind w:left="569" w:right="109" w:hanging="459"/>
              <w:jc w:val="both"/>
              <w:rPr>
                <w:rFonts w:ascii="Times New Roman" w:hAnsi="Times New Roman" w:cs="Times New Roman"/>
                <w:b/>
                <w:bCs/>
                <w:color w:val="auto"/>
                <w:spacing w:val="8"/>
                <w:sz w:val="21"/>
                <w:szCs w:val="21"/>
                <w:highlight w:val="none"/>
                <w:u w:val="none"/>
              </w:rPr>
            </w:pPr>
            <w:r>
              <w:rPr>
                <w:rFonts w:hint="default" w:ascii="Times New Roman" w:hAnsi="Times New Roman" w:eastAsia="宋体" w:cs="宋体"/>
                <w:b/>
                <w:bCs/>
                <w:color w:val="auto"/>
                <w:sz w:val="21"/>
                <w:szCs w:val="21"/>
                <w:highlight w:val="none"/>
                <w:u w:val="none"/>
                <w:lang w:val="en-US" w:eastAsia="zh-CN"/>
              </w:rPr>
              <w:t>表1-</w:t>
            </w:r>
            <w:r>
              <w:rPr>
                <w:rFonts w:hint="eastAsia" w:ascii="Times New Roman" w:hAnsi="Times New Roman" w:cs="宋体"/>
                <w:b/>
                <w:bCs/>
                <w:color w:val="auto"/>
                <w:sz w:val="21"/>
                <w:szCs w:val="21"/>
                <w:highlight w:val="none"/>
                <w:u w:val="none"/>
                <w:lang w:val="en-US" w:eastAsia="zh-CN"/>
              </w:rPr>
              <w:t>2</w:t>
            </w:r>
            <w:r>
              <w:rPr>
                <w:rFonts w:hint="default" w:ascii="Times New Roman" w:hAnsi="Times New Roman" w:eastAsia="宋体" w:cs="宋体"/>
                <w:b/>
                <w:bCs/>
                <w:color w:val="auto"/>
                <w:sz w:val="21"/>
                <w:szCs w:val="21"/>
                <w:highlight w:val="none"/>
                <w:u w:val="none"/>
                <w:lang w:val="en-US" w:eastAsia="zh-CN"/>
              </w:rPr>
              <w:t xml:space="preserve"> </w:t>
            </w:r>
            <w:r>
              <w:rPr>
                <w:rFonts w:hint="eastAsia" w:ascii="Times New Roman" w:hAnsi="Times New Roman" w:eastAsia="宋体" w:cs="宋体"/>
                <w:b/>
                <w:bCs/>
                <w:color w:val="auto"/>
                <w:sz w:val="21"/>
                <w:szCs w:val="21"/>
                <w:highlight w:val="none"/>
                <w:u w:val="none"/>
                <w:lang w:val="en-US" w:eastAsia="zh-CN"/>
              </w:rPr>
              <w:t xml:space="preserve"> </w:t>
            </w:r>
            <w:r>
              <w:rPr>
                <w:rFonts w:hint="default" w:ascii="Times New Roman" w:hAnsi="Times New Roman" w:eastAsia="宋体" w:cs="Times New Roman"/>
                <w:b/>
                <w:bCs/>
                <w:color w:val="auto"/>
                <w:sz w:val="21"/>
                <w:szCs w:val="21"/>
                <w:highlight w:val="none"/>
                <w:u w:val="none"/>
                <w:lang w:val="en-US" w:eastAsia="zh-CN"/>
              </w:rPr>
              <w:t xml:space="preserve"> </w:t>
            </w:r>
            <w:r>
              <w:rPr>
                <w:rFonts w:ascii="Times New Roman" w:hAnsi="Times New Roman" w:cs="Times New Roman"/>
                <w:b/>
                <w:bCs/>
                <w:color w:val="auto"/>
                <w:spacing w:val="6"/>
                <w:sz w:val="21"/>
                <w:szCs w:val="21"/>
                <w:highlight w:val="none"/>
                <w:u w:val="none"/>
              </w:rPr>
              <w:t>本项目与《</w:t>
            </w:r>
            <w:r>
              <w:rPr>
                <w:rFonts w:hint="default" w:ascii="Times New Roman" w:hAnsi="Times New Roman" w:cs="Times New Roman"/>
                <w:b/>
                <w:bCs/>
                <w:color w:val="auto"/>
                <w:spacing w:val="6"/>
                <w:sz w:val="21"/>
                <w:szCs w:val="21"/>
                <w:highlight w:val="none"/>
                <w:u w:val="none"/>
                <w:lang w:eastAsia="zh-CN"/>
              </w:rPr>
              <w:t>怀化市生态环境分区管控基本要求暨环境管控单元</w:t>
            </w:r>
            <w:r>
              <w:rPr>
                <w:rFonts w:ascii="Times New Roman" w:hAnsi="Times New Roman" w:cs="Times New Roman"/>
                <w:b/>
                <w:bCs/>
                <w:color w:val="auto"/>
                <w:spacing w:val="8"/>
                <w:sz w:val="21"/>
                <w:szCs w:val="21"/>
                <w:highlight w:val="none"/>
                <w:u w:val="none"/>
              </w:rPr>
              <w:t>（省级以上产业园区除外）生态环境准入清单</w:t>
            </w:r>
            <w:r>
              <w:rPr>
                <w:rFonts w:hint="default" w:ascii="Times New Roman" w:hAnsi="Times New Roman" w:cs="Times New Roman"/>
                <w:b/>
                <w:bCs/>
                <w:color w:val="auto"/>
                <w:spacing w:val="8"/>
                <w:sz w:val="21"/>
                <w:szCs w:val="21"/>
                <w:highlight w:val="none"/>
                <w:u w:val="none"/>
                <w:lang w:eastAsia="zh-CN"/>
              </w:rPr>
              <w:t>（</w:t>
            </w:r>
            <w:r>
              <w:rPr>
                <w:rFonts w:hint="default" w:ascii="Times New Roman" w:hAnsi="Times New Roman" w:cs="Times New Roman"/>
                <w:b/>
                <w:bCs/>
                <w:color w:val="auto"/>
                <w:spacing w:val="8"/>
                <w:sz w:val="21"/>
                <w:szCs w:val="21"/>
                <w:highlight w:val="none"/>
                <w:u w:val="none"/>
                <w:lang w:val="en-US" w:eastAsia="zh-CN"/>
              </w:rPr>
              <w:t>2023版</w:t>
            </w:r>
            <w:r>
              <w:rPr>
                <w:rFonts w:hint="default" w:ascii="Times New Roman" w:hAnsi="Times New Roman" w:cs="Times New Roman"/>
                <w:b/>
                <w:bCs/>
                <w:color w:val="auto"/>
                <w:spacing w:val="8"/>
                <w:sz w:val="21"/>
                <w:szCs w:val="21"/>
                <w:highlight w:val="none"/>
                <w:u w:val="none"/>
                <w:lang w:eastAsia="zh-CN"/>
              </w:rPr>
              <w:t>）</w:t>
            </w:r>
            <w:r>
              <w:rPr>
                <w:rFonts w:ascii="Times New Roman" w:hAnsi="Times New Roman" w:cs="Times New Roman"/>
                <w:b/>
                <w:bCs/>
                <w:color w:val="auto"/>
                <w:spacing w:val="8"/>
                <w:sz w:val="21"/>
                <w:szCs w:val="21"/>
                <w:highlight w:val="none"/>
                <w:u w:val="none"/>
              </w:rPr>
              <w:t>》的符合性分析一览表</w:t>
            </w:r>
          </w:p>
          <w:p w14:paraId="73D5E99D">
            <w:pPr>
              <w:pStyle w:val="119"/>
              <w:spacing w:before="31" w:line="362" w:lineRule="auto"/>
              <w:ind w:left="569" w:right="109" w:hanging="459"/>
              <w:jc w:val="center"/>
              <w:rPr>
                <w:rFonts w:hint="eastAsia" w:ascii="Times New Roman" w:hAnsi="Times New Roman" w:eastAsia="宋体" w:cs="Times New Roman"/>
                <w:b/>
                <w:bCs/>
                <w:color w:val="auto"/>
                <w:spacing w:val="8"/>
                <w:sz w:val="21"/>
                <w:szCs w:val="21"/>
                <w:highlight w:val="none"/>
                <w:u w:val="none"/>
                <w:lang w:eastAsia="zh-CN"/>
              </w:rPr>
            </w:pPr>
            <w:r>
              <w:rPr>
                <w:rFonts w:hint="eastAsia" w:ascii="Times New Roman" w:hAnsi="Times New Roman" w:cs="Times New Roman"/>
                <w:b/>
                <w:bCs/>
                <w:color w:val="auto"/>
                <w:spacing w:val="8"/>
                <w:sz w:val="21"/>
                <w:szCs w:val="21"/>
                <w:highlight w:val="none"/>
                <w:u w:val="none"/>
                <w:lang w:eastAsia="zh-CN"/>
              </w:rPr>
              <w:t>略</w:t>
            </w:r>
          </w:p>
          <w:p w14:paraId="0C7EF1FF">
            <w:pPr>
              <w:pStyle w:val="119"/>
              <w:spacing w:before="38" w:line="219" w:lineRule="auto"/>
              <w:ind w:left="118"/>
              <w:jc w:val="both"/>
              <w:rPr>
                <w:color w:val="auto"/>
                <w:sz w:val="24"/>
                <w:szCs w:val="24"/>
                <w:u w:val="none"/>
                <w:shd w:val="clear" w:color="auto" w:fill="auto"/>
              </w:rPr>
            </w:pPr>
            <w:r>
              <w:rPr>
                <w:rFonts w:hint="eastAsia" w:ascii="Times New Roman" w:hAnsi="Times New Roman" w:cs="Times New Roman"/>
                <w:b/>
                <w:bCs/>
                <w:color w:val="auto"/>
                <w:sz w:val="24"/>
                <w:szCs w:val="24"/>
                <w:highlight w:val="none"/>
                <w:u w:val="none"/>
                <w:lang w:val="en-US" w:eastAsia="zh-CN"/>
              </w:rPr>
              <w:t>2.4</w:t>
            </w:r>
            <w:r>
              <w:rPr>
                <w:b/>
                <w:bCs/>
                <w:color w:val="auto"/>
                <w:spacing w:val="-2"/>
                <w:sz w:val="24"/>
                <w:szCs w:val="24"/>
                <w:u w:val="none"/>
                <w:shd w:val="clear" w:color="auto" w:fill="auto"/>
              </w:rPr>
              <w:t>与《怀化市十四五生态环境保护规划》符</w:t>
            </w:r>
            <w:r>
              <w:rPr>
                <w:b/>
                <w:bCs/>
                <w:color w:val="auto"/>
                <w:spacing w:val="-3"/>
                <w:sz w:val="24"/>
                <w:szCs w:val="24"/>
                <w:u w:val="none"/>
                <w:shd w:val="clear" w:color="auto" w:fill="auto"/>
              </w:rPr>
              <w:t>合性分析</w:t>
            </w:r>
          </w:p>
          <w:p w14:paraId="36515582">
            <w:pPr>
              <w:pStyle w:val="122"/>
              <w:keepNext w:val="0"/>
              <w:keepLines w:val="0"/>
              <w:pageBreakBefore w:val="0"/>
              <w:widowControl w:val="0"/>
              <w:kinsoku/>
              <w:wordWrap/>
              <w:overflowPunct/>
              <w:topLinePunct w:val="0"/>
              <w:autoSpaceDE/>
              <w:autoSpaceDN/>
              <w:bidi w:val="0"/>
              <w:adjustRightInd/>
              <w:snapToGrid/>
              <w:spacing w:beforeLines="0" w:beforeAutospacing="0" w:afterLines="0" w:afterAutospacing="0"/>
              <w:ind w:firstLine="480" w:firstLineChars="200"/>
              <w:jc w:val="both"/>
              <w:textAlignment w:val="auto"/>
              <w:rPr>
                <w:color w:val="auto"/>
                <w:u w:val="none"/>
              </w:rPr>
            </w:pPr>
            <w:r>
              <w:rPr>
                <w:color w:val="auto"/>
                <w:u w:val="none"/>
              </w:rPr>
              <w:t>根据《</w:t>
            </w:r>
            <w:r>
              <w:rPr>
                <w:rFonts w:hint="eastAsia"/>
                <w:color w:val="auto"/>
                <w:u w:val="none"/>
              </w:rPr>
              <w:t>怀化市“十四五”生态环境保护规划</w:t>
            </w:r>
            <w:r>
              <w:rPr>
                <w:color w:val="auto"/>
                <w:u w:val="none"/>
              </w:rPr>
              <w:t>》：</w:t>
            </w:r>
            <w:r>
              <w:rPr>
                <w:rFonts w:hint="eastAsia"/>
                <w:color w:val="auto"/>
                <w:u w:val="none"/>
                <w:lang w:eastAsia="zh-CN"/>
              </w:rPr>
              <w:t>提</w:t>
            </w:r>
            <w:r>
              <w:rPr>
                <w:rFonts w:hint="eastAsia"/>
                <w:color w:val="auto"/>
                <w:u w:val="none"/>
              </w:rPr>
              <w:t>出</w:t>
            </w:r>
            <w:r>
              <w:rPr>
                <w:rFonts w:hint="eastAsia"/>
                <w:color w:val="auto"/>
                <w:u w:val="none"/>
                <w:lang w:eastAsia="zh-CN"/>
              </w:rPr>
              <w:t>怀化</w:t>
            </w:r>
            <w:r>
              <w:rPr>
                <w:rFonts w:hint="eastAsia"/>
                <w:color w:val="auto"/>
                <w:u w:val="none"/>
              </w:rPr>
              <w:t>市“十四五”生态环境保护“六项重点任务”。一是加快高质量低碳发展，推动经济社会绿色转型；二是实施高协同减污降碳，积极主动应对气候变化；三是持续高精准科学治污，深入打好污染防治攻坚战；四是强化高水平区域保护，推进生态系统保护修复；五是坚持高标准风险防控，防范生态环境安全风险；六是完善高起点体制机制，构建现代环境治理体系</w:t>
            </w:r>
            <w:r>
              <w:rPr>
                <w:color w:val="auto"/>
                <w:u w:val="none"/>
              </w:rPr>
              <w:t>。</w:t>
            </w:r>
            <w:r>
              <w:rPr>
                <w:rFonts w:hint="eastAsia"/>
                <w:color w:val="auto"/>
                <w:u w:val="none"/>
              </w:rPr>
              <w:t>实现怀化的绿色环境之美、绿色文化之美、绿色产业之美、绿色制度之美，奋力建设“五省边区生态文明中心城市”。</w:t>
            </w:r>
          </w:p>
          <w:p w14:paraId="0673098D">
            <w:pPr>
              <w:pStyle w:val="122"/>
              <w:keepNext w:val="0"/>
              <w:keepLines w:val="0"/>
              <w:pageBreakBefore w:val="0"/>
              <w:widowControl w:val="0"/>
              <w:kinsoku/>
              <w:wordWrap/>
              <w:overflowPunct/>
              <w:topLinePunct w:val="0"/>
              <w:autoSpaceDE/>
              <w:autoSpaceDN/>
              <w:bidi w:val="0"/>
              <w:adjustRightInd/>
              <w:snapToGrid/>
              <w:spacing w:beforeLines="0" w:beforeAutospacing="0" w:afterLines="0" w:afterAutospacing="0"/>
              <w:ind w:firstLine="480" w:firstLineChars="200"/>
              <w:jc w:val="both"/>
              <w:textAlignment w:val="auto"/>
              <w:rPr>
                <w:color w:val="auto"/>
                <w:u w:val="none"/>
              </w:rPr>
            </w:pPr>
            <w:r>
              <w:rPr>
                <w:color w:val="auto"/>
                <w:u w:val="none"/>
              </w:rPr>
              <w:t>本项目</w:t>
            </w:r>
            <w:r>
              <w:rPr>
                <w:rFonts w:hint="eastAsia"/>
                <w:color w:val="auto"/>
                <w:u w:val="none"/>
                <w:lang w:eastAsia="zh-CN"/>
              </w:rPr>
              <w:t>为综合医院</w:t>
            </w:r>
            <w:r>
              <w:rPr>
                <w:color w:val="auto"/>
                <w:u w:val="none"/>
              </w:rPr>
              <w:t>，</w:t>
            </w:r>
            <w:r>
              <w:rPr>
                <w:rFonts w:hint="eastAsia"/>
                <w:color w:val="auto"/>
                <w:u w:val="none"/>
                <w:lang w:eastAsia="zh-CN"/>
              </w:rPr>
              <w:t>不使用锅炉</w:t>
            </w:r>
            <w:r>
              <w:rPr>
                <w:rFonts w:hint="eastAsia"/>
                <w:color w:val="auto"/>
                <w:u w:val="none"/>
                <w:lang w:val="en-US" w:eastAsia="zh-CN"/>
              </w:rPr>
              <w:t>；污水处理设施为地埋式，均采用了加盖措施且</w:t>
            </w:r>
            <w:r>
              <w:rPr>
                <w:rFonts w:hint="default" w:ascii="Times New Roman" w:hAnsi="Times New Roman" w:cs="Times New Roman"/>
                <w:color w:val="auto"/>
                <w:kern w:val="0"/>
                <w:szCs w:val="21"/>
                <w:u w:val="none"/>
              </w:rPr>
              <w:t>定期喷洒除臭剂</w:t>
            </w:r>
            <w:r>
              <w:rPr>
                <w:rFonts w:hint="eastAsia" w:cs="Times New Roman"/>
                <w:color w:val="auto"/>
                <w:kern w:val="0"/>
                <w:szCs w:val="21"/>
                <w:u w:val="none"/>
                <w:lang w:eastAsia="zh-CN"/>
              </w:rPr>
              <w:t>；</w:t>
            </w:r>
            <w:r>
              <w:rPr>
                <w:rFonts w:hint="eastAsia" w:ascii="Times New Roman" w:hAnsi="Times New Roman" w:cs="Times New Roman"/>
                <w:color w:val="auto"/>
                <w:kern w:val="0"/>
                <w:szCs w:val="21"/>
                <w:u w:val="none"/>
                <w:lang w:eastAsia="zh-CN"/>
              </w:rPr>
              <w:t>备用柴油发电机燃烧废气由排烟管引至室外排放</w:t>
            </w:r>
            <w:r>
              <w:rPr>
                <w:rFonts w:hint="eastAsia" w:cs="Times New Roman"/>
                <w:color w:val="auto"/>
                <w:kern w:val="0"/>
                <w:szCs w:val="21"/>
                <w:u w:val="none"/>
                <w:lang w:eastAsia="zh-CN"/>
              </w:rPr>
              <w:t>；</w:t>
            </w:r>
            <w:r>
              <w:rPr>
                <w:rFonts w:hint="eastAsia" w:ascii="Times New Roman" w:hAnsi="Times New Roman" w:cs="Times New Roman"/>
                <w:color w:val="auto"/>
                <w:kern w:val="0"/>
                <w:szCs w:val="21"/>
                <w:u w:val="none"/>
                <w:lang w:eastAsia="zh-CN"/>
              </w:rPr>
              <w:t>危废间密闭，加强管理、及时清运、定期消毒等</w:t>
            </w:r>
            <w:r>
              <w:rPr>
                <w:rFonts w:hint="eastAsia" w:cs="Times New Roman"/>
                <w:color w:val="auto"/>
                <w:kern w:val="0"/>
                <w:szCs w:val="21"/>
                <w:u w:val="none"/>
                <w:lang w:eastAsia="zh-CN"/>
              </w:rPr>
              <w:t>；</w:t>
            </w:r>
            <w:r>
              <w:rPr>
                <w:rFonts w:hint="eastAsia" w:ascii="Times New Roman" w:hAnsi="Times New Roman" w:cs="Times New Roman"/>
                <w:color w:val="auto"/>
                <w:kern w:val="0"/>
                <w:szCs w:val="21"/>
                <w:u w:val="none"/>
                <w:lang w:eastAsia="zh-CN"/>
              </w:rPr>
              <w:t>少量</w:t>
            </w:r>
            <w:r>
              <w:rPr>
                <w:rFonts w:hint="default" w:ascii="Times New Roman" w:hAnsi="Times New Roman" w:cs="Times New Roman"/>
                <w:color w:val="auto"/>
                <w:kern w:val="0"/>
                <w:szCs w:val="21"/>
                <w:u w:val="none"/>
              </w:rPr>
              <w:t>煎药异味加强机械通风</w:t>
            </w:r>
            <w:r>
              <w:rPr>
                <w:rFonts w:hint="eastAsia" w:ascii="Times New Roman" w:hAnsi="Times New Roman" w:cs="Times New Roman"/>
                <w:color w:val="auto"/>
                <w:kern w:val="0"/>
                <w:szCs w:val="21"/>
                <w:u w:val="none"/>
                <w:lang w:eastAsia="zh-CN"/>
              </w:rPr>
              <w:t>、院内综合污水经自建污水设施处理达标后排入低庄镇污水处理厂处理。医院在各污染方面</w:t>
            </w:r>
            <w:r>
              <w:rPr>
                <w:rFonts w:hint="eastAsia"/>
                <w:color w:val="auto"/>
                <w:u w:val="none"/>
                <w:lang w:eastAsia="zh-CN"/>
              </w:rPr>
              <w:t>加强了污染防治措施，降低对环境的影响，</w:t>
            </w:r>
            <w:r>
              <w:rPr>
                <w:color w:val="auto"/>
                <w:u w:val="none"/>
              </w:rPr>
              <w:t>符合《</w:t>
            </w:r>
            <w:r>
              <w:rPr>
                <w:rFonts w:hint="eastAsia"/>
                <w:color w:val="auto"/>
                <w:u w:val="none"/>
              </w:rPr>
              <w:t>怀化市“十四五”生态环境保护规划</w:t>
            </w:r>
            <w:r>
              <w:rPr>
                <w:color w:val="auto"/>
                <w:u w:val="none"/>
              </w:rPr>
              <w:t>》要求。</w:t>
            </w:r>
          </w:p>
          <w:p w14:paraId="0A00499C">
            <w:pPr>
              <w:keepNext w:val="0"/>
              <w:keepLines w:val="0"/>
              <w:widowControl/>
              <w:suppressLineNumbers w:val="0"/>
              <w:spacing w:line="360" w:lineRule="auto"/>
              <w:ind w:firstLine="0" w:firstLineChars="0"/>
              <w:jc w:val="left"/>
              <w:rPr>
                <w:rFonts w:hint="default" w:ascii="Times New Roman" w:hAnsi="Times New Roman" w:eastAsia="宋体" w:cs="Times New Roman"/>
                <w:b/>
                <w:color w:val="auto"/>
                <w:kern w:val="0"/>
                <w:sz w:val="24"/>
                <w:szCs w:val="24"/>
                <w:u w:val="none"/>
                <w:lang w:val="en-US" w:eastAsia="zh-CN" w:bidi="ar"/>
              </w:rPr>
            </w:pPr>
            <w:r>
              <w:rPr>
                <w:rFonts w:hint="eastAsia" w:cs="Times New Roman"/>
                <w:b/>
                <w:bCs/>
                <w:color w:val="auto"/>
                <w:sz w:val="24"/>
                <w:szCs w:val="24"/>
                <w:highlight w:val="none"/>
                <w:u w:val="none"/>
                <w:lang w:val="en-US" w:eastAsia="zh-CN"/>
              </w:rPr>
              <w:t>2.5</w:t>
            </w:r>
            <w:r>
              <w:rPr>
                <w:rFonts w:hint="eastAsia" w:ascii="Times New Roman" w:hAnsi="Times New Roman" w:eastAsia="宋体" w:cs="Times New Roman"/>
                <w:b/>
                <w:bCs/>
                <w:color w:val="auto"/>
                <w:sz w:val="24"/>
                <w:szCs w:val="24"/>
                <w:highlight w:val="none"/>
                <w:u w:val="none"/>
                <w:lang w:val="en-US" w:eastAsia="zh-CN"/>
              </w:rPr>
              <w:t>与</w:t>
            </w:r>
            <w:r>
              <w:rPr>
                <w:rFonts w:hint="eastAsia" w:ascii="Times New Roman" w:hAnsi="Times New Roman" w:eastAsia="宋体" w:cs="Times New Roman"/>
                <w:b/>
                <w:color w:val="auto"/>
                <w:kern w:val="0"/>
                <w:sz w:val="24"/>
                <w:szCs w:val="24"/>
                <w:u w:val="none"/>
                <w:lang w:val="en-US" w:eastAsia="zh-CN" w:bidi="ar"/>
              </w:rPr>
              <w:t>《健康溆浦行动实施方案（2020 年-2030 年）》</w:t>
            </w:r>
            <w:r>
              <w:rPr>
                <w:rFonts w:hint="eastAsia" w:cs="Times New Roman"/>
                <w:b/>
                <w:color w:val="auto"/>
                <w:kern w:val="0"/>
                <w:sz w:val="24"/>
                <w:szCs w:val="24"/>
                <w:u w:val="none"/>
                <w:lang w:val="en-US" w:eastAsia="zh-CN" w:bidi="ar"/>
              </w:rPr>
              <w:t>（溆卫健发〔2021〕42号）</w:t>
            </w:r>
            <w:r>
              <w:rPr>
                <w:rFonts w:hint="eastAsia" w:ascii="Times New Roman" w:hAnsi="Times New Roman" w:eastAsia="宋体" w:cs="Times New Roman"/>
                <w:b/>
                <w:color w:val="auto"/>
                <w:kern w:val="0"/>
                <w:sz w:val="24"/>
                <w:szCs w:val="24"/>
                <w:u w:val="none"/>
                <w:lang w:val="en-US" w:eastAsia="zh-CN" w:bidi="ar"/>
              </w:rPr>
              <w:t>符合性分析</w:t>
            </w:r>
          </w:p>
          <w:p w14:paraId="5678171A">
            <w:pPr>
              <w:pStyle w:val="16"/>
              <w:numPr>
                <w:ilvl w:val="0"/>
                <w:numId w:val="0"/>
              </w:numPr>
              <w:spacing w:before="0" w:line="360" w:lineRule="auto"/>
              <w:ind w:leftChars="0" w:firstLine="480" w:firstLineChars="200"/>
              <w:jc w:val="left"/>
              <w:rPr>
                <w:rFonts w:hint="eastAsia" w:ascii="Times New Roman" w:hAnsi="Times New Roman" w:eastAsia="宋体" w:cs="Times New Roman"/>
                <w:i w:val="0"/>
                <w:iCs w:val="0"/>
                <w:caps w:val="0"/>
                <w:color w:val="auto"/>
                <w:spacing w:val="0"/>
                <w:kern w:val="0"/>
                <w:sz w:val="24"/>
                <w:szCs w:val="21"/>
                <w:u w:val="none"/>
                <w:shd w:val="clear"/>
                <w:lang w:eastAsia="zh-CN"/>
              </w:rPr>
            </w:pPr>
            <w:r>
              <w:rPr>
                <w:rFonts w:hint="eastAsia" w:ascii="Times New Roman" w:hAnsi="Times New Roman" w:eastAsia="宋体" w:cs="Times New Roman"/>
                <w:i w:val="0"/>
                <w:iCs w:val="0"/>
                <w:caps w:val="0"/>
                <w:color w:val="auto"/>
                <w:spacing w:val="0"/>
                <w:kern w:val="0"/>
                <w:sz w:val="24"/>
                <w:szCs w:val="21"/>
                <w:u w:val="none"/>
                <w:shd w:val="clear"/>
                <w:lang w:eastAsia="zh-CN"/>
              </w:rPr>
              <w:t>文件中提出</w:t>
            </w:r>
            <w:r>
              <w:rPr>
                <w:rFonts w:hint="eastAsia" w:ascii="Times New Roman" w:hAnsi="Times New Roman" w:eastAsia="宋体" w:cs="Times New Roman"/>
                <w:i w:val="0"/>
                <w:iCs w:val="0"/>
                <w:caps w:val="0"/>
                <w:color w:val="auto"/>
                <w:spacing w:val="0"/>
                <w:kern w:val="0"/>
                <w:sz w:val="24"/>
                <w:szCs w:val="21"/>
                <w:u w:val="none"/>
                <w:shd w:val="clear" w:fill="auto"/>
              </w:rPr>
              <w:t>到2030年，健康促进、医疗卫生和公共卫生服务等各项健康事业实现长足发展，人民群众对健康的需求得到更好满足，人人享有高质量的健康服务和高水平的健康保障，城乡居民健康素养水平大幅提升，健康生活方式基本普及，因重大慢性病导致的过早死亡率显著下降，人均预期寿命得到较大提高，健康公平基本实现</w:t>
            </w:r>
            <w:r>
              <w:rPr>
                <w:rFonts w:hint="eastAsia" w:ascii="Times New Roman" w:hAnsi="Times New Roman" w:eastAsia="宋体" w:cs="Times New Roman"/>
                <w:i w:val="0"/>
                <w:iCs w:val="0"/>
                <w:caps w:val="0"/>
                <w:color w:val="auto"/>
                <w:spacing w:val="0"/>
                <w:kern w:val="0"/>
                <w:sz w:val="24"/>
                <w:szCs w:val="21"/>
                <w:u w:val="none"/>
                <w:shd w:val="clear"/>
                <w:lang w:eastAsia="zh-CN"/>
              </w:rPr>
              <w:t>。</w:t>
            </w:r>
          </w:p>
          <w:p w14:paraId="45D90057">
            <w:pPr>
              <w:pStyle w:val="16"/>
              <w:numPr>
                <w:ilvl w:val="0"/>
                <w:numId w:val="0"/>
              </w:numPr>
              <w:spacing w:before="0" w:line="360" w:lineRule="auto"/>
              <w:ind w:leftChars="0" w:firstLine="480" w:firstLineChars="200"/>
              <w:jc w:val="left"/>
              <w:rPr>
                <w:rFonts w:hint="eastAsia" w:ascii="Times New Roman" w:hAnsi="Times New Roman" w:eastAsia="宋体" w:cs="Times New Roman"/>
                <w:b w:val="0"/>
                <w:color w:val="auto"/>
                <w:spacing w:val="0"/>
                <w:kern w:val="0"/>
                <w:sz w:val="24"/>
                <w:szCs w:val="21"/>
                <w:u w:val="none"/>
                <w:lang w:val="en-US" w:eastAsia="zh-CN" w:bidi="ar"/>
              </w:rPr>
            </w:pPr>
            <w:r>
              <w:rPr>
                <w:rFonts w:hint="eastAsia" w:ascii="Times New Roman" w:hAnsi="Times New Roman" w:eastAsia="宋体" w:cs="Times New Roman"/>
                <w:i w:val="0"/>
                <w:iCs w:val="0"/>
                <w:caps w:val="0"/>
                <w:color w:val="auto"/>
                <w:spacing w:val="0"/>
                <w:kern w:val="0"/>
                <w:sz w:val="24"/>
                <w:szCs w:val="21"/>
                <w:u w:val="none"/>
                <w:shd w:val="clear"/>
                <w:lang w:val="en-US" w:eastAsia="zh-CN"/>
              </w:rPr>
              <w:t>本项目建设旨在提高低庄镇人民的医疗条件，</w:t>
            </w:r>
            <w:r>
              <w:rPr>
                <w:rFonts w:hint="eastAsia" w:ascii="Times New Roman" w:hAnsi="Times New Roman" w:eastAsia="宋体" w:cs="Times New Roman"/>
                <w:i w:val="0"/>
                <w:iCs w:val="0"/>
                <w:caps w:val="0"/>
                <w:color w:val="auto"/>
                <w:spacing w:val="0"/>
                <w:kern w:val="0"/>
                <w:sz w:val="24"/>
                <w:szCs w:val="21"/>
                <w:u w:val="none"/>
                <w:shd w:val="clear"/>
              </w:rPr>
              <w:t>促进、医疗卫生和公共卫生服务等各项健康事业实现长足发展</w:t>
            </w:r>
            <w:r>
              <w:rPr>
                <w:rFonts w:hint="eastAsia" w:ascii="Times New Roman" w:hAnsi="Times New Roman" w:eastAsia="宋体" w:cs="Times New Roman"/>
                <w:i w:val="0"/>
                <w:iCs w:val="0"/>
                <w:caps w:val="0"/>
                <w:color w:val="auto"/>
                <w:spacing w:val="0"/>
                <w:kern w:val="0"/>
                <w:sz w:val="24"/>
                <w:szCs w:val="21"/>
                <w:u w:val="none"/>
                <w:shd w:val="clear"/>
                <w:lang w:eastAsia="zh-CN"/>
              </w:rPr>
              <w:t>，</w:t>
            </w:r>
            <w:r>
              <w:rPr>
                <w:rFonts w:hint="eastAsia" w:ascii="Times New Roman" w:hAnsi="Times New Roman" w:eastAsia="宋体" w:cs="Times New Roman"/>
                <w:i w:val="0"/>
                <w:iCs w:val="0"/>
                <w:caps w:val="0"/>
                <w:color w:val="auto"/>
                <w:spacing w:val="0"/>
                <w:kern w:val="0"/>
                <w:sz w:val="24"/>
                <w:szCs w:val="21"/>
                <w:u w:val="none"/>
                <w:shd w:val="clear"/>
                <w:lang w:val="en-US" w:eastAsia="zh-CN"/>
              </w:rPr>
              <w:t>与《</w:t>
            </w:r>
            <w:r>
              <w:rPr>
                <w:rFonts w:hint="eastAsia" w:ascii="Times New Roman" w:hAnsi="Times New Roman" w:eastAsia="宋体" w:cs="Times New Roman"/>
                <w:b w:val="0"/>
                <w:color w:val="auto"/>
                <w:spacing w:val="0"/>
                <w:kern w:val="0"/>
                <w:sz w:val="24"/>
                <w:szCs w:val="21"/>
                <w:u w:val="none"/>
                <w:lang w:val="en-US" w:eastAsia="zh-CN" w:bidi="ar"/>
              </w:rPr>
              <w:t>健康溆浦行动实施方案（2020 年-2030 年）》相符合。</w:t>
            </w:r>
          </w:p>
          <w:p w14:paraId="1B07FDCD">
            <w:pPr>
              <w:jc w:val="both"/>
              <w:rPr>
                <w:rFonts w:hint="eastAsia" w:ascii="Times New Roman" w:hAnsi="Times New Roman" w:eastAsia="宋体" w:cs="Times New Roman"/>
                <w:b/>
                <w:color w:val="FF0000"/>
                <w:kern w:val="0"/>
                <w:sz w:val="24"/>
                <w:szCs w:val="24"/>
                <w:u w:val="single"/>
                <w:lang w:val="en-US" w:eastAsia="zh-CN" w:bidi="ar"/>
              </w:rPr>
            </w:pPr>
            <w:r>
              <w:rPr>
                <w:rFonts w:hint="eastAsia" w:cs="Times New Roman"/>
                <w:b/>
                <w:bCs/>
                <w:color w:val="FF0000"/>
                <w:sz w:val="24"/>
                <w:szCs w:val="24"/>
                <w:highlight w:val="none"/>
                <w:u w:val="single"/>
                <w:lang w:val="en-US" w:eastAsia="zh-CN"/>
              </w:rPr>
              <w:t>2.6</w:t>
            </w:r>
            <w:r>
              <w:rPr>
                <w:rFonts w:hint="eastAsia" w:ascii="Times New Roman" w:hAnsi="Times New Roman" w:eastAsia="宋体" w:cs="Times New Roman"/>
                <w:b/>
                <w:bCs/>
                <w:color w:val="FF0000"/>
                <w:sz w:val="24"/>
                <w:szCs w:val="24"/>
                <w:highlight w:val="none"/>
                <w:u w:val="single"/>
                <w:lang w:val="en-US" w:eastAsia="zh-CN"/>
              </w:rPr>
              <w:t>与</w:t>
            </w:r>
            <w:r>
              <w:rPr>
                <w:rFonts w:hint="eastAsia" w:ascii="Times New Roman" w:hAnsi="Times New Roman" w:eastAsia="宋体" w:cs="Times New Roman"/>
                <w:b/>
                <w:color w:val="FF0000"/>
                <w:kern w:val="0"/>
                <w:sz w:val="24"/>
                <w:szCs w:val="24"/>
                <w:u w:val="single"/>
                <w:lang w:val="en-US" w:eastAsia="zh-CN" w:bidi="ar"/>
              </w:rPr>
              <w:t>《</w:t>
            </w:r>
            <w:r>
              <w:rPr>
                <w:rFonts w:hint="eastAsia" w:cs="Times New Roman"/>
                <w:b/>
                <w:color w:val="FF0000"/>
                <w:kern w:val="0"/>
                <w:sz w:val="24"/>
                <w:szCs w:val="24"/>
                <w:u w:val="single"/>
                <w:lang w:val="en-US" w:eastAsia="zh-CN" w:bidi="ar"/>
              </w:rPr>
              <w:t>医疗机构管理条例</w:t>
            </w:r>
            <w:r>
              <w:rPr>
                <w:rFonts w:hint="eastAsia" w:ascii="Times New Roman" w:hAnsi="Times New Roman" w:eastAsia="宋体" w:cs="Times New Roman"/>
                <w:b/>
                <w:color w:val="FF0000"/>
                <w:kern w:val="0"/>
                <w:sz w:val="24"/>
                <w:szCs w:val="24"/>
                <w:u w:val="single"/>
                <w:lang w:val="en-US" w:eastAsia="zh-CN" w:bidi="ar"/>
              </w:rPr>
              <w:t>》</w:t>
            </w:r>
            <w:r>
              <w:rPr>
                <w:rFonts w:hint="eastAsia" w:cs="Times New Roman"/>
                <w:b/>
                <w:color w:val="FF0000"/>
                <w:kern w:val="0"/>
                <w:sz w:val="24"/>
                <w:szCs w:val="24"/>
                <w:u w:val="single"/>
                <w:lang w:val="en-US" w:eastAsia="zh-CN" w:bidi="ar"/>
              </w:rPr>
              <w:t>（2022年修订）</w:t>
            </w:r>
            <w:r>
              <w:rPr>
                <w:rFonts w:hint="eastAsia" w:ascii="Times New Roman" w:hAnsi="Times New Roman" w:eastAsia="宋体" w:cs="Times New Roman"/>
                <w:b/>
                <w:color w:val="FF0000"/>
                <w:kern w:val="0"/>
                <w:sz w:val="24"/>
                <w:szCs w:val="24"/>
                <w:u w:val="single"/>
                <w:lang w:val="en-US" w:eastAsia="zh-CN" w:bidi="ar"/>
              </w:rPr>
              <w:t>符合性分析</w:t>
            </w:r>
          </w:p>
          <w:p w14:paraId="622E5029">
            <w:pPr>
              <w:pStyle w:val="58"/>
              <w:widowControl w:val="0"/>
              <w:spacing w:line="360" w:lineRule="auto"/>
              <w:rPr>
                <w:rFonts w:cs="Times New Roman"/>
                <w:b/>
                <w:bCs/>
                <w:color w:val="FF0000"/>
                <w:sz w:val="21"/>
                <w:szCs w:val="21"/>
                <w:highlight w:val="none"/>
                <w:u w:val="single"/>
              </w:rPr>
            </w:pPr>
            <w:r>
              <w:rPr>
                <w:rFonts w:hint="eastAsia" w:cs="Times New Roman"/>
                <w:b/>
                <w:bCs/>
                <w:color w:val="FF0000"/>
                <w:sz w:val="21"/>
                <w:szCs w:val="21"/>
                <w:highlight w:val="none"/>
                <w:u w:val="single"/>
              </w:rPr>
              <w:t>表1</w:t>
            </w:r>
            <w:r>
              <w:rPr>
                <w:rFonts w:cs="Times New Roman"/>
                <w:b/>
                <w:bCs/>
                <w:color w:val="FF0000"/>
                <w:sz w:val="21"/>
                <w:szCs w:val="21"/>
                <w:highlight w:val="none"/>
                <w:u w:val="single"/>
              </w:rPr>
              <w:t>-</w:t>
            </w:r>
            <w:r>
              <w:rPr>
                <w:rFonts w:hint="eastAsia" w:cs="Times New Roman"/>
                <w:b/>
                <w:bCs/>
                <w:color w:val="FF0000"/>
                <w:sz w:val="21"/>
                <w:szCs w:val="21"/>
                <w:highlight w:val="none"/>
                <w:u w:val="single"/>
                <w:lang w:val="en-US" w:eastAsia="zh-CN"/>
              </w:rPr>
              <w:t>3</w:t>
            </w:r>
            <w:r>
              <w:rPr>
                <w:rFonts w:cs="Times New Roman"/>
                <w:b/>
                <w:bCs/>
                <w:color w:val="FF0000"/>
                <w:sz w:val="21"/>
                <w:szCs w:val="21"/>
                <w:highlight w:val="none"/>
                <w:u w:val="single"/>
              </w:rPr>
              <w:t xml:space="preserve"> </w:t>
            </w:r>
            <w:r>
              <w:rPr>
                <w:rFonts w:hint="eastAsia" w:cs="Times New Roman"/>
                <w:b/>
                <w:bCs/>
                <w:color w:val="FF0000"/>
                <w:sz w:val="21"/>
                <w:szCs w:val="21"/>
                <w:highlight w:val="none"/>
                <w:u w:val="single"/>
                <w:lang w:val="en-US" w:eastAsia="zh-CN"/>
              </w:rPr>
              <w:t xml:space="preserve">  </w:t>
            </w:r>
            <w:r>
              <w:rPr>
                <w:rFonts w:hint="eastAsia" w:cs="Times New Roman"/>
                <w:b/>
                <w:bCs/>
                <w:color w:val="FF0000"/>
                <w:sz w:val="21"/>
                <w:szCs w:val="21"/>
                <w:highlight w:val="none"/>
                <w:u w:val="single"/>
              </w:rPr>
              <w:t>本</w:t>
            </w:r>
            <w:r>
              <w:rPr>
                <w:rFonts w:cs="Times New Roman"/>
                <w:b/>
                <w:bCs/>
                <w:color w:val="FF0000"/>
                <w:sz w:val="21"/>
                <w:szCs w:val="21"/>
                <w:highlight w:val="none"/>
                <w:u w:val="single"/>
              </w:rPr>
              <w:t>项目</w:t>
            </w:r>
            <w:r>
              <w:rPr>
                <w:rFonts w:hint="eastAsia" w:ascii="Times New Roman" w:hAnsi="Times New Roman" w:eastAsia="宋体" w:cs="Times New Roman"/>
                <w:b/>
                <w:color w:val="FF0000"/>
                <w:kern w:val="0"/>
                <w:sz w:val="21"/>
                <w:szCs w:val="21"/>
                <w:u w:val="single"/>
                <w:lang w:val="en-US" w:eastAsia="zh-CN" w:bidi="ar"/>
              </w:rPr>
              <w:t>《</w:t>
            </w:r>
            <w:r>
              <w:rPr>
                <w:rFonts w:hint="eastAsia" w:cs="Times New Roman"/>
                <w:b/>
                <w:color w:val="FF0000"/>
                <w:kern w:val="0"/>
                <w:sz w:val="21"/>
                <w:szCs w:val="21"/>
                <w:u w:val="single"/>
                <w:lang w:val="en-US" w:eastAsia="zh-CN" w:bidi="ar"/>
              </w:rPr>
              <w:t>医疗机构管理条例</w:t>
            </w:r>
            <w:r>
              <w:rPr>
                <w:rFonts w:hint="eastAsia" w:ascii="Times New Roman" w:hAnsi="Times New Roman" w:eastAsia="宋体" w:cs="Times New Roman"/>
                <w:b/>
                <w:color w:val="FF0000"/>
                <w:kern w:val="0"/>
                <w:sz w:val="21"/>
                <w:szCs w:val="21"/>
                <w:u w:val="single"/>
                <w:lang w:val="en-US" w:eastAsia="zh-CN" w:bidi="ar"/>
              </w:rPr>
              <w:t>》</w:t>
            </w:r>
            <w:r>
              <w:rPr>
                <w:rFonts w:hint="eastAsia" w:cs="Times New Roman"/>
                <w:b/>
                <w:color w:val="FF0000"/>
                <w:kern w:val="0"/>
                <w:sz w:val="21"/>
                <w:szCs w:val="21"/>
                <w:u w:val="single"/>
                <w:lang w:val="en-US" w:eastAsia="zh-CN" w:bidi="ar"/>
              </w:rPr>
              <w:t>符合性</w:t>
            </w:r>
            <w:r>
              <w:rPr>
                <w:rFonts w:cs="Times New Roman"/>
                <w:b/>
                <w:bCs/>
                <w:color w:val="FF0000"/>
                <w:sz w:val="21"/>
                <w:szCs w:val="21"/>
                <w:highlight w:val="none"/>
                <w:u w:val="single"/>
              </w:rPr>
              <w:t>分析</w:t>
            </w:r>
          </w:p>
          <w:tbl>
            <w:tblPr>
              <w:tblStyle w:val="35"/>
              <w:tblW w:w="8343" w:type="dxa"/>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9"/>
              <w:gridCol w:w="3302"/>
              <w:gridCol w:w="2778"/>
              <w:gridCol w:w="914"/>
            </w:tblGrid>
            <w:tr w14:paraId="30166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tcPr>
                <w:p w14:paraId="06133FB3">
                  <w:pPr>
                    <w:jc w:val="center"/>
                    <w:rPr>
                      <w:rFonts w:hint="eastAsia" w:ascii="Times New Roman" w:hAnsi="Times New Roman" w:eastAsia="宋体" w:cs="Times New Roman"/>
                      <w:b/>
                      <w:color w:val="FF0000"/>
                      <w:kern w:val="0"/>
                      <w:sz w:val="21"/>
                      <w:szCs w:val="21"/>
                      <w:u w:val="single"/>
                      <w:vertAlign w:val="baseline"/>
                      <w:lang w:val="en-US" w:eastAsia="zh-CN" w:bidi="ar"/>
                    </w:rPr>
                  </w:pPr>
                  <w:r>
                    <w:rPr>
                      <w:rFonts w:hint="eastAsia" w:cs="Times New Roman"/>
                      <w:b/>
                      <w:color w:val="FF0000"/>
                      <w:kern w:val="0"/>
                      <w:sz w:val="21"/>
                      <w:szCs w:val="21"/>
                      <w:u w:val="single"/>
                      <w:vertAlign w:val="baseline"/>
                      <w:lang w:val="en-US" w:eastAsia="zh-CN" w:bidi="ar"/>
                    </w:rPr>
                    <w:t>序号</w:t>
                  </w:r>
                </w:p>
              </w:tc>
              <w:tc>
                <w:tcPr>
                  <w:tcW w:w="3302" w:type="dxa"/>
                </w:tcPr>
                <w:p w14:paraId="4A4C4B55">
                  <w:pPr>
                    <w:jc w:val="center"/>
                    <w:rPr>
                      <w:rFonts w:hint="eastAsia" w:ascii="Times New Roman" w:hAnsi="Times New Roman" w:eastAsia="宋体" w:cs="Times New Roman"/>
                      <w:b/>
                      <w:color w:val="FF0000"/>
                      <w:kern w:val="0"/>
                      <w:sz w:val="21"/>
                      <w:szCs w:val="21"/>
                      <w:u w:val="single"/>
                      <w:vertAlign w:val="baseline"/>
                      <w:lang w:val="en-US" w:eastAsia="zh-CN" w:bidi="ar"/>
                    </w:rPr>
                  </w:pPr>
                  <w:r>
                    <w:rPr>
                      <w:rFonts w:hint="eastAsia" w:cs="Times New Roman"/>
                      <w:b/>
                      <w:color w:val="FF0000"/>
                      <w:kern w:val="0"/>
                      <w:sz w:val="21"/>
                      <w:szCs w:val="21"/>
                      <w:u w:val="single"/>
                      <w:vertAlign w:val="baseline"/>
                      <w:lang w:val="en-US" w:eastAsia="zh-CN" w:bidi="ar"/>
                    </w:rPr>
                    <w:t>条例规定</w:t>
                  </w:r>
                </w:p>
              </w:tc>
              <w:tc>
                <w:tcPr>
                  <w:tcW w:w="2778" w:type="dxa"/>
                </w:tcPr>
                <w:p w14:paraId="7C30F0A2">
                  <w:pPr>
                    <w:jc w:val="center"/>
                    <w:rPr>
                      <w:rFonts w:hint="eastAsia" w:ascii="Times New Roman" w:hAnsi="Times New Roman" w:eastAsia="宋体" w:cs="Times New Roman"/>
                      <w:b/>
                      <w:color w:val="FF0000"/>
                      <w:kern w:val="0"/>
                      <w:sz w:val="21"/>
                      <w:szCs w:val="21"/>
                      <w:u w:val="single"/>
                      <w:vertAlign w:val="baseline"/>
                      <w:lang w:val="en-US" w:eastAsia="zh-CN" w:bidi="ar"/>
                    </w:rPr>
                  </w:pPr>
                  <w:r>
                    <w:rPr>
                      <w:rFonts w:hint="eastAsia" w:cs="Times New Roman"/>
                      <w:b/>
                      <w:color w:val="FF0000"/>
                      <w:kern w:val="0"/>
                      <w:sz w:val="21"/>
                      <w:szCs w:val="21"/>
                      <w:u w:val="single"/>
                      <w:vertAlign w:val="baseline"/>
                      <w:lang w:val="en-US" w:eastAsia="zh-CN" w:bidi="ar"/>
                    </w:rPr>
                    <w:t>本项目情况</w:t>
                  </w:r>
                </w:p>
              </w:tc>
              <w:tc>
                <w:tcPr>
                  <w:tcW w:w="914" w:type="dxa"/>
                </w:tcPr>
                <w:p w14:paraId="1873F33C">
                  <w:pPr>
                    <w:jc w:val="center"/>
                    <w:rPr>
                      <w:rFonts w:hint="eastAsia" w:ascii="Times New Roman" w:hAnsi="Times New Roman" w:eastAsia="宋体" w:cs="Times New Roman"/>
                      <w:b/>
                      <w:color w:val="FF0000"/>
                      <w:kern w:val="0"/>
                      <w:sz w:val="21"/>
                      <w:szCs w:val="21"/>
                      <w:u w:val="single"/>
                      <w:vertAlign w:val="baseline"/>
                      <w:lang w:val="en-US" w:eastAsia="zh-CN" w:bidi="ar"/>
                    </w:rPr>
                  </w:pPr>
                  <w:r>
                    <w:rPr>
                      <w:rFonts w:hint="eastAsia" w:cs="Times New Roman"/>
                      <w:b/>
                      <w:color w:val="FF0000"/>
                      <w:kern w:val="0"/>
                      <w:sz w:val="21"/>
                      <w:szCs w:val="21"/>
                      <w:u w:val="single"/>
                      <w:vertAlign w:val="baseline"/>
                      <w:lang w:val="en-US" w:eastAsia="zh-CN" w:bidi="ar"/>
                    </w:rPr>
                    <w:t>符合性</w:t>
                  </w:r>
                </w:p>
              </w:tc>
            </w:tr>
            <w:tr w14:paraId="5BD64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tcPr>
                <w:p w14:paraId="190E7C6C">
                  <w:pPr>
                    <w:jc w:val="both"/>
                    <w:rPr>
                      <w:rFonts w:hint="eastAsia" w:ascii="Times New Roman" w:hAnsi="Times New Roman" w:eastAsia="宋体" w:cs="Times New Roman"/>
                      <w:b w:val="0"/>
                      <w:bCs/>
                      <w:color w:val="FF0000"/>
                      <w:kern w:val="0"/>
                      <w:sz w:val="21"/>
                      <w:szCs w:val="21"/>
                      <w:u w:val="single"/>
                      <w:vertAlign w:val="baseline"/>
                      <w:lang w:val="en-US" w:eastAsia="zh-CN" w:bidi="ar"/>
                    </w:rPr>
                  </w:pPr>
                  <w:r>
                    <w:rPr>
                      <w:rFonts w:hint="eastAsia" w:ascii="Times New Roman" w:hAnsi="Times New Roman" w:eastAsia="宋体" w:cs="Times New Roman"/>
                      <w:b w:val="0"/>
                      <w:bCs/>
                      <w:color w:val="FF0000"/>
                      <w:kern w:val="0"/>
                      <w:sz w:val="21"/>
                      <w:szCs w:val="21"/>
                      <w:u w:val="single"/>
                      <w:vertAlign w:val="baseline"/>
                      <w:lang w:val="en-US" w:eastAsia="zh-CN" w:bidi="ar"/>
                    </w:rPr>
                    <w:t>第</w:t>
                  </w:r>
                  <w:r>
                    <w:rPr>
                      <w:rFonts w:hint="eastAsia" w:cs="Times New Roman"/>
                      <w:b w:val="0"/>
                      <w:bCs/>
                      <w:color w:val="FF0000"/>
                      <w:kern w:val="0"/>
                      <w:sz w:val="21"/>
                      <w:szCs w:val="21"/>
                      <w:u w:val="single"/>
                      <w:vertAlign w:val="baseline"/>
                      <w:lang w:val="en-US" w:eastAsia="zh-CN" w:bidi="ar"/>
                    </w:rPr>
                    <w:t>十四</w:t>
                  </w:r>
                  <w:r>
                    <w:rPr>
                      <w:rFonts w:hint="eastAsia" w:ascii="Times New Roman" w:hAnsi="Times New Roman" w:eastAsia="宋体" w:cs="Times New Roman"/>
                      <w:b w:val="0"/>
                      <w:bCs/>
                      <w:color w:val="FF0000"/>
                      <w:kern w:val="0"/>
                      <w:sz w:val="21"/>
                      <w:szCs w:val="21"/>
                      <w:u w:val="single"/>
                      <w:vertAlign w:val="baseline"/>
                      <w:lang w:val="en-US" w:eastAsia="zh-CN" w:bidi="ar"/>
                    </w:rPr>
                    <w:t>条</w:t>
                  </w:r>
                </w:p>
              </w:tc>
              <w:tc>
                <w:tcPr>
                  <w:tcW w:w="3302" w:type="dxa"/>
                </w:tcPr>
                <w:p w14:paraId="0D48271F">
                  <w:pPr>
                    <w:jc w:val="both"/>
                    <w:rPr>
                      <w:rFonts w:hint="eastAsia" w:ascii="Times New Roman" w:hAnsi="Times New Roman" w:eastAsia="宋体" w:cs="Times New Roman"/>
                      <w:b w:val="0"/>
                      <w:bCs/>
                      <w:color w:val="FF0000"/>
                      <w:kern w:val="0"/>
                      <w:sz w:val="21"/>
                      <w:szCs w:val="21"/>
                      <w:u w:val="single"/>
                      <w:vertAlign w:val="baseline"/>
                      <w:lang w:val="en-US" w:eastAsia="zh-CN" w:bidi="ar"/>
                    </w:rPr>
                  </w:pPr>
                  <w:r>
                    <w:rPr>
                      <w:rFonts w:hint="eastAsia" w:ascii="Times New Roman" w:hAnsi="Times New Roman" w:eastAsia="宋体" w:cs="Times New Roman"/>
                      <w:b w:val="0"/>
                      <w:bCs/>
                      <w:color w:val="FF0000"/>
                      <w:kern w:val="0"/>
                      <w:sz w:val="21"/>
                      <w:szCs w:val="21"/>
                      <w:u w:val="single"/>
                      <w:vertAlign w:val="baseline"/>
                      <w:lang w:val="en-US" w:eastAsia="zh-CN" w:bidi="ar"/>
                    </w:rPr>
                    <w:t>医疗机构执业，必须进行登记，领取《医疗机构执业许可证》;诊所按照国务院卫生行政部门的规定向所在地的县级人民政府卫生行政部门备案后，可以执业。</w:t>
                  </w:r>
                </w:p>
              </w:tc>
              <w:tc>
                <w:tcPr>
                  <w:tcW w:w="2778" w:type="dxa"/>
                </w:tcPr>
                <w:p w14:paraId="14134CB4">
                  <w:pPr>
                    <w:jc w:val="both"/>
                    <w:rPr>
                      <w:rFonts w:hint="eastAsia" w:ascii="Times New Roman" w:hAnsi="Times New Roman" w:eastAsia="宋体" w:cs="Times New Roman"/>
                      <w:b/>
                      <w:color w:val="FF0000"/>
                      <w:kern w:val="0"/>
                      <w:sz w:val="21"/>
                      <w:szCs w:val="21"/>
                      <w:u w:val="single"/>
                      <w:vertAlign w:val="baseline"/>
                      <w:lang w:val="en-US" w:eastAsia="zh-CN" w:bidi="ar"/>
                    </w:rPr>
                  </w:pPr>
                  <w:r>
                    <w:rPr>
                      <w:rFonts w:hint="eastAsia" w:cs="Times New Roman"/>
                      <w:b w:val="0"/>
                      <w:bCs/>
                      <w:color w:val="FF0000"/>
                      <w:kern w:val="0"/>
                      <w:sz w:val="21"/>
                      <w:szCs w:val="21"/>
                      <w:u w:val="single"/>
                      <w:vertAlign w:val="baseline"/>
                      <w:lang w:val="en-US" w:eastAsia="zh-CN" w:bidi="ar"/>
                    </w:rPr>
                    <w:t>项目建成后向当地卫健局申请</w:t>
                  </w:r>
                  <w:r>
                    <w:rPr>
                      <w:rFonts w:hint="eastAsia" w:ascii="Times New Roman" w:hAnsi="Times New Roman" w:eastAsia="宋体" w:cs="Times New Roman"/>
                      <w:b w:val="0"/>
                      <w:bCs/>
                      <w:color w:val="FF0000"/>
                      <w:kern w:val="0"/>
                      <w:sz w:val="21"/>
                      <w:szCs w:val="21"/>
                      <w:u w:val="single"/>
                      <w:vertAlign w:val="baseline"/>
                      <w:lang w:val="en-US" w:eastAsia="zh-CN" w:bidi="ar"/>
                    </w:rPr>
                    <w:t>《医疗机构执业许可证》</w:t>
                  </w:r>
                  <w:r>
                    <w:rPr>
                      <w:rFonts w:hint="eastAsia" w:cs="Times New Roman"/>
                      <w:b w:val="0"/>
                      <w:bCs/>
                      <w:color w:val="FF0000"/>
                      <w:kern w:val="0"/>
                      <w:sz w:val="21"/>
                      <w:szCs w:val="21"/>
                      <w:u w:val="single"/>
                      <w:vertAlign w:val="baseline"/>
                      <w:lang w:val="en-US" w:eastAsia="zh-CN" w:bidi="ar"/>
                    </w:rPr>
                    <w:t>，取得许可证后方可运营</w:t>
                  </w:r>
                </w:p>
              </w:tc>
              <w:tc>
                <w:tcPr>
                  <w:tcW w:w="914" w:type="dxa"/>
                </w:tcPr>
                <w:p w14:paraId="7E35B46C">
                  <w:pPr>
                    <w:jc w:val="center"/>
                    <w:rPr>
                      <w:rFonts w:hint="eastAsia" w:ascii="Times New Roman" w:hAnsi="Times New Roman" w:eastAsia="宋体" w:cs="Times New Roman"/>
                      <w:b/>
                      <w:color w:val="FF0000"/>
                      <w:kern w:val="0"/>
                      <w:sz w:val="21"/>
                      <w:szCs w:val="21"/>
                      <w:u w:val="single"/>
                      <w:vertAlign w:val="baseline"/>
                      <w:lang w:val="en-US" w:eastAsia="zh-CN" w:bidi="ar"/>
                    </w:rPr>
                  </w:pPr>
                  <w:r>
                    <w:rPr>
                      <w:rFonts w:hint="eastAsia" w:cs="Times New Roman"/>
                      <w:b w:val="0"/>
                      <w:bCs/>
                      <w:color w:val="FF0000"/>
                      <w:kern w:val="0"/>
                      <w:sz w:val="21"/>
                      <w:szCs w:val="21"/>
                      <w:u w:val="single"/>
                      <w:vertAlign w:val="baseline"/>
                      <w:lang w:val="en-US" w:eastAsia="zh-CN" w:bidi="ar"/>
                    </w:rPr>
                    <w:t>符合</w:t>
                  </w:r>
                </w:p>
              </w:tc>
            </w:tr>
            <w:tr w14:paraId="61DC7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tcPr>
                <w:p w14:paraId="7594E5A2">
                  <w:pPr>
                    <w:jc w:val="both"/>
                    <w:rPr>
                      <w:rFonts w:hint="eastAsia" w:ascii="Times New Roman" w:hAnsi="Times New Roman" w:eastAsia="宋体" w:cs="Times New Roman"/>
                      <w:b w:val="0"/>
                      <w:bCs/>
                      <w:color w:val="FF0000"/>
                      <w:kern w:val="0"/>
                      <w:sz w:val="21"/>
                      <w:szCs w:val="21"/>
                      <w:u w:val="single"/>
                      <w:vertAlign w:val="baseline"/>
                      <w:lang w:val="en-US" w:eastAsia="zh-CN" w:bidi="ar"/>
                    </w:rPr>
                  </w:pPr>
                  <w:r>
                    <w:rPr>
                      <w:rFonts w:hint="eastAsia" w:ascii="Times New Roman" w:hAnsi="Times New Roman" w:eastAsia="宋体" w:cs="Times New Roman"/>
                      <w:b w:val="0"/>
                      <w:bCs/>
                      <w:color w:val="FF0000"/>
                      <w:kern w:val="0"/>
                      <w:sz w:val="21"/>
                      <w:szCs w:val="21"/>
                      <w:u w:val="single"/>
                      <w:vertAlign w:val="baseline"/>
                      <w:lang w:val="en-US" w:eastAsia="zh-CN" w:bidi="ar"/>
                    </w:rPr>
                    <w:t>第十九条</w:t>
                  </w:r>
                </w:p>
              </w:tc>
              <w:tc>
                <w:tcPr>
                  <w:tcW w:w="3302" w:type="dxa"/>
                </w:tcPr>
                <w:p w14:paraId="13FFAE67">
                  <w:pPr>
                    <w:jc w:val="both"/>
                    <w:rPr>
                      <w:rFonts w:hint="eastAsia" w:ascii="Times New Roman" w:hAnsi="Times New Roman" w:eastAsia="宋体" w:cs="Times New Roman"/>
                      <w:b w:val="0"/>
                      <w:bCs/>
                      <w:color w:val="FF0000"/>
                      <w:kern w:val="0"/>
                      <w:sz w:val="21"/>
                      <w:szCs w:val="21"/>
                      <w:u w:val="single"/>
                      <w:vertAlign w:val="baseline"/>
                      <w:lang w:val="en-US" w:eastAsia="zh-CN" w:bidi="ar"/>
                    </w:rPr>
                  </w:pPr>
                  <w:r>
                    <w:rPr>
                      <w:rFonts w:hint="eastAsia" w:ascii="Times New Roman" w:hAnsi="Times New Roman" w:eastAsia="宋体" w:cs="Times New Roman"/>
                      <w:b w:val="0"/>
                      <w:bCs/>
                      <w:color w:val="FF0000"/>
                      <w:kern w:val="0"/>
                      <w:sz w:val="21"/>
                      <w:szCs w:val="21"/>
                      <w:u w:val="single"/>
                      <w:vertAlign w:val="baseline"/>
                      <w:lang w:val="en-US" w:eastAsia="zh-CN" w:bidi="ar"/>
                    </w:rPr>
                    <w:t>医疗机构改变名称、场所、主要负责人、诊疗科目、床位，必须向原登记机关办理变更登记或者向原备案机关备案。</w:t>
                  </w:r>
                </w:p>
              </w:tc>
              <w:tc>
                <w:tcPr>
                  <w:tcW w:w="2778" w:type="dxa"/>
                </w:tcPr>
                <w:p w14:paraId="67B9D3D2">
                  <w:pPr>
                    <w:jc w:val="both"/>
                    <w:rPr>
                      <w:rFonts w:hint="eastAsia" w:ascii="Times New Roman" w:hAnsi="Times New Roman" w:eastAsia="宋体" w:cs="Times New Roman"/>
                      <w:b w:val="0"/>
                      <w:bCs/>
                      <w:color w:val="FF0000"/>
                      <w:kern w:val="0"/>
                      <w:sz w:val="21"/>
                      <w:szCs w:val="21"/>
                      <w:u w:val="single"/>
                      <w:vertAlign w:val="baseline"/>
                      <w:lang w:val="en-US" w:eastAsia="zh-CN" w:bidi="ar"/>
                    </w:rPr>
                  </w:pPr>
                  <w:r>
                    <w:rPr>
                      <w:rFonts w:hint="eastAsia" w:cs="Times New Roman"/>
                      <w:b w:val="0"/>
                      <w:bCs/>
                      <w:color w:val="FF0000"/>
                      <w:kern w:val="0"/>
                      <w:sz w:val="21"/>
                      <w:szCs w:val="21"/>
                      <w:u w:val="single"/>
                      <w:vertAlign w:val="baseline"/>
                      <w:lang w:val="en-US" w:eastAsia="zh-CN" w:bidi="ar"/>
                    </w:rPr>
                    <w:t>现溆浦县低庄镇中心卫生院已取得</w:t>
                  </w:r>
                  <w:r>
                    <w:rPr>
                      <w:rFonts w:hint="eastAsia" w:ascii="Times New Roman" w:hAnsi="Times New Roman" w:eastAsia="宋体" w:cs="Times New Roman"/>
                      <w:b w:val="0"/>
                      <w:bCs/>
                      <w:color w:val="FF0000"/>
                      <w:kern w:val="0"/>
                      <w:sz w:val="21"/>
                      <w:szCs w:val="21"/>
                      <w:u w:val="single"/>
                      <w:vertAlign w:val="baseline"/>
                      <w:lang w:val="en-US" w:eastAsia="zh-CN" w:bidi="ar"/>
                    </w:rPr>
                    <w:t>《医疗机构执业许可证》</w:t>
                  </w:r>
                  <w:r>
                    <w:rPr>
                      <w:rFonts w:hint="eastAsia" w:cs="Times New Roman"/>
                      <w:b w:val="0"/>
                      <w:bCs/>
                      <w:color w:val="FF0000"/>
                      <w:kern w:val="0"/>
                      <w:sz w:val="21"/>
                      <w:szCs w:val="21"/>
                      <w:u w:val="single"/>
                      <w:vertAlign w:val="baseline"/>
                      <w:lang w:val="en-US" w:eastAsia="zh-CN" w:bidi="ar"/>
                    </w:rPr>
                    <w:t>，项目建成后</w:t>
                  </w:r>
                  <w:r>
                    <w:rPr>
                      <w:rFonts w:hint="eastAsia" w:ascii="Times New Roman" w:hAnsi="Times New Roman" w:eastAsia="宋体" w:cs="Times New Roman"/>
                      <w:b w:val="0"/>
                      <w:bCs/>
                      <w:color w:val="FF0000"/>
                      <w:kern w:val="0"/>
                      <w:sz w:val="21"/>
                      <w:szCs w:val="21"/>
                      <w:u w:val="single"/>
                      <w:vertAlign w:val="baseline"/>
                      <w:lang w:val="en-US" w:eastAsia="zh-CN" w:bidi="ar"/>
                    </w:rPr>
                    <w:t>须向原登记机关办理变更登记</w:t>
                  </w:r>
                </w:p>
              </w:tc>
              <w:tc>
                <w:tcPr>
                  <w:tcW w:w="914" w:type="dxa"/>
                </w:tcPr>
                <w:p w14:paraId="21205ECE">
                  <w:pPr>
                    <w:jc w:val="both"/>
                    <w:rPr>
                      <w:rFonts w:hint="eastAsia" w:ascii="Times New Roman" w:hAnsi="Times New Roman" w:eastAsia="宋体" w:cs="Times New Roman"/>
                      <w:b w:val="0"/>
                      <w:bCs/>
                      <w:color w:val="FF0000"/>
                      <w:kern w:val="0"/>
                      <w:sz w:val="21"/>
                      <w:szCs w:val="21"/>
                      <w:u w:val="single"/>
                      <w:vertAlign w:val="baseline"/>
                      <w:lang w:val="en-US" w:eastAsia="zh-CN" w:bidi="ar"/>
                    </w:rPr>
                  </w:pPr>
                  <w:r>
                    <w:rPr>
                      <w:rFonts w:hint="eastAsia" w:cs="Times New Roman"/>
                      <w:b w:val="0"/>
                      <w:bCs/>
                      <w:color w:val="FF0000"/>
                      <w:kern w:val="0"/>
                      <w:sz w:val="21"/>
                      <w:szCs w:val="21"/>
                      <w:u w:val="single"/>
                      <w:vertAlign w:val="baseline"/>
                      <w:lang w:val="en-US" w:eastAsia="zh-CN" w:bidi="ar"/>
                    </w:rPr>
                    <w:t>符合</w:t>
                  </w:r>
                </w:p>
              </w:tc>
            </w:tr>
            <w:tr w14:paraId="60E57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tcPr>
                <w:p w14:paraId="1612C77A">
                  <w:pPr>
                    <w:jc w:val="both"/>
                    <w:rPr>
                      <w:rFonts w:hint="eastAsia" w:ascii="Times New Roman" w:hAnsi="Times New Roman" w:eastAsia="宋体" w:cs="Times New Roman"/>
                      <w:b w:val="0"/>
                      <w:bCs/>
                      <w:color w:val="FF0000"/>
                      <w:kern w:val="0"/>
                      <w:sz w:val="21"/>
                      <w:szCs w:val="21"/>
                      <w:u w:val="single"/>
                      <w:vertAlign w:val="baseline"/>
                      <w:lang w:val="en-US" w:eastAsia="zh-CN" w:bidi="ar"/>
                    </w:rPr>
                  </w:pPr>
                  <w:r>
                    <w:rPr>
                      <w:rFonts w:hint="eastAsia" w:ascii="Times New Roman" w:hAnsi="Times New Roman" w:eastAsia="宋体" w:cs="Times New Roman"/>
                      <w:b w:val="0"/>
                      <w:bCs/>
                      <w:color w:val="FF0000"/>
                      <w:kern w:val="0"/>
                      <w:sz w:val="21"/>
                      <w:szCs w:val="21"/>
                      <w:u w:val="single"/>
                      <w:vertAlign w:val="baseline"/>
                      <w:lang w:val="en-US" w:eastAsia="zh-CN" w:bidi="ar"/>
                    </w:rPr>
                    <w:t>第二十六条</w:t>
                  </w:r>
                </w:p>
              </w:tc>
              <w:tc>
                <w:tcPr>
                  <w:tcW w:w="3302" w:type="dxa"/>
                </w:tcPr>
                <w:p w14:paraId="6085B51F">
                  <w:pPr>
                    <w:jc w:val="both"/>
                    <w:rPr>
                      <w:rFonts w:hint="eastAsia" w:ascii="Times New Roman" w:hAnsi="Times New Roman" w:eastAsia="宋体" w:cs="Times New Roman"/>
                      <w:b w:val="0"/>
                      <w:bCs/>
                      <w:color w:val="FF0000"/>
                      <w:kern w:val="0"/>
                      <w:sz w:val="21"/>
                      <w:szCs w:val="21"/>
                      <w:u w:val="single"/>
                      <w:vertAlign w:val="baseline"/>
                      <w:lang w:val="en-US" w:eastAsia="zh-CN" w:bidi="ar"/>
                    </w:rPr>
                  </w:pPr>
                  <w:r>
                    <w:rPr>
                      <w:rFonts w:hint="eastAsia" w:ascii="Times New Roman" w:hAnsi="Times New Roman" w:eastAsia="宋体" w:cs="Times New Roman"/>
                      <w:b w:val="0"/>
                      <w:bCs/>
                      <w:color w:val="FF0000"/>
                      <w:kern w:val="0"/>
                      <w:sz w:val="21"/>
                      <w:szCs w:val="21"/>
                      <w:u w:val="single"/>
                      <w:vertAlign w:val="baseline"/>
                      <w:lang w:val="en-US" w:eastAsia="zh-CN" w:bidi="ar"/>
                    </w:rPr>
                    <w:t>医疗机构必须按照核准登记或者备案的诊疗科目开展诊疗活动。</w:t>
                  </w:r>
                </w:p>
              </w:tc>
              <w:tc>
                <w:tcPr>
                  <w:tcW w:w="2778" w:type="dxa"/>
                </w:tcPr>
                <w:p w14:paraId="2C11A43E">
                  <w:pPr>
                    <w:jc w:val="both"/>
                    <w:rPr>
                      <w:rFonts w:hint="eastAsia" w:ascii="Times New Roman" w:hAnsi="Times New Roman" w:eastAsia="宋体" w:cs="Times New Roman"/>
                      <w:b w:val="0"/>
                      <w:bCs/>
                      <w:color w:val="FF0000"/>
                      <w:kern w:val="0"/>
                      <w:sz w:val="21"/>
                      <w:szCs w:val="21"/>
                      <w:u w:val="single"/>
                      <w:vertAlign w:val="baseline"/>
                      <w:lang w:val="en-US" w:eastAsia="zh-CN" w:bidi="ar"/>
                    </w:rPr>
                  </w:pPr>
                  <w:r>
                    <w:rPr>
                      <w:rFonts w:hint="eastAsia" w:cs="Times New Roman"/>
                      <w:b w:val="0"/>
                      <w:bCs/>
                      <w:color w:val="FF0000"/>
                      <w:kern w:val="0"/>
                      <w:sz w:val="21"/>
                      <w:szCs w:val="21"/>
                      <w:u w:val="single"/>
                      <w:vertAlign w:val="baseline"/>
                      <w:lang w:val="en-US" w:eastAsia="zh-CN" w:bidi="ar"/>
                    </w:rPr>
                    <w:t>建成后按照核准的</w:t>
                  </w:r>
                  <w:r>
                    <w:rPr>
                      <w:rFonts w:hint="eastAsia" w:ascii="Times New Roman" w:hAnsi="Times New Roman" w:eastAsia="宋体" w:cs="Times New Roman"/>
                      <w:b w:val="0"/>
                      <w:bCs/>
                      <w:color w:val="FF0000"/>
                      <w:kern w:val="0"/>
                      <w:sz w:val="21"/>
                      <w:szCs w:val="21"/>
                      <w:u w:val="single"/>
                      <w:vertAlign w:val="baseline"/>
                      <w:lang w:val="en-US" w:eastAsia="zh-CN" w:bidi="ar"/>
                    </w:rPr>
                    <w:t>诊疗科目开展诊疗活动</w:t>
                  </w:r>
                </w:p>
              </w:tc>
              <w:tc>
                <w:tcPr>
                  <w:tcW w:w="914" w:type="dxa"/>
                </w:tcPr>
                <w:p w14:paraId="44C4C6C0">
                  <w:pPr>
                    <w:jc w:val="both"/>
                    <w:rPr>
                      <w:rFonts w:hint="eastAsia" w:ascii="Times New Roman" w:hAnsi="Times New Roman" w:eastAsia="宋体" w:cs="Times New Roman"/>
                      <w:b w:val="0"/>
                      <w:bCs/>
                      <w:color w:val="FF0000"/>
                      <w:kern w:val="0"/>
                      <w:sz w:val="21"/>
                      <w:szCs w:val="21"/>
                      <w:u w:val="single"/>
                      <w:vertAlign w:val="baseline"/>
                      <w:lang w:val="en-US" w:eastAsia="zh-CN" w:bidi="ar"/>
                    </w:rPr>
                  </w:pPr>
                  <w:r>
                    <w:rPr>
                      <w:rFonts w:hint="eastAsia" w:cs="Times New Roman"/>
                      <w:b w:val="0"/>
                      <w:bCs/>
                      <w:color w:val="FF0000"/>
                      <w:kern w:val="0"/>
                      <w:sz w:val="21"/>
                      <w:szCs w:val="21"/>
                      <w:u w:val="single"/>
                      <w:vertAlign w:val="baseline"/>
                      <w:lang w:val="en-US" w:eastAsia="zh-CN" w:bidi="ar"/>
                    </w:rPr>
                    <w:t>符合</w:t>
                  </w:r>
                </w:p>
              </w:tc>
            </w:tr>
          </w:tbl>
          <w:p w14:paraId="0FCA64C4">
            <w:pPr>
              <w:jc w:val="both"/>
              <w:rPr>
                <w:rFonts w:hint="eastAsia" w:ascii="Times New Roman" w:hAnsi="Times New Roman" w:eastAsia="宋体" w:cs="Times New Roman"/>
                <w:b/>
                <w:color w:val="FF0000"/>
                <w:kern w:val="0"/>
                <w:sz w:val="24"/>
                <w:szCs w:val="24"/>
                <w:u w:val="single"/>
                <w:lang w:val="en-US" w:eastAsia="zh-CN" w:bidi="ar"/>
              </w:rPr>
            </w:pPr>
            <w:r>
              <w:rPr>
                <w:rFonts w:hint="eastAsia" w:cs="Times New Roman"/>
                <w:b/>
                <w:bCs/>
                <w:color w:val="FF0000"/>
                <w:sz w:val="24"/>
                <w:szCs w:val="24"/>
                <w:highlight w:val="none"/>
                <w:u w:val="single"/>
                <w:lang w:val="en-US" w:eastAsia="zh-CN"/>
              </w:rPr>
              <w:t>2.7</w:t>
            </w:r>
            <w:r>
              <w:rPr>
                <w:rFonts w:hint="eastAsia" w:ascii="Times New Roman" w:hAnsi="Times New Roman" w:eastAsia="宋体" w:cs="Times New Roman"/>
                <w:b/>
                <w:bCs/>
                <w:color w:val="FF0000"/>
                <w:sz w:val="24"/>
                <w:szCs w:val="24"/>
                <w:highlight w:val="none"/>
                <w:u w:val="single"/>
                <w:lang w:val="en-US" w:eastAsia="zh-CN"/>
              </w:rPr>
              <w:t>与</w:t>
            </w:r>
            <w:r>
              <w:rPr>
                <w:rFonts w:hint="eastAsia" w:ascii="Times New Roman" w:hAnsi="Times New Roman" w:eastAsia="宋体" w:cs="Times New Roman"/>
                <w:b/>
                <w:color w:val="FF0000"/>
                <w:kern w:val="0"/>
                <w:sz w:val="24"/>
                <w:szCs w:val="24"/>
                <w:u w:val="single"/>
                <w:lang w:val="en-US" w:eastAsia="zh-CN" w:bidi="ar"/>
              </w:rPr>
              <w:t>《</w:t>
            </w:r>
            <w:r>
              <w:rPr>
                <w:rFonts w:hint="eastAsia" w:cs="Times New Roman"/>
                <w:b/>
                <w:color w:val="FF0000"/>
                <w:kern w:val="0"/>
                <w:sz w:val="24"/>
                <w:szCs w:val="24"/>
                <w:u w:val="single"/>
                <w:lang w:val="en-US" w:eastAsia="zh-CN" w:bidi="ar"/>
              </w:rPr>
              <w:t>医疗废物管理条例</w:t>
            </w:r>
            <w:r>
              <w:rPr>
                <w:rFonts w:hint="eastAsia" w:ascii="Times New Roman" w:hAnsi="Times New Roman" w:eastAsia="宋体" w:cs="Times New Roman"/>
                <w:b/>
                <w:color w:val="FF0000"/>
                <w:kern w:val="0"/>
                <w:sz w:val="24"/>
                <w:szCs w:val="24"/>
                <w:u w:val="single"/>
                <w:lang w:val="en-US" w:eastAsia="zh-CN" w:bidi="ar"/>
              </w:rPr>
              <w:t>》</w:t>
            </w:r>
            <w:r>
              <w:rPr>
                <w:rFonts w:hint="eastAsia" w:cs="Times New Roman"/>
                <w:b/>
                <w:color w:val="FF0000"/>
                <w:kern w:val="0"/>
                <w:sz w:val="24"/>
                <w:szCs w:val="24"/>
                <w:u w:val="single"/>
                <w:lang w:val="en-US" w:eastAsia="zh-CN" w:bidi="ar"/>
              </w:rPr>
              <w:t>（2021年修订）</w:t>
            </w:r>
            <w:r>
              <w:rPr>
                <w:rFonts w:hint="eastAsia" w:ascii="Times New Roman" w:hAnsi="Times New Roman" w:eastAsia="宋体" w:cs="Times New Roman"/>
                <w:b/>
                <w:color w:val="FF0000"/>
                <w:kern w:val="0"/>
                <w:sz w:val="24"/>
                <w:szCs w:val="24"/>
                <w:u w:val="single"/>
                <w:lang w:val="en-US" w:eastAsia="zh-CN" w:bidi="ar"/>
              </w:rPr>
              <w:t>符合性分析</w:t>
            </w:r>
          </w:p>
          <w:p w14:paraId="395547F1">
            <w:pPr>
              <w:pStyle w:val="58"/>
              <w:widowControl w:val="0"/>
              <w:spacing w:line="360" w:lineRule="auto"/>
              <w:rPr>
                <w:rFonts w:cs="Times New Roman"/>
                <w:b/>
                <w:bCs/>
                <w:color w:val="FF0000"/>
                <w:sz w:val="21"/>
                <w:szCs w:val="21"/>
                <w:highlight w:val="none"/>
                <w:u w:val="single"/>
              </w:rPr>
            </w:pPr>
            <w:r>
              <w:rPr>
                <w:rFonts w:hint="eastAsia" w:cs="Times New Roman"/>
                <w:b/>
                <w:bCs/>
                <w:color w:val="FF0000"/>
                <w:sz w:val="21"/>
                <w:szCs w:val="21"/>
                <w:highlight w:val="none"/>
                <w:u w:val="single"/>
              </w:rPr>
              <w:t>表1</w:t>
            </w:r>
            <w:r>
              <w:rPr>
                <w:rFonts w:cs="Times New Roman"/>
                <w:b/>
                <w:bCs/>
                <w:color w:val="FF0000"/>
                <w:sz w:val="21"/>
                <w:szCs w:val="21"/>
                <w:highlight w:val="none"/>
                <w:u w:val="single"/>
              </w:rPr>
              <w:t>-</w:t>
            </w:r>
            <w:r>
              <w:rPr>
                <w:rFonts w:hint="eastAsia" w:cs="Times New Roman"/>
                <w:b/>
                <w:bCs/>
                <w:color w:val="FF0000"/>
                <w:sz w:val="21"/>
                <w:szCs w:val="21"/>
                <w:highlight w:val="none"/>
                <w:u w:val="single"/>
                <w:lang w:val="en-US" w:eastAsia="zh-CN"/>
              </w:rPr>
              <w:t>4</w:t>
            </w:r>
            <w:r>
              <w:rPr>
                <w:rFonts w:cs="Times New Roman"/>
                <w:b/>
                <w:bCs/>
                <w:color w:val="FF0000"/>
                <w:sz w:val="21"/>
                <w:szCs w:val="21"/>
                <w:highlight w:val="none"/>
                <w:u w:val="single"/>
              </w:rPr>
              <w:t xml:space="preserve"> </w:t>
            </w:r>
            <w:r>
              <w:rPr>
                <w:rFonts w:hint="eastAsia" w:cs="Times New Roman"/>
                <w:b/>
                <w:bCs/>
                <w:color w:val="FF0000"/>
                <w:sz w:val="21"/>
                <w:szCs w:val="21"/>
                <w:highlight w:val="none"/>
                <w:u w:val="single"/>
                <w:lang w:val="en-US" w:eastAsia="zh-CN"/>
              </w:rPr>
              <w:t xml:space="preserve">  </w:t>
            </w:r>
            <w:r>
              <w:rPr>
                <w:rFonts w:hint="eastAsia" w:cs="Times New Roman"/>
                <w:b/>
                <w:bCs/>
                <w:color w:val="FF0000"/>
                <w:sz w:val="21"/>
                <w:szCs w:val="21"/>
                <w:highlight w:val="none"/>
                <w:u w:val="single"/>
              </w:rPr>
              <w:t>本</w:t>
            </w:r>
            <w:r>
              <w:rPr>
                <w:rFonts w:cs="Times New Roman"/>
                <w:b/>
                <w:bCs/>
                <w:color w:val="FF0000"/>
                <w:sz w:val="21"/>
                <w:szCs w:val="21"/>
                <w:highlight w:val="none"/>
                <w:u w:val="single"/>
              </w:rPr>
              <w:t>项目</w:t>
            </w:r>
            <w:r>
              <w:rPr>
                <w:rFonts w:hint="eastAsia" w:ascii="Times New Roman" w:hAnsi="Times New Roman" w:eastAsia="宋体" w:cs="Times New Roman"/>
                <w:b/>
                <w:color w:val="FF0000"/>
                <w:kern w:val="0"/>
                <w:sz w:val="21"/>
                <w:szCs w:val="21"/>
                <w:u w:val="single"/>
                <w:lang w:val="en-US" w:eastAsia="zh-CN" w:bidi="ar"/>
              </w:rPr>
              <w:t>《</w:t>
            </w:r>
            <w:r>
              <w:rPr>
                <w:rFonts w:hint="eastAsia" w:cs="Times New Roman"/>
                <w:b/>
                <w:color w:val="FF0000"/>
                <w:kern w:val="0"/>
                <w:sz w:val="21"/>
                <w:szCs w:val="21"/>
                <w:u w:val="single"/>
                <w:lang w:val="en-US" w:eastAsia="zh-CN" w:bidi="ar"/>
              </w:rPr>
              <w:t>医疗废物管理条例</w:t>
            </w:r>
            <w:r>
              <w:rPr>
                <w:rFonts w:hint="eastAsia" w:ascii="Times New Roman" w:hAnsi="Times New Roman" w:eastAsia="宋体" w:cs="Times New Roman"/>
                <w:b/>
                <w:color w:val="FF0000"/>
                <w:kern w:val="0"/>
                <w:sz w:val="21"/>
                <w:szCs w:val="21"/>
                <w:u w:val="single"/>
                <w:lang w:val="en-US" w:eastAsia="zh-CN" w:bidi="ar"/>
              </w:rPr>
              <w:t>》</w:t>
            </w:r>
            <w:r>
              <w:rPr>
                <w:rFonts w:hint="eastAsia" w:cs="Times New Roman"/>
                <w:b/>
                <w:color w:val="FF0000"/>
                <w:kern w:val="0"/>
                <w:sz w:val="21"/>
                <w:szCs w:val="21"/>
                <w:u w:val="single"/>
                <w:lang w:val="en-US" w:eastAsia="zh-CN" w:bidi="ar"/>
              </w:rPr>
              <w:t>符合性</w:t>
            </w:r>
            <w:r>
              <w:rPr>
                <w:rFonts w:cs="Times New Roman"/>
                <w:b/>
                <w:bCs/>
                <w:color w:val="FF0000"/>
                <w:sz w:val="21"/>
                <w:szCs w:val="21"/>
                <w:highlight w:val="none"/>
                <w:u w:val="single"/>
              </w:rPr>
              <w:t>分析</w:t>
            </w:r>
          </w:p>
          <w:tbl>
            <w:tblPr>
              <w:tblStyle w:val="34"/>
              <w:tblW w:w="8343" w:type="dxa"/>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9"/>
              <w:gridCol w:w="3302"/>
              <w:gridCol w:w="2778"/>
              <w:gridCol w:w="914"/>
            </w:tblGrid>
            <w:tr w14:paraId="5F5FB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tcPr>
                <w:p w14:paraId="11D8B0C3">
                  <w:pPr>
                    <w:jc w:val="center"/>
                    <w:rPr>
                      <w:rFonts w:hint="eastAsia" w:ascii="Times New Roman" w:hAnsi="Times New Roman" w:eastAsia="宋体" w:cs="Times New Roman"/>
                      <w:b/>
                      <w:color w:val="FF0000"/>
                      <w:kern w:val="0"/>
                      <w:sz w:val="21"/>
                      <w:szCs w:val="21"/>
                      <w:u w:val="single"/>
                      <w:vertAlign w:val="baseline"/>
                      <w:lang w:val="en-US" w:eastAsia="zh-CN" w:bidi="ar"/>
                    </w:rPr>
                  </w:pPr>
                  <w:r>
                    <w:rPr>
                      <w:rFonts w:hint="eastAsia" w:cs="Times New Roman"/>
                      <w:b/>
                      <w:color w:val="FF0000"/>
                      <w:kern w:val="0"/>
                      <w:sz w:val="21"/>
                      <w:szCs w:val="21"/>
                      <w:u w:val="single"/>
                      <w:vertAlign w:val="baseline"/>
                      <w:lang w:val="en-US" w:eastAsia="zh-CN" w:bidi="ar"/>
                    </w:rPr>
                    <w:t>序号</w:t>
                  </w:r>
                </w:p>
              </w:tc>
              <w:tc>
                <w:tcPr>
                  <w:tcW w:w="3302" w:type="dxa"/>
                </w:tcPr>
                <w:p w14:paraId="5F5ACFEE">
                  <w:pPr>
                    <w:jc w:val="center"/>
                    <w:rPr>
                      <w:rFonts w:hint="eastAsia" w:ascii="Times New Roman" w:hAnsi="Times New Roman" w:eastAsia="宋体" w:cs="Times New Roman"/>
                      <w:b/>
                      <w:color w:val="FF0000"/>
                      <w:kern w:val="0"/>
                      <w:sz w:val="21"/>
                      <w:szCs w:val="21"/>
                      <w:u w:val="single"/>
                      <w:vertAlign w:val="baseline"/>
                      <w:lang w:val="en-US" w:eastAsia="zh-CN" w:bidi="ar"/>
                    </w:rPr>
                  </w:pPr>
                  <w:r>
                    <w:rPr>
                      <w:rFonts w:hint="eastAsia" w:cs="Times New Roman"/>
                      <w:b/>
                      <w:color w:val="FF0000"/>
                      <w:kern w:val="0"/>
                      <w:sz w:val="21"/>
                      <w:szCs w:val="21"/>
                      <w:u w:val="single"/>
                      <w:vertAlign w:val="baseline"/>
                      <w:lang w:val="en-US" w:eastAsia="zh-CN" w:bidi="ar"/>
                    </w:rPr>
                    <w:t>条例规定</w:t>
                  </w:r>
                </w:p>
              </w:tc>
              <w:tc>
                <w:tcPr>
                  <w:tcW w:w="2778" w:type="dxa"/>
                </w:tcPr>
                <w:p w14:paraId="68D9B512">
                  <w:pPr>
                    <w:jc w:val="center"/>
                    <w:rPr>
                      <w:rFonts w:hint="eastAsia" w:ascii="Times New Roman" w:hAnsi="Times New Roman" w:eastAsia="宋体" w:cs="Times New Roman"/>
                      <w:b/>
                      <w:color w:val="FF0000"/>
                      <w:kern w:val="0"/>
                      <w:sz w:val="21"/>
                      <w:szCs w:val="21"/>
                      <w:u w:val="single"/>
                      <w:vertAlign w:val="baseline"/>
                      <w:lang w:val="en-US" w:eastAsia="zh-CN" w:bidi="ar"/>
                    </w:rPr>
                  </w:pPr>
                  <w:r>
                    <w:rPr>
                      <w:rFonts w:hint="eastAsia" w:cs="Times New Roman"/>
                      <w:b/>
                      <w:color w:val="FF0000"/>
                      <w:kern w:val="0"/>
                      <w:sz w:val="21"/>
                      <w:szCs w:val="21"/>
                      <w:u w:val="single"/>
                      <w:vertAlign w:val="baseline"/>
                      <w:lang w:val="en-US" w:eastAsia="zh-CN" w:bidi="ar"/>
                    </w:rPr>
                    <w:t>本项目情况</w:t>
                  </w:r>
                </w:p>
              </w:tc>
              <w:tc>
                <w:tcPr>
                  <w:tcW w:w="914" w:type="dxa"/>
                </w:tcPr>
                <w:p w14:paraId="5F44517E">
                  <w:pPr>
                    <w:jc w:val="center"/>
                    <w:rPr>
                      <w:rFonts w:hint="eastAsia" w:ascii="Times New Roman" w:hAnsi="Times New Roman" w:eastAsia="宋体" w:cs="Times New Roman"/>
                      <w:b/>
                      <w:color w:val="FF0000"/>
                      <w:kern w:val="0"/>
                      <w:sz w:val="21"/>
                      <w:szCs w:val="21"/>
                      <w:u w:val="single"/>
                      <w:vertAlign w:val="baseline"/>
                      <w:lang w:val="en-US" w:eastAsia="zh-CN" w:bidi="ar"/>
                    </w:rPr>
                  </w:pPr>
                  <w:r>
                    <w:rPr>
                      <w:rFonts w:hint="eastAsia" w:cs="Times New Roman"/>
                      <w:b/>
                      <w:color w:val="FF0000"/>
                      <w:kern w:val="0"/>
                      <w:sz w:val="21"/>
                      <w:szCs w:val="21"/>
                      <w:u w:val="single"/>
                      <w:vertAlign w:val="baseline"/>
                      <w:lang w:val="en-US" w:eastAsia="zh-CN" w:bidi="ar"/>
                    </w:rPr>
                    <w:t>符合性</w:t>
                  </w:r>
                </w:p>
              </w:tc>
            </w:tr>
            <w:tr w14:paraId="27D57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tcPr>
                <w:p w14:paraId="08BF7977">
                  <w:pPr>
                    <w:jc w:val="both"/>
                    <w:rPr>
                      <w:rFonts w:hint="eastAsia" w:ascii="Times New Roman" w:hAnsi="Times New Roman" w:eastAsia="宋体" w:cs="Times New Roman"/>
                      <w:b w:val="0"/>
                      <w:bCs/>
                      <w:color w:val="FF0000"/>
                      <w:kern w:val="0"/>
                      <w:sz w:val="21"/>
                      <w:szCs w:val="21"/>
                      <w:u w:val="single"/>
                      <w:vertAlign w:val="baseline"/>
                      <w:lang w:val="en-US" w:eastAsia="zh-CN" w:bidi="ar"/>
                    </w:rPr>
                  </w:pPr>
                  <w:r>
                    <w:rPr>
                      <w:rFonts w:hint="eastAsia" w:ascii="Times New Roman" w:hAnsi="Times New Roman" w:eastAsia="宋体" w:cs="Times New Roman"/>
                      <w:b w:val="0"/>
                      <w:bCs/>
                      <w:color w:val="FF0000"/>
                      <w:kern w:val="0"/>
                      <w:sz w:val="21"/>
                      <w:szCs w:val="21"/>
                      <w:u w:val="single"/>
                      <w:vertAlign w:val="baseline"/>
                      <w:lang w:val="en-US" w:eastAsia="zh-CN" w:bidi="ar"/>
                    </w:rPr>
                    <w:t>第</w:t>
                  </w:r>
                  <w:r>
                    <w:rPr>
                      <w:rFonts w:hint="eastAsia" w:cs="Times New Roman"/>
                      <w:b w:val="0"/>
                      <w:bCs/>
                      <w:color w:val="FF0000"/>
                      <w:kern w:val="0"/>
                      <w:sz w:val="21"/>
                      <w:szCs w:val="21"/>
                      <w:u w:val="single"/>
                      <w:vertAlign w:val="baseline"/>
                      <w:lang w:val="en-US" w:eastAsia="zh-CN" w:bidi="ar"/>
                    </w:rPr>
                    <w:t>七</w:t>
                  </w:r>
                  <w:r>
                    <w:rPr>
                      <w:rFonts w:hint="eastAsia" w:ascii="Times New Roman" w:hAnsi="Times New Roman" w:eastAsia="宋体" w:cs="Times New Roman"/>
                      <w:b w:val="0"/>
                      <w:bCs/>
                      <w:color w:val="FF0000"/>
                      <w:kern w:val="0"/>
                      <w:sz w:val="21"/>
                      <w:szCs w:val="21"/>
                      <w:u w:val="single"/>
                      <w:vertAlign w:val="baseline"/>
                      <w:lang w:val="en-US" w:eastAsia="zh-CN" w:bidi="ar"/>
                    </w:rPr>
                    <w:t>条</w:t>
                  </w:r>
                </w:p>
              </w:tc>
              <w:tc>
                <w:tcPr>
                  <w:tcW w:w="3302" w:type="dxa"/>
                </w:tcPr>
                <w:p w14:paraId="4F99B3B9">
                  <w:pPr>
                    <w:jc w:val="both"/>
                    <w:rPr>
                      <w:rFonts w:hint="eastAsia" w:ascii="Times New Roman" w:hAnsi="Times New Roman" w:eastAsia="宋体" w:cs="Times New Roman"/>
                      <w:b w:val="0"/>
                      <w:bCs/>
                      <w:color w:val="FF0000"/>
                      <w:kern w:val="0"/>
                      <w:sz w:val="21"/>
                      <w:szCs w:val="21"/>
                      <w:u w:val="single"/>
                      <w:vertAlign w:val="baseline"/>
                      <w:lang w:val="en-US" w:eastAsia="zh-CN" w:bidi="ar"/>
                    </w:rPr>
                  </w:pPr>
                  <w:r>
                    <w:rPr>
                      <w:rFonts w:hint="eastAsia" w:ascii="Times New Roman" w:hAnsi="Times New Roman" w:eastAsia="宋体" w:cs="Times New Roman"/>
                      <w:b w:val="0"/>
                      <w:bCs/>
                      <w:color w:val="FF0000"/>
                      <w:kern w:val="0"/>
                      <w:sz w:val="21"/>
                      <w:szCs w:val="21"/>
                      <w:u w:val="single"/>
                      <w:vertAlign w:val="baseline"/>
                      <w:lang w:val="en-US" w:eastAsia="zh-CN" w:bidi="ar"/>
                    </w:rPr>
                    <w:t>医疗卫生机构和医疗废物集中处置单位，应当建立、健全医疗废物管理责任制，其法定代表人为第一责任人，切实履行职责，防止因医疗废物导致传染病传播和环境污染事故</w:t>
                  </w:r>
                </w:p>
              </w:tc>
              <w:tc>
                <w:tcPr>
                  <w:tcW w:w="2778" w:type="dxa"/>
                </w:tcPr>
                <w:p w14:paraId="35C69BC9">
                  <w:pPr>
                    <w:jc w:val="both"/>
                    <w:rPr>
                      <w:rFonts w:hint="eastAsia" w:ascii="Times New Roman" w:hAnsi="Times New Roman" w:eastAsia="宋体" w:cs="Times New Roman"/>
                      <w:b/>
                      <w:color w:val="FF0000"/>
                      <w:kern w:val="0"/>
                      <w:sz w:val="21"/>
                      <w:szCs w:val="21"/>
                      <w:u w:val="single"/>
                      <w:vertAlign w:val="baseline"/>
                      <w:lang w:val="en-US" w:eastAsia="zh-CN" w:bidi="ar"/>
                    </w:rPr>
                  </w:pPr>
                  <w:r>
                    <w:rPr>
                      <w:rFonts w:hint="eastAsia" w:cs="Times New Roman"/>
                      <w:b w:val="0"/>
                      <w:bCs/>
                      <w:color w:val="FF0000"/>
                      <w:kern w:val="0"/>
                      <w:sz w:val="21"/>
                      <w:szCs w:val="21"/>
                      <w:u w:val="single"/>
                      <w:vertAlign w:val="baseline"/>
                      <w:lang w:val="en-US" w:eastAsia="zh-CN" w:bidi="ar"/>
                    </w:rPr>
                    <w:t>项目建成后</w:t>
                  </w:r>
                  <w:r>
                    <w:rPr>
                      <w:rFonts w:hint="eastAsia" w:ascii="Times New Roman" w:hAnsi="Times New Roman" w:eastAsia="宋体" w:cs="Times New Roman"/>
                      <w:b w:val="0"/>
                      <w:bCs/>
                      <w:color w:val="FF0000"/>
                      <w:kern w:val="0"/>
                      <w:sz w:val="21"/>
                      <w:szCs w:val="21"/>
                      <w:u w:val="single"/>
                      <w:vertAlign w:val="baseline"/>
                      <w:lang w:val="en-US" w:eastAsia="zh-CN" w:bidi="ar"/>
                    </w:rPr>
                    <w:t>建立、健全医疗废物管理责任制</w:t>
                  </w:r>
                  <w:r>
                    <w:rPr>
                      <w:rFonts w:hint="eastAsia" w:cs="Times New Roman"/>
                      <w:b w:val="0"/>
                      <w:bCs/>
                      <w:color w:val="FF0000"/>
                      <w:kern w:val="0"/>
                      <w:sz w:val="21"/>
                      <w:szCs w:val="21"/>
                      <w:u w:val="single"/>
                      <w:vertAlign w:val="baseline"/>
                      <w:lang w:val="en-US" w:eastAsia="zh-CN" w:bidi="ar"/>
                    </w:rPr>
                    <w:t>，</w:t>
                  </w:r>
                  <w:r>
                    <w:rPr>
                      <w:rFonts w:hint="eastAsia" w:ascii="Times New Roman" w:hAnsi="Times New Roman" w:eastAsia="宋体" w:cs="Times New Roman"/>
                      <w:b w:val="0"/>
                      <w:bCs/>
                      <w:color w:val="FF0000"/>
                      <w:kern w:val="0"/>
                      <w:sz w:val="21"/>
                      <w:szCs w:val="21"/>
                      <w:u w:val="single"/>
                      <w:vertAlign w:val="baseline"/>
                      <w:lang w:val="en-US" w:eastAsia="zh-CN" w:bidi="ar"/>
                    </w:rPr>
                    <w:t>切实履行职责，防止因医疗废物导致传染病传播和环境污染事故</w:t>
                  </w:r>
                </w:p>
              </w:tc>
              <w:tc>
                <w:tcPr>
                  <w:tcW w:w="914" w:type="dxa"/>
                </w:tcPr>
                <w:p w14:paraId="0D79865F">
                  <w:pPr>
                    <w:jc w:val="center"/>
                    <w:rPr>
                      <w:rFonts w:hint="eastAsia" w:ascii="Times New Roman" w:hAnsi="Times New Roman" w:eastAsia="宋体" w:cs="Times New Roman"/>
                      <w:b/>
                      <w:color w:val="FF0000"/>
                      <w:kern w:val="0"/>
                      <w:sz w:val="21"/>
                      <w:szCs w:val="21"/>
                      <w:u w:val="single"/>
                      <w:vertAlign w:val="baseline"/>
                      <w:lang w:val="en-US" w:eastAsia="zh-CN" w:bidi="ar"/>
                    </w:rPr>
                  </w:pPr>
                  <w:r>
                    <w:rPr>
                      <w:rFonts w:hint="eastAsia" w:cs="Times New Roman"/>
                      <w:b w:val="0"/>
                      <w:bCs/>
                      <w:color w:val="FF0000"/>
                      <w:kern w:val="0"/>
                      <w:sz w:val="21"/>
                      <w:szCs w:val="21"/>
                      <w:u w:val="single"/>
                      <w:vertAlign w:val="baseline"/>
                      <w:lang w:val="en-US" w:eastAsia="zh-CN" w:bidi="ar"/>
                    </w:rPr>
                    <w:t>符合</w:t>
                  </w:r>
                </w:p>
              </w:tc>
            </w:tr>
            <w:tr w14:paraId="2ECF5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tcPr>
                <w:p w14:paraId="282B297E">
                  <w:pPr>
                    <w:jc w:val="both"/>
                    <w:rPr>
                      <w:rFonts w:hint="eastAsia" w:ascii="Times New Roman" w:hAnsi="Times New Roman" w:eastAsia="宋体" w:cs="Times New Roman"/>
                      <w:b w:val="0"/>
                      <w:bCs/>
                      <w:color w:val="FF0000"/>
                      <w:kern w:val="0"/>
                      <w:sz w:val="21"/>
                      <w:szCs w:val="21"/>
                      <w:u w:val="single"/>
                      <w:vertAlign w:val="baseline"/>
                      <w:lang w:val="en-US" w:eastAsia="zh-CN" w:bidi="ar"/>
                    </w:rPr>
                  </w:pPr>
                  <w:r>
                    <w:rPr>
                      <w:rFonts w:hint="eastAsia" w:ascii="Times New Roman" w:hAnsi="Times New Roman" w:eastAsia="宋体" w:cs="Times New Roman"/>
                      <w:b w:val="0"/>
                      <w:bCs/>
                      <w:color w:val="FF0000"/>
                      <w:kern w:val="0"/>
                      <w:sz w:val="21"/>
                      <w:szCs w:val="21"/>
                      <w:u w:val="single"/>
                      <w:vertAlign w:val="baseline"/>
                      <w:lang w:val="en-US" w:eastAsia="zh-CN" w:bidi="ar"/>
                    </w:rPr>
                    <w:t>第</w:t>
                  </w:r>
                  <w:r>
                    <w:rPr>
                      <w:rFonts w:hint="eastAsia" w:cs="Times New Roman"/>
                      <w:b w:val="0"/>
                      <w:bCs/>
                      <w:color w:val="FF0000"/>
                      <w:kern w:val="0"/>
                      <w:sz w:val="21"/>
                      <w:szCs w:val="21"/>
                      <w:u w:val="single"/>
                      <w:vertAlign w:val="baseline"/>
                      <w:lang w:val="en-US" w:eastAsia="zh-CN" w:bidi="ar"/>
                    </w:rPr>
                    <w:t>八</w:t>
                  </w:r>
                  <w:r>
                    <w:rPr>
                      <w:rFonts w:hint="eastAsia" w:ascii="Times New Roman" w:hAnsi="Times New Roman" w:eastAsia="宋体" w:cs="Times New Roman"/>
                      <w:b w:val="0"/>
                      <w:bCs/>
                      <w:color w:val="FF0000"/>
                      <w:kern w:val="0"/>
                      <w:sz w:val="21"/>
                      <w:szCs w:val="21"/>
                      <w:u w:val="single"/>
                      <w:vertAlign w:val="baseline"/>
                      <w:lang w:val="en-US" w:eastAsia="zh-CN" w:bidi="ar"/>
                    </w:rPr>
                    <w:t>条</w:t>
                  </w:r>
                </w:p>
              </w:tc>
              <w:tc>
                <w:tcPr>
                  <w:tcW w:w="3302" w:type="dxa"/>
                </w:tcPr>
                <w:p w14:paraId="349A3F4E">
                  <w:pPr>
                    <w:jc w:val="both"/>
                    <w:rPr>
                      <w:rFonts w:hint="eastAsia" w:ascii="Times New Roman" w:hAnsi="Times New Roman" w:eastAsia="宋体" w:cs="Times New Roman"/>
                      <w:b w:val="0"/>
                      <w:bCs/>
                      <w:color w:val="FF0000"/>
                      <w:kern w:val="0"/>
                      <w:sz w:val="21"/>
                      <w:szCs w:val="21"/>
                      <w:u w:val="single"/>
                      <w:vertAlign w:val="baseline"/>
                      <w:lang w:val="en-US" w:eastAsia="zh-CN" w:bidi="ar"/>
                    </w:rPr>
                  </w:pPr>
                  <w:r>
                    <w:rPr>
                      <w:rFonts w:hint="eastAsia" w:ascii="Times New Roman" w:hAnsi="Times New Roman" w:eastAsia="宋体" w:cs="Times New Roman"/>
                      <w:b w:val="0"/>
                      <w:bCs/>
                      <w:color w:val="FF0000"/>
                      <w:kern w:val="0"/>
                      <w:sz w:val="21"/>
                      <w:szCs w:val="21"/>
                      <w:u w:val="single"/>
                      <w:vertAlign w:val="baseline"/>
                      <w:lang w:val="en-US" w:eastAsia="zh-CN" w:bidi="ar"/>
                    </w:rPr>
                    <w:t>医疗卫生机构和医疗废物集中处置单位，应当制定与医疗废物安全处置有关的规章制度和在发生意外事故时的应急方案；设置监控部门或者专（兼）职人员，负责检查、督促、落实本单位医疗废物的管理工作，防止违反本条例的行为发生</w:t>
                  </w:r>
                </w:p>
              </w:tc>
              <w:tc>
                <w:tcPr>
                  <w:tcW w:w="2778" w:type="dxa"/>
                </w:tcPr>
                <w:p w14:paraId="1B64DFB1">
                  <w:pPr>
                    <w:jc w:val="both"/>
                    <w:rPr>
                      <w:rFonts w:hint="eastAsia" w:ascii="Times New Roman" w:hAnsi="Times New Roman" w:eastAsia="宋体" w:cs="Times New Roman"/>
                      <w:b w:val="0"/>
                      <w:bCs/>
                      <w:color w:val="FF0000"/>
                      <w:kern w:val="0"/>
                      <w:sz w:val="21"/>
                      <w:szCs w:val="21"/>
                      <w:u w:val="single"/>
                      <w:vertAlign w:val="baseline"/>
                      <w:lang w:val="en-US" w:eastAsia="zh-CN" w:bidi="ar"/>
                    </w:rPr>
                  </w:pPr>
                  <w:r>
                    <w:rPr>
                      <w:rFonts w:hint="eastAsia" w:cs="Times New Roman"/>
                      <w:b w:val="0"/>
                      <w:bCs/>
                      <w:color w:val="FF0000"/>
                      <w:kern w:val="0"/>
                      <w:sz w:val="21"/>
                      <w:szCs w:val="21"/>
                      <w:u w:val="single"/>
                      <w:vertAlign w:val="baseline"/>
                      <w:lang w:val="en-US" w:eastAsia="zh-CN" w:bidi="ar"/>
                    </w:rPr>
                    <w:t>本项目拟制定</w:t>
                  </w:r>
                  <w:r>
                    <w:rPr>
                      <w:rFonts w:hint="eastAsia" w:ascii="Times New Roman" w:hAnsi="Times New Roman" w:eastAsia="宋体" w:cs="Times New Roman"/>
                      <w:b w:val="0"/>
                      <w:bCs/>
                      <w:color w:val="FF0000"/>
                      <w:kern w:val="0"/>
                      <w:sz w:val="21"/>
                      <w:szCs w:val="21"/>
                      <w:u w:val="single"/>
                      <w:vertAlign w:val="baseline"/>
                      <w:lang w:val="en-US" w:eastAsia="zh-CN" w:bidi="ar"/>
                    </w:rPr>
                    <w:t>与医疗废物安全处置有关的规章制度和在发生意外事故时的应急方案；设置监控部门或者专（兼）职人员，负责检查、督促、落实本单位医疗废物的管理工作</w:t>
                  </w:r>
                </w:p>
              </w:tc>
              <w:tc>
                <w:tcPr>
                  <w:tcW w:w="914" w:type="dxa"/>
                </w:tcPr>
                <w:p w14:paraId="575DF2EF">
                  <w:pPr>
                    <w:jc w:val="both"/>
                    <w:rPr>
                      <w:rFonts w:hint="eastAsia" w:ascii="Times New Roman" w:hAnsi="Times New Roman" w:eastAsia="宋体" w:cs="Times New Roman"/>
                      <w:b w:val="0"/>
                      <w:bCs/>
                      <w:color w:val="FF0000"/>
                      <w:kern w:val="0"/>
                      <w:sz w:val="21"/>
                      <w:szCs w:val="21"/>
                      <w:u w:val="single"/>
                      <w:vertAlign w:val="baseline"/>
                      <w:lang w:val="en-US" w:eastAsia="zh-CN" w:bidi="ar"/>
                    </w:rPr>
                  </w:pPr>
                  <w:r>
                    <w:rPr>
                      <w:rFonts w:hint="eastAsia" w:cs="Times New Roman"/>
                      <w:b w:val="0"/>
                      <w:bCs/>
                      <w:color w:val="FF0000"/>
                      <w:kern w:val="0"/>
                      <w:sz w:val="21"/>
                      <w:szCs w:val="21"/>
                      <w:u w:val="single"/>
                      <w:vertAlign w:val="baseline"/>
                      <w:lang w:val="en-US" w:eastAsia="zh-CN" w:bidi="ar"/>
                    </w:rPr>
                    <w:t>符合</w:t>
                  </w:r>
                </w:p>
              </w:tc>
            </w:tr>
            <w:tr w14:paraId="465EA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tcPr>
                <w:p w14:paraId="10922887">
                  <w:pPr>
                    <w:jc w:val="both"/>
                    <w:rPr>
                      <w:rFonts w:hint="eastAsia" w:ascii="Times New Roman" w:hAnsi="Times New Roman" w:eastAsia="宋体" w:cs="Times New Roman"/>
                      <w:b w:val="0"/>
                      <w:bCs/>
                      <w:color w:val="FF0000"/>
                      <w:kern w:val="0"/>
                      <w:sz w:val="21"/>
                      <w:szCs w:val="21"/>
                      <w:u w:val="single"/>
                      <w:vertAlign w:val="baseline"/>
                      <w:lang w:val="en-US" w:eastAsia="zh-CN" w:bidi="ar"/>
                    </w:rPr>
                  </w:pPr>
                  <w:r>
                    <w:rPr>
                      <w:rFonts w:hint="eastAsia" w:ascii="Times New Roman" w:hAnsi="Times New Roman" w:eastAsia="宋体" w:cs="Times New Roman"/>
                      <w:b w:val="0"/>
                      <w:bCs/>
                      <w:color w:val="FF0000"/>
                      <w:kern w:val="0"/>
                      <w:sz w:val="21"/>
                      <w:szCs w:val="21"/>
                      <w:u w:val="single"/>
                      <w:vertAlign w:val="baseline"/>
                      <w:lang w:val="en-US" w:eastAsia="zh-CN" w:bidi="ar"/>
                    </w:rPr>
                    <w:t>第</w:t>
                  </w:r>
                  <w:r>
                    <w:rPr>
                      <w:rFonts w:hint="eastAsia" w:cs="Times New Roman"/>
                      <w:b w:val="0"/>
                      <w:bCs/>
                      <w:color w:val="FF0000"/>
                      <w:kern w:val="0"/>
                      <w:sz w:val="21"/>
                      <w:szCs w:val="21"/>
                      <w:u w:val="single"/>
                      <w:vertAlign w:val="baseline"/>
                      <w:lang w:val="en-US" w:eastAsia="zh-CN" w:bidi="ar"/>
                    </w:rPr>
                    <w:t>十一</w:t>
                  </w:r>
                  <w:r>
                    <w:rPr>
                      <w:rFonts w:hint="eastAsia" w:ascii="Times New Roman" w:hAnsi="Times New Roman" w:eastAsia="宋体" w:cs="Times New Roman"/>
                      <w:b w:val="0"/>
                      <w:bCs/>
                      <w:color w:val="FF0000"/>
                      <w:kern w:val="0"/>
                      <w:sz w:val="21"/>
                      <w:szCs w:val="21"/>
                      <w:u w:val="single"/>
                      <w:vertAlign w:val="baseline"/>
                      <w:lang w:val="en-US" w:eastAsia="zh-CN" w:bidi="ar"/>
                    </w:rPr>
                    <w:t>条</w:t>
                  </w:r>
                </w:p>
              </w:tc>
              <w:tc>
                <w:tcPr>
                  <w:tcW w:w="3302" w:type="dxa"/>
                </w:tcPr>
                <w:p w14:paraId="218C20B9">
                  <w:pPr>
                    <w:jc w:val="both"/>
                    <w:rPr>
                      <w:rFonts w:hint="eastAsia" w:ascii="Times New Roman" w:hAnsi="Times New Roman" w:eastAsia="宋体" w:cs="Times New Roman"/>
                      <w:b w:val="0"/>
                      <w:bCs/>
                      <w:color w:val="FF0000"/>
                      <w:kern w:val="0"/>
                      <w:sz w:val="21"/>
                      <w:szCs w:val="21"/>
                      <w:u w:val="single"/>
                      <w:vertAlign w:val="baseline"/>
                      <w:lang w:val="en-US" w:eastAsia="zh-CN" w:bidi="ar"/>
                    </w:rPr>
                  </w:pPr>
                  <w:r>
                    <w:rPr>
                      <w:rFonts w:hint="eastAsia" w:ascii="Times New Roman" w:hAnsi="Times New Roman" w:eastAsia="宋体" w:cs="Times New Roman"/>
                      <w:bCs/>
                      <w:i w:val="0"/>
                      <w:iCs w:val="0"/>
                      <w:caps w:val="0"/>
                      <w:color w:val="FF0000"/>
                      <w:spacing w:val="0"/>
                      <w:sz w:val="21"/>
                      <w:szCs w:val="21"/>
                      <w:u w:val="single"/>
                      <w:shd w:val="clear" w:fill="auto"/>
                      <w:lang w:val="en-US" w:bidi="ar"/>
                    </w:rPr>
                    <w:t>医疗卫生机构和医疗废物集中处置单位，应当依照《中华人民共和国固体废物污染环境防治法》的规定，执行危险废物转移联单管理制度</w:t>
                  </w:r>
                </w:p>
              </w:tc>
              <w:tc>
                <w:tcPr>
                  <w:tcW w:w="2778" w:type="dxa"/>
                </w:tcPr>
                <w:p w14:paraId="543845A3">
                  <w:pPr>
                    <w:jc w:val="both"/>
                    <w:rPr>
                      <w:rFonts w:hint="eastAsia" w:ascii="Times New Roman" w:hAnsi="Times New Roman" w:eastAsia="宋体" w:cs="Times New Roman"/>
                      <w:b w:val="0"/>
                      <w:bCs/>
                      <w:color w:val="FF0000"/>
                      <w:kern w:val="0"/>
                      <w:sz w:val="21"/>
                      <w:szCs w:val="21"/>
                      <w:u w:val="single"/>
                      <w:vertAlign w:val="baseline"/>
                      <w:lang w:val="en-US" w:eastAsia="zh-CN" w:bidi="ar"/>
                    </w:rPr>
                  </w:pPr>
                  <w:r>
                    <w:rPr>
                      <w:rFonts w:hint="eastAsia" w:cs="Times New Roman"/>
                      <w:bCs/>
                      <w:i w:val="0"/>
                      <w:iCs w:val="0"/>
                      <w:caps w:val="0"/>
                      <w:color w:val="FF0000"/>
                      <w:spacing w:val="0"/>
                      <w:sz w:val="21"/>
                      <w:szCs w:val="21"/>
                      <w:u w:val="single"/>
                      <w:shd w:val="clear"/>
                      <w:lang w:val="en-US" w:eastAsia="zh-CN" w:bidi="ar"/>
                    </w:rPr>
                    <w:t>严格</w:t>
                  </w:r>
                  <w:r>
                    <w:rPr>
                      <w:rFonts w:hint="eastAsia" w:ascii="Times New Roman" w:hAnsi="Times New Roman" w:eastAsia="宋体" w:cs="Times New Roman"/>
                      <w:bCs/>
                      <w:i w:val="0"/>
                      <w:iCs w:val="0"/>
                      <w:caps w:val="0"/>
                      <w:color w:val="FF0000"/>
                      <w:spacing w:val="0"/>
                      <w:sz w:val="21"/>
                      <w:szCs w:val="21"/>
                      <w:u w:val="single"/>
                      <w:shd w:val="clear"/>
                      <w:lang w:val="en-US" w:bidi="ar"/>
                    </w:rPr>
                    <w:t>执行危险废物转移联单管理制度</w:t>
                  </w:r>
                </w:p>
              </w:tc>
              <w:tc>
                <w:tcPr>
                  <w:tcW w:w="914" w:type="dxa"/>
                </w:tcPr>
                <w:p w14:paraId="3BD0DD5D">
                  <w:pPr>
                    <w:jc w:val="both"/>
                    <w:rPr>
                      <w:rFonts w:hint="eastAsia" w:ascii="Times New Roman" w:hAnsi="Times New Roman" w:eastAsia="宋体" w:cs="Times New Roman"/>
                      <w:b w:val="0"/>
                      <w:bCs/>
                      <w:color w:val="FF0000"/>
                      <w:kern w:val="0"/>
                      <w:sz w:val="21"/>
                      <w:szCs w:val="21"/>
                      <w:u w:val="single"/>
                      <w:vertAlign w:val="baseline"/>
                      <w:lang w:val="en-US" w:eastAsia="zh-CN" w:bidi="ar"/>
                    </w:rPr>
                  </w:pPr>
                  <w:r>
                    <w:rPr>
                      <w:rFonts w:hint="eastAsia" w:cs="Times New Roman"/>
                      <w:b w:val="0"/>
                      <w:bCs/>
                      <w:color w:val="FF0000"/>
                      <w:kern w:val="0"/>
                      <w:sz w:val="21"/>
                      <w:szCs w:val="21"/>
                      <w:u w:val="single"/>
                      <w:vertAlign w:val="baseline"/>
                      <w:lang w:val="en-US" w:eastAsia="zh-CN" w:bidi="ar"/>
                    </w:rPr>
                    <w:t>符合</w:t>
                  </w:r>
                </w:p>
              </w:tc>
            </w:tr>
            <w:tr w14:paraId="764C5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tcPr>
                <w:p w14:paraId="70977D13">
                  <w:pPr>
                    <w:jc w:val="both"/>
                    <w:rPr>
                      <w:rFonts w:hint="eastAsia" w:ascii="Times New Roman" w:hAnsi="Times New Roman" w:eastAsia="宋体" w:cs="Times New Roman"/>
                      <w:b w:val="0"/>
                      <w:bCs/>
                      <w:color w:val="FF0000"/>
                      <w:kern w:val="0"/>
                      <w:sz w:val="21"/>
                      <w:szCs w:val="21"/>
                      <w:u w:val="single"/>
                      <w:vertAlign w:val="baseline"/>
                      <w:lang w:val="en-US" w:eastAsia="zh-CN" w:bidi="ar"/>
                    </w:rPr>
                  </w:pPr>
                  <w:r>
                    <w:rPr>
                      <w:rFonts w:hint="eastAsia" w:ascii="Times New Roman" w:hAnsi="Times New Roman" w:eastAsia="宋体" w:cs="Times New Roman"/>
                      <w:b w:val="0"/>
                      <w:bCs/>
                      <w:color w:val="FF0000"/>
                      <w:kern w:val="0"/>
                      <w:sz w:val="21"/>
                      <w:szCs w:val="21"/>
                      <w:u w:val="single"/>
                      <w:vertAlign w:val="baseline"/>
                      <w:lang w:val="en-US" w:eastAsia="zh-CN" w:bidi="ar"/>
                    </w:rPr>
                    <w:t>第</w:t>
                  </w:r>
                  <w:r>
                    <w:rPr>
                      <w:rFonts w:hint="eastAsia" w:cs="Times New Roman"/>
                      <w:b w:val="0"/>
                      <w:bCs/>
                      <w:color w:val="FF0000"/>
                      <w:kern w:val="0"/>
                      <w:sz w:val="21"/>
                      <w:szCs w:val="21"/>
                      <w:u w:val="single"/>
                      <w:vertAlign w:val="baseline"/>
                      <w:lang w:val="en-US" w:eastAsia="zh-CN" w:bidi="ar"/>
                    </w:rPr>
                    <w:t>十二</w:t>
                  </w:r>
                  <w:r>
                    <w:rPr>
                      <w:rFonts w:hint="eastAsia" w:ascii="Times New Roman" w:hAnsi="Times New Roman" w:eastAsia="宋体" w:cs="Times New Roman"/>
                      <w:b w:val="0"/>
                      <w:bCs/>
                      <w:color w:val="FF0000"/>
                      <w:kern w:val="0"/>
                      <w:sz w:val="21"/>
                      <w:szCs w:val="21"/>
                      <w:u w:val="single"/>
                      <w:vertAlign w:val="baseline"/>
                      <w:lang w:val="en-US" w:eastAsia="zh-CN" w:bidi="ar"/>
                    </w:rPr>
                    <w:t>条</w:t>
                  </w:r>
                </w:p>
              </w:tc>
              <w:tc>
                <w:tcPr>
                  <w:tcW w:w="3302" w:type="dxa"/>
                </w:tcPr>
                <w:p w14:paraId="7F346095">
                  <w:pPr>
                    <w:jc w:val="both"/>
                    <w:rPr>
                      <w:rFonts w:hint="eastAsia" w:ascii="Times New Roman" w:hAnsi="Times New Roman" w:eastAsia="宋体" w:cs="Times New Roman"/>
                      <w:bCs/>
                      <w:i w:val="0"/>
                      <w:iCs w:val="0"/>
                      <w:caps w:val="0"/>
                      <w:color w:val="FF0000"/>
                      <w:spacing w:val="0"/>
                      <w:sz w:val="21"/>
                      <w:szCs w:val="21"/>
                      <w:u w:val="single"/>
                      <w:shd w:val="clear"/>
                      <w:lang w:val="en-US" w:bidi="ar"/>
                    </w:rPr>
                  </w:pPr>
                  <w:r>
                    <w:rPr>
                      <w:rFonts w:hint="eastAsia" w:ascii="Times New Roman" w:hAnsi="Times New Roman" w:eastAsia="宋体" w:cs="Times New Roman"/>
                      <w:bCs/>
                      <w:i w:val="0"/>
                      <w:iCs w:val="0"/>
                      <w:caps w:val="0"/>
                      <w:color w:val="FF0000"/>
                      <w:spacing w:val="0"/>
                      <w:sz w:val="21"/>
                      <w:szCs w:val="21"/>
                      <w:u w:val="single"/>
                      <w:shd w:val="clear" w:fill="auto"/>
                      <w:lang w:val="en-US" w:bidi="ar"/>
                    </w:rPr>
                    <w:t>医疗卫生机构和医疗废物集中处置单位，应当对医疗废物进行登记，登记内容应当包括医疗废物的来源、种类、重量或者数量、交接时间、处置方法、最终去向以及经办人签名等项目。登记资料至少保存3年</w:t>
                  </w:r>
                </w:p>
              </w:tc>
              <w:tc>
                <w:tcPr>
                  <w:tcW w:w="2778" w:type="dxa"/>
                </w:tcPr>
                <w:p w14:paraId="099297A0">
                  <w:pPr>
                    <w:jc w:val="both"/>
                    <w:rPr>
                      <w:rFonts w:hint="eastAsia" w:cs="Times New Roman"/>
                      <w:bCs/>
                      <w:i w:val="0"/>
                      <w:iCs w:val="0"/>
                      <w:caps w:val="0"/>
                      <w:color w:val="FF0000"/>
                      <w:spacing w:val="0"/>
                      <w:sz w:val="21"/>
                      <w:szCs w:val="21"/>
                      <w:u w:val="single"/>
                      <w:shd w:val="clear"/>
                      <w:lang w:val="en-US" w:eastAsia="zh-CN" w:bidi="ar"/>
                    </w:rPr>
                  </w:pPr>
                  <w:r>
                    <w:rPr>
                      <w:rFonts w:hint="eastAsia" w:cs="Times New Roman"/>
                      <w:bCs/>
                      <w:i w:val="0"/>
                      <w:iCs w:val="0"/>
                      <w:caps w:val="0"/>
                      <w:color w:val="FF0000"/>
                      <w:spacing w:val="0"/>
                      <w:sz w:val="21"/>
                      <w:szCs w:val="21"/>
                      <w:u w:val="single"/>
                      <w:shd w:val="clear"/>
                      <w:lang w:val="en-US" w:eastAsia="zh-CN" w:bidi="ar"/>
                    </w:rPr>
                    <w:t>严格执行，</w:t>
                  </w:r>
                  <w:r>
                    <w:rPr>
                      <w:rFonts w:hint="eastAsia" w:ascii="Times New Roman" w:hAnsi="Times New Roman" w:eastAsia="宋体" w:cs="Times New Roman"/>
                      <w:bCs/>
                      <w:i w:val="0"/>
                      <w:iCs w:val="0"/>
                      <w:caps w:val="0"/>
                      <w:color w:val="FF0000"/>
                      <w:spacing w:val="0"/>
                      <w:sz w:val="21"/>
                      <w:szCs w:val="21"/>
                      <w:u w:val="single"/>
                      <w:shd w:val="clear"/>
                      <w:lang w:val="en-US" w:bidi="ar"/>
                    </w:rPr>
                    <w:t>医疗废物进行登记</w:t>
                  </w:r>
                  <w:r>
                    <w:rPr>
                      <w:rFonts w:hint="eastAsia" w:cs="Times New Roman"/>
                      <w:bCs/>
                      <w:i w:val="0"/>
                      <w:iCs w:val="0"/>
                      <w:caps w:val="0"/>
                      <w:color w:val="FF0000"/>
                      <w:spacing w:val="0"/>
                      <w:sz w:val="21"/>
                      <w:szCs w:val="21"/>
                      <w:u w:val="single"/>
                      <w:shd w:val="clear"/>
                      <w:lang w:val="en-US" w:eastAsia="zh-CN" w:bidi="ar"/>
                    </w:rPr>
                    <w:t>制度</w:t>
                  </w:r>
                  <w:r>
                    <w:rPr>
                      <w:rFonts w:hint="eastAsia" w:ascii="Times New Roman" w:hAnsi="Times New Roman" w:eastAsia="宋体" w:cs="Times New Roman"/>
                      <w:bCs/>
                      <w:i w:val="0"/>
                      <w:iCs w:val="0"/>
                      <w:caps w:val="0"/>
                      <w:color w:val="FF0000"/>
                      <w:spacing w:val="0"/>
                      <w:sz w:val="21"/>
                      <w:szCs w:val="21"/>
                      <w:u w:val="single"/>
                      <w:shd w:val="clear"/>
                      <w:lang w:val="en-US" w:bidi="ar"/>
                    </w:rPr>
                    <w:t>，登记内容应当包括医疗废物的来源、种类、重量或者数量、交接时间、处置方法、最终去向以及经办人签名等项目。登记资料至少保存3年</w:t>
                  </w:r>
                </w:p>
              </w:tc>
              <w:tc>
                <w:tcPr>
                  <w:tcW w:w="914" w:type="dxa"/>
                </w:tcPr>
                <w:p w14:paraId="6B414CD1">
                  <w:pPr>
                    <w:jc w:val="both"/>
                    <w:rPr>
                      <w:rFonts w:hint="eastAsia" w:cs="Times New Roman"/>
                      <w:b w:val="0"/>
                      <w:bCs/>
                      <w:color w:val="FF0000"/>
                      <w:kern w:val="0"/>
                      <w:sz w:val="21"/>
                      <w:szCs w:val="21"/>
                      <w:u w:val="single"/>
                      <w:vertAlign w:val="baseline"/>
                      <w:lang w:val="en-US" w:eastAsia="zh-CN" w:bidi="ar"/>
                    </w:rPr>
                  </w:pPr>
                  <w:r>
                    <w:rPr>
                      <w:rFonts w:hint="eastAsia" w:cs="Times New Roman"/>
                      <w:b w:val="0"/>
                      <w:bCs/>
                      <w:color w:val="FF0000"/>
                      <w:kern w:val="0"/>
                      <w:sz w:val="21"/>
                      <w:szCs w:val="21"/>
                      <w:u w:val="single"/>
                      <w:vertAlign w:val="baseline"/>
                      <w:lang w:val="en-US" w:eastAsia="zh-CN" w:bidi="ar"/>
                    </w:rPr>
                    <w:t>符合</w:t>
                  </w:r>
                </w:p>
              </w:tc>
            </w:tr>
            <w:tr w14:paraId="6C774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tcPr>
                <w:p w14:paraId="77953F4A">
                  <w:pPr>
                    <w:jc w:val="both"/>
                    <w:rPr>
                      <w:rFonts w:hint="eastAsia" w:ascii="Times New Roman" w:hAnsi="Times New Roman" w:eastAsia="宋体" w:cs="Times New Roman"/>
                      <w:b w:val="0"/>
                      <w:bCs/>
                      <w:color w:val="FF0000"/>
                      <w:kern w:val="0"/>
                      <w:sz w:val="21"/>
                      <w:szCs w:val="21"/>
                      <w:u w:val="single"/>
                      <w:vertAlign w:val="baseline"/>
                      <w:lang w:val="en-US" w:eastAsia="zh-CN" w:bidi="ar"/>
                    </w:rPr>
                  </w:pPr>
                  <w:r>
                    <w:rPr>
                      <w:rFonts w:hint="eastAsia" w:cs="Times New Roman"/>
                      <w:b w:val="0"/>
                      <w:bCs/>
                      <w:color w:val="FF0000"/>
                      <w:kern w:val="0"/>
                      <w:sz w:val="21"/>
                      <w:szCs w:val="21"/>
                      <w:u w:val="single"/>
                      <w:vertAlign w:val="baseline"/>
                      <w:lang w:val="en-US" w:eastAsia="zh-CN" w:bidi="ar"/>
                    </w:rPr>
                    <w:t>第十六条</w:t>
                  </w:r>
                </w:p>
              </w:tc>
              <w:tc>
                <w:tcPr>
                  <w:tcW w:w="3302" w:type="dxa"/>
                </w:tcPr>
                <w:p w14:paraId="58EE2116">
                  <w:pPr>
                    <w:jc w:val="both"/>
                    <w:rPr>
                      <w:rFonts w:hint="eastAsia" w:ascii="Times New Roman" w:hAnsi="Times New Roman" w:eastAsia="宋体" w:cs="Times New Roman"/>
                      <w:bCs/>
                      <w:i w:val="0"/>
                      <w:iCs w:val="0"/>
                      <w:caps w:val="0"/>
                      <w:color w:val="FF0000"/>
                      <w:spacing w:val="0"/>
                      <w:sz w:val="21"/>
                      <w:szCs w:val="21"/>
                      <w:u w:val="single"/>
                      <w:shd w:val="clear"/>
                      <w:lang w:val="en-US" w:bidi="ar"/>
                    </w:rPr>
                  </w:pPr>
                  <w:r>
                    <w:rPr>
                      <w:rFonts w:hint="eastAsia" w:ascii="Times New Roman" w:hAnsi="Times New Roman" w:eastAsia="宋体" w:cs="Times New Roman"/>
                      <w:bCs/>
                      <w:i w:val="0"/>
                      <w:iCs w:val="0"/>
                      <w:caps w:val="0"/>
                      <w:color w:val="FF0000"/>
                      <w:spacing w:val="0"/>
                      <w:sz w:val="21"/>
                      <w:szCs w:val="21"/>
                      <w:u w:val="single"/>
                      <w:shd w:val="clear"/>
                      <w:lang w:val="en-US" w:bidi="ar"/>
                    </w:rPr>
                    <w:t>医疗卫生机构应当及时收集本单位产生的医疗废物，并按照类别分置于防渗漏、防锐器穿透的专用包装物或者密闭的容器内。</w:t>
                  </w:r>
                </w:p>
                <w:p w14:paraId="0DE7D481">
                  <w:pPr>
                    <w:jc w:val="both"/>
                    <w:rPr>
                      <w:rFonts w:hint="eastAsia" w:ascii="Times New Roman" w:hAnsi="Times New Roman" w:eastAsia="宋体" w:cs="Times New Roman"/>
                      <w:bCs/>
                      <w:i w:val="0"/>
                      <w:iCs w:val="0"/>
                      <w:caps w:val="0"/>
                      <w:color w:val="FF0000"/>
                      <w:spacing w:val="0"/>
                      <w:sz w:val="21"/>
                      <w:szCs w:val="21"/>
                      <w:u w:val="single"/>
                      <w:shd w:val="clear"/>
                      <w:lang w:val="en-US" w:bidi="ar"/>
                    </w:rPr>
                  </w:pPr>
                  <w:r>
                    <w:rPr>
                      <w:rFonts w:hint="eastAsia" w:ascii="Times New Roman" w:hAnsi="Times New Roman" w:eastAsia="宋体" w:cs="Times New Roman"/>
                      <w:bCs/>
                      <w:i w:val="0"/>
                      <w:iCs w:val="0"/>
                      <w:caps w:val="0"/>
                      <w:color w:val="FF0000"/>
                      <w:spacing w:val="0"/>
                      <w:sz w:val="21"/>
                      <w:szCs w:val="21"/>
                      <w:u w:val="single"/>
                      <w:shd w:val="clear"/>
                      <w:lang w:val="en-US" w:bidi="ar"/>
                    </w:rPr>
                    <w:t>医疗废物专用包装物、容器，应当有明显的警示标识和警示说明。</w:t>
                  </w:r>
                </w:p>
              </w:tc>
              <w:tc>
                <w:tcPr>
                  <w:tcW w:w="2778" w:type="dxa"/>
                </w:tcPr>
                <w:p w14:paraId="7782A5A9">
                  <w:pPr>
                    <w:jc w:val="both"/>
                    <w:rPr>
                      <w:rFonts w:hint="eastAsia" w:ascii="Times New Roman" w:hAnsi="Times New Roman" w:eastAsia="宋体" w:cs="Times New Roman"/>
                      <w:bCs/>
                      <w:i w:val="0"/>
                      <w:iCs w:val="0"/>
                      <w:caps w:val="0"/>
                      <w:color w:val="FF0000"/>
                      <w:spacing w:val="0"/>
                      <w:sz w:val="21"/>
                      <w:szCs w:val="21"/>
                      <w:u w:val="single"/>
                      <w:shd w:val="clear"/>
                      <w:lang w:val="en-US" w:bidi="ar"/>
                    </w:rPr>
                  </w:pPr>
                  <w:r>
                    <w:rPr>
                      <w:rFonts w:hint="eastAsia" w:ascii="Times New Roman" w:hAnsi="Times New Roman" w:eastAsia="宋体" w:cs="Times New Roman"/>
                      <w:bCs/>
                      <w:i w:val="0"/>
                      <w:iCs w:val="0"/>
                      <w:caps w:val="0"/>
                      <w:color w:val="FF0000"/>
                      <w:spacing w:val="0"/>
                      <w:sz w:val="21"/>
                      <w:szCs w:val="21"/>
                      <w:u w:val="single"/>
                      <w:shd w:val="clear"/>
                      <w:lang w:val="en-US" w:bidi="ar"/>
                    </w:rPr>
                    <w:t>及时收集本单位产生的医疗废物，并按照类别分置于防渗漏、防锐器穿透的专用包装物或者密闭的容器内。</w:t>
                  </w:r>
                </w:p>
                <w:p w14:paraId="5C310A72">
                  <w:pPr>
                    <w:jc w:val="both"/>
                    <w:rPr>
                      <w:rFonts w:hint="eastAsia" w:cs="Times New Roman"/>
                      <w:bCs/>
                      <w:i w:val="0"/>
                      <w:iCs w:val="0"/>
                      <w:caps w:val="0"/>
                      <w:color w:val="FF0000"/>
                      <w:spacing w:val="0"/>
                      <w:sz w:val="21"/>
                      <w:szCs w:val="21"/>
                      <w:u w:val="single"/>
                      <w:shd w:val="clear"/>
                      <w:lang w:val="en-US" w:eastAsia="zh-CN" w:bidi="ar"/>
                    </w:rPr>
                  </w:pPr>
                  <w:r>
                    <w:rPr>
                      <w:rFonts w:hint="eastAsia" w:ascii="Times New Roman" w:hAnsi="Times New Roman" w:eastAsia="宋体" w:cs="Times New Roman"/>
                      <w:bCs/>
                      <w:i w:val="0"/>
                      <w:iCs w:val="0"/>
                      <w:caps w:val="0"/>
                      <w:color w:val="FF0000"/>
                      <w:spacing w:val="0"/>
                      <w:sz w:val="21"/>
                      <w:szCs w:val="21"/>
                      <w:u w:val="single"/>
                      <w:shd w:val="clear"/>
                      <w:lang w:val="en-US" w:bidi="ar"/>
                    </w:rPr>
                    <w:t>医疗废物专用包装物、容器，有明显的警示标识和警示说明。</w:t>
                  </w:r>
                </w:p>
              </w:tc>
              <w:tc>
                <w:tcPr>
                  <w:tcW w:w="914" w:type="dxa"/>
                </w:tcPr>
                <w:p w14:paraId="55DB53DC">
                  <w:pPr>
                    <w:jc w:val="both"/>
                    <w:rPr>
                      <w:rFonts w:hint="eastAsia" w:cs="Times New Roman"/>
                      <w:b w:val="0"/>
                      <w:bCs/>
                      <w:color w:val="FF0000"/>
                      <w:kern w:val="0"/>
                      <w:sz w:val="21"/>
                      <w:szCs w:val="21"/>
                      <w:u w:val="single"/>
                      <w:vertAlign w:val="baseline"/>
                      <w:lang w:val="en-US" w:eastAsia="zh-CN" w:bidi="ar"/>
                    </w:rPr>
                  </w:pPr>
                  <w:r>
                    <w:rPr>
                      <w:rFonts w:hint="eastAsia" w:cs="Times New Roman"/>
                      <w:b w:val="0"/>
                      <w:bCs/>
                      <w:color w:val="FF0000"/>
                      <w:kern w:val="0"/>
                      <w:sz w:val="21"/>
                      <w:szCs w:val="21"/>
                      <w:u w:val="single"/>
                      <w:vertAlign w:val="baseline"/>
                      <w:lang w:val="en-US" w:eastAsia="zh-CN" w:bidi="ar"/>
                    </w:rPr>
                    <w:t>符合</w:t>
                  </w:r>
                </w:p>
              </w:tc>
            </w:tr>
            <w:tr w14:paraId="73B73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tcPr>
                <w:p w14:paraId="17E1043B">
                  <w:pPr>
                    <w:jc w:val="both"/>
                    <w:rPr>
                      <w:rFonts w:hint="eastAsia" w:cs="Times New Roman"/>
                      <w:b w:val="0"/>
                      <w:bCs/>
                      <w:color w:val="FF0000"/>
                      <w:kern w:val="0"/>
                      <w:sz w:val="21"/>
                      <w:szCs w:val="21"/>
                      <w:u w:val="single"/>
                      <w:vertAlign w:val="baseline"/>
                      <w:lang w:val="en-US" w:eastAsia="zh-CN" w:bidi="ar"/>
                    </w:rPr>
                  </w:pPr>
                  <w:r>
                    <w:rPr>
                      <w:rFonts w:hint="eastAsia" w:cs="Times New Roman"/>
                      <w:b w:val="0"/>
                      <w:bCs/>
                      <w:color w:val="FF0000"/>
                      <w:kern w:val="0"/>
                      <w:sz w:val="21"/>
                      <w:szCs w:val="21"/>
                      <w:u w:val="single"/>
                      <w:vertAlign w:val="baseline"/>
                      <w:lang w:val="en-US" w:eastAsia="zh-CN" w:bidi="ar"/>
                    </w:rPr>
                    <w:t>第十七条</w:t>
                  </w:r>
                </w:p>
              </w:tc>
              <w:tc>
                <w:tcPr>
                  <w:tcW w:w="3302" w:type="dxa"/>
                </w:tcPr>
                <w:p w14:paraId="2656AD1A">
                  <w:pPr>
                    <w:jc w:val="both"/>
                    <w:rPr>
                      <w:rFonts w:hint="eastAsia" w:ascii="Times New Roman" w:hAnsi="Times New Roman" w:eastAsia="宋体" w:cs="Times New Roman"/>
                      <w:bCs/>
                      <w:i w:val="0"/>
                      <w:iCs w:val="0"/>
                      <w:caps w:val="0"/>
                      <w:color w:val="FF0000"/>
                      <w:spacing w:val="0"/>
                      <w:sz w:val="21"/>
                      <w:szCs w:val="21"/>
                      <w:u w:val="single"/>
                      <w:shd w:val="clear"/>
                      <w:lang w:val="en-US" w:bidi="ar"/>
                    </w:rPr>
                  </w:pPr>
                  <w:r>
                    <w:rPr>
                      <w:rFonts w:hint="eastAsia" w:ascii="Times New Roman" w:hAnsi="Times New Roman" w:eastAsia="宋体" w:cs="Times New Roman"/>
                      <w:bCs/>
                      <w:i w:val="0"/>
                      <w:iCs w:val="0"/>
                      <w:caps w:val="0"/>
                      <w:color w:val="FF0000"/>
                      <w:spacing w:val="0"/>
                      <w:sz w:val="21"/>
                      <w:szCs w:val="21"/>
                      <w:u w:val="single"/>
                      <w:shd w:val="clear"/>
                      <w:lang w:val="en-US" w:bidi="ar"/>
                    </w:rPr>
                    <w:t>医疗卫生机构应当建立医疗废物的暂时贮存设施、设备，不得露天存放医疗废物；医疗废物暂时贮存的时间不得超过2天。</w:t>
                  </w:r>
                </w:p>
                <w:p w14:paraId="1AACDFF4">
                  <w:pPr>
                    <w:jc w:val="both"/>
                    <w:rPr>
                      <w:rFonts w:hint="eastAsia" w:ascii="Times New Roman" w:hAnsi="Times New Roman" w:eastAsia="宋体" w:cs="Times New Roman"/>
                      <w:bCs/>
                      <w:i w:val="0"/>
                      <w:iCs w:val="0"/>
                      <w:caps w:val="0"/>
                      <w:color w:val="FF0000"/>
                      <w:spacing w:val="0"/>
                      <w:sz w:val="21"/>
                      <w:szCs w:val="21"/>
                      <w:u w:val="single"/>
                      <w:shd w:val="clear"/>
                      <w:lang w:val="en-US" w:bidi="ar"/>
                    </w:rPr>
                  </w:pPr>
                  <w:r>
                    <w:rPr>
                      <w:rFonts w:hint="eastAsia" w:ascii="Times New Roman" w:hAnsi="Times New Roman" w:eastAsia="宋体" w:cs="Times New Roman"/>
                      <w:bCs/>
                      <w:i w:val="0"/>
                      <w:iCs w:val="0"/>
                      <w:caps w:val="0"/>
                      <w:color w:val="FF0000"/>
                      <w:spacing w:val="0"/>
                      <w:sz w:val="21"/>
                      <w:szCs w:val="21"/>
                      <w:u w:val="single"/>
                      <w:shd w:val="clear"/>
                      <w:lang w:val="en-US" w:bidi="ar"/>
                    </w:rPr>
                    <w:t>医疗废物的暂时贮存设施、设备，应当远离医疗区、食品加工区和人员活动区以及生活垃圾存放场所，并设置明显的警示标识和防渗漏、防鼠、防蚊蝇、防蟑螂、防盗以及预防儿童接触等安全措施。</w:t>
                  </w:r>
                </w:p>
                <w:p w14:paraId="0EC25882">
                  <w:pPr>
                    <w:jc w:val="both"/>
                    <w:rPr>
                      <w:rFonts w:hint="eastAsia" w:ascii="Times New Roman" w:hAnsi="Times New Roman" w:eastAsia="宋体" w:cs="Times New Roman"/>
                      <w:bCs/>
                      <w:i w:val="0"/>
                      <w:iCs w:val="0"/>
                      <w:caps w:val="0"/>
                      <w:color w:val="FF0000"/>
                      <w:spacing w:val="0"/>
                      <w:sz w:val="21"/>
                      <w:szCs w:val="21"/>
                      <w:u w:val="single"/>
                      <w:shd w:val="clear"/>
                      <w:lang w:val="en-US" w:bidi="ar"/>
                    </w:rPr>
                  </w:pPr>
                  <w:r>
                    <w:rPr>
                      <w:rFonts w:hint="eastAsia" w:ascii="Times New Roman" w:hAnsi="Times New Roman" w:eastAsia="宋体" w:cs="Times New Roman"/>
                      <w:bCs/>
                      <w:i w:val="0"/>
                      <w:iCs w:val="0"/>
                      <w:caps w:val="0"/>
                      <w:color w:val="FF0000"/>
                      <w:spacing w:val="0"/>
                      <w:sz w:val="21"/>
                      <w:szCs w:val="21"/>
                      <w:u w:val="single"/>
                      <w:shd w:val="clear"/>
                      <w:lang w:val="en-US" w:bidi="ar"/>
                    </w:rPr>
                    <w:t>医疗废物的暂时贮存设施、设备应当定期消毒和清洁。</w:t>
                  </w:r>
                </w:p>
                <w:p w14:paraId="6FD2449F">
                  <w:pPr>
                    <w:jc w:val="both"/>
                    <w:rPr>
                      <w:rFonts w:hint="eastAsia" w:ascii="Times New Roman" w:hAnsi="Times New Roman" w:eastAsia="宋体" w:cs="Times New Roman"/>
                      <w:bCs/>
                      <w:i w:val="0"/>
                      <w:iCs w:val="0"/>
                      <w:caps w:val="0"/>
                      <w:color w:val="FF0000"/>
                      <w:spacing w:val="0"/>
                      <w:sz w:val="21"/>
                      <w:szCs w:val="21"/>
                      <w:u w:val="single"/>
                      <w:shd w:val="clear"/>
                      <w:lang w:val="en-US" w:bidi="ar"/>
                    </w:rPr>
                  </w:pPr>
                </w:p>
              </w:tc>
              <w:tc>
                <w:tcPr>
                  <w:tcW w:w="2778" w:type="dxa"/>
                </w:tcPr>
                <w:p w14:paraId="777F2C29">
                  <w:pPr>
                    <w:jc w:val="both"/>
                    <w:rPr>
                      <w:rFonts w:hint="eastAsia" w:ascii="Times New Roman" w:hAnsi="Times New Roman" w:eastAsia="宋体" w:cs="Times New Roman"/>
                      <w:bCs/>
                      <w:i w:val="0"/>
                      <w:iCs w:val="0"/>
                      <w:caps w:val="0"/>
                      <w:color w:val="FF0000"/>
                      <w:spacing w:val="0"/>
                      <w:sz w:val="21"/>
                      <w:szCs w:val="21"/>
                      <w:u w:val="single"/>
                      <w:shd w:val="clear"/>
                      <w:lang w:val="en-US" w:eastAsia="zh-CN" w:bidi="ar"/>
                    </w:rPr>
                  </w:pPr>
                  <w:r>
                    <w:rPr>
                      <w:rFonts w:hint="eastAsia" w:cs="Times New Roman"/>
                      <w:bCs/>
                      <w:i w:val="0"/>
                      <w:iCs w:val="0"/>
                      <w:caps w:val="0"/>
                      <w:color w:val="FF0000"/>
                      <w:spacing w:val="0"/>
                      <w:sz w:val="21"/>
                      <w:szCs w:val="21"/>
                      <w:u w:val="single"/>
                      <w:shd w:val="clear"/>
                      <w:lang w:val="en-US" w:eastAsia="zh-CN" w:bidi="ar"/>
                    </w:rPr>
                    <w:t>拟建设密闭的医废暂存间，</w:t>
                  </w:r>
                  <w:r>
                    <w:rPr>
                      <w:rFonts w:hint="eastAsia" w:ascii="Times New Roman" w:hAnsi="Times New Roman" w:eastAsia="宋体" w:cs="Times New Roman"/>
                      <w:bCs/>
                      <w:i w:val="0"/>
                      <w:iCs w:val="0"/>
                      <w:caps w:val="0"/>
                      <w:color w:val="FF0000"/>
                      <w:spacing w:val="0"/>
                      <w:sz w:val="21"/>
                      <w:szCs w:val="21"/>
                      <w:u w:val="single"/>
                      <w:shd w:val="clear"/>
                      <w:lang w:val="en-US" w:bidi="ar"/>
                    </w:rPr>
                    <w:t>远离医疗区、食品加工区和人员活动区以及生活垃圾存放场所</w:t>
                  </w:r>
                  <w:r>
                    <w:rPr>
                      <w:rFonts w:hint="eastAsia" w:cs="Times New Roman"/>
                      <w:bCs/>
                      <w:i w:val="0"/>
                      <w:iCs w:val="0"/>
                      <w:caps w:val="0"/>
                      <w:color w:val="FF0000"/>
                      <w:spacing w:val="0"/>
                      <w:sz w:val="21"/>
                      <w:szCs w:val="21"/>
                      <w:u w:val="single"/>
                      <w:shd w:val="clear"/>
                      <w:lang w:val="en-US" w:eastAsia="zh-CN" w:bidi="ar"/>
                    </w:rPr>
                    <w:t>，</w:t>
                  </w:r>
                  <w:r>
                    <w:rPr>
                      <w:rFonts w:hint="eastAsia" w:ascii="Times New Roman" w:hAnsi="Times New Roman" w:eastAsia="宋体" w:cs="Times New Roman"/>
                      <w:bCs/>
                      <w:i w:val="0"/>
                      <w:iCs w:val="0"/>
                      <w:caps w:val="0"/>
                      <w:color w:val="FF0000"/>
                      <w:spacing w:val="0"/>
                      <w:sz w:val="21"/>
                      <w:szCs w:val="21"/>
                      <w:u w:val="single"/>
                      <w:shd w:val="clear"/>
                      <w:lang w:val="en-US" w:bidi="ar"/>
                    </w:rPr>
                    <w:t>并设置明显的警示标识和防渗漏</w:t>
                  </w:r>
                  <w:r>
                    <w:rPr>
                      <w:rFonts w:hint="eastAsia" w:cs="Times New Roman"/>
                      <w:bCs/>
                      <w:i w:val="0"/>
                      <w:iCs w:val="0"/>
                      <w:caps w:val="0"/>
                      <w:color w:val="FF0000"/>
                      <w:spacing w:val="0"/>
                      <w:sz w:val="21"/>
                      <w:szCs w:val="21"/>
                      <w:u w:val="single"/>
                      <w:shd w:val="clear"/>
                      <w:lang w:val="en-US" w:eastAsia="zh-CN" w:bidi="ar"/>
                    </w:rPr>
                    <w:t>等措施，</w:t>
                  </w:r>
                  <w:r>
                    <w:rPr>
                      <w:rFonts w:hint="eastAsia" w:ascii="Times New Roman" w:hAnsi="Times New Roman" w:eastAsia="宋体" w:cs="Times New Roman"/>
                      <w:bCs/>
                      <w:i w:val="0"/>
                      <w:iCs w:val="0"/>
                      <w:caps w:val="0"/>
                      <w:color w:val="FF0000"/>
                      <w:spacing w:val="0"/>
                      <w:sz w:val="21"/>
                      <w:szCs w:val="21"/>
                      <w:u w:val="single"/>
                      <w:shd w:val="clear"/>
                      <w:lang w:val="en-US" w:bidi="ar"/>
                    </w:rPr>
                    <w:t>医疗废物暂时贮存的时间不得超过2天</w:t>
                  </w:r>
                  <w:r>
                    <w:rPr>
                      <w:rFonts w:hint="eastAsia" w:cs="Times New Roman"/>
                      <w:bCs/>
                      <w:i w:val="0"/>
                      <w:iCs w:val="0"/>
                      <w:caps w:val="0"/>
                      <w:color w:val="FF0000"/>
                      <w:spacing w:val="0"/>
                      <w:sz w:val="21"/>
                      <w:szCs w:val="21"/>
                      <w:u w:val="single"/>
                      <w:shd w:val="clear"/>
                      <w:lang w:val="en-US" w:eastAsia="zh-CN" w:bidi="ar"/>
                    </w:rPr>
                    <w:t>，</w:t>
                  </w:r>
                  <w:r>
                    <w:rPr>
                      <w:rFonts w:hint="eastAsia" w:ascii="Times New Roman" w:hAnsi="Times New Roman" w:eastAsia="宋体" w:cs="Times New Roman"/>
                      <w:bCs/>
                      <w:i w:val="0"/>
                      <w:iCs w:val="0"/>
                      <w:caps w:val="0"/>
                      <w:color w:val="FF0000"/>
                      <w:spacing w:val="0"/>
                      <w:sz w:val="21"/>
                      <w:szCs w:val="21"/>
                      <w:u w:val="single"/>
                      <w:shd w:val="clear"/>
                      <w:lang w:val="en-US" w:bidi="ar"/>
                    </w:rPr>
                    <w:t>暂时贮存设施、设备应当定期消毒和清洁</w:t>
                  </w:r>
                  <w:r>
                    <w:rPr>
                      <w:rFonts w:hint="eastAsia" w:cs="Times New Roman"/>
                      <w:bCs/>
                      <w:i w:val="0"/>
                      <w:iCs w:val="0"/>
                      <w:caps w:val="0"/>
                      <w:color w:val="FF0000"/>
                      <w:spacing w:val="0"/>
                      <w:sz w:val="21"/>
                      <w:szCs w:val="21"/>
                      <w:u w:val="single"/>
                      <w:shd w:val="clear"/>
                      <w:lang w:val="en-US" w:eastAsia="zh-CN" w:bidi="ar"/>
                    </w:rPr>
                    <w:t>，</w:t>
                  </w:r>
                </w:p>
              </w:tc>
              <w:tc>
                <w:tcPr>
                  <w:tcW w:w="914" w:type="dxa"/>
                </w:tcPr>
                <w:p w14:paraId="1C5AAD83">
                  <w:pPr>
                    <w:jc w:val="both"/>
                    <w:rPr>
                      <w:rFonts w:hint="eastAsia" w:cs="Times New Roman"/>
                      <w:b w:val="0"/>
                      <w:bCs/>
                      <w:color w:val="FF0000"/>
                      <w:kern w:val="0"/>
                      <w:sz w:val="21"/>
                      <w:szCs w:val="21"/>
                      <w:u w:val="single"/>
                      <w:vertAlign w:val="baseline"/>
                      <w:lang w:val="en-US" w:eastAsia="zh-CN" w:bidi="ar"/>
                    </w:rPr>
                  </w:pPr>
                  <w:r>
                    <w:rPr>
                      <w:rFonts w:hint="eastAsia" w:cs="Times New Roman"/>
                      <w:b w:val="0"/>
                      <w:bCs/>
                      <w:color w:val="FF0000"/>
                      <w:kern w:val="0"/>
                      <w:sz w:val="21"/>
                      <w:szCs w:val="21"/>
                      <w:u w:val="single"/>
                      <w:vertAlign w:val="baseline"/>
                      <w:lang w:val="en-US" w:eastAsia="zh-CN" w:bidi="ar"/>
                    </w:rPr>
                    <w:t>符合</w:t>
                  </w:r>
                </w:p>
              </w:tc>
            </w:tr>
            <w:tr w14:paraId="74096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tcPr>
                <w:p w14:paraId="6E2F7BA1">
                  <w:pPr>
                    <w:jc w:val="both"/>
                    <w:rPr>
                      <w:rFonts w:hint="eastAsia" w:cs="Times New Roman"/>
                      <w:b w:val="0"/>
                      <w:bCs/>
                      <w:color w:val="FF0000"/>
                      <w:kern w:val="0"/>
                      <w:sz w:val="21"/>
                      <w:szCs w:val="21"/>
                      <w:u w:val="single"/>
                      <w:vertAlign w:val="baseline"/>
                      <w:lang w:val="en-US" w:eastAsia="zh-CN" w:bidi="ar"/>
                    </w:rPr>
                  </w:pPr>
                  <w:r>
                    <w:rPr>
                      <w:rFonts w:hint="eastAsia" w:cs="Times New Roman"/>
                      <w:b w:val="0"/>
                      <w:bCs/>
                      <w:color w:val="FF0000"/>
                      <w:kern w:val="0"/>
                      <w:sz w:val="21"/>
                      <w:szCs w:val="21"/>
                      <w:u w:val="single"/>
                      <w:vertAlign w:val="baseline"/>
                      <w:lang w:val="en-US" w:eastAsia="zh-CN" w:bidi="ar"/>
                    </w:rPr>
                    <w:t>第十九条</w:t>
                  </w:r>
                </w:p>
              </w:tc>
              <w:tc>
                <w:tcPr>
                  <w:tcW w:w="3302" w:type="dxa"/>
                </w:tcPr>
                <w:p w14:paraId="4C18A250">
                  <w:pPr>
                    <w:jc w:val="both"/>
                    <w:rPr>
                      <w:rFonts w:hint="eastAsia" w:ascii="Times New Roman" w:hAnsi="Times New Roman" w:eastAsia="宋体" w:cs="Times New Roman"/>
                      <w:bCs/>
                      <w:i w:val="0"/>
                      <w:iCs w:val="0"/>
                      <w:caps w:val="0"/>
                      <w:color w:val="FF0000"/>
                      <w:spacing w:val="0"/>
                      <w:sz w:val="21"/>
                      <w:szCs w:val="21"/>
                      <w:u w:val="single"/>
                      <w:shd w:val="clear"/>
                      <w:lang w:val="en-US" w:bidi="ar"/>
                    </w:rPr>
                  </w:pPr>
                  <w:r>
                    <w:rPr>
                      <w:rFonts w:hint="eastAsia" w:ascii="Times New Roman" w:hAnsi="Times New Roman" w:eastAsia="宋体" w:cs="Times New Roman"/>
                      <w:bCs/>
                      <w:i w:val="0"/>
                      <w:iCs w:val="0"/>
                      <w:caps w:val="0"/>
                      <w:color w:val="FF0000"/>
                      <w:spacing w:val="0"/>
                      <w:sz w:val="21"/>
                      <w:szCs w:val="21"/>
                      <w:u w:val="single"/>
                      <w:shd w:val="clear" w:fill="auto"/>
                      <w:lang w:val="en-US" w:bidi="ar"/>
                    </w:rPr>
                    <w:t>医疗卫生机构应当根据就近集中处置的原则，及时将医疗废物交由医疗废物集中处置单位处置</w:t>
                  </w:r>
                </w:p>
              </w:tc>
              <w:tc>
                <w:tcPr>
                  <w:tcW w:w="2778" w:type="dxa"/>
                </w:tcPr>
                <w:p w14:paraId="6FDC087E">
                  <w:pPr>
                    <w:jc w:val="both"/>
                    <w:rPr>
                      <w:rFonts w:hint="eastAsia" w:cs="Times New Roman"/>
                      <w:bCs/>
                      <w:i w:val="0"/>
                      <w:iCs w:val="0"/>
                      <w:caps w:val="0"/>
                      <w:color w:val="FF0000"/>
                      <w:spacing w:val="0"/>
                      <w:sz w:val="21"/>
                      <w:szCs w:val="21"/>
                      <w:u w:val="single"/>
                      <w:shd w:val="clear"/>
                      <w:lang w:val="en-US" w:eastAsia="zh-CN" w:bidi="ar"/>
                    </w:rPr>
                  </w:pPr>
                  <w:r>
                    <w:rPr>
                      <w:rFonts w:hint="eastAsia" w:cs="Times New Roman"/>
                      <w:bCs/>
                      <w:i w:val="0"/>
                      <w:iCs w:val="0"/>
                      <w:caps w:val="0"/>
                      <w:color w:val="FF0000"/>
                      <w:spacing w:val="0"/>
                      <w:sz w:val="21"/>
                      <w:szCs w:val="21"/>
                      <w:u w:val="single"/>
                      <w:shd w:val="clear"/>
                      <w:lang w:val="en-US" w:eastAsia="zh-CN" w:bidi="ar"/>
                    </w:rPr>
                    <w:t>医废交由专业的资质单位进行处置</w:t>
                  </w:r>
                </w:p>
              </w:tc>
              <w:tc>
                <w:tcPr>
                  <w:tcW w:w="914" w:type="dxa"/>
                </w:tcPr>
                <w:p w14:paraId="191F7D45">
                  <w:pPr>
                    <w:jc w:val="both"/>
                    <w:rPr>
                      <w:rFonts w:hint="eastAsia" w:cs="Times New Roman"/>
                      <w:b w:val="0"/>
                      <w:bCs/>
                      <w:color w:val="FF0000"/>
                      <w:kern w:val="0"/>
                      <w:sz w:val="21"/>
                      <w:szCs w:val="21"/>
                      <w:u w:val="single"/>
                      <w:vertAlign w:val="baseline"/>
                      <w:lang w:val="en-US" w:eastAsia="zh-CN" w:bidi="ar"/>
                    </w:rPr>
                  </w:pPr>
                  <w:r>
                    <w:rPr>
                      <w:rFonts w:hint="eastAsia" w:cs="Times New Roman"/>
                      <w:b w:val="0"/>
                      <w:bCs/>
                      <w:color w:val="FF0000"/>
                      <w:kern w:val="0"/>
                      <w:sz w:val="21"/>
                      <w:szCs w:val="21"/>
                      <w:u w:val="single"/>
                      <w:vertAlign w:val="baseline"/>
                      <w:lang w:val="en-US" w:eastAsia="zh-CN" w:bidi="ar"/>
                    </w:rPr>
                    <w:t>符合</w:t>
                  </w:r>
                </w:p>
              </w:tc>
            </w:tr>
            <w:tr w14:paraId="0DE84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tcPr>
                <w:p w14:paraId="4A077C3B">
                  <w:pPr>
                    <w:jc w:val="both"/>
                    <w:rPr>
                      <w:rFonts w:hint="eastAsia" w:cs="Times New Roman"/>
                      <w:b w:val="0"/>
                      <w:bCs/>
                      <w:color w:val="FF0000"/>
                      <w:kern w:val="0"/>
                      <w:sz w:val="21"/>
                      <w:szCs w:val="21"/>
                      <w:u w:val="single"/>
                      <w:vertAlign w:val="baseline"/>
                      <w:lang w:val="en-US" w:eastAsia="zh-CN" w:bidi="ar"/>
                    </w:rPr>
                  </w:pPr>
                  <w:r>
                    <w:rPr>
                      <w:rFonts w:hint="eastAsia" w:cs="Times New Roman"/>
                      <w:b w:val="0"/>
                      <w:bCs/>
                      <w:color w:val="FF0000"/>
                      <w:kern w:val="0"/>
                      <w:sz w:val="21"/>
                      <w:szCs w:val="21"/>
                      <w:u w:val="single"/>
                      <w:vertAlign w:val="baseline"/>
                      <w:lang w:val="en-US" w:eastAsia="zh-CN" w:bidi="ar"/>
                    </w:rPr>
                    <w:t>第二十条</w:t>
                  </w:r>
                </w:p>
              </w:tc>
              <w:tc>
                <w:tcPr>
                  <w:tcW w:w="3302" w:type="dxa"/>
                </w:tcPr>
                <w:p w14:paraId="34E151D1">
                  <w:pPr>
                    <w:jc w:val="both"/>
                    <w:rPr>
                      <w:rFonts w:hint="eastAsia" w:ascii="Times New Roman" w:hAnsi="Times New Roman" w:eastAsia="宋体" w:cs="Times New Roman"/>
                      <w:bCs/>
                      <w:i w:val="0"/>
                      <w:iCs w:val="0"/>
                      <w:caps w:val="0"/>
                      <w:color w:val="FF0000"/>
                      <w:spacing w:val="0"/>
                      <w:sz w:val="21"/>
                      <w:szCs w:val="21"/>
                      <w:u w:val="single"/>
                      <w:shd w:val="clear"/>
                      <w:lang w:val="en-US" w:bidi="ar"/>
                    </w:rPr>
                  </w:pPr>
                  <w:r>
                    <w:rPr>
                      <w:rFonts w:hint="eastAsia" w:ascii="Times New Roman" w:hAnsi="Times New Roman" w:eastAsia="宋体" w:cs="Times New Roman"/>
                      <w:bCs/>
                      <w:i w:val="0"/>
                      <w:iCs w:val="0"/>
                      <w:caps w:val="0"/>
                      <w:color w:val="FF0000"/>
                      <w:spacing w:val="0"/>
                      <w:sz w:val="21"/>
                      <w:szCs w:val="21"/>
                      <w:u w:val="single"/>
                      <w:shd w:val="clear" w:fill="auto"/>
                      <w:lang w:val="en-US" w:bidi="ar"/>
                    </w:rPr>
                    <w:t>医疗卫生机构产生的污水、传染病病人或者疑似传染病病人的排泄物，应当按照国家规定严格消毒；达到国家规定的排放标准后，方可排入污水处理系统</w:t>
                  </w:r>
                </w:p>
              </w:tc>
              <w:tc>
                <w:tcPr>
                  <w:tcW w:w="2778" w:type="dxa"/>
                </w:tcPr>
                <w:p w14:paraId="4BD65926">
                  <w:pPr>
                    <w:jc w:val="both"/>
                    <w:rPr>
                      <w:rFonts w:hint="eastAsia" w:cs="Times New Roman"/>
                      <w:bCs/>
                      <w:i w:val="0"/>
                      <w:iCs w:val="0"/>
                      <w:caps w:val="0"/>
                      <w:color w:val="FF0000"/>
                      <w:spacing w:val="0"/>
                      <w:sz w:val="21"/>
                      <w:szCs w:val="21"/>
                      <w:u w:val="single"/>
                      <w:shd w:val="clear"/>
                      <w:lang w:val="en-US" w:eastAsia="zh-CN" w:bidi="ar"/>
                    </w:rPr>
                  </w:pPr>
                  <w:r>
                    <w:rPr>
                      <w:rFonts w:hint="eastAsia" w:cs="Times New Roman"/>
                      <w:bCs/>
                      <w:i w:val="0"/>
                      <w:iCs w:val="0"/>
                      <w:caps w:val="0"/>
                      <w:color w:val="FF0000"/>
                      <w:spacing w:val="0"/>
                      <w:sz w:val="21"/>
                      <w:szCs w:val="21"/>
                      <w:u w:val="single"/>
                      <w:shd w:val="clear"/>
                      <w:lang w:val="en-US" w:eastAsia="zh-CN" w:bidi="ar"/>
                    </w:rPr>
                    <w:t>本项目产生的医疗废水等进入污水站处理达标后排入低庄镇污水处理厂</w:t>
                  </w:r>
                </w:p>
              </w:tc>
              <w:tc>
                <w:tcPr>
                  <w:tcW w:w="914" w:type="dxa"/>
                </w:tcPr>
                <w:p w14:paraId="034CA9AC">
                  <w:pPr>
                    <w:jc w:val="both"/>
                    <w:rPr>
                      <w:rFonts w:hint="eastAsia" w:cs="Times New Roman"/>
                      <w:b w:val="0"/>
                      <w:bCs/>
                      <w:color w:val="FF0000"/>
                      <w:kern w:val="0"/>
                      <w:sz w:val="21"/>
                      <w:szCs w:val="21"/>
                      <w:u w:val="single"/>
                      <w:vertAlign w:val="baseline"/>
                      <w:lang w:val="en-US" w:eastAsia="zh-CN" w:bidi="ar"/>
                    </w:rPr>
                  </w:pPr>
                  <w:r>
                    <w:rPr>
                      <w:rFonts w:hint="eastAsia" w:cs="Times New Roman"/>
                      <w:b w:val="0"/>
                      <w:bCs/>
                      <w:color w:val="FF0000"/>
                      <w:kern w:val="0"/>
                      <w:sz w:val="21"/>
                      <w:szCs w:val="21"/>
                      <w:u w:val="single"/>
                      <w:vertAlign w:val="baseline"/>
                      <w:lang w:val="en-US" w:eastAsia="zh-CN" w:bidi="ar"/>
                    </w:rPr>
                    <w:t>符合</w:t>
                  </w:r>
                </w:p>
              </w:tc>
            </w:tr>
          </w:tbl>
          <w:p w14:paraId="373412CC">
            <w:pPr>
              <w:spacing w:line="360" w:lineRule="auto"/>
              <w:jc w:val="both"/>
              <w:rPr>
                <w:rFonts w:hint="default" w:ascii="Times New Roman" w:hAnsi="Times New Roman" w:eastAsia="宋体" w:cs="Times New Roman"/>
                <w:b/>
                <w:bCs/>
                <w:color w:val="FF0000"/>
                <w:kern w:val="0"/>
                <w:sz w:val="24"/>
                <w:szCs w:val="24"/>
                <w:u w:val="single" w:color="auto"/>
              </w:rPr>
            </w:pPr>
            <w:r>
              <w:rPr>
                <w:rFonts w:hint="eastAsia" w:cs="Times New Roman"/>
                <w:b/>
                <w:bCs/>
                <w:color w:val="FF0000"/>
                <w:sz w:val="24"/>
                <w:szCs w:val="24"/>
                <w:highlight w:val="none"/>
                <w:u w:val="none"/>
                <w:lang w:val="en-US" w:eastAsia="zh-CN"/>
              </w:rPr>
              <w:t>2.8</w:t>
            </w:r>
            <w:r>
              <w:rPr>
                <w:rFonts w:hint="eastAsia" w:ascii="Times New Roman" w:hAnsi="Times New Roman" w:eastAsia="宋体" w:cs="Times New Roman"/>
                <w:b/>
                <w:bCs/>
                <w:color w:val="FF0000"/>
                <w:sz w:val="24"/>
                <w:szCs w:val="24"/>
                <w:highlight w:val="none"/>
                <w:u w:val="none"/>
                <w:lang w:val="en-US" w:eastAsia="zh-CN"/>
              </w:rPr>
              <w:t>与</w:t>
            </w:r>
            <w:r>
              <w:rPr>
                <w:rFonts w:hint="default" w:ascii="Times New Roman" w:hAnsi="Times New Roman" w:eastAsia="宋体" w:cs="Times New Roman"/>
                <w:b/>
                <w:bCs/>
                <w:color w:val="FF0000"/>
                <w:kern w:val="0"/>
                <w:sz w:val="24"/>
                <w:szCs w:val="24"/>
                <w:u w:val="single" w:color="auto"/>
                <w:lang w:eastAsia="zh-CN"/>
              </w:rPr>
              <w:t>《湖南省长江经济带发展负面清单实施细则（试行，2022年版）》</w:t>
            </w:r>
          </w:p>
          <w:p w14:paraId="5628A4A9">
            <w:pPr>
              <w:jc w:val="both"/>
              <w:rPr>
                <w:rFonts w:hint="eastAsia" w:ascii="Times New Roman" w:hAnsi="Times New Roman" w:eastAsia="宋体" w:cs="Times New Roman"/>
                <w:b/>
                <w:color w:val="FF0000"/>
                <w:kern w:val="0"/>
                <w:sz w:val="24"/>
                <w:szCs w:val="24"/>
                <w:u w:val="none"/>
                <w:lang w:val="en-US" w:eastAsia="zh-CN" w:bidi="ar"/>
              </w:rPr>
            </w:pPr>
            <w:r>
              <w:rPr>
                <w:rFonts w:hint="eastAsia" w:ascii="Times New Roman" w:hAnsi="Times New Roman" w:eastAsia="宋体" w:cs="Times New Roman"/>
                <w:b/>
                <w:color w:val="FF0000"/>
                <w:kern w:val="0"/>
                <w:sz w:val="24"/>
                <w:szCs w:val="24"/>
                <w:u w:val="none"/>
                <w:lang w:val="en-US" w:eastAsia="zh-CN" w:bidi="ar"/>
              </w:rPr>
              <w:t>符合性分析</w:t>
            </w:r>
          </w:p>
          <w:p w14:paraId="20E870BD">
            <w:pPr>
              <w:adjustRightInd w:val="0"/>
              <w:snapToGrid w:val="0"/>
              <w:spacing w:before="156" w:beforeLines="50"/>
              <w:ind w:firstLine="422" w:firstLineChars="200"/>
              <w:jc w:val="center"/>
              <w:rPr>
                <w:rFonts w:hint="eastAsia" w:ascii="Times New Roman" w:hAnsi="Times New Roman" w:eastAsia="宋体" w:cs="Times New Roman"/>
                <w:b/>
                <w:bCs/>
                <w:color w:val="FF0000"/>
                <w:kern w:val="0"/>
                <w:sz w:val="21"/>
                <w:szCs w:val="21"/>
                <w:u w:val="single" w:color="auto"/>
              </w:rPr>
            </w:pPr>
            <w:r>
              <w:rPr>
                <w:rFonts w:hint="default" w:ascii="Times New Roman" w:hAnsi="Times New Roman" w:eastAsia="宋体" w:cs="Times New Roman"/>
                <w:b/>
                <w:bCs/>
                <w:color w:val="FF0000"/>
                <w:kern w:val="0"/>
                <w:sz w:val="21"/>
                <w:szCs w:val="21"/>
                <w:u w:val="single" w:color="auto"/>
              </w:rPr>
              <w:t>表1-</w:t>
            </w:r>
            <w:r>
              <w:rPr>
                <w:rFonts w:hint="eastAsia" w:ascii="Times New Roman" w:hAnsi="Times New Roman" w:eastAsia="宋体" w:cs="Times New Roman"/>
                <w:b/>
                <w:bCs/>
                <w:color w:val="FF0000"/>
                <w:kern w:val="0"/>
                <w:sz w:val="21"/>
                <w:szCs w:val="21"/>
                <w:u w:val="single" w:color="auto"/>
                <w:lang w:val="en-US" w:eastAsia="zh-CN"/>
              </w:rPr>
              <w:t>5</w:t>
            </w:r>
            <w:r>
              <w:rPr>
                <w:rFonts w:hint="default" w:ascii="Times New Roman" w:hAnsi="Times New Roman" w:eastAsia="宋体" w:cs="Times New Roman"/>
                <w:b/>
                <w:bCs/>
                <w:color w:val="FF0000"/>
                <w:kern w:val="0"/>
                <w:sz w:val="21"/>
                <w:szCs w:val="21"/>
                <w:u w:val="single" w:color="auto"/>
              </w:rPr>
              <w:t xml:space="preserve"> </w:t>
            </w:r>
            <w:r>
              <w:rPr>
                <w:rFonts w:hint="eastAsia" w:ascii="Times New Roman" w:hAnsi="Times New Roman" w:eastAsia="宋体" w:cs="Times New Roman"/>
                <w:b/>
                <w:bCs/>
                <w:color w:val="FF0000"/>
                <w:kern w:val="0"/>
                <w:sz w:val="21"/>
                <w:szCs w:val="21"/>
                <w:u w:val="single" w:color="auto"/>
                <w:lang w:eastAsia="zh-CN"/>
              </w:rPr>
              <w:t>与</w:t>
            </w:r>
            <w:r>
              <w:rPr>
                <w:rFonts w:hint="default" w:ascii="Times New Roman" w:hAnsi="Times New Roman" w:eastAsia="宋体" w:cs="Times New Roman"/>
                <w:b/>
                <w:bCs/>
                <w:color w:val="FF0000"/>
                <w:kern w:val="0"/>
                <w:sz w:val="21"/>
                <w:szCs w:val="21"/>
                <w:u w:val="single" w:color="auto"/>
                <w:lang w:eastAsia="zh-CN"/>
              </w:rPr>
              <w:t>《湖南省长江经济带发展负面清单实施细则（试行，2022年版）》</w:t>
            </w:r>
            <w:r>
              <w:rPr>
                <w:rFonts w:hint="eastAsia" w:ascii="Times New Roman" w:hAnsi="Times New Roman" w:eastAsia="宋体" w:cs="Times New Roman"/>
                <w:b/>
                <w:bCs/>
                <w:color w:val="FF0000"/>
                <w:kern w:val="0"/>
                <w:sz w:val="21"/>
                <w:szCs w:val="21"/>
                <w:u w:val="single" w:color="auto"/>
                <w:lang w:eastAsia="zh-CN"/>
              </w:rPr>
              <w:t>符合</w:t>
            </w:r>
            <w:r>
              <w:rPr>
                <w:rFonts w:hint="eastAsia" w:cs="Times New Roman"/>
                <w:b/>
                <w:bCs/>
                <w:color w:val="FF0000"/>
                <w:kern w:val="0"/>
                <w:sz w:val="21"/>
                <w:szCs w:val="21"/>
                <w:u w:val="single" w:color="auto"/>
                <w:lang w:eastAsia="zh-CN"/>
              </w:rPr>
              <w:t>性</w:t>
            </w:r>
            <w:r>
              <w:rPr>
                <w:rFonts w:hint="eastAsia" w:ascii="Times New Roman" w:hAnsi="Times New Roman" w:eastAsia="宋体" w:cs="Times New Roman"/>
                <w:b/>
                <w:bCs/>
                <w:color w:val="FF0000"/>
                <w:kern w:val="0"/>
                <w:sz w:val="21"/>
                <w:szCs w:val="21"/>
                <w:u w:val="single" w:color="auto"/>
                <w:lang w:eastAsia="zh-CN"/>
              </w:rPr>
              <w:t>分析</w:t>
            </w:r>
          </w:p>
          <w:tbl>
            <w:tblPr>
              <w:tblStyle w:val="3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3"/>
              <w:gridCol w:w="4522"/>
              <w:gridCol w:w="2442"/>
              <w:gridCol w:w="783"/>
            </w:tblGrid>
            <w:tr w14:paraId="543C9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272D6E">
                  <w:pPr>
                    <w:pStyle w:val="138"/>
                    <w:rPr>
                      <w:rFonts w:hint="default"/>
                      <w:color w:val="FF0000"/>
                      <w:sz w:val="21"/>
                      <w:szCs w:val="32"/>
                      <w:u w:val="single" w:color="auto"/>
                    </w:rPr>
                  </w:pPr>
                  <w:r>
                    <w:rPr>
                      <w:rFonts w:hint="eastAsia"/>
                      <w:color w:val="FF0000"/>
                      <w:sz w:val="21"/>
                      <w:szCs w:val="32"/>
                      <w:u w:val="single" w:color="auto"/>
                    </w:rPr>
                    <w:t>序号</w:t>
                  </w:r>
                </w:p>
              </w:tc>
              <w:tc>
                <w:tcPr>
                  <w:tcW w:w="27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32432B">
                  <w:pPr>
                    <w:pStyle w:val="138"/>
                    <w:rPr>
                      <w:rFonts w:hint="default"/>
                      <w:color w:val="FF0000"/>
                      <w:sz w:val="21"/>
                      <w:szCs w:val="32"/>
                      <w:u w:val="single" w:color="auto"/>
                    </w:rPr>
                  </w:pPr>
                  <w:r>
                    <w:rPr>
                      <w:rFonts w:hint="eastAsia"/>
                      <w:color w:val="FF0000"/>
                      <w:sz w:val="21"/>
                      <w:szCs w:val="32"/>
                      <w:u w:val="single" w:color="auto"/>
                    </w:rPr>
                    <w:t>文件要求</w:t>
                  </w:r>
                </w:p>
              </w:tc>
              <w:tc>
                <w:tcPr>
                  <w:tcW w:w="146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3A495C">
                  <w:pPr>
                    <w:pStyle w:val="138"/>
                    <w:rPr>
                      <w:rFonts w:hint="default"/>
                      <w:color w:val="FF0000"/>
                      <w:sz w:val="21"/>
                      <w:szCs w:val="32"/>
                      <w:u w:val="single" w:color="auto"/>
                    </w:rPr>
                  </w:pPr>
                  <w:r>
                    <w:rPr>
                      <w:rFonts w:hint="eastAsia"/>
                      <w:color w:val="FF0000"/>
                      <w:sz w:val="21"/>
                      <w:szCs w:val="32"/>
                      <w:u w:val="single" w:color="auto"/>
                    </w:rPr>
                    <w:t>本项目情况</w:t>
                  </w:r>
                </w:p>
              </w:tc>
              <w:tc>
                <w:tcPr>
                  <w:tcW w:w="4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EAEB60">
                  <w:pPr>
                    <w:pStyle w:val="138"/>
                    <w:rPr>
                      <w:rFonts w:hint="default"/>
                      <w:color w:val="FF0000"/>
                      <w:sz w:val="21"/>
                      <w:szCs w:val="32"/>
                      <w:u w:val="single" w:color="auto"/>
                    </w:rPr>
                  </w:pPr>
                  <w:r>
                    <w:rPr>
                      <w:rFonts w:hint="eastAsia"/>
                      <w:color w:val="FF0000"/>
                      <w:sz w:val="21"/>
                      <w:szCs w:val="32"/>
                      <w:u w:val="single" w:color="auto"/>
                    </w:rPr>
                    <w:t>符合性分析</w:t>
                  </w:r>
                </w:p>
              </w:tc>
            </w:tr>
            <w:tr w14:paraId="7AD38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8F988F">
                  <w:pPr>
                    <w:pStyle w:val="138"/>
                    <w:rPr>
                      <w:rFonts w:hint="default"/>
                      <w:color w:val="FF0000"/>
                      <w:sz w:val="21"/>
                      <w:szCs w:val="32"/>
                      <w:u w:val="single" w:color="auto"/>
                    </w:rPr>
                  </w:pPr>
                  <w:r>
                    <w:rPr>
                      <w:rFonts w:hint="default"/>
                      <w:color w:val="FF0000"/>
                      <w:sz w:val="21"/>
                      <w:szCs w:val="32"/>
                      <w:u w:val="single" w:color="auto"/>
                    </w:rPr>
                    <w:t>1</w:t>
                  </w:r>
                </w:p>
              </w:tc>
              <w:tc>
                <w:tcPr>
                  <w:tcW w:w="27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3401D0">
                  <w:pPr>
                    <w:pStyle w:val="138"/>
                    <w:rPr>
                      <w:rFonts w:hint="default"/>
                      <w:color w:val="FF0000"/>
                      <w:sz w:val="21"/>
                      <w:szCs w:val="32"/>
                      <w:u w:val="single" w:color="auto"/>
                    </w:rPr>
                  </w:pPr>
                  <w:r>
                    <w:rPr>
                      <w:rFonts w:hint="eastAsia"/>
                      <w:color w:val="FF0000"/>
                      <w:sz w:val="21"/>
                      <w:szCs w:val="32"/>
                      <w:u w:val="single" w:color="auto"/>
                    </w:rPr>
                    <w:t>禁止建设不符合全国和省级港口布局规划以及港口总体规划的码头项目，禁止建设不符合《长江干线过江通道布局规划（2020-2035）》的过</w:t>
                  </w:r>
                  <w:r>
                    <w:rPr>
                      <w:rFonts w:hint="eastAsia"/>
                      <w:color w:val="FF0000"/>
                      <w:sz w:val="21"/>
                      <w:szCs w:val="32"/>
                      <w:u w:val="single" w:color="auto"/>
                      <w:lang w:eastAsia="zh-CN"/>
                    </w:rPr>
                    <w:t>江</w:t>
                  </w:r>
                  <w:r>
                    <w:rPr>
                      <w:rFonts w:hint="eastAsia"/>
                      <w:color w:val="FF0000"/>
                      <w:sz w:val="21"/>
                      <w:szCs w:val="32"/>
                      <w:u w:val="single" w:color="auto"/>
                    </w:rPr>
                    <w:t>通道项目。</w:t>
                  </w:r>
                </w:p>
              </w:tc>
              <w:tc>
                <w:tcPr>
                  <w:tcW w:w="146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EC2BCC">
                  <w:pPr>
                    <w:pStyle w:val="138"/>
                    <w:rPr>
                      <w:rFonts w:hint="default"/>
                      <w:color w:val="FF0000"/>
                      <w:sz w:val="21"/>
                      <w:szCs w:val="32"/>
                      <w:u w:val="single" w:color="auto"/>
                    </w:rPr>
                  </w:pPr>
                  <w:r>
                    <w:rPr>
                      <w:rFonts w:hint="eastAsia"/>
                      <w:color w:val="FF0000"/>
                      <w:sz w:val="21"/>
                      <w:szCs w:val="32"/>
                      <w:u w:val="single" w:color="auto"/>
                    </w:rPr>
                    <w:t>本项目不属于港口码头项目及过长江通道项目</w:t>
                  </w:r>
                </w:p>
              </w:tc>
              <w:tc>
                <w:tcPr>
                  <w:tcW w:w="4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56777D">
                  <w:pPr>
                    <w:pStyle w:val="138"/>
                    <w:rPr>
                      <w:rFonts w:hint="default"/>
                      <w:color w:val="FF0000"/>
                      <w:sz w:val="21"/>
                      <w:szCs w:val="32"/>
                      <w:u w:val="single" w:color="auto"/>
                    </w:rPr>
                  </w:pPr>
                  <w:r>
                    <w:rPr>
                      <w:rFonts w:hint="eastAsia"/>
                      <w:color w:val="FF0000"/>
                      <w:sz w:val="21"/>
                      <w:szCs w:val="32"/>
                      <w:u w:val="single" w:color="auto"/>
                    </w:rPr>
                    <w:t>符合</w:t>
                  </w:r>
                </w:p>
              </w:tc>
            </w:tr>
            <w:tr w14:paraId="73CA0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3454F6">
                  <w:pPr>
                    <w:pStyle w:val="138"/>
                    <w:rPr>
                      <w:rFonts w:hint="default"/>
                      <w:color w:val="FF0000"/>
                      <w:sz w:val="21"/>
                      <w:szCs w:val="32"/>
                      <w:u w:val="single" w:color="auto"/>
                    </w:rPr>
                  </w:pPr>
                  <w:r>
                    <w:rPr>
                      <w:rFonts w:hint="default"/>
                      <w:color w:val="FF0000"/>
                      <w:sz w:val="21"/>
                      <w:szCs w:val="32"/>
                      <w:u w:val="single" w:color="auto"/>
                    </w:rPr>
                    <w:t>2</w:t>
                  </w:r>
                </w:p>
              </w:tc>
              <w:tc>
                <w:tcPr>
                  <w:tcW w:w="27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7C2D2F">
                  <w:pPr>
                    <w:pStyle w:val="138"/>
                    <w:rPr>
                      <w:rFonts w:hint="default"/>
                      <w:color w:val="FF0000"/>
                      <w:sz w:val="21"/>
                      <w:szCs w:val="32"/>
                      <w:u w:val="single" w:color="auto"/>
                    </w:rPr>
                  </w:pPr>
                  <w:r>
                    <w:rPr>
                      <w:rFonts w:hint="eastAsia"/>
                      <w:color w:val="FF0000"/>
                      <w:sz w:val="21"/>
                      <w:szCs w:val="32"/>
                      <w:u w:val="single" w:color="auto"/>
                    </w:rPr>
                    <w:t>禁止在自然保护区核心区、缓冲区的岸线和河段范围内投资建设旅游和生产经营项目。禁止在风景名胜区核心景区的岸线和河段范围内投资建设不符合自然保护区主体功能定位和国家禁止的设施。</w:t>
                  </w:r>
                </w:p>
              </w:tc>
              <w:tc>
                <w:tcPr>
                  <w:tcW w:w="146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F80501">
                  <w:pPr>
                    <w:pStyle w:val="138"/>
                    <w:rPr>
                      <w:rFonts w:hint="default"/>
                      <w:color w:val="FF0000"/>
                      <w:sz w:val="21"/>
                      <w:szCs w:val="32"/>
                      <w:u w:val="single" w:color="auto"/>
                    </w:rPr>
                  </w:pPr>
                  <w:r>
                    <w:rPr>
                      <w:rFonts w:hint="eastAsia"/>
                      <w:color w:val="FF0000"/>
                      <w:sz w:val="21"/>
                      <w:szCs w:val="32"/>
                      <w:u w:val="single" w:color="auto"/>
                    </w:rPr>
                    <w:t>本项目建设不涉及自然保护区、风景名胜区</w:t>
                  </w:r>
                </w:p>
              </w:tc>
              <w:tc>
                <w:tcPr>
                  <w:tcW w:w="4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2F186E">
                  <w:pPr>
                    <w:pStyle w:val="138"/>
                    <w:rPr>
                      <w:rFonts w:hint="default"/>
                      <w:color w:val="FF0000"/>
                      <w:sz w:val="21"/>
                      <w:szCs w:val="32"/>
                      <w:u w:val="single" w:color="auto"/>
                    </w:rPr>
                  </w:pPr>
                  <w:r>
                    <w:rPr>
                      <w:rFonts w:hint="eastAsia"/>
                      <w:color w:val="FF0000"/>
                      <w:sz w:val="21"/>
                      <w:szCs w:val="32"/>
                      <w:u w:val="single" w:color="auto"/>
                    </w:rPr>
                    <w:t>符合</w:t>
                  </w:r>
                </w:p>
              </w:tc>
            </w:tr>
            <w:tr w14:paraId="7D7A1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259B68">
                  <w:pPr>
                    <w:pStyle w:val="138"/>
                    <w:rPr>
                      <w:rFonts w:hint="eastAsia" w:eastAsia="宋体"/>
                      <w:color w:val="FF0000"/>
                      <w:sz w:val="21"/>
                      <w:szCs w:val="32"/>
                      <w:u w:val="single" w:color="auto"/>
                      <w:lang w:val="en-US" w:eastAsia="zh-CN"/>
                    </w:rPr>
                  </w:pPr>
                  <w:r>
                    <w:rPr>
                      <w:rFonts w:hint="eastAsia"/>
                      <w:color w:val="FF0000"/>
                      <w:sz w:val="21"/>
                      <w:szCs w:val="32"/>
                      <w:u w:val="single" w:color="auto"/>
                      <w:lang w:val="en-US" w:eastAsia="zh-CN"/>
                    </w:rPr>
                    <w:t>3</w:t>
                  </w:r>
                </w:p>
              </w:tc>
              <w:tc>
                <w:tcPr>
                  <w:tcW w:w="270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2BE77F8">
                  <w:pPr>
                    <w:pStyle w:val="138"/>
                    <w:rPr>
                      <w:rFonts w:hint="eastAsia" w:ascii="Times New Roman" w:hAnsi="Times New Roman" w:eastAsia="宋体" w:cs="宋体"/>
                      <w:color w:val="FF0000"/>
                      <w:sz w:val="21"/>
                      <w:szCs w:val="32"/>
                      <w:u w:val="single" w:color="auto"/>
                      <w:lang w:val="zh-CN" w:eastAsia="zh-CN" w:bidi="zh-CN"/>
                    </w:rPr>
                  </w:pPr>
                  <w:r>
                    <w:rPr>
                      <w:rFonts w:hint="eastAsia"/>
                      <w:color w:val="FF0000"/>
                      <w:sz w:val="21"/>
                      <w:szCs w:val="32"/>
                      <w:u w:val="single" w:color="auto"/>
                    </w:rPr>
                    <w:t>机场、铁路、公路、水利、围堰等公益性基础设施的选址选线应多方案优化比选，尽量避让相关自然保护区域、野生动物迁徙洄游通道;无法避让的，应当采取修建野生动物通道、过鱼设施等措施，消除或者减少对野生动物的不利影响。</w:t>
                  </w:r>
                </w:p>
              </w:tc>
              <w:tc>
                <w:tcPr>
                  <w:tcW w:w="1462"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E19A245">
                  <w:pPr>
                    <w:pStyle w:val="138"/>
                    <w:rPr>
                      <w:rFonts w:hint="eastAsia" w:ascii="Times New Roman" w:hAnsi="Times New Roman" w:eastAsia="宋体" w:cs="宋体"/>
                      <w:color w:val="FF0000"/>
                      <w:sz w:val="21"/>
                      <w:szCs w:val="32"/>
                      <w:u w:val="single" w:color="auto"/>
                      <w:lang w:val="zh-CN" w:eastAsia="zh-CN" w:bidi="zh-CN"/>
                    </w:rPr>
                  </w:pPr>
                  <w:r>
                    <w:rPr>
                      <w:rFonts w:hint="eastAsia"/>
                      <w:color w:val="FF0000"/>
                      <w:sz w:val="21"/>
                      <w:szCs w:val="32"/>
                      <w:u w:val="single" w:color="auto"/>
                    </w:rPr>
                    <w:t>本项目</w:t>
                  </w:r>
                  <w:r>
                    <w:rPr>
                      <w:rFonts w:hint="eastAsia"/>
                      <w:color w:val="FF0000"/>
                      <w:sz w:val="21"/>
                      <w:szCs w:val="32"/>
                      <w:u w:val="single" w:color="auto"/>
                      <w:lang w:eastAsia="zh-CN"/>
                    </w:rPr>
                    <w:t>不涉及机场、铁路等建设，</w:t>
                  </w:r>
                  <w:r>
                    <w:rPr>
                      <w:rFonts w:hint="eastAsia"/>
                      <w:color w:val="FF0000"/>
                      <w:sz w:val="21"/>
                      <w:szCs w:val="32"/>
                      <w:u w:val="single" w:color="auto"/>
                    </w:rPr>
                    <w:t>不涉及</w:t>
                  </w:r>
                  <w:r>
                    <w:rPr>
                      <w:rFonts w:hint="eastAsia"/>
                      <w:color w:val="FF0000"/>
                      <w:sz w:val="21"/>
                      <w:szCs w:val="32"/>
                      <w:u w:val="single" w:color="auto"/>
                      <w:lang w:eastAsia="zh-CN"/>
                    </w:rPr>
                    <w:t>自然保护区等</w:t>
                  </w:r>
                  <w:r>
                    <w:rPr>
                      <w:rFonts w:hint="eastAsia"/>
                      <w:color w:val="FF0000"/>
                      <w:sz w:val="21"/>
                      <w:szCs w:val="32"/>
                      <w:u w:val="single" w:color="auto"/>
                    </w:rPr>
                    <w:t>。</w:t>
                  </w:r>
                </w:p>
              </w:tc>
              <w:tc>
                <w:tcPr>
                  <w:tcW w:w="46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F24AFFB">
                  <w:pPr>
                    <w:pStyle w:val="138"/>
                    <w:rPr>
                      <w:rFonts w:hint="eastAsia" w:ascii="Times New Roman" w:hAnsi="Times New Roman" w:eastAsia="宋体" w:cs="宋体"/>
                      <w:color w:val="FF0000"/>
                      <w:sz w:val="21"/>
                      <w:szCs w:val="32"/>
                      <w:u w:val="single" w:color="auto"/>
                      <w:lang w:val="zh-CN" w:eastAsia="zh-CN" w:bidi="zh-CN"/>
                    </w:rPr>
                  </w:pPr>
                  <w:r>
                    <w:rPr>
                      <w:rFonts w:hint="eastAsia"/>
                      <w:color w:val="FF0000"/>
                      <w:sz w:val="21"/>
                      <w:szCs w:val="32"/>
                      <w:u w:val="single" w:color="auto"/>
                    </w:rPr>
                    <w:t>符合</w:t>
                  </w:r>
                </w:p>
              </w:tc>
            </w:tr>
            <w:tr w14:paraId="7EA07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A29F96">
                  <w:pPr>
                    <w:pStyle w:val="138"/>
                    <w:rPr>
                      <w:rFonts w:hint="default"/>
                      <w:color w:val="FF0000"/>
                      <w:sz w:val="21"/>
                      <w:szCs w:val="32"/>
                      <w:u w:val="single" w:color="auto"/>
                      <w:lang w:val="en-US" w:eastAsia="zh-CN"/>
                    </w:rPr>
                  </w:pPr>
                  <w:r>
                    <w:rPr>
                      <w:rFonts w:hint="eastAsia"/>
                      <w:color w:val="FF0000"/>
                      <w:sz w:val="21"/>
                      <w:szCs w:val="32"/>
                      <w:u w:val="single" w:color="auto"/>
                      <w:lang w:val="en-US" w:eastAsia="zh-CN"/>
                    </w:rPr>
                    <w:t>4</w:t>
                  </w:r>
                </w:p>
              </w:tc>
              <w:tc>
                <w:tcPr>
                  <w:tcW w:w="270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2528F29">
                  <w:pPr>
                    <w:pStyle w:val="138"/>
                    <w:rPr>
                      <w:rFonts w:hint="eastAsia" w:ascii="Times New Roman" w:hAnsi="Times New Roman" w:eastAsia="宋体" w:cs="宋体"/>
                      <w:color w:val="FF0000"/>
                      <w:sz w:val="21"/>
                      <w:szCs w:val="32"/>
                      <w:u w:val="single" w:color="auto"/>
                      <w:lang w:val="zh-CN" w:eastAsia="zh-CN" w:bidi="zh-CN"/>
                    </w:rPr>
                  </w:pPr>
                  <w:r>
                    <w:rPr>
                      <w:rFonts w:hint="eastAsia"/>
                      <w:color w:val="FF0000"/>
                      <w:sz w:val="21"/>
                      <w:szCs w:val="32"/>
                      <w:u w:val="single" w:color="auto"/>
                    </w:rPr>
                    <w:t>禁止违反风景名胜区规划，在风景名胜区内设立各类开发区和在核心景区内建设宾馆、招待所、培训中心、疗养院以及与风景名</w:t>
                  </w:r>
                  <w:r>
                    <w:rPr>
                      <w:rFonts w:hint="eastAsia"/>
                      <w:color w:val="FF0000"/>
                      <w:sz w:val="21"/>
                      <w:szCs w:val="32"/>
                      <w:u w:val="single" w:color="auto"/>
                      <w:lang w:eastAsia="zh-CN"/>
                    </w:rPr>
                    <w:t>胜区</w:t>
                  </w:r>
                  <w:r>
                    <w:rPr>
                      <w:rFonts w:hint="eastAsia"/>
                      <w:color w:val="FF0000"/>
                      <w:sz w:val="21"/>
                      <w:szCs w:val="32"/>
                      <w:u w:val="single" w:color="auto"/>
                    </w:rPr>
                    <w:t>资源保护无关的其他建筑物;已经建设的，应当按照风景名胜区规划，逐步迁出。</w:t>
                  </w:r>
                </w:p>
              </w:tc>
              <w:tc>
                <w:tcPr>
                  <w:tcW w:w="1462"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3BF829D">
                  <w:pPr>
                    <w:pStyle w:val="138"/>
                    <w:rPr>
                      <w:rFonts w:hint="eastAsia" w:ascii="Times New Roman" w:hAnsi="Times New Roman" w:eastAsia="宋体" w:cs="宋体"/>
                      <w:color w:val="FF0000"/>
                      <w:sz w:val="21"/>
                      <w:szCs w:val="32"/>
                      <w:u w:val="single" w:color="auto"/>
                      <w:lang w:val="zh-CN" w:eastAsia="zh-CN" w:bidi="zh-CN"/>
                    </w:rPr>
                  </w:pPr>
                  <w:r>
                    <w:rPr>
                      <w:rFonts w:hint="eastAsia"/>
                      <w:color w:val="FF0000"/>
                      <w:sz w:val="21"/>
                      <w:szCs w:val="32"/>
                      <w:u w:val="single" w:color="auto"/>
                    </w:rPr>
                    <w:t>本项目不涉及风景名胜区</w:t>
                  </w:r>
                </w:p>
              </w:tc>
              <w:tc>
                <w:tcPr>
                  <w:tcW w:w="46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32B9BAB">
                  <w:pPr>
                    <w:pStyle w:val="138"/>
                    <w:rPr>
                      <w:rFonts w:hint="eastAsia" w:ascii="Times New Roman" w:hAnsi="Times New Roman" w:eastAsia="宋体" w:cs="宋体"/>
                      <w:color w:val="FF0000"/>
                      <w:sz w:val="21"/>
                      <w:szCs w:val="32"/>
                      <w:u w:val="single" w:color="auto"/>
                      <w:lang w:val="zh-CN" w:eastAsia="zh-CN" w:bidi="zh-CN"/>
                    </w:rPr>
                  </w:pPr>
                  <w:r>
                    <w:rPr>
                      <w:rFonts w:hint="eastAsia"/>
                      <w:color w:val="FF0000"/>
                      <w:sz w:val="21"/>
                      <w:szCs w:val="32"/>
                      <w:u w:val="single" w:color="auto"/>
                    </w:rPr>
                    <w:t>符合</w:t>
                  </w:r>
                </w:p>
              </w:tc>
            </w:tr>
            <w:tr w14:paraId="74028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6625EE">
                  <w:pPr>
                    <w:pStyle w:val="138"/>
                    <w:rPr>
                      <w:rFonts w:hint="eastAsia" w:eastAsia="宋体"/>
                      <w:color w:val="FF0000"/>
                      <w:sz w:val="21"/>
                      <w:szCs w:val="32"/>
                      <w:u w:val="single" w:color="auto"/>
                      <w:lang w:eastAsia="zh-CN"/>
                    </w:rPr>
                  </w:pPr>
                  <w:r>
                    <w:rPr>
                      <w:rFonts w:hint="eastAsia"/>
                      <w:color w:val="FF0000"/>
                      <w:sz w:val="21"/>
                      <w:szCs w:val="32"/>
                      <w:u w:val="single" w:color="auto"/>
                      <w:lang w:val="en-US" w:eastAsia="zh-CN"/>
                    </w:rPr>
                    <w:t>5</w:t>
                  </w:r>
                </w:p>
              </w:tc>
              <w:tc>
                <w:tcPr>
                  <w:tcW w:w="27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D3FC3F">
                  <w:pPr>
                    <w:pStyle w:val="138"/>
                    <w:rPr>
                      <w:rFonts w:hint="default"/>
                      <w:color w:val="FF0000"/>
                      <w:sz w:val="21"/>
                      <w:szCs w:val="32"/>
                      <w:u w:val="single" w:color="auto"/>
                    </w:rPr>
                  </w:pPr>
                  <w:r>
                    <w:rPr>
                      <w:rFonts w:hint="eastAsia"/>
                      <w:color w:val="FF0000"/>
                      <w:sz w:val="21"/>
                      <w:szCs w:val="32"/>
                      <w:u w:val="single" w:color="auto"/>
                    </w:rPr>
                    <w:t>饮用水水源一级保护区内禁止新建、改建、扩建与供水设施和保护水源无关的建设项目，以及网箱养殖、畜禽养殖、旅游等可能污染饮用水水体的投资建设项目；禁止向水域排放污水，已设置的排污口必须拆除；不得设置与供水需要无关的码头，禁止停靠船舶;禁止堆置和存放工业废渣、城市垃圾、粪便和</w:t>
                  </w:r>
                  <w:r>
                    <w:rPr>
                      <w:rFonts w:hint="eastAsia"/>
                      <w:color w:val="FF0000"/>
                      <w:sz w:val="21"/>
                      <w:szCs w:val="32"/>
                      <w:u w:val="single" w:color="auto"/>
                      <w:lang w:eastAsia="zh-CN"/>
                    </w:rPr>
                    <w:t>其他废弃物</w:t>
                  </w:r>
                  <w:r>
                    <w:rPr>
                      <w:rFonts w:hint="eastAsia"/>
                      <w:color w:val="FF0000"/>
                      <w:sz w:val="21"/>
                      <w:szCs w:val="32"/>
                      <w:u w:val="single" w:color="auto"/>
                    </w:rPr>
                    <w:t>；禁止设置油库；禁止使用含磷洗涤用品。</w:t>
                  </w:r>
                </w:p>
              </w:tc>
              <w:tc>
                <w:tcPr>
                  <w:tcW w:w="146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5A63CA">
                  <w:pPr>
                    <w:pStyle w:val="138"/>
                    <w:rPr>
                      <w:rFonts w:hint="default" w:eastAsia="宋体"/>
                      <w:color w:val="FF0000"/>
                      <w:sz w:val="21"/>
                      <w:szCs w:val="32"/>
                      <w:u w:val="single" w:color="auto"/>
                      <w:lang w:val="en-US" w:eastAsia="zh-CN"/>
                    </w:rPr>
                  </w:pPr>
                  <w:r>
                    <w:rPr>
                      <w:rFonts w:hint="eastAsia"/>
                      <w:color w:val="FF0000"/>
                      <w:sz w:val="21"/>
                      <w:szCs w:val="32"/>
                      <w:u w:val="single" w:color="auto"/>
                    </w:rPr>
                    <w:t>本项目</w:t>
                  </w:r>
                  <w:r>
                    <w:rPr>
                      <w:rFonts w:hint="eastAsia"/>
                      <w:color w:val="FF0000"/>
                      <w:sz w:val="21"/>
                      <w:szCs w:val="32"/>
                      <w:u w:val="single" w:color="auto"/>
                      <w:lang w:eastAsia="zh-CN"/>
                    </w:rPr>
                    <w:t>不涉及饮用水源一级保护区</w:t>
                  </w:r>
                </w:p>
              </w:tc>
              <w:tc>
                <w:tcPr>
                  <w:tcW w:w="4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B283FC">
                  <w:pPr>
                    <w:pStyle w:val="138"/>
                    <w:rPr>
                      <w:rFonts w:hint="default"/>
                      <w:color w:val="FF0000"/>
                      <w:sz w:val="21"/>
                      <w:szCs w:val="32"/>
                      <w:u w:val="single" w:color="auto"/>
                    </w:rPr>
                  </w:pPr>
                  <w:r>
                    <w:rPr>
                      <w:rFonts w:hint="eastAsia"/>
                      <w:color w:val="FF0000"/>
                      <w:sz w:val="21"/>
                      <w:szCs w:val="32"/>
                      <w:u w:val="single" w:color="auto"/>
                    </w:rPr>
                    <w:t>符合</w:t>
                  </w:r>
                </w:p>
              </w:tc>
            </w:tr>
            <w:tr w14:paraId="5C2FE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08DC53">
                  <w:pPr>
                    <w:pStyle w:val="138"/>
                    <w:rPr>
                      <w:rFonts w:hint="default"/>
                      <w:color w:val="FF0000"/>
                      <w:sz w:val="21"/>
                      <w:szCs w:val="32"/>
                      <w:u w:val="single" w:color="auto"/>
                    </w:rPr>
                  </w:pPr>
                  <w:r>
                    <w:rPr>
                      <w:rFonts w:hint="default"/>
                      <w:color w:val="FF0000"/>
                      <w:sz w:val="21"/>
                      <w:szCs w:val="32"/>
                      <w:u w:val="single" w:color="auto"/>
                    </w:rPr>
                    <w:t>6</w:t>
                  </w:r>
                </w:p>
              </w:tc>
              <w:tc>
                <w:tcPr>
                  <w:tcW w:w="27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2FC942">
                  <w:pPr>
                    <w:pStyle w:val="138"/>
                    <w:rPr>
                      <w:rFonts w:hint="default"/>
                      <w:color w:val="FF0000"/>
                      <w:sz w:val="21"/>
                      <w:szCs w:val="32"/>
                      <w:u w:val="single" w:color="auto"/>
                    </w:rPr>
                  </w:pPr>
                  <w:r>
                    <w:rPr>
                      <w:rFonts w:hint="eastAsia"/>
                      <w:color w:val="FF0000"/>
                      <w:sz w:val="21"/>
                      <w:szCs w:val="32"/>
                      <w:u w:val="single" w:color="auto"/>
                    </w:rPr>
                    <w:t>饮用水水源二级保护区内禁止新建、改建、扩建向水体排放污染物的投资建设项目。原有排污口依法拆除或关闭。禁止设立装卸垃圾、粪便、油类和有毒物品的码头。</w:t>
                  </w:r>
                </w:p>
              </w:tc>
              <w:tc>
                <w:tcPr>
                  <w:tcW w:w="146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0D65DA">
                  <w:pPr>
                    <w:pStyle w:val="138"/>
                    <w:rPr>
                      <w:rFonts w:hint="default"/>
                      <w:color w:val="FF0000"/>
                      <w:sz w:val="21"/>
                      <w:szCs w:val="32"/>
                      <w:u w:val="single" w:color="auto"/>
                    </w:rPr>
                  </w:pPr>
                  <w:r>
                    <w:rPr>
                      <w:rFonts w:hint="eastAsia"/>
                      <w:color w:val="FF0000"/>
                      <w:sz w:val="21"/>
                      <w:szCs w:val="32"/>
                      <w:u w:val="single" w:color="auto"/>
                    </w:rPr>
                    <w:t>本项目</w:t>
                  </w:r>
                  <w:r>
                    <w:rPr>
                      <w:rFonts w:hint="eastAsia"/>
                      <w:color w:val="FF0000"/>
                      <w:sz w:val="21"/>
                      <w:szCs w:val="32"/>
                      <w:u w:val="single" w:color="auto"/>
                      <w:lang w:eastAsia="zh-CN"/>
                    </w:rPr>
                    <w:t>不涉及饮用水源二级保护区</w:t>
                  </w:r>
                </w:p>
              </w:tc>
              <w:tc>
                <w:tcPr>
                  <w:tcW w:w="4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FFFBD4">
                  <w:pPr>
                    <w:pStyle w:val="138"/>
                    <w:rPr>
                      <w:rFonts w:hint="default"/>
                      <w:color w:val="FF0000"/>
                      <w:sz w:val="21"/>
                      <w:szCs w:val="32"/>
                      <w:u w:val="single" w:color="auto"/>
                    </w:rPr>
                  </w:pPr>
                  <w:r>
                    <w:rPr>
                      <w:rFonts w:hint="eastAsia"/>
                      <w:color w:val="FF0000"/>
                      <w:sz w:val="21"/>
                      <w:szCs w:val="32"/>
                      <w:u w:val="single" w:color="auto"/>
                    </w:rPr>
                    <w:t>符合</w:t>
                  </w:r>
                </w:p>
              </w:tc>
            </w:tr>
            <w:tr w14:paraId="4E3CC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09C963">
                  <w:pPr>
                    <w:pStyle w:val="138"/>
                    <w:rPr>
                      <w:rFonts w:hint="default"/>
                      <w:color w:val="FF0000"/>
                      <w:sz w:val="21"/>
                      <w:szCs w:val="32"/>
                      <w:u w:val="single" w:color="auto"/>
                    </w:rPr>
                  </w:pPr>
                  <w:r>
                    <w:rPr>
                      <w:rFonts w:hint="default"/>
                      <w:color w:val="FF0000"/>
                      <w:sz w:val="21"/>
                      <w:szCs w:val="32"/>
                      <w:u w:val="single" w:color="auto"/>
                    </w:rPr>
                    <w:t>7</w:t>
                  </w:r>
                </w:p>
              </w:tc>
              <w:tc>
                <w:tcPr>
                  <w:tcW w:w="27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EE0E47">
                  <w:pPr>
                    <w:pStyle w:val="138"/>
                    <w:rPr>
                      <w:rFonts w:hint="default"/>
                      <w:color w:val="FF0000"/>
                      <w:sz w:val="21"/>
                      <w:szCs w:val="32"/>
                      <w:u w:val="single" w:color="auto"/>
                    </w:rPr>
                  </w:pPr>
                  <w:r>
                    <w:rPr>
                      <w:rFonts w:hint="eastAsia"/>
                      <w:color w:val="FF0000"/>
                      <w:sz w:val="21"/>
                      <w:szCs w:val="32"/>
                      <w:u w:val="single" w:color="auto"/>
                    </w:rPr>
                    <w:t>禁止在水产种质资源保护区的岸线和河段范围内新建排污口、实施非法围垦河道和围湖造田造地等投资建设项目。</w:t>
                  </w:r>
                </w:p>
              </w:tc>
              <w:tc>
                <w:tcPr>
                  <w:tcW w:w="146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F93F8C">
                  <w:pPr>
                    <w:pStyle w:val="138"/>
                    <w:rPr>
                      <w:rFonts w:hint="eastAsia"/>
                      <w:color w:val="FF0000"/>
                      <w:sz w:val="21"/>
                      <w:szCs w:val="32"/>
                      <w:u w:val="single" w:color="auto"/>
                    </w:rPr>
                  </w:pPr>
                  <w:r>
                    <w:rPr>
                      <w:rFonts w:hint="eastAsia"/>
                      <w:color w:val="FF0000"/>
                      <w:sz w:val="21"/>
                      <w:szCs w:val="32"/>
                      <w:u w:val="single" w:color="auto"/>
                    </w:rPr>
                    <w:t>本项目不涉及捕捞活动、不新建排污口</w:t>
                  </w:r>
                </w:p>
              </w:tc>
              <w:tc>
                <w:tcPr>
                  <w:tcW w:w="4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C8A7C8">
                  <w:pPr>
                    <w:pStyle w:val="138"/>
                    <w:rPr>
                      <w:rFonts w:hint="default"/>
                      <w:color w:val="FF0000"/>
                      <w:sz w:val="21"/>
                      <w:szCs w:val="32"/>
                      <w:u w:val="single" w:color="auto"/>
                    </w:rPr>
                  </w:pPr>
                  <w:r>
                    <w:rPr>
                      <w:rFonts w:hint="eastAsia"/>
                      <w:color w:val="FF0000"/>
                      <w:sz w:val="21"/>
                      <w:szCs w:val="32"/>
                      <w:u w:val="single" w:color="auto"/>
                    </w:rPr>
                    <w:t>符合</w:t>
                  </w:r>
                </w:p>
              </w:tc>
            </w:tr>
            <w:tr w14:paraId="4CD0B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D299B5">
                  <w:pPr>
                    <w:pStyle w:val="138"/>
                    <w:rPr>
                      <w:rFonts w:hint="default"/>
                      <w:color w:val="FF0000"/>
                      <w:sz w:val="21"/>
                      <w:szCs w:val="32"/>
                      <w:u w:val="single" w:color="auto"/>
                    </w:rPr>
                  </w:pPr>
                  <w:r>
                    <w:rPr>
                      <w:rFonts w:hint="default"/>
                      <w:color w:val="FF0000"/>
                      <w:sz w:val="21"/>
                      <w:szCs w:val="32"/>
                      <w:u w:val="single" w:color="auto"/>
                    </w:rPr>
                    <w:t>8</w:t>
                  </w:r>
                </w:p>
              </w:tc>
              <w:tc>
                <w:tcPr>
                  <w:tcW w:w="27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1B5E16">
                  <w:pPr>
                    <w:pStyle w:val="138"/>
                    <w:rPr>
                      <w:rFonts w:hint="default"/>
                      <w:color w:val="FF0000"/>
                      <w:sz w:val="21"/>
                      <w:szCs w:val="32"/>
                      <w:u w:val="single" w:color="auto"/>
                    </w:rPr>
                  </w:pPr>
                  <w:r>
                    <w:rPr>
                      <w:rFonts w:hint="eastAsia"/>
                      <w:color w:val="FF0000"/>
                      <w:sz w:val="21"/>
                      <w:szCs w:val="32"/>
                      <w:u w:val="single" w:color="auto"/>
                    </w:rPr>
                    <w:t>除《中华人民共和国防洪法》规定的紧急防汛期采取的紧急措施外，禁止在国家湿地公园的岸线和河段范围内挖沙、采矿，以及以下不符合主体功能定位的行为和活动</w:t>
                  </w:r>
                </w:p>
              </w:tc>
              <w:tc>
                <w:tcPr>
                  <w:tcW w:w="146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2BBBFB">
                  <w:pPr>
                    <w:pStyle w:val="138"/>
                    <w:rPr>
                      <w:rFonts w:hint="eastAsia" w:eastAsia="宋体"/>
                      <w:color w:val="FF0000"/>
                      <w:sz w:val="21"/>
                      <w:szCs w:val="32"/>
                      <w:u w:val="single" w:color="auto"/>
                      <w:lang w:eastAsia="zh-CN"/>
                    </w:rPr>
                  </w:pPr>
                  <w:r>
                    <w:rPr>
                      <w:rFonts w:hint="eastAsia"/>
                      <w:color w:val="FF0000"/>
                      <w:sz w:val="21"/>
                      <w:szCs w:val="32"/>
                      <w:u w:val="single" w:color="auto"/>
                    </w:rPr>
                    <w:t>本项目不涉及挖沙、采矿作业</w:t>
                  </w:r>
                </w:p>
              </w:tc>
              <w:tc>
                <w:tcPr>
                  <w:tcW w:w="4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EDD1A9">
                  <w:pPr>
                    <w:pStyle w:val="138"/>
                    <w:rPr>
                      <w:rFonts w:hint="default"/>
                      <w:color w:val="FF0000"/>
                      <w:sz w:val="21"/>
                      <w:szCs w:val="32"/>
                      <w:u w:val="single" w:color="auto"/>
                    </w:rPr>
                  </w:pPr>
                  <w:r>
                    <w:rPr>
                      <w:rFonts w:hint="eastAsia"/>
                      <w:color w:val="FF0000"/>
                      <w:sz w:val="21"/>
                      <w:szCs w:val="32"/>
                      <w:u w:val="single" w:color="auto"/>
                    </w:rPr>
                    <w:t>符合</w:t>
                  </w:r>
                </w:p>
              </w:tc>
            </w:tr>
            <w:tr w14:paraId="05C9F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C0FF66">
                  <w:pPr>
                    <w:pStyle w:val="138"/>
                    <w:rPr>
                      <w:rFonts w:hint="default"/>
                      <w:color w:val="FF0000"/>
                      <w:sz w:val="21"/>
                      <w:szCs w:val="32"/>
                      <w:u w:val="single" w:color="auto"/>
                    </w:rPr>
                  </w:pPr>
                  <w:r>
                    <w:rPr>
                      <w:rFonts w:hint="default"/>
                      <w:color w:val="FF0000"/>
                      <w:sz w:val="21"/>
                      <w:szCs w:val="32"/>
                      <w:u w:val="single" w:color="auto"/>
                    </w:rPr>
                    <w:t>9</w:t>
                  </w:r>
                </w:p>
              </w:tc>
              <w:tc>
                <w:tcPr>
                  <w:tcW w:w="27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9CD055">
                  <w:pPr>
                    <w:pStyle w:val="138"/>
                    <w:rPr>
                      <w:rFonts w:hint="default"/>
                      <w:color w:val="FF0000"/>
                      <w:sz w:val="21"/>
                      <w:szCs w:val="32"/>
                      <w:u w:val="single" w:color="auto"/>
                    </w:rPr>
                  </w:pPr>
                  <w:r>
                    <w:rPr>
                      <w:rFonts w:hint="eastAsia"/>
                      <w:color w:val="FF0000"/>
                      <w:sz w:val="21"/>
                      <w:szCs w:val="32"/>
                      <w:u w:val="single" w:color="auto"/>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填湖造地、围湖造田及非法围垦河道，禁止非法建设矮围</w:t>
                  </w:r>
                  <w:r>
                    <w:rPr>
                      <w:rFonts w:hint="eastAsia"/>
                      <w:color w:val="FF0000"/>
                      <w:sz w:val="21"/>
                      <w:szCs w:val="32"/>
                      <w:u w:val="single" w:color="auto"/>
                      <w:lang w:eastAsia="zh-CN"/>
                    </w:rPr>
                    <w:t>围网</w:t>
                  </w:r>
                  <w:r>
                    <w:rPr>
                      <w:rFonts w:hint="eastAsia"/>
                      <w:color w:val="FF0000"/>
                      <w:sz w:val="21"/>
                      <w:szCs w:val="32"/>
                      <w:u w:val="single" w:color="auto"/>
                    </w:rPr>
                    <w:t>、填埋湿地等侵占河湖水域或者违法利用、占用河湖岸线的行为。</w:t>
                  </w:r>
                </w:p>
              </w:tc>
              <w:tc>
                <w:tcPr>
                  <w:tcW w:w="146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06FFA6">
                  <w:pPr>
                    <w:pStyle w:val="138"/>
                    <w:rPr>
                      <w:rFonts w:hint="default"/>
                      <w:color w:val="FF0000"/>
                      <w:sz w:val="21"/>
                      <w:szCs w:val="32"/>
                      <w:u w:val="single" w:color="auto"/>
                    </w:rPr>
                  </w:pPr>
                  <w:r>
                    <w:rPr>
                      <w:rFonts w:hint="eastAsia"/>
                      <w:color w:val="FF0000"/>
                      <w:sz w:val="21"/>
                      <w:szCs w:val="32"/>
                      <w:u w:val="single" w:color="auto"/>
                    </w:rPr>
                    <w:t>本项目不涉及河湖侵占等违法行为</w:t>
                  </w:r>
                </w:p>
              </w:tc>
              <w:tc>
                <w:tcPr>
                  <w:tcW w:w="4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775310">
                  <w:pPr>
                    <w:pStyle w:val="138"/>
                    <w:rPr>
                      <w:rFonts w:hint="default"/>
                      <w:color w:val="FF0000"/>
                      <w:sz w:val="21"/>
                      <w:szCs w:val="32"/>
                      <w:u w:val="single" w:color="auto"/>
                    </w:rPr>
                  </w:pPr>
                  <w:r>
                    <w:rPr>
                      <w:rFonts w:hint="eastAsia"/>
                      <w:color w:val="FF0000"/>
                      <w:sz w:val="21"/>
                      <w:szCs w:val="32"/>
                      <w:u w:val="single" w:color="auto"/>
                    </w:rPr>
                    <w:t>符合</w:t>
                  </w:r>
                </w:p>
              </w:tc>
            </w:tr>
            <w:tr w14:paraId="4CF3C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E06405">
                  <w:pPr>
                    <w:pStyle w:val="138"/>
                    <w:rPr>
                      <w:rFonts w:hint="default"/>
                      <w:color w:val="FF0000"/>
                      <w:sz w:val="21"/>
                      <w:szCs w:val="32"/>
                      <w:u w:val="single" w:color="auto"/>
                    </w:rPr>
                  </w:pPr>
                  <w:r>
                    <w:rPr>
                      <w:rFonts w:hint="default"/>
                      <w:color w:val="FF0000"/>
                      <w:sz w:val="21"/>
                      <w:szCs w:val="32"/>
                      <w:u w:val="single" w:color="auto"/>
                    </w:rPr>
                    <w:t>10</w:t>
                  </w:r>
                </w:p>
              </w:tc>
              <w:tc>
                <w:tcPr>
                  <w:tcW w:w="27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B0DFA0">
                  <w:pPr>
                    <w:pStyle w:val="138"/>
                    <w:rPr>
                      <w:rFonts w:hint="default"/>
                      <w:color w:val="FF0000"/>
                      <w:sz w:val="21"/>
                      <w:szCs w:val="32"/>
                      <w:u w:val="single" w:color="auto"/>
                    </w:rPr>
                  </w:pPr>
                  <w:r>
                    <w:rPr>
                      <w:rFonts w:hint="eastAsia"/>
                      <w:color w:val="FF0000"/>
                      <w:sz w:val="21"/>
                      <w:szCs w:val="32"/>
                      <w:u w:val="single" w:color="auto"/>
                    </w:rPr>
                    <w:t>禁止在《全国重要江河湖泊水功能区划》划定的河段及湖泊保护区、保留区内投资建设不利于水资源及自然生态保护的项目。</w:t>
                  </w:r>
                </w:p>
              </w:tc>
              <w:tc>
                <w:tcPr>
                  <w:tcW w:w="146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C41D68">
                  <w:pPr>
                    <w:pStyle w:val="138"/>
                    <w:rPr>
                      <w:rFonts w:hint="default"/>
                      <w:color w:val="FF0000"/>
                      <w:sz w:val="21"/>
                      <w:szCs w:val="32"/>
                      <w:u w:val="single" w:color="auto"/>
                    </w:rPr>
                  </w:pPr>
                  <w:r>
                    <w:rPr>
                      <w:rFonts w:hint="eastAsia"/>
                      <w:color w:val="FF0000"/>
                      <w:sz w:val="21"/>
                      <w:szCs w:val="32"/>
                      <w:u w:val="single" w:color="auto"/>
                    </w:rPr>
                    <w:t>本项目不属于所列行业项目</w:t>
                  </w:r>
                </w:p>
              </w:tc>
              <w:tc>
                <w:tcPr>
                  <w:tcW w:w="4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908D88">
                  <w:pPr>
                    <w:pStyle w:val="138"/>
                    <w:rPr>
                      <w:rFonts w:hint="default"/>
                      <w:color w:val="FF0000"/>
                      <w:sz w:val="21"/>
                      <w:szCs w:val="32"/>
                      <w:u w:val="single" w:color="auto"/>
                    </w:rPr>
                  </w:pPr>
                  <w:r>
                    <w:rPr>
                      <w:rFonts w:hint="eastAsia"/>
                      <w:color w:val="FF0000"/>
                      <w:sz w:val="21"/>
                      <w:szCs w:val="32"/>
                      <w:u w:val="single" w:color="auto"/>
                    </w:rPr>
                    <w:t>符合</w:t>
                  </w:r>
                </w:p>
              </w:tc>
            </w:tr>
            <w:tr w14:paraId="71F57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1968A5">
                  <w:pPr>
                    <w:pStyle w:val="138"/>
                    <w:rPr>
                      <w:rFonts w:hint="default"/>
                      <w:color w:val="FF0000"/>
                      <w:sz w:val="21"/>
                      <w:szCs w:val="32"/>
                      <w:u w:val="single" w:color="auto"/>
                    </w:rPr>
                  </w:pPr>
                  <w:r>
                    <w:rPr>
                      <w:rFonts w:hint="default"/>
                      <w:color w:val="FF0000"/>
                      <w:sz w:val="21"/>
                      <w:szCs w:val="32"/>
                      <w:u w:val="single" w:color="auto"/>
                    </w:rPr>
                    <w:t>11</w:t>
                  </w:r>
                </w:p>
              </w:tc>
              <w:tc>
                <w:tcPr>
                  <w:tcW w:w="27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8B85A9">
                  <w:pPr>
                    <w:pStyle w:val="138"/>
                    <w:rPr>
                      <w:rFonts w:hint="default"/>
                      <w:color w:val="FF0000"/>
                      <w:sz w:val="21"/>
                      <w:szCs w:val="32"/>
                      <w:u w:val="single" w:color="auto"/>
                    </w:rPr>
                  </w:pPr>
                  <w:r>
                    <w:rPr>
                      <w:rFonts w:hint="eastAsia"/>
                      <w:color w:val="FF0000"/>
                      <w:sz w:val="21"/>
                      <w:szCs w:val="32"/>
                      <w:u w:val="single" w:color="auto"/>
                    </w:rPr>
                    <w:t>禁止未经许可在长江干支流及湖泊新设、改设或扩大排污口。</w:t>
                  </w:r>
                </w:p>
              </w:tc>
              <w:tc>
                <w:tcPr>
                  <w:tcW w:w="146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506B32">
                  <w:pPr>
                    <w:pStyle w:val="138"/>
                    <w:rPr>
                      <w:rFonts w:hint="eastAsia" w:eastAsia="宋体"/>
                      <w:color w:val="FF0000"/>
                      <w:sz w:val="21"/>
                      <w:szCs w:val="32"/>
                      <w:u w:val="single" w:color="auto"/>
                      <w:lang w:eastAsia="zh-CN"/>
                    </w:rPr>
                  </w:pPr>
                  <w:r>
                    <w:rPr>
                      <w:rFonts w:hint="eastAsia"/>
                      <w:color w:val="FF0000"/>
                      <w:sz w:val="21"/>
                      <w:szCs w:val="32"/>
                      <w:u w:val="single" w:color="auto"/>
                    </w:rPr>
                    <w:t>本项目</w:t>
                  </w:r>
                  <w:r>
                    <w:rPr>
                      <w:rFonts w:hint="eastAsia"/>
                      <w:color w:val="FF0000"/>
                      <w:sz w:val="21"/>
                      <w:szCs w:val="32"/>
                      <w:u w:val="single" w:color="auto"/>
                      <w:lang w:eastAsia="zh-CN"/>
                    </w:rPr>
                    <w:t>不设排污口</w:t>
                  </w:r>
                </w:p>
              </w:tc>
              <w:tc>
                <w:tcPr>
                  <w:tcW w:w="4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8480A5">
                  <w:pPr>
                    <w:pStyle w:val="138"/>
                    <w:rPr>
                      <w:rFonts w:hint="default"/>
                      <w:color w:val="FF0000"/>
                      <w:sz w:val="21"/>
                      <w:szCs w:val="32"/>
                      <w:u w:val="single" w:color="auto"/>
                    </w:rPr>
                  </w:pPr>
                  <w:r>
                    <w:rPr>
                      <w:rFonts w:hint="eastAsia"/>
                      <w:color w:val="FF0000"/>
                      <w:sz w:val="21"/>
                      <w:szCs w:val="32"/>
                      <w:u w:val="single" w:color="auto"/>
                    </w:rPr>
                    <w:t>符合</w:t>
                  </w:r>
                </w:p>
              </w:tc>
            </w:tr>
            <w:tr w14:paraId="50639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3FB76C">
                  <w:pPr>
                    <w:pStyle w:val="138"/>
                    <w:rPr>
                      <w:rFonts w:hint="default"/>
                      <w:color w:val="FF0000"/>
                      <w:sz w:val="21"/>
                      <w:szCs w:val="32"/>
                      <w:u w:val="single" w:color="auto"/>
                    </w:rPr>
                  </w:pPr>
                  <w:r>
                    <w:rPr>
                      <w:rFonts w:hint="eastAsia"/>
                      <w:color w:val="FF0000"/>
                      <w:sz w:val="21"/>
                      <w:szCs w:val="32"/>
                      <w:u w:val="single" w:color="auto"/>
                    </w:rPr>
                    <w:t>12</w:t>
                  </w:r>
                </w:p>
              </w:tc>
              <w:tc>
                <w:tcPr>
                  <w:tcW w:w="27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BD3CBF">
                  <w:pPr>
                    <w:pStyle w:val="138"/>
                    <w:rPr>
                      <w:rFonts w:hint="eastAsia"/>
                      <w:color w:val="FF0000"/>
                      <w:sz w:val="21"/>
                      <w:szCs w:val="32"/>
                      <w:u w:val="single" w:color="auto"/>
                    </w:rPr>
                  </w:pPr>
                  <w:r>
                    <w:rPr>
                      <w:rFonts w:hint="eastAsia"/>
                      <w:color w:val="FF0000"/>
                      <w:sz w:val="21"/>
                      <w:szCs w:val="32"/>
                      <w:u w:val="single" w:color="auto"/>
                    </w:rPr>
                    <w:t>禁止在洞庭湖、湘江、资江、沅江、澧水干流和45个水生生物保护区开展生产性捕捞。在相关自然保护区域和禁猎(渔)区、禁猎(渔)期内，禁止猎捕以及其他妨碍野生动物生息繁衍的活动，但法律法规另有规定的除外。</w:t>
                  </w:r>
                </w:p>
              </w:tc>
              <w:tc>
                <w:tcPr>
                  <w:tcW w:w="146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77FCD3">
                  <w:pPr>
                    <w:pStyle w:val="138"/>
                    <w:rPr>
                      <w:rFonts w:hint="eastAsia"/>
                      <w:color w:val="FF0000"/>
                      <w:sz w:val="21"/>
                      <w:szCs w:val="32"/>
                      <w:u w:val="single" w:color="auto"/>
                    </w:rPr>
                  </w:pPr>
                  <w:r>
                    <w:rPr>
                      <w:rFonts w:hint="eastAsia"/>
                      <w:color w:val="FF0000"/>
                      <w:sz w:val="21"/>
                      <w:szCs w:val="32"/>
                      <w:u w:val="single" w:color="auto"/>
                    </w:rPr>
                    <w:t>不涉及生产</w:t>
                  </w:r>
                  <w:r>
                    <w:rPr>
                      <w:rFonts w:hint="eastAsia"/>
                      <w:color w:val="FF0000"/>
                      <w:sz w:val="21"/>
                      <w:szCs w:val="32"/>
                      <w:u w:val="single" w:color="auto"/>
                      <w:lang w:eastAsia="zh-CN"/>
                    </w:rPr>
                    <w:t>性</w:t>
                  </w:r>
                  <w:r>
                    <w:rPr>
                      <w:rFonts w:hint="eastAsia"/>
                      <w:color w:val="FF0000"/>
                      <w:sz w:val="21"/>
                      <w:szCs w:val="32"/>
                      <w:u w:val="single" w:color="auto"/>
                    </w:rPr>
                    <w:t>捕捞</w:t>
                  </w:r>
                </w:p>
              </w:tc>
              <w:tc>
                <w:tcPr>
                  <w:tcW w:w="4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B9F5E2">
                  <w:pPr>
                    <w:pStyle w:val="138"/>
                    <w:rPr>
                      <w:rFonts w:hint="default"/>
                      <w:color w:val="FF0000"/>
                      <w:sz w:val="21"/>
                      <w:szCs w:val="32"/>
                      <w:u w:val="single" w:color="auto"/>
                    </w:rPr>
                  </w:pPr>
                  <w:r>
                    <w:rPr>
                      <w:rFonts w:hint="eastAsia"/>
                      <w:color w:val="FF0000"/>
                      <w:sz w:val="21"/>
                      <w:szCs w:val="32"/>
                      <w:u w:val="single" w:color="auto"/>
                    </w:rPr>
                    <w:t>符合</w:t>
                  </w:r>
                </w:p>
              </w:tc>
            </w:tr>
            <w:tr w14:paraId="21F0D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259E91">
                  <w:pPr>
                    <w:pStyle w:val="138"/>
                    <w:rPr>
                      <w:rFonts w:hint="default"/>
                      <w:color w:val="FF0000"/>
                      <w:sz w:val="21"/>
                      <w:szCs w:val="32"/>
                      <w:u w:val="single" w:color="auto"/>
                    </w:rPr>
                  </w:pPr>
                  <w:r>
                    <w:rPr>
                      <w:rFonts w:hint="eastAsia"/>
                      <w:color w:val="FF0000"/>
                      <w:sz w:val="21"/>
                      <w:szCs w:val="32"/>
                      <w:u w:val="single" w:color="auto"/>
                    </w:rPr>
                    <w:t>13</w:t>
                  </w:r>
                </w:p>
              </w:tc>
              <w:tc>
                <w:tcPr>
                  <w:tcW w:w="27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1E21C6">
                  <w:pPr>
                    <w:pStyle w:val="138"/>
                    <w:rPr>
                      <w:rFonts w:hint="eastAsia"/>
                      <w:color w:val="FF0000"/>
                      <w:sz w:val="21"/>
                      <w:szCs w:val="32"/>
                      <w:u w:val="single" w:color="auto"/>
                    </w:rPr>
                  </w:pPr>
                  <w:r>
                    <w:rPr>
                      <w:rFonts w:hint="eastAsia"/>
                      <w:color w:val="FF0000"/>
                      <w:sz w:val="21"/>
                      <w:szCs w:val="32"/>
                      <w:u w:val="single" w:color="auto"/>
                    </w:rPr>
                    <w:t>禁止在长江湖南段和洞庭湖、湘江、资江、沅江、澧水干流岸线一公里范围内新建、扩建化工园区和化工项目。禁止在长江湖南段岸线三公里范围内和湘江、资江、沅江、澧水岸线一公里范围内新建、改建、扩建尾矿库、冶炼渣库和磷石膏库，以提升安全、生态环境保护水平为目的的改建除外。</w:t>
                  </w:r>
                </w:p>
              </w:tc>
              <w:tc>
                <w:tcPr>
                  <w:tcW w:w="146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335550">
                  <w:pPr>
                    <w:pStyle w:val="138"/>
                    <w:rPr>
                      <w:rFonts w:hint="eastAsia"/>
                      <w:color w:val="FF0000"/>
                      <w:sz w:val="21"/>
                      <w:szCs w:val="32"/>
                      <w:u w:val="single" w:color="auto"/>
                    </w:rPr>
                  </w:pPr>
                  <w:r>
                    <w:rPr>
                      <w:rFonts w:hint="eastAsia"/>
                      <w:color w:val="FF0000"/>
                      <w:sz w:val="21"/>
                      <w:szCs w:val="32"/>
                      <w:u w:val="single" w:color="auto"/>
                    </w:rPr>
                    <w:t>本项目</w:t>
                  </w:r>
                  <w:r>
                    <w:rPr>
                      <w:rFonts w:hint="eastAsia"/>
                      <w:color w:val="FF0000"/>
                      <w:sz w:val="21"/>
                      <w:szCs w:val="32"/>
                      <w:u w:val="single" w:color="auto"/>
                      <w:lang w:eastAsia="zh-CN"/>
                    </w:rPr>
                    <w:t>不</w:t>
                  </w:r>
                  <w:r>
                    <w:rPr>
                      <w:rFonts w:hint="eastAsia"/>
                      <w:color w:val="FF0000"/>
                      <w:sz w:val="21"/>
                      <w:szCs w:val="32"/>
                      <w:u w:val="single" w:color="auto"/>
                    </w:rPr>
                    <w:t>涉及化工及尾矿库、炼渣库磷石膏库的建设</w:t>
                  </w:r>
                </w:p>
              </w:tc>
              <w:tc>
                <w:tcPr>
                  <w:tcW w:w="4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936D83">
                  <w:pPr>
                    <w:pStyle w:val="138"/>
                    <w:rPr>
                      <w:rFonts w:hint="default"/>
                      <w:color w:val="FF0000"/>
                      <w:sz w:val="21"/>
                      <w:szCs w:val="32"/>
                      <w:u w:val="single" w:color="auto"/>
                    </w:rPr>
                  </w:pPr>
                  <w:r>
                    <w:rPr>
                      <w:rFonts w:hint="eastAsia"/>
                      <w:color w:val="FF0000"/>
                      <w:sz w:val="21"/>
                      <w:szCs w:val="32"/>
                      <w:u w:val="single" w:color="auto"/>
                    </w:rPr>
                    <w:t>符合</w:t>
                  </w:r>
                </w:p>
              </w:tc>
            </w:tr>
            <w:tr w14:paraId="4DC5A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774AB0">
                  <w:pPr>
                    <w:pStyle w:val="138"/>
                    <w:rPr>
                      <w:rFonts w:hint="default"/>
                      <w:color w:val="FF0000"/>
                      <w:sz w:val="21"/>
                      <w:szCs w:val="32"/>
                      <w:u w:val="single" w:color="auto"/>
                    </w:rPr>
                  </w:pPr>
                  <w:r>
                    <w:rPr>
                      <w:rFonts w:hint="eastAsia"/>
                      <w:color w:val="FF0000"/>
                      <w:sz w:val="21"/>
                      <w:szCs w:val="32"/>
                      <w:u w:val="single" w:color="auto"/>
                    </w:rPr>
                    <w:t>14</w:t>
                  </w:r>
                </w:p>
              </w:tc>
              <w:tc>
                <w:tcPr>
                  <w:tcW w:w="27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43F3BB">
                  <w:pPr>
                    <w:pStyle w:val="138"/>
                    <w:rPr>
                      <w:rFonts w:hint="eastAsia"/>
                      <w:color w:val="FF0000"/>
                      <w:sz w:val="21"/>
                      <w:szCs w:val="32"/>
                      <w:u w:val="single" w:color="auto"/>
                    </w:rPr>
                  </w:pPr>
                  <w:r>
                    <w:rPr>
                      <w:rFonts w:hint="eastAsia"/>
                      <w:color w:val="FF0000"/>
                      <w:sz w:val="21"/>
                      <w:szCs w:val="32"/>
                      <w:u w:val="single" w:color="auto"/>
                    </w:rPr>
                    <w:t>禁止在合规园区外新建、扩建钢铁、石化、化工、焦化、建材、有色、制浆造纸等高污染项目。高污染项目严格按照生态环境部《环境保护综合名录(2021年版)》有关要求执行。</w:t>
                  </w:r>
                </w:p>
              </w:tc>
              <w:tc>
                <w:tcPr>
                  <w:tcW w:w="146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0B5368">
                  <w:pPr>
                    <w:pStyle w:val="138"/>
                    <w:rPr>
                      <w:rFonts w:hint="eastAsia" w:eastAsia="宋体"/>
                      <w:color w:val="FF0000"/>
                      <w:sz w:val="21"/>
                      <w:szCs w:val="32"/>
                      <w:u w:val="single" w:color="auto"/>
                      <w:lang w:eastAsia="zh-CN"/>
                    </w:rPr>
                  </w:pPr>
                  <w:r>
                    <w:rPr>
                      <w:rFonts w:hint="eastAsia"/>
                      <w:color w:val="FF0000"/>
                      <w:sz w:val="21"/>
                      <w:szCs w:val="32"/>
                      <w:u w:val="single" w:color="auto"/>
                    </w:rPr>
                    <w:t>本项目</w:t>
                  </w:r>
                  <w:r>
                    <w:rPr>
                      <w:rFonts w:hint="eastAsia"/>
                      <w:color w:val="FF0000"/>
                      <w:sz w:val="21"/>
                      <w:szCs w:val="32"/>
                      <w:u w:val="single" w:color="auto"/>
                      <w:lang w:eastAsia="zh-CN"/>
                    </w:rPr>
                    <w:t>属于医疗卫生行业，不属于做列钢铁等行业</w:t>
                  </w:r>
                </w:p>
              </w:tc>
              <w:tc>
                <w:tcPr>
                  <w:tcW w:w="4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1D3E78">
                  <w:pPr>
                    <w:pStyle w:val="138"/>
                    <w:rPr>
                      <w:rFonts w:hint="default"/>
                      <w:color w:val="FF0000"/>
                      <w:sz w:val="21"/>
                      <w:szCs w:val="32"/>
                      <w:u w:val="single" w:color="auto"/>
                    </w:rPr>
                  </w:pPr>
                  <w:r>
                    <w:rPr>
                      <w:rFonts w:hint="eastAsia"/>
                      <w:color w:val="FF0000"/>
                      <w:sz w:val="21"/>
                      <w:szCs w:val="32"/>
                      <w:u w:val="single" w:color="auto"/>
                    </w:rPr>
                    <w:t>符合</w:t>
                  </w:r>
                </w:p>
              </w:tc>
            </w:tr>
            <w:tr w14:paraId="33752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77F93C">
                  <w:pPr>
                    <w:pStyle w:val="138"/>
                    <w:rPr>
                      <w:rFonts w:hint="default"/>
                      <w:color w:val="FF0000"/>
                      <w:sz w:val="21"/>
                      <w:szCs w:val="32"/>
                      <w:u w:val="single" w:color="auto"/>
                    </w:rPr>
                  </w:pPr>
                  <w:r>
                    <w:rPr>
                      <w:rFonts w:hint="eastAsia"/>
                      <w:color w:val="FF0000"/>
                      <w:sz w:val="21"/>
                      <w:szCs w:val="32"/>
                      <w:u w:val="single" w:color="auto"/>
                    </w:rPr>
                    <w:t>15</w:t>
                  </w:r>
                </w:p>
              </w:tc>
              <w:tc>
                <w:tcPr>
                  <w:tcW w:w="27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552DE2">
                  <w:pPr>
                    <w:pStyle w:val="138"/>
                    <w:rPr>
                      <w:rFonts w:hint="eastAsia"/>
                      <w:color w:val="FF0000"/>
                      <w:sz w:val="21"/>
                      <w:szCs w:val="32"/>
                      <w:u w:val="single" w:color="auto"/>
                    </w:rPr>
                  </w:pPr>
                  <w:r>
                    <w:rPr>
                      <w:rFonts w:hint="eastAsia"/>
                      <w:color w:val="FF0000"/>
                      <w:sz w:val="21"/>
                      <w:szCs w:val="32"/>
                      <w:u w:val="single" w:color="auto"/>
                    </w:rPr>
                    <w:t>禁止新建、扩建不符合国家石化、现代煤化工等产业布局规划的项目。未通过认定的化工园区，不得新建、改扩建化工项目(安全、环保、节能和智能化改造项目除外)。</w:t>
                  </w:r>
                </w:p>
              </w:tc>
              <w:tc>
                <w:tcPr>
                  <w:tcW w:w="146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913C9C">
                  <w:pPr>
                    <w:pStyle w:val="138"/>
                    <w:rPr>
                      <w:rFonts w:hint="eastAsia"/>
                      <w:color w:val="FF0000"/>
                      <w:sz w:val="21"/>
                      <w:szCs w:val="32"/>
                      <w:u w:val="single" w:color="auto"/>
                    </w:rPr>
                  </w:pPr>
                  <w:r>
                    <w:rPr>
                      <w:rFonts w:hint="eastAsia"/>
                      <w:color w:val="FF0000"/>
                      <w:sz w:val="21"/>
                      <w:szCs w:val="32"/>
                      <w:u w:val="single" w:color="auto"/>
                    </w:rPr>
                    <w:t>不属于石化、煤化工业，本项目不属于化工项目</w:t>
                  </w:r>
                </w:p>
              </w:tc>
              <w:tc>
                <w:tcPr>
                  <w:tcW w:w="4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5127C0">
                  <w:pPr>
                    <w:rPr>
                      <w:rFonts w:hint="default"/>
                      <w:color w:val="FF0000"/>
                      <w:sz w:val="21"/>
                      <w:szCs w:val="21"/>
                      <w:u w:val="single" w:color="auto"/>
                    </w:rPr>
                  </w:pPr>
                  <w:r>
                    <w:rPr>
                      <w:rFonts w:hint="eastAsia"/>
                      <w:color w:val="FF0000"/>
                      <w:sz w:val="21"/>
                      <w:szCs w:val="21"/>
                      <w:u w:val="single" w:color="auto"/>
                    </w:rPr>
                    <w:t>符合</w:t>
                  </w:r>
                </w:p>
              </w:tc>
            </w:tr>
            <w:tr w14:paraId="17A60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C9D7E9">
                  <w:pPr>
                    <w:pStyle w:val="138"/>
                    <w:rPr>
                      <w:rFonts w:hint="default"/>
                      <w:color w:val="FF0000"/>
                      <w:sz w:val="21"/>
                      <w:szCs w:val="32"/>
                      <w:u w:val="single" w:color="auto"/>
                    </w:rPr>
                  </w:pPr>
                  <w:r>
                    <w:rPr>
                      <w:rFonts w:hint="eastAsia"/>
                      <w:color w:val="FF0000"/>
                      <w:sz w:val="21"/>
                      <w:szCs w:val="32"/>
                      <w:u w:val="single" w:color="auto"/>
                    </w:rPr>
                    <w:t>16</w:t>
                  </w:r>
                </w:p>
              </w:tc>
              <w:tc>
                <w:tcPr>
                  <w:tcW w:w="27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432ABB">
                  <w:pPr>
                    <w:pStyle w:val="138"/>
                    <w:rPr>
                      <w:rFonts w:hint="eastAsia"/>
                      <w:color w:val="FF0000"/>
                      <w:sz w:val="21"/>
                      <w:szCs w:val="32"/>
                      <w:u w:val="single" w:color="auto"/>
                    </w:rPr>
                  </w:pPr>
                  <w:r>
                    <w:rPr>
                      <w:rFonts w:hint="eastAsia"/>
                      <w:color w:val="FF0000"/>
                      <w:sz w:val="21"/>
                      <w:szCs w:val="32"/>
                      <w:u w:val="single" w:color="auto"/>
                    </w:rPr>
                    <w:t>禁止新建、扩建法律法规和相关政策明令禁止的落后产能项目；对不符合要求的落后产能存量项目依法依规退出。禁止新建、扩建不符合国家产能置换要求的严重过剩产能行业(钢铁、水泥、电解铝、平板玻璃、船舶等行业)的项目。对确有必要新建、扩建的，必须严格执行产能置换实施办法，实施减量或等量置换，依法依规办理有关手续。禁止新建、扩建不符合要求的高耗能高排放项目</w:t>
                  </w:r>
                </w:p>
              </w:tc>
              <w:tc>
                <w:tcPr>
                  <w:tcW w:w="146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EEA95B">
                  <w:pPr>
                    <w:pStyle w:val="138"/>
                    <w:rPr>
                      <w:rFonts w:hint="eastAsia"/>
                      <w:color w:val="FF0000"/>
                      <w:sz w:val="21"/>
                      <w:szCs w:val="32"/>
                      <w:u w:val="single" w:color="auto"/>
                    </w:rPr>
                  </w:pPr>
                  <w:r>
                    <w:rPr>
                      <w:rFonts w:hint="eastAsia"/>
                      <w:color w:val="FF0000"/>
                      <w:sz w:val="21"/>
                      <w:szCs w:val="32"/>
                      <w:u w:val="single" w:color="auto"/>
                    </w:rPr>
                    <w:t>本项目</w:t>
                  </w:r>
                  <w:r>
                    <w:rPr>
                      <w:rFonts w:hint="eastAsia"/>
                      <w:color w:val="FF0000"/>
                      <w:sz w:val="21"/>
                      <w:szCs w:val="32"/>
                      <w:u w:val="single" w:color="auto"/>
                      <w:lang w:eastAsia="zh-CN"/>
                    </w:rPr>
                    <w:t>属于医疗卫生行业，属于</w:t>
                  </w:r>
                  <w:r>
                    <w:rPr>
                      <w:rFonts w:hint="eastAsia" w:ascii="Times New Roman" w:hAnsi="Times New Roman" w:eastAsia="宋体"/>
                      <w:b w:val="0"/>
                      <w:bCs w:val="0"/>
                      <w:color w:val="FF0000"/>
                      <w:sz w:val="21"/>
                      <w:szCs w:val="32"/>
                      <w:u w:val="single" w:color="auto"/>
                    </w:rPr>
                    <w:t>《产业结构调整指导目录（2024年本）》中“第一类鼓励类”</w:t>
                  </w:r>
                </w:p>
              </w:tc>
              <w:tc>
                <w:tcPr>
                  <w:tcW w:w="4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641465">
                  <w:pPr>
                    <w:rPr>
                      <w:rFonts w:hint="default"/>
                      <w:color w:val="FF0000"/>
                      <w:sz w:val="21"/>
                      <w:szCs w:val="21"/>
                      <w:u w:val="single" w:color="auto"/>
                    </w:rPr>
                  </w:pPr>
                  <w:r>
                    <w:rPr>
                      <w:rFonts w:hint="eastAsia"/>
                      <w:color w:val="FF0000"/>
                      <w:sz w:val="21"/>
                      <w:szCs w:val="21"/>
                      <w:u w:val="single" w:color="auto"/>
                    </w:rPr>
                    <w:t>符合</w:t>
                  </w:r>
                </w:p>
              </w:tc>
            </w:tr>
          </w:tbl>
          <w:p w14:paraId="18CEAEF6">
            <w:pPr>
              <w:jc w:val="both"/>
              <w:rPr>
                <w:rFonts w:hint="eastAsia" w:ascii="Times New Roman" w:hAnsi="Times New Roman" w:eastAsia="宋体" w:cs="Times New Roman"/>
                <w:b/>
                <w:color w:val="auto"/>
                <w:kern w:val="0"/>
                <w:sz w:val="24"/>
                <w:szCs w:val="24"/>
                <w:u w:val="none"/>
                <w:lang w:val="en-US" w:eastAsia="zh-CN" w:bidi="ar"/>
              </w:rPr>
            </w:pPr>
          </w:p>
        </w:tc>
      </w:tr>
    </w:tbl>
    <w:p w14:paraId="33B75900">
      <w:pPr>
        <w:rPr>
          <w:color w:val="auto"/>
          <w:highlight w:val="none"/>
          <w:u w:val="none"/>
          <w:lang w:val="en-US"/>
        </w:rPr>
      </w:pPr>
      <w:r>
        <w:rPr>
          <w:color w:val="auto"/>
          <w:highlight w:val="none"/>
          <w:u w:val="none"/>
          <w:lang w:val="en-US"/>
        </w:rPr>
        <w:br w:type="page"/>
      </w:r>
    </w:p>
    <w:p w14:paraId="1FAB7D8A">
      <w:pPr>
        <w:pStyle w:val="2"/>
        <w:rPr>
          <w:color w:val="auto"/>
          <w:highlight w:val="none"/>
          <w:u w:val="none"/>
          <w:lang w:val="en-US"/>
        </w:rPr>
      </w:pPr>
      <w:bookmarkStart w:id="2" w:name="_Toc134635716"/>
      <w:r>
        <w:rPr>
          <w:rFonts w:hint="eastAsia"/>
          <w:color w:val="auto"/>
          <w:highlight w:val="none"/>
          <w:u w:val="none"/>
          <w:lang w:val="en-US"/>
        </w:rPr>
        <w:t>二、建设项目工程分析</w:t>
      </w:r>
      <w:bookmarkEnd w:id="2"/>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0"/>
        <w:gridCol w:w="8796"/>
      </w:tblGrid>
      <w:tr w14:paraId="3E4A6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9" w:type="pct"/>
            <w:vAlign w:val="center"/>
          </w:tcPr>
          <w:p w14:paraId="37016BB3">
            <w:pPr>
              <w:pStyle w:val="58"/>
              <w:widowControl w:val="0"/>
              <w:rPr>
                <w:color w:val="auto"/>
                <w:highlight w:val="none"/>
                <w:u w:val="none"/>
              </w:rPr>
            </w:pPr>
            <w:r>
              <w:rPr>
                <w:rFonts w:hint="eastAsia"/>
                <w:color w:val="auto"/>
                <w:highlight w:val="none"/>
                <w:u w:val="none"/>
              </w:rPr>
              <w:t>建设内容</w:t>
            </w:r>
          </w:p>
        </w:tc>
        <w:tc>
          <w:tcPr>
            <w:tcW w:w="4410" w:type="pct"/>
          </w:tcPr>
          <w:p w14:paraId="17187A55">
            <w:pPr>
              <w:keepNext w:val="0"/>
              <w:keepLines w:val="0"/>
              <w:widowControl/>
              <w:jc w:val="left"/>
              <w:rPr>
                <w:b/>
                <w:bCs/>
                <w:color w:val="auto"/>
                <w:highlight w:val="none"/>
                <w:u w:val="none"/>
              </w:rPr>
            </w:pPr>
            <w:r>
              <w:rPr>
                <w:rFonts w:hint="eastAsia"/>
                <w:b/>
                <w:bCs/>
                <w:color w:val="auto"/>
                <w:highlight w:val="none"/>
                <w:u w:val="none"/>
              </w:rPr>
              <w:t>2.1项目背景及概况</w:t>
            </w:r>
          </w:p>
          <w:p w14:paraId="5B5EA2D8">
            <w:pPr>
              <w:widowControl/>
              <w:ind w:firstLine="482" w:firstLineChars="200"/>
              <w:jc w:val="left"/>
              <w:rPr>
                <w:b/>
                <w:bCs/>
                <w:color w:val="auto"/>
                <w:highlight w:val="none"/>
                <w:u w:val="none"/>
              </w:rPr>
            </w:pPr>
            <w:r>
              <w:rPr>
                <w:rFonts w:hint="eastAsia"/>
                <w:b/>
                <w:bCs/>
                <w:color w:val="auto"/>
                <w:highlight w:val="none"/>
                <w:u w:val="none"/>
                <w:lang w:val="en-US" w:eastAsia="zh-CN"/>
              </w:rPr>
              <w:t>2.1.1</w:t>
            </w:r>
            <w:r>
              <w:rPr>
                <w:rFonts w:hint="eastAsia"/>
                <w:b/>
                <w:bCs/>
                <w:color w:val="auto"/>
                <w:highlight w:val="none"/>
                <w:u w:val="none"/>
              </w:rPr>
              <w:t>项目由来</w:t>
            </w:r>
          </w:p>
          <w:p w14:paraId="700B22B7">
            <w:pPr>
              <w:widowControl/>
              <w:spacing w:line="360" w:lineRule="auto"/>
              <w:ind w:firstLine="480" w:firstLineChars="200"/>
              <w:jc w:val="left"/>
              <w:rPr>
                <w:rFonts w:hint="default" w:ascii="Times New Roman" w:hAnsi="Times New Roman" w:eastAsia="宋体" w:cs="Times New Roman"/>
                <w:color w:val="auto"/>
                <w:kern w:val="0"/>
                <w:sz w:val="24"/>
                <w:u w:val="none"/>
              </w:rPr>
            </w:pPr>
            <w:r>
              <w:rPr>
                <w:rFonts w:hint="default" w:ascii="Times New Roman" w:hAnsi="Times New Roman" w:eastAsia="宋体" w:cs="Times New Roman"/>
                <w:color w:val="auto"/>
                <w:kern w:val="0"/>
                <w:sz w:val="24"/>
                <w:u w:val="none"/>
              </w:rPr>
              <w:t>近年来溆浦县委、县政府着力抓了深化医药卫生体制改革，不仅形成了“以县级医院为龙头、乡镇</w:t>
            </w:r>
            <w:r>
              <w:rPr>
                <w:rFonts w:hint="eastAsia" w:ascii="Times New Roman" w:hAnsi="Times New Roman" w:eastAsia="宋体" w:cs="Times New Roman"/>
                <w:color w:val="auto"/>
                <w:kern w:val="0"/>
                <w:sz w:val="24"/>
                <w:u w:val="none"/>
                <w:lang w:eastAsia="zh-CN"/>
              </w:rPr>
              <w:t>卫生</w:t>
            </w:r>
            <w:r>
              <w:rPr>
                <w:rFonts w:hint="default" w:ascii="Times New Roman" w:hAnsi="Times New Roman" w:eastAsia="宋体" w:cs="Times New Roman"/>
                <w:color w:val="auto"/>
                <w:kern w:val="0"/>
                <w:sz w:val="24"/>
                <w:u w:val="none"/>
              </w:rPr>
              <w:t>院为枢纽、村卫生室为网底、远程医疗为提升”的医疗卫生服务网络体系；成立了以县长任组长的深化医改领导小组，明确一名县领导分管“三医联动”工作，建立了医改成员单位联席会议制度，推动建设了各级医联体93个；溆浦县医疗卫生事业发展取得了显著成效，政府办医责任不断加强，医疗卫生服务能力逐步增强基础设施建设加快推进，医疗保障水平逐步提高，人民健康水平有了明显提升。全县医疗卫生事业与群众健康需求之间的矛盾仍然突出，主要还存在医疗机构之间发展不平衡、城乡发展差距大，医疗卫生队伍建设严重滞后，医疗专业人才极度匮乏，医疗卫生信息网络建设滞后等问题，与全县人民群众对优质医疗卫生资源强烈需求还有一定的差距。</w:t>
            </w:r>
          </w:p>
          <w:p w14:paraId="3047FA0F">
            <w:pPr>
              <w:keepNext w:val="0"/>
              <w:keepLines w:val="0"/>
              <w:widowControl/>
              <w:suppressLineNumbers w:val="0"/>
              <w:spacing w:line="360" w:lineRule="auto"/>
              <w:ind w:firstLine="480" w:firstLineChars="200"/>
              <w:jc w:val="left"/>
              <w:rPr>
                <w:rFonts w:hint="default" w:ascii="Times New Roman" w:hAnsi="Times New Roman" w:eastAsia="宋体" w:cs="Times New Roman"/>
                <w:color w:val="FF0000"/>
                <w:kern w:val="0"/>
                <w:sz w:val="24"/>
                <w:u w:val="single"/>
              </w:rPr>
            </w:pPr>
            <w:r>
              <w:rPr>
                <w:rFonts w:hint="default" w:ascii="Times New Roman" w:hAnsi="Times New Roman" w:eastAsia="宋体" w:cs="Times New Roman"/>
                <w:color w:val="FF0000"/>
                <w:kern w:val="0"/>
                <w:sz w:val="24"/>
                <w:u w:val="single"/>
              </w:rPr>
              <w:t>本项目是根据相关规划要求，结合溆浦县医疗卫生事业发展实际情况，为完善溆浦县</w:t>
            </w:r>
            <w:r>
              <w:rPr>
                <w:rFonts w:hint="eastAsia" w:cs="Times New Roman"/>
                <w:color w:val="FF0000"/>
                <w:kern w:val="0"/>
                <w:sz w:val="24"/>
                <w:u w:val="single"/>
                <w:lang w:eastAsia="zh-CN"/>
              </w:rPr>
              <w:t>低庄镇</w:t>
            </w:r>
            <w:r>
              <w:rPr>
                <w:rFonts w:hint="default" w:ascii="Times New Roman" w:hAnsi="Times New Roman" w:eastAsia="宋体" w:cs="Times New Roman"/>
                <w:color w:val="FF0000"/>
                <w:kern w:val="0"/>
                <w:sz w:val="24"/>
                <w:u w:val="single"/>
              </w:rPr>
              <w:t>医疗卫生基础设施，提升</w:t>
            </w:r>
            <w:r>
              <w:rPr>
                <w:rFonts w:hint="eastAsia" w:cs="Times New Roman"/>
                <w:color w:val="FF0000"/>
                <w:kern w:val="0"/>
                <w:sz w:val="24"/>
                <w:u w:val="single"/>
                <w:lang w:eastAsia="zh-CN"/>
              </w:rPr>
              <w:t>低庄镇</w:t>
            </w:r>
            <w:r>
              <w:rPr>
                <w:rFonts w:hint="default" w:ascii="Times New Roman" w:hAnsi="Times New Roman" w:eastAsia="宋体" w:cs="Times New Roman"/>
                <w:color w:val="FF0000"/>
                <w:kern w:val="0"/>
                <w:sz w:val="24"/>
                <w:u w:val="single"/>
              </w:rPr>
              <w:t>公共卫生服务和卫生应急能力，满足区域人民群众医疗卫生服务需求，为优化溆浦县医疗服务体系和医院布局，加强溆浦县乡镇优质医疗卫生资源配置，加快实现“健康溆浦”目标而提出的，创建成为一所二级综合性中心医院，</w:t>
            </w:r>
            <w:r>
              <w:rPr>
                <w:rFonts w:hint="eastAsia" w:cs="Times New Roman"/>
                <w:color w:val="FF0000"/>
                <w:kern w:val="0"/>
                <w:sz w:val="24"/>
                <w:u w:val="single"/>
                <w:lang w:eastAsia="zh-CN"/>
              </w:rPr>
              <w:t>即溆浦县第四人民医院（由原低庄镇中心卫生院异地迁建升级成溆浦县第四人民医院），拟建设</w:t>
            </w:r>
            <w:r>
              <w:rPr>
                <w:rFonts w:hint="default" w:ascii="Times New Roman" w:hAnsi="Times New Roman" w:eastAsia="宋体" w:cs="Times New Roman"/>
                <w:color w:val="FF0000"/>
                <w:kern w:val="0"/>
                <w:sz w:val="24"/>
                <w:u w:val="single"/>
              </w:rPr>
              <w:t>床位数为</w:t>
            </w:r>
            <w:r>
              <w:rPr>
                <w:rFonts w:hint="eastAsia" w:ascii="Times New Roman" w:hAnsi="Times New Roman" w:eastAsia="宋体" w:cs="Times New Roman"/>
                <w:color w:val="FF0000"/>
                <w:kern w:val="0"/>
                <w:sz w:val="24"/>
                <w:u w:val="single"/>
                <w:lang w:eastAsia="zh-CN"/>
              </w:rPr>
              <w:t>300</w:t>
            </w:r>
            <w:r>
              <w:rPr>
                <w:rFonts w:hint="eastAsia" w:cs="Times New Roman"/>
                <w:color w:val="FF0000"/>
                <w:kern w:val="0"/>
                <w:sz w:val="24"/>
                <w:u w:val="single"/>
                <w:lang w:eastAsia="zh-CN"/>
              </w:rPr>
              <w:t>张</w:t>
            </w:r>
            <w:r>
              <w:rPr>
                <w:rFonts w:hint="default" w:ascii="Times New Roman" w:hAnsi="Times New Roman" w:eastAsia="宋体" w:cs="Times New Roman"/>
                <w:color w:val="FF0000"/>
                <w:kern w:val="0"/>
                <w:sz w:val="24"/>
                <w:u w:val="single"/>
              </w:rPr>
              <w:t>，</w:t>
            </w:r>
            <w:r>
              <w:rPr>
                <w:rFonts w:hint="eastAsia" w:cs="Times New Roman"/>
                <w:color w:val="FF0000"/>
                <w:kern w:val="0"/>
                <w:sz w:val="24"/>
                <w:u w:val="single"/>
                <w:lang w:eastAsia="zh-CN"/>
              </w:rPr>
              <w:t>本项目建设完成后，原低庄镇中心卫生院整体搬迁至新址</w:t>
            </w:r>
            <w:r>
              <w:rPr>
                <w:rFonts w:hint="default" w:ascii="Times New Roman" w:hAnsi="Times New Roman" w:eastAsia="宋体" w:cs="Times New Roman"/>
                <w:color w:val="FF0000"/>
                <w:kern w:val="0"/>
                <w:sz w:val="24"/>
                <w:u w:val="single"/>
              </w:rPr>
              <w:t>。</w:t>
            </w:r>
          </w:p>
          <w:p w14:paraId="6F1B4959">
            <w:pPr>
              <w:keepNext w:val="0"/>
              <w:keepLines w:val="0"/>
              <w:widowControl/>
              <w:suppressLineNumbers w:val="0"/>
              <w:spacing w:line="360" w:lineRule="auto"/>
              <w:ind w:firstLine="480" w:firstLineChars="200"/>
              <w:jc w:val="left"/>
              <w:rPr>
                <w:rFonts w:hint="default" w:ascii="Times New Roman" w:hAnsi="Times New Roman" w:eastAsia="宋体" w:cs="Times New Roman"/>
                <w:color w:val="FF0000"/>
                <w:kern w:val="0"/>
                <w:sz w:val="24"/>
                <w:u w:val="single"/>
                <w:lang w:val="en-US" w:eastAsia="zh-CN"/>
              </w:rPr>
            </w:pPr>
            <w:r>
              <w:rPr>
                <w:rFonts w:hint="eastAsia" w:cs="Times New Roman"/>
                <w:color w:val="FF0000"/>
                <w:kern w:val="0"/>
                <w:sz w:val="24"/>
                <w:u w:val="single"/>
                <w:lang w:eastAsia="zh-CN"/>
              </w:rPr>
              <w:t>溆浦县低庄镇中心卫生院于</w:t>
            </w:r>
            <w:r>
              <w:rPr>
                <w:rFonts w:hint="eastAsia" w:cs="Times New Roman"/>
                <w:color w:val="FF0000"/>
                <w:kern w:val="0"/>
                <w:sz w:val="24"/>
                <w:u w:val="single"/>
                <w:lang w:val="en-US" w:eastAsia="zh-CN"/>
              </w:rPr>
              <w:t>1956年建成运行至今，</w:t>
            </w:r>
            <w:r>
              <w:rPr>
                <w:rFonts w:hint="eastAsia" w:ascii="Times New Roman" w:hAnsi="Times New Roman" w:eastAsia="宋体" w:cs="Times New Roman"/>
                <w:color w:val="FF0000"/>
                <w:kern w:val="2"/>
                <w:sz w:val="24"/>
                <w:szCs w:val="24"/>
                <w:u w:val="single"/>
                <w:lang w:val="en-US" w:eastAsia="zh-CN" w:bidi="ar-SA"/>
              </w:rPr>
              <w:t>院内科室较为齐全，经溆浦县卫生健康局批准设置有预防保健科、全科医疗科、内科（呼吸内科专业，消化内科专业，神经内科专业，心血管内科专业，血液内科专业，肾病学专业，老年病专业，其他）、外科（普通外科专业，骨科专业，泌尿外科专业，烧伤科专业，其他）、妇产科（妇科专业，产科专业，其他）、儿科、眼科、耳鼻咽喉科、口腔科、皮肤科、急诊医学科、康复医学科、麻醉科、医学检验科、医学影像科、中医科等。</w:t>
            </w:r>
            <w:r>
              <w:rPr>
                <w:rFonts w:hint="eastAsia" w:cs="Times New Roman"/>
                <w:color w:val="FF0000"/>
                <w:kern w:val="2"/>
                <w:sz w:val="24"/>
                <w:szCs w:val="24"/>
                <w:u w:val="single"/>
                <w:lang w:val="en-US" w:eastAsia="zh-CN" w:bidi="ar-SA"/>
              </w:rPr>
              <w:t>医院</w:t>
            </w:r>
            <w:r>
              <w:rPr>
                <w:rFonts w:hint="eastAsia" w:ascii="Times New Roman" w:hAnsi="Times New Roman" w:eastAsia="宋体" w:cs="Times New Roman"/>
                <w:color w:val="FF0000"/>
                <w:kern w:val="2"/>
                <w:sz w:val="24"/>
                <w:szCs w:val="24"/>
                <w:u w:val="single"/>
                <w:lang w:val="en-US" w:eastAsia="zh-CN" w:bidi="ar-SA"/>
              </w:rPr>
              <w:t>由于现址面积小，限制了医院的发展，因此决定异地搬迁扩建。</w:t>
            </w:r>
          </w:p>
          <w:p w14:paraId="218EA731">
            <w:pPr>
              <w:pStyle w:val="47"/>
              <w:ind w:firstLine="480" w:firstLineChars="200"/>
              <w:jc w:val="both"/>
              <w:rPr>
                <w:rFonts w:hint="default"/>
                <w:lang w:val="en-US"/>
              </w:rPr>
            </w:pPr>
            <w:r>
              <w:rPr>
                <w:rFonts w:hint="eastAsia" w:ascii="Times New Roman" w:hAnsi="Times New Roman" w:eastAsia="宋体" w:cs="Times New Roman"/>
                <w:color w:val="auto"/>
                <w:sz w:val="24"/>
                <w:u w:val="none" w:color="auto"/>
                <w:lang w:val="en-US" w:eastAsia="zh-CN"/>
              </w:rPr>
              <w:t>根据</w:t>
            </w:r>
            <w:r>
              <w:rPr>
                <w:rFonts w:hint="eastAsia" w:ascii="Times New Roman" w:hAnsi="Times New Roman" w:eastAsia="宋体" w:cs="Times New Roman"/>
                <w:b w:val="0"/>
                <w:bCs/>
                <w:snapToGrid w:val="0"/>
                <w:color w:val="auto"/>
                <w:sz w:val="24"/>
                <w:u w:val="none" w:color="auto"/>
                <w:lang w:val="en-US" w:eastAsia="zh-CN"/>
              </w:rPr>
              <w:t>《中华人民共和国环境保护法</w:t>
            </w:r>
            <w:r>
              <w:rPr>
                <w:rFonts w:hint="eastAsia" w:ascii="Times New Roman" w:hAnsi="Times New Roman" w:cs="Times New Roman"/>
                <w:b w:val="0"/>
                <w:bCs/>
                <w:snapToGrid w:val="0"/>
                <w:color w:val="auto"/>
                <w:sz w:val="24"/>
                <w:u w:val="none" w:color="auto"/>
                <w:lang w:val="en-US" w:eastAsia="zh-CN"/>
              </w:rPr>
              <w:t>》《</w:t>
            </w:r>
            <w:r>
              <w:rPr>
                <w:rFonts w:hint="eastAsia" w:ascii="Times New Roman" w:hAnsi="Times New Roman" w:eastAsia="宋体" w:cs="Times New Roman"/>
                <w:b w:val="0"/>
                <w:bCs/>
                <w:snapToGrid w:val="0"/>
                <w:color w:val="auto"/>
                <w:sz w:val="24"/>
                <w:u w:val="none" w:color="auto"/>
                <w:lang w:val="en-US" w:eastAsia="zh-CN"/>
              </w:rPr>
              <w:t>中华人民共和国环境影响评价法</w:t>
            </w:r>
            <w:r>
              <w:rPr>
                <w:rFonts w:hint="eastAsia" w:ascii="Times New Roman" w:hAnsi="Times New Roman" w:cs="Times New Roman"/>
                <w:b w:val="0"/>
                <w:bCs/>
                <w:snapToGrid w:val="0"/>
                <w:color w:val="auto"/>
                <w:sz w:val="24"/>
                <w:u w:val="none" w:color="auto"/>
                <w:lang w:val="en-US" w:eastAsia="zh-CN"/>
              </w:rPr>
              <w:t>》《</w:t>
            </w:r>
            <w:r>
              <w:rPr>
                <w:rFonts w:hint="eastAsia" w:ascii="Times New Roman" w:hAnsi="Times New Roman" w:eastAsia="宋体" w:cs="Times New Roman"/>
                <w:b w:val="0"/>
                <w:bCs/>
                <w:snapToGrid w:val="0"/>
                <w:color w:val="auto"/>
                <w:sz w:val="24"/>
                <w:u w:val="none" w:color="auto"/>
                <w:lang w:val="en-US" w:eastAsia="zh-CN"/>
              </w:rPr>
              <w:t>建设项目环境保护管理条例》（国务院第</w:t>
            </w:r>
            <w:r>
              <w:rPr>
                <w:rFonts w:hint="default" w:ascii="Times New Roman" w:hAnsi="Times New Roman" w:eastAsia="宋体" w:cs="Times New Roman"/>
                <w:b w:val="0"/>
                <w:bCs/>
                <w:snapToGrid w:val="0"/>
                <w:color w:val="auto"/>
                <w:sz w:val="24"/>
                <w:u w:val="none" w:color="auto"/>
                <w:lang w:val="en-US" w:eastAsia="zh-CN"/>
              </w:rPr>
              <w:t>682</w:t>
            </w:r>
            <w:r>
              <w:rPr>
                <w:rFonts w:hint="eastAsia" w:ascii="Times New Roman" w:hAnsi="Times New Roman" w:eastAsia="宋体" w:cs="Times New Roman"/>
                <w:b w:val="0"/>
                <w:bCs/>
                <w:snapToGrid w:val="0"/>
                <w:color w:val="auto"/>
                <w:sz w:val="24"/>
                <w:u w:val="none" w:color="auto"/>
                <w:lang w:val="en-US" w:eastAsia="zh-CN"/>
              </w:rPr>
              <w:t>号令）的有关规定及《建设项目环境影响评价分类管理名录》（</w:t>
            </w:r>
            <w:r>
              <w:rPr>
                <w:rFonts w:hint="default" w:ascii="Times New Roman" w:hAnsi="Times New Roman" w:eastAsia="宋体" w:cs="Times New Roman"/>
                <w:b w:val="0"/>
                <w:bCs/>
                <w:snapToGrid w:val="0"/>
                <w:color w:val="auto"/>
                <w:sz w:val="24"/>
                <w:u w:val="none" w:color="auto"/>
                <w:lang w:val="en-US" w:eastAsia="zh-CN"/>
              </w:rPr>
              <w:t>2021</w:t>
            </w:r>
            <w:r>
              <w:rPr>
                <w:rFonts w:hint="eastAsia" w:ascii="Times New Roman" w:hAnsi="Times New Roman" w:eastAsia="宋体" w:cs="Times New Roman"/>
                <w:b w:val="0"/>
                <w:bCs/>
                <w:snapToGrid w:val="0"/>
                <w:color w:val="auto"/>
                <w:sz w:val="24"/>
                <w:u w:val="none" w:color="auto"/>
                <w:lang w:val="en-US" w:eastAsia="zh-CN"/>
              </w:rPr>
              <w:t>年本），本项目属于“</w:t>
            </w:r>
            <w:r>
              <w:rPr>
                <w:rFonts w:hint="eastAsia"/>
                <w:color w:val="auto"/>
                <w:kern w:val="0"/>
                <w:sz w:val="24"/>
                <w:highlight w:val="none"/>
                <w:u w:val="none" w:color="auto"/>
                <w:lang w:val="en-US" w:eastAsia="zh-CN"/>
              </w:rPr>
              <w:t>四十九</w:t>
            </w:r>
            <w:r>
              <w:rPr>
                <w:rFonts w:hint="eastAsia"/>
                <w:color w:val="auto"/>
                <w:kern w:val="0"/>
                <w:sz w:val="24"/>
                <w:highlight w:val="none"/>
                <w:u w:val="none" w:color="auto"/>
              </w:rPr>
              <w:t>、</w:t>
            </w:r>
            <w:r>
              <w:rPr>
                <w:rFonts w:hint="eastAsia"/>
                <w:color w:val="auto"/>
                <w:kern w:val="0"/>
                <w:sz w:val="24"/>
                <w:highlight w:val="none"/>
                <w:u w:val="none" w:color="auto"/>
                <w:lang w:val="en-US" w:eastAsia="zh-CN"/>
              </w:rPr>
              <w:t>卫生84 108.医院841 其他（住院病床20张床位以下的除外）</w:t>
            </w:r>
            <w:r>
              <w:rPr>
                <w:rFonts w:hint="eastAsia" w:ascii="Times New Roman" w:hAnsi="Times New Roman" w:eastAsia="宋体" w:cs="Times New Roman"/>
                <w:b w:val="0"/>
                <w:bCs/>
                <w:snapToGrid w:val="0"/>
                <w:color w:val="auto"/>
                <w:sz w:val="24"/>
                <w:u w:val="none" w:color="auto"/>
                <w:lang w:val="en-US" w:eastAsia="zh-CN"/>
              </w:rPr>
              <w:t>”</w:t>
            </w:r>
            <w:r>
              <w:rPr>
                <w:rFonts w:hint="eastAsia" w:ascii="Times New Roman" w:hAnsi="Times New Roman" w:eastAsia="宋体" w:cs="Times New Roman"/>
                <w:color w:val="auto"/>
                <w:sz w:val="24"/>
                <w:u w:val="none" w:color="auto"/>
                <w:lang w:val="en-US" w:eastAsia="zh-CN"/>
              </w:rPr>
              <w:t>，本项目拟设置床位300张，属于新建</w:t>
            </w:r>
            <w:r>
              <w:rPr>
                <w:rFonts w:hint="default" w:ascii="Times New Roman" w:hAnsi="Times New Roman" w:eastAsia="宋体" w:cs="Times New Roman"/>
                <w:color w:val="auto"/>
                <w:sz w:val="24"/>
                <w:u w:val="none" w:color="auto"/>
                <w:lang w:val="en-US" w:eastAsia="zh-CN"/>
              </w:rPr>
              <w:t>500</w:t>
            </w:r>
            <w:r>
              <w:rPr>
                <w:rFonts w:hint="eastAsia" w:ascii="Times New Roman" w:hAnsi="Times New Roman" w:eastAsia="宋体" w:cs="Times New Roman"/>
                <w:color w:val="auto"/>
                <w:sz w:val="24"/>
                <w:u w:val="none" w:color="auto"/>
                <w:lang w:val="en-US" w:eastAsia="zh-CN"/>
              </w:rPr>
              <w:t>张床位以下、</w:t>
            </w:r>
            <w:r>
              <w:rPr>
                <w:rFonts w:hint="default" w:ascii="Times New Roman" w:hAnsi="Times New Roman" w:eastAsia="宋体" w:cs="Times New Roman"/>
                <w:color w:val="auto"/>
                <w:sz w:val="24"/>
                <w:u w:val="none" w:color="auto"/>
                <w:lang w:val="en-US" w:eastAsia="zh-CN"/>
              </w:rPr>
              <w:t>20</w:t>
            </w:r>
            <w:r>
              <w:rPr>
                <w:rFonts w:hint="eastAsia" w:ascii="Times New Roman" w:hAnsi="Times New Roman" w:eastAsia="宋体" w:cs="Times New Roman"/>
                <w:color w:val="auto"/>
                <w:sz w:val="24"/>
                <w:u w:val="none" w:color="auto"/>
                <w:lang w:val="en-US" w:eastAsia="zh-CN"/>
              </w:rPr>
              <w:t>张床位以上项目，应编制环境影响报告表。</w:t>
            </w:r>
          </w:p>
          <w:p w14:paraId="47C14F20">
            <w:pPr>
              <w:widowControl/>
              <w:spacing w:line="360" w:lineRule="auto"/>
              <w:ind w:firstLine="480" w:firstLineChars="200"/>
              <w:jc w:val="left"/>
              <w:rPr>
                <w:rFonts w:hint="default" w:ascii="Times New Roman" w:hAnsi="Times New Roman" w:eastAsia="宋体" w:cs="Times New Roman"/>
                <w:color w:val="FF0000"/>
                <w:kern w:val="0"/>
                <w:sz w:val="24"/>
                <w:u w:val="single"/>
                <w:lang w:eastAsia="zh-CN"/>
              </w:rPr>
            </w:pPr>
            <w:r>
              <w:rPr>
                <w:rFonts w:hint="default" w:ascii="Times New Roman" w:hAnsi="Times New Roman" w:eastAsia="宋体" w:cs="Times New Roman"/>
                <w:color w:val="FF0000"/>
                <w:kern w:val="0"/>
                <w:sz w:val="24"/>
                <w:u w:val="single"/>
                <w:lang w:eastAsia="zh-CN"/>
              </w:rPr>
              <w:t>本次评价内容不包括放射性设备，建设单位须依照相关合法程序另行委托有资质单位单独评价，</w:t>
            </w:r>
            <w:r>
              <w:rPr>
                <w:rFonts w:hint="eastAsia" w:cs="Times New Roman"/>
                <w:color w:val="FF0000"/>
                <w:kern w:val="0"/>
                <w:sz w:val="24"/>
                <w:u w:val="single"/>
                <w:lang w:eastAsia="zh-CN"/>
              </w:rPr>
              <w:t>辐射相关内容</w:t>
            </w:r>
            <w:r>
              <w:rPr>
                <w:rFonts w:hint="default" w:ascii="Times New Roman" w:hAnsi="Times New Roman" w:eastAsia="宋体" w:cs="Times New Roman"/>
                <w:color w:val="FF0000"/>
                <w:kern w:val="0"/>
                <w:sz w:val="24"/>
                <w:u w:val="single"/>
                <w:lang w:eastAsia="zh-CN"/>
              </w:rPr>
              <w:t>不属于</w:t>
            </w:r>
            <w:r>
              <w:rPr>
                <w:rFonts w:hint="eastAsia" w:ascii="Times New Roman" w:hAnsi="Times New Roman" w:eastAsia="宋体" w:cs="Times New Roman"/>
                <w:color w:val="FF0000"/>
                <w:kern w:val="0"/>
                <w:sz w:val="24"/>
                <w:u w:val="single"/>
                <w:lang w:eastAsia="zh-CN"/>
              </w:rPr>
              <w:t>本次</w:t>
            </w:r>
            <w:r>
              <w:rPr>
                <w:rFonts w:hint="default" w:ascii="Times New Roman" w:hAnsi="Times New Roman" w:eastAsia="宋体" w:cs="Times New Roman"/>
                <w:color w:val="FF0000"/>
                <w:kern w:val="0"/>
                <w:sz w:val="24"/>
                <w:u w:val="single"/>
                <w:lang w:eastAsia="zh-CN"/>
              </w:rPr>
              <w:t>环评内容。</w:t>
            </w:r>
          </w:p>
          <w:p w14:paraId="3F5DEBB4">
            <w:pPr>
              <w:widowControl/>
              <w:ind w:firstLine="482" w:firstLineChars="200"/>
              <w:jc w:val="left"/>
              <w:rPr>
                <w:b/>
                <w:bCs/>
                <w:color w:val="auto"/>
                <w:highlight w:val="none"/>
                <w:u w:val="none"/>
              </w:rPr>
            </w:pPr>
            <w:r>
              <w:rPr>
                <w:rFonts w:hint="eastAsia"/>
                <w:b/>
                <w:bCs/>
                <w:color w:val="auto"/>
                <w:highlight w:val="none"/>
                <w:u w:val="none"/>
                <w:lang w:val="en-US" w:eastAsia="zh-CN"/>
              </w:rPr>
              <w:t>2.1.2</w:t>
            </w:r>
            <w:r>
              <w:rPr>
                <w:rFonts w:hint="eastAsia"/>
                <w:b/>
                <w:bCs/>
                <w:color w:val="auto"/>
                <w:highlight w:val="none"/>
                <w:u w:val="none"/>
              </w:rPr>
              <w:t>项目概况</w:t>
            </w:r>
          </w:p>
          <w:p w14:paraId="3A6D419E">
            <w:pPr>
              <w:keepNext w:val="0"/>
              <w:keepLines w:val="0"/>
              <w:widowControl/>
              <w:suppressLineNumbers w:val="0"/>
              <w:spacing w:line="360" w:lineRule="auto"/>
              <w:ind w:firstLine="480" w:firstLineChars="200"/>
              <w:jc w:val="left"/>
              <w:rPr>
                <w:rFonts w:hint="default" w:ascii="Times New Roman" w:hAnsi="Times New Roman" w:cs="Times New Roman"/>
                <w:color w:val="auto"/>
                <w:u w:val="none"/>
              </w:rPr>
            </w:pPr>
            <w:r>
              <w:rPr>
                <w:rFonts w:hint="default" w:ascii="Times New Roman" w:hAnsi="Times New Roman" w:eastAsia="宋体" w:cs="Times New Roman"/>
                <w:color w:val="auto"/>
                <w:kern w:val="0"/>
                <w:sz w:val="24"/>
                <w:szCs w:val="24"/>
                <w:u w:val="none"/>
                <w:lang w:val="en-US" w:eastAsia="zh-CN" w:bidi="ar"/>
              </w:rPr>
              <w:t>项目名称：</w:t>
            </w:r>
            <w:r>
              <w:rPr>
                <w:rFonts w:hint="eastAsia" w:cs="Times New Roman"/>
                <w:color w:val="auto"/>
                <w:sz w:val="24"/>
                <w:u w:val="none"/>
                <w:lang w:val="en-US" w:eastAsia="zh-CN"/>
              </w:rPr>
              <w:t>溆浦县第四人民医院建设项目</w:t>
            </w:r>
            <w:r>
              <w:rPr>
                <w:rFonts w:hint="default" w:ascii="Times New Roman" w:hAnsi="Times New Roman" w:eastAsia="宋体" w:cs="Times New Roman"/>
                <w:color w:val="auto"/>
                <w:kern w:val="0"/>
                <w:sz w:val="24"/>
                <w:szCs w:val="24"/>
                <w:u w:val="none"/>
                <w:lang w:val="en-US" w:eastAsia="zh-CN" w:bidi="ar"/>
              </w:rPr>
              <w:t>；</w:t>
            </w:r>
          </w:p>
          <w:p w14:paraId="03FBE2EA">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u w:val="none"/>
                <w:lang w:val="en-US" w:eastAsia="zh-CN" w:bidi="ar"/>
              </w:rPr>
            </w:pPr>
            <w:r>
              <w:rPr>
                <w:rFonts w:hint="default" w:ascii="Times New Roman" w:hAnsi="Times New Roman" w:eastAsia="宋体" w:cs="Times New Roman"/>
                <w:color w:val="auto"/>
                <w:kern w:val="0"/>
                <w:sz w:val="24"/>
                <w:szCs w:val="24"/>
                <w:u w:val="none"/>
                <w:lang w:val="en-US" w:eastAsia="zh-CN" w:bidi="ar"/>
              </w:rPr>
              <w:t>建设性质：新建</w:t>
            </w:r>
            <w:r>
              <w:rPr>
                <w:rFonts w:hint="eastAsia" w:cs="Times New Roman"/>
                <w:color w:val="auto"/>
                <w:kern w:val="0"/>
                <w:sz w:val="24"/>
                <w:szCs w:val="24"/>
                <w:u w:val="none"/>
                <w:lang w:val="en-US" w:eastAsia="zh-CN" w:bidi="ar"/>
              </w:rPr>
              <w:t>（迁建）</w:t>
            </w:r>
            <w:r>
              <w:rPr>
                <w:rFonts w:hint="default" w:ascii="Times New Roman" w:hAnsi="Times New Roman" w:eastAsia="宋体" w:cs="Times New Roman"/>
                <w:color w:val="auto"/>
                <w:kern w:val="0"/>
                <w:sz w:val="24"/>
                <w:szCs w:val="24"/>
                <w:u w:val="none"/>
                <w:lang w:val="en-US" w:eastAsia="zh-CN" w:bidi="ar"/>
              </w:rPr>
              <w:t>；</w:t>
            </w:r>
          </w:p>
          <w:p w14:paraId="712082BB">
            <w:pPr>
              <w:keepNext w:val="0"/>
              <w:keepLines w:val="0"/>
              <w:widowControl/>
              <w:suppressLineNumbers w:val="0"/>
              <w:spacing w:line="360" w:lineRule="auto"/>
              <w:ind w:firstLine="480" w:firstLineChars="200"/>
              <w:jc w:val="left"/>
              <w:rPr>
                <w:rFonts w:hint="default" w:ascii="Times New Roman" w:hAnsi="Times New Roman" w:cs="Times New Roman"/>
                <w:color w:val="auto"/>
                <w:u w:val="none"/>
              </w:rPr>
            </w:pPr>
            <w:r>
              <w:rPr>
                <w:rFonts w:hint="default" w:ascii="Times New Roman" w:hAnsi="Times New Roman" w:eastAsia="宋体" w:cs="Times New Roman"/>
                <w:color w:val="auto"/>
                <w:kern w:val="0"/>
                <w:sz w:val="24"/>
                <w:szCs w:val="24"/>
                <w:u w:val="none"/>
                <w:lang w:val="en-US" w:eastAsia="zh-CN" w:bidi="ar"/>
              </w:rPr>
              <w:t>建设单位：</w:t>
            </w:r>
            <w:r>
              <w:rPr>
                <w:rFonts w:hint="eastAsia" w:cs="Times New Roman"/>
                <w:color w:val="auto"/>
                <w:sz w:val="24"/>
                <w:u w:val="none"/>
                <w:lang w:val="en-US" w:eastAsia="zh-CN"/>
              </w:rPr>
              <w:t>溆浦县第四人民医院（溆浦县低庄镇中心卫生院）</w:t>
            </w:r>
            <w:r>
              <w:rPr>
                <w:rFonts w:hint="default" w:ascii="Times New Roman" w:hAnsi="Times New Roman" w:eastAsia="宋体" w:cs="Times New Roman"/>
                <w:color w:val="auto"/>
                <w:kern w:val="0"/>
                <w:sz w:val="24"/>
                <w:szCs w:val="24"/>
                <w:u w:val="none"/>
                <w:lang w:val="en-US" w:eastAsia="zh-CN" w:bidi="ar"/>
              </w:rPr>
              <w:t>；</w:t>
            </w:r>
          </w:p>
          <w:p w14:paraId="17265CF9">
            <w:pPr>
              <w:keepNext w:val="0"/>
              <w:keepLines w:val="0"/>
              <w:pageBreakBefore w:val="0"/>
              <w:widowControl/>
              <w:kinsoku/>
              <w:wordWrap/>
              <w:overflowPunct/>
              <w:topLinePunct w:val="0"/>
              <w:autoSpaceDE/>
              <w:autoSpaceDN/>
              <w:bidi w:val="0"/>
              <w:spacing w:after="0" w:line="360" w:lineRule="auto"/>
              <w:ind w:left="0" w:leftChars="0" w:firstLine="480" w:firstLineChars="200"/>
              <w:jc w:val="left"/>
              <w:textAlignment w:val="auto"/>
              <w:rPr>
                <w:rFonts w:hint="eastAsia" w:cs="Times New Roman"/>
                <w:color w:val="auto"/>
                <w:sz w:val="24"/>
                <w:u w:val="none"/>
                <w:lang w:val="en-US" w:eastAsia="zh-CN"/>
              </w:rPr>
            </w:pPr>
            <w:r>
              <w:rPr>
                <w:rFonts w:hint="default" w:ascii="Times New Roman" w:hAnsi="Times New Roman" w:eastAsia="宋体" w:cs="Times New Roman"/>
                <w:color w:val="auto"/>
                <w:kern w:val="0"/>
                <w:sz w:val="24"/>
                <w:szCs w:val="24"/>
                <w:u w:val="none"/>
                <w:lang w:val="en-US" w:eastAsia="zh-CN" w:bidi="ar"/>
              </w:rPr>
              <w:t>建设地点：</w:t>
            </w:r>
            <w:r>
              <w:rPr>
                <w:rFonts w:hint="eastAsia" w:cs="Times New Roman"/>
                <w:color w:val="auto"/>
                <w:sz w:val="24"/>
                <w:u w:val="none"/>
                <w:lang w:val="en-US" w:eastAsia="zh-CN"/>
              </w:rPr>
              <w:t>湖南省怀化市溆浦县低庄镇低庄村。</w:t>
            </w:r>
          </w:p>
          <w:p w14:paraId="6787DA1B">
            <w:pPr>
              <w:keepNext w:val="0"/>
              <w:keepLines w:val="0"/>
              <w:pageBreakBefore w:val="0"/>
              <w:widowControl/>
              <w:kinsoku/>
              <w:wordWrap/>
              <w:overflowPunct/>
              <w:topLinePunct w:val="0"/>
              <w:autoSpaceDE/>
              <w:autoSpaceDN/>
              <w:bidi w:val="0"/>
              <w:spacing w:after="0" w:line="360" w:lineRule="auto"/>
              <w:ind w:left="0" w:leftChars="0" w:firstLine="480" w:firstLineChars="200"/>
              <w:jc w:val="left"/>
              <w:textAlignment w:val="auto"/>
              <w:rPr>
                <w:rFonts w:hint="eastAsia" w:cs="Times New Roman"/>
                <w:color w:val="FF0000"/>
                <w:sz w:val="24"/>
                <w:u w:val="single"/>
                <w:lang w:val="en-US" w:eastAsia="zh-CN"/>
              </w:rPr>
            </w:pPr>
            <w:r>
              <w:rPr>
                <w:rFonts w:hint="eastAsia" w:cs="Times New Roman"/>
                <w:color w:val="FF0000"/>
                <w:sz w:val="24"/>
                <w:u w:val="single"/>
                <w:lang w:val="en-US" w:eastAsia="zh-CN"/>
              </w:rPr>
              <w:t>设计床位数：300张（现溆浦县低庄镇中心卫生院100张床位，本次扩建200张床位，合计300张床位）。</w:t>
            </w:r>
          </w:p>
          <w:p w14:paraId="359E628B">
            <w:pPr>
              <w:keepNext w:val="0"/>
              <w:keepLines w:val="0"/>
              <w:pageBreakBefore w:val="0"/>
              <w:widowControl/>
              <w:kinsoku/>
              <w:wordWrap/>
              <w:overflowPunct/>
              <w:topLinePunct w:val="0"/>
              <w:autoSpaceDE/>
              <w:autoSpaceDN/>
              <w:bidi w:val="0"/>
              <w:spacing w:after="0" w:line="360" w:lineRule="auto"/>
              <w:ind w:left="0" w:leftChars="0" w:firstLine="480" w:firstLineChars="200"/>
              <w:jc w:val="left"/>
              <w:textAlignment w:val="auto"/>
              <w:rPr>
                <w:rFonts w:hint="default" w:cs="Times New Roman"/>
                <w:color w:val="FF0000"/>
                <w:sz w:val="24"/>
                <w:u w:val="single"/>
                <w:lang w:val="en-US" w:eastAsia="zh-CN"/>
              </w:rPr>
            </w:pPr>
            <w:r>
              <w:rPr>
                <w:rFonts w:hint="eastAsia" w:cs="Times New Roman"/>
                <w:color w:val="FF0000"/>
                <w:sz w:val="24"/>
                <w:u w:val="single"/>
                <w:lang w:val="en-US" w:eastAsia="zh-CN"/>
              </w:rPr>
              <w:t>总投资：19200万元，其中环保投资273万元。</w:t>
            </w:r>
          </w:p>
          <w:p w14:paraId="6AB5C5BC">
            <w:pPr>
              <w:widowControl/>
              <w:ind w:firstLine="480"/>
              <w:jc w:val="left"/>
              <w:rPr>
                <w:rFonts w:hint="default" w:eastAsia="宋体"/>
                <w:b/>
                <w:bCs/>
                <w:color w:val="auto"/>
                <w:highlight w:val="none"/>
                <w:u w:val="none"/>
                <w:lang w:val="en-US" w:eastAsia="zh-CN"/>
              </w:rPr>
            </w:pPr>
            <w:r>
              <w:rPr>
                <w:rFonts w:hint="eastAsia"/>
                <w:b/>
                <w:bCs/>
                <w:color w:val="auto"/>
                <w:highlight w:val="none"/>
                <w:u w:val="none"/>
                <w:lang w:val="en-US" w:eastAsia="zh-CN"/>
              </w:rPr>
              <w:t>2.2</w:t>
            </w:r>
            <w:r>
              <w:rPr>
                <w:rFonts w:hint="eastAsia"/>
                <w:b/>
                <w:bCs/>
                <w:color w:val="auto"/>
                <w:highlight w:val="none"/>
                <w:u w:val="none"/>
              </w:rPr>
              <w:t>建设内容</w:t>
            </w:r>
          </w:p>
          <w:p w14:paraId="2123A3D2">
            <w:pPr>
              <w:widowControl/>
              <w:ind w:left="0" w:leftChars="0" w:firstLineChars="200"/>
              <w:jc w:val="left"/>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kern w:val="0"/>
                <w:sz w:val="24"/>
                <w:szCs w:val="24"/>
                <w:u w:val="none"/>
                <w:lang w:val="en-US" w:eastAsia="zh-CN" w:bidi="ar"/>
              </w:rPr>
              <w:t>项目位于</w:t>
            </w:r>
            <w:r>
              <w:rPr>
                <w:rFonts w:hint="eastAsia" w:cs="Times New Roman"/>
                <w:color w:val="auto"/>
                <w:kern w:val="0"/>
                <w:sz w:val="24"/>
                <w:szCs w:val="24"/>
                <w:u w:val="none"/>
                <w:lang w:val="en-US" w:eastAsia="zh-CN" w:bidi="ar"/>
              </w:rPr>
              <w:t>湖南省怀化市溆浦县低庄镇</w:t>
            </w:r>
            <w:r>
              <w:rPr>
                <w:rFonts w:hint="eastAsia" w:cs="Times New Roman"/>
                <w:color w:val="auto"/>
                <w:sz w:val="24"/>
                <w:u w:val="none"/>
                <w:lang w:val="en-US" w:eastAsia="zh-CN"/>
              </w:rPr>
              <w:t>低庄村</w:t>
            </w:r>
            <w:r>
              <w:rPr>
                <w:rFonts w:hint="eastAsia" w:ascii="Times New Roman" w:hAnsi="Times New Roman" w:eastAsia="宋体" w:cs="Times New Roman"/>
                <w:color w:val="auto"/>
                <w:kern w:val="0"/>
                <w:sz w:val="24"/>
                <w:szCs w:val="24"/>
                <w:u w:val="none"/>
                <w:lang w:val="en-US" w:eastAsia="zh-CN" w:bidi="ar"/>
              </w:rPr>
              <w:t>，</w:t>
            </w:r>
            <w:r>
              <w:rPr>
                <w:rFonts w:hint="eastAsia" w:cs="Times New Roman"/>
                <w:color w:val="auto"/>
                <w:kern w:val="0"/>
                <w:sz w:val="24"/>
                <w:szCs w:val="24"/>
                <w:u w:val="none"/>
                <w:lang w:val="en-US" w:eastAsia="zh-CN" w:bidi="ar"/>
              </w:rPr>
              <w:t>项目建成后拟设置</w:t>
            </w:r>
            <w:r>
              <w:rPr>
                <w:rFonts w:hint="eastAsia" w:ascii="Times New Roman" w:hAnsi="Times New Roman" w:eastAsia="宋体" w:cs="Times New Roman"/>
                <w:color w:val="auto"/>
                <w:kern w:val="0"/>
                <w:sz w:val="24"/>
                <w:szCs w:val="24"/>
                <w:u w:val="none"/>
                <w:lang w:val="en-US" w:eastAsia="zh-CN" w:bidi="ar"/>
              </w:rPr>
              <w:t>床位300张，医院占地面积</w:t>
            </w:r>
            <w:r>
              <w:rPr>
                <w:rFonts w:hint="eastAsia" w:cs="Times New Roman"/>
                <w:color w:val="auto"/>
                <w:kern w:val="0"/>
                <w:sz w:val="24"/>
                <w:szCs w:val="24"/>
                <w:u w:val="none"/>
                <w:lang w:val="en-US" w:eastAsia="zh-CN" w:bidi="ar"/>
              </w:rPr>
              <w:t>19992.77</w:t>
            </w:r>
            <w:r>
              <w:rPr>
                <w:rFonts w:hint="default" w:ascii="Times New Roman" w:hAnsi="Times New Roman" w:eastAsia="宋体" w:cs="Times New Roman"/>
                <w:color w:val="auto"/>
                <w:kern w:val="0"/>
                <w:sz w:val="24"/>
                <w:szCs w:val="24"/>
                <w:u w:val="none"/>
                <w:lang w:val="zh-CN" w:eastAsia="zh-CN" w:bidi="zh-CN"/>
              </w:rPr>
              <w:t>平方米，</w:t>
            </w:r>
            <w:r>
              <w:rPr>
                <w:rFonts w:hint="eastAsia" w:cs="Times New Roman"/>
                <w:color w:val="auto"/>
                <w:kern w:val="0"/>
                <w:sz w:val="24"/>
                <w:szCs w:val="24"/>
                <w:u w:val="none"/>
                <w:lang w:val="zh-CN" w:eastAsia="zh-CN" w:bidi="zh-CN"/>
              </w:rPr>
              <w:t>总建筑面积</w:t>
            </w:r>
            <w:r>
              <w:rPr>
                <w:rFonts w:hint="eastAsia" w:cs="Times New Roman"/>
                <w:color w:val="auto"/>
                <w:kern w:val="0"/>
                <w:sz w:val="24"/>
                <w:szCs w:val="24"/>
                <w:u w:val="none"/>
                <w:lang w:val="en-US" w:eastAsia="zh-CN" w:bidi="zh-CN"/>
              </w:rPr>
              <w:t>28600平方米，</w:t>
            </w:r>
            <w:r>
              <w:rPr>
                <w:rFonts w:hint="eastAsia" w:cs="Times New Roman"/>
                <w:color w:val="FF0000"/>
                <w:kern w:val="0"/>
                <w:sz w:val="24"/>
                <w:szCs w:val="24"/>
                <w:u w:val="single"/>
                <w:lang w:val="zh-CN" w:eastAsia="zh-CN" w:bidi="zh-CN"/>
              </w:rPr>
              <w:t>主要包括门诊综合楼（门诊医技楼、住院楼）、污水处理站/垃圾站、液氧站、公卫/行政办公楼、发热感染楼（医院不设置传染科，设置发热感染楼主要是应对突发疫情等状况）等</w:t>
            </w:r>
            <w:r>
              <w:rPr>
                <w:rFonts w:hint="eastAsia" w:cs="Times New Roman"/>
                <w:color w:val="auto"/>
                <w:kern w:val="0"/>
                <w:sz w:val="24"/>
                <w:szCs w:val="24"/>
                <w:u w:val="none"/>
                <w:lang w:val="zh-CN" w:eastAsia="zh-CN" w:bidi="zh-CN"/>
              </w:rPr>
              <w:t>，</w:t>
            </w:r>
            <w:r>
              <w:rPr>
                <w:rFonts w:hint="eastAsia" w:ascii="Times New Roman" w:hAnsi="Times New Roman" w:eastAsia="宋体" w:cs="Times New Roman"/>
                <w:color w:val="auto"/>
                <w:kern w:val="0"/>
                <w:sz w:val="24"/>
                <w:szCs w:val="24"/>
                <w:u w:val="none"/>
                <w:lang w:val="en-US" w:eastAsia="zh-CN" w:bidi="ar"/>
              </w:rPr>
              <w:t>主要工程内容见表2-1。</w:t>
            </w:r>
          </w:p>
          <w:p w14:paraId="51088B73">
            <w:pPr>
              <w:widowControl/>
              <w:ind w:firstLine="422" w:firstLineChars="200"/>
              <w:jc w:val="center"/>
              <w:rPr>
                <w:rFonts w:hint="eastAsia"/>
                <w:b/>
                <w:bCs/>
                <w:color w:val="auto"/>
                <w:highlight w:val="none"/>
                <w:u w:val="none"/>
              </w:rPr>
            </w:pPr>
            <w:r>
              <w:rPr>
                <w:rFonts w:hint="eastAsia"/>
                <w:b/>
                <w:bCs/>
                <w:color w:val="auto"/>
                <w:sz w:val="21"/>
                <w:szCs w:val="21"/>
                <w:highlight w:val="none"/>
                <w:u w:val="none"/>
              </w:rPr>
              <w:t>表2-</w:t>
            </w:r>
            <w:r>
              <w:rPr>
                <w:rFonts w:hint="eastAsia"/>
                <w:b/>
                <w:bCs/>
                <w:color w:val="auto"/>
                <w:sz w:val="21"/>
                <w:szCs w:val="21"/>
                <w:highlight w:val="none"/>
                <w:u w:val="none"/>
                <w:lang w:val="en-US" w:eastAsia="zh-CN"/>
              </w:rPr>
              <w:t>1</w:t>
            </w:r>
            <w:r>
              <w:rPr>
                <w:rFonts w:hint="eastAsia"/>
                <w:b/>
                <w:bCs/>
                <w:color w:val="auto"/>
                <w:sz w:val="21"/>
                <w:szCs w:val="21"/>
                <w:highlight w:val="none"/>
                <w:u w:val="none"/>
              </w:rPr>
              <w:t xml:space="preserve">  </w:t>
            </w:r>
            <w:r>
              <w:rPr>
                <w:rFonts w:hint="eastAsia"/>
                <w:b/>
                <w:bCs/>
                <w:color w:val="auto"/>
                <w:sz w:val="21"/>
                <w:szCs w:val="21"/>
                <w:highlight w:val="none"/>
                <w:u w:val="none"/>
                <w:lang w:val="en-US" w:eastAsia="zh-CN"/>
              </w:rPr>
              <w:t xml:space="preserve"> 主要建设内容及规模</w:t>
            </w:r>
            <w:r>
              <w:rPr>
                <w:rFonts w:hint="eastAsia"/>
                <w:b/>
                <w:bCs/>
                <w:color w:val="auto"/>
                <w:sz w:val="21"/>
                <w:szCs w:val="21"/>
                <w:highlight w:val="none"/>
                <w:u w:val="none"/>
              </w:rPr>
              <w:t>一览表</w:t>
            </w:r>
          </w:p>
          <w:tbl>
            <w:tblPr>
              <w:tblStyle w:val="34"/>
              <w:tblW w:w="49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6"/>
              <w:gridCol w:w="886"/>
              <w:gridCol w:w="6447"/>
              <w:gridCol w:w="672"/>
            </w:tblGrid>
            <w:tr w14:paraId="5E8C0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837" w:type="pct"/>
                  <w:gridSpan w:val="2"/>
                  <w:vAlign w:val="center"/>
                </w:tcPr>
                <w:p w14:paraId="48F81E36">
                  <w:pPr>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项目类别</w:t>
                  </w:r>
                </w:p>
              </w:tc>
              <w:tc>
                <w:tcPr>
                  <w:tcW w:w="3769" w:type="pct"/>
                  <w:vAlign w:val="center"/>
                </w:tcPr>
                <w:p w14:paraId="5DA8B3BF">
                  <w:pPr>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工程内容</w:t>
                  </w:r>
                </w:p>
              </w:tc>
              <w:tc>
                <w:tcPr>
                  <w:tcW w:w="392" w:type="pct"/>
                  <w:vAlign w:val="center"/>
                </w:tcPr>
                <w:p w14:paraId="551FCE67">
                  <w:pPr>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备注</w:t>
                  </w:r>
                </w:p>
              </w:tc>
            </w:tr>
            <w:tr w14:paraId="5944D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7" w:hRule="atLeast"/>
                <w:jc w:val="center"/>
              </w:trPr>
              <w:tc>
                <w:tcPr>
                  <w:tcW w:w="319" w:type="pct"/>
                  <w:vMerge w:val="restart"/>
                  <w:vAlign w:val="center"/>
                </w:tcPr>
                <w:p w14:paraId="1A3FD08C">
                  <w:pPr>
                    <w:jc w:val="center"/>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主体工程</w:t>
                  </w:r>
                </w:p>
              </w:tc>
              <w:tc>
                <w:tcPr>
                  <w:tcW w:w="518" w:type="pct"/>
                  <w:vMerge w:val="restart"/>
                  <w:vAlign w:val="center"/>
                </w:tcPr>
                <w:p w14:paraId="29F14B94">
                  <w:pPr>
                    <w:spacing w:line="240" w:lineRule="auto"/>
                    <w:jc w:val="left"/>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门诊综合楼</w:t>
                  </w:r>
                </w:p>
                <w:p w14:paraId="18AE7B0B">
                  <w:pPr>
                    <w:jc w:val="center"/>
                    <w:rPr>
                      <w:rFonts w:hint="default" w:cs="Times New Roman"/>
                      <w:color w:val="000000" w:themeColor="text1"/>
                      <w:sz w:val="21"/>
                      <w:szCs w:val="21"/>
                      <w:highlight w:val="none"/>
                      <w:lang w:val="en-US" w:eastAsia="zh-CN"/>
                      <w14:textFill>
                        <w14:solidFill>
                          <w14:schemeClr w14:val="tx1"/>
                        </w14:solidFill>
                      </w14:textFill>
                    </w:rPr>
                  </w:pPr>
                </w:p>
              </w:tc>
              <w:tc>
                <w:tcPr>
                  <w:tcW w:w="3769" w:type="pct"/>
                  <w:vAlign w:val="center"/>
                </w:tcPr>
                <w:p w14:paraId="0BBF5B3A">
                  <w:pPr>
                    <w:spacing w:line="240" w:lineRule="auto"/>
                    <w:jc w:val="left"/>
                    <w:rPr>
                      <w:rFonts w:hint="default" w:cs="Times New Roman"/>
                      <w:color w:val="FF0000"/>
                      <w:sz w:val="21"/>
                      <w:szCs w:val="21"/>
                      <w:highlight w:val="none"/>
                      <w:lang w:val="en-US" w:eastAsia="zh-CN"/>
                    </w:rPr>
                  </w:pPr>
                  <w:r>
                    <w:rPr>
                      <w:rFonts w:hint="eastAsia" w:cs="Times New Roman"/>
                      <w:color w:val="FF0000"/>
                      <w:sz w:val="21"/>
                      <w:szCs w:val="21"/>
                      <w:highlight w:val="none"/>
                      <w:u w:val="single"/>
                      <w:lang w:val="en-US" w:eastAsia="zh-CN"/>
                    </w:rPr>
                    <w:t>门诊医技楼：地上4</w:t>
                  </w:r>
                  <w:r>
                    <w:rPr>
                      <w:rFonts w:hint="default" w:cs="Times New Roman"/>
                      <w:color w:val="FF0000"/>
                      <w:sz w:val="21"/>
                      <w:szCs w:val="21"/>
                      <w:highlight w:val="none"/>
                      <w:u w:val="single"/>
                      <w:lang w:val="en-US" w:eastAsia="zh-CN"/>
                    </w:rPr>
                    <w:t>层，</w:t>
                  </w:r>
                  <w:r>
                    <w:rPr>
                      <w:rFonts w:hint="eastAsia" w:cs="Times New Roman"/>
                      <w:color w:val="FF0000"/>
                      <w:sz w:val="21"/>
                      <w:szCs w:val="21"/>
                      <w:highlight w:val="none"/>
                      <w:u w:val="single"/>
                      <w:lang w:val="en-US" w:eastAsia="zh-CN"/>
                    </w:rPr>
                    <w:t>地下1层，高18米，建筑面积约9000</w:t>
                  </w:r>
                  <w:r>
                    <w:rPr>
                      <w:rFonts w:hint="default" w:cs="Times New Roman"/>
                      <w:color w:val="FF0000"/>
                      <w:sz w:val="21"/>
                      <w:szCs w:val="21"/>
                      <w:highlight w:val="none"/>
                      <w:u w:val="single"/>
                      <w:lang w:val="en-US" w:eastAsia="zh-CN"/>
                    </w:rPr>
                    <w:t>m</w:t>
                  </w:r>
                  <w:r>
                    <w:rPr>
                      <w:rFonts w:hint="default" w:cs="Times New Roman"/>
                      <w:color w:val="FF0000"/>
                      <w:sz w:val="21"/>
                      <w:szCs w:val="21"/>
                      <w:highlight w:val="none"/>
                      <w:u w:val="single"/>
                      <w:vertAlign w:val="superscript"/>
                      <w:lang w:val="en-US" w:eastAsia="zh-CN"/>
                    </w:rPr>
                    <w:t>2</w:t>
                  </w:r>
                  <w:r>
                    <w:rPr>
                      <w:rFonts w:hint="eastAsia" w:cs="Times New Roman"/>
                      <w:color w:val="FF0000"/>
                      <w:sz w:val="21"/>
                      <w:szCs w:val="21"/>
                      <w:highlight w:val="none"/>
                      <w:u w:val="single"/>
                      <w:vertAlign w:val="baseline"/>
                      <w:lang w:val="en-US" w:eastAsia="zh-CN"/>
                    </w:rPr>
                    <w:t>，负1层主要设置水泵房、配电间、柴油发电机房等；</w:t>
                  </w:r>
                  <w:r>
                    <w:rPr>
                      <w:rFonts w:hint="eastAsia" w:cs="Times New Roman"/>
                      <w:color w:val="FF0000"/>
                      <w:sz w:val="21"/>
                      <w:szCs w:val="21"/>
                      <w:highlight w:val="none"/>
                      <w:u w:val="single"/>
                      <w:lang w:val="en-US" w:eastAsia="zh-CN"/>
                    </w:rPr>
                    <w:t>1F主要设置门诊大厅、收费处、药房、急诊、餐厅/厨房等；2F主要设置妇科、眼科等门诊、B超室等；3F主要设置血透中心等；4F主要设置办公室、值班室等</w:t>
                  </w:r>
                </w:p>
              </w:tc>
              <w:tc>
                <w:tcPr>
                  <w:tcW w:w="392" w:type="pct"/>
                  <w:vMerge w:val="restart"/>
                  <w:vAlign w:val="center"/>
                </w:tcPr>
                <w:p w14:paraId="5E7D2C9D">
                  <w:pPr>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新建</w:t>
                  </w:r>
                </w:p>
              </w:tc>
            </w:tr>
            <w:tr w14:paraId="0848A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319" w:type="pct"/>
                  <w:vMerge w:val="continue"/>
                  <w:vAlign w:val="center"/>
                </w:tcPr>
                <w:p w14:paraId="53894805">
                  <w:pPr>
                    <w:jc w:val="center"/>
                    <w:rPr>
                      <w:rFonts w:hint="default" w:cs="Times New Roman"/>
                      <w:color w:val="000000" w:themeColor="text1"/>
                      <w:sz w:val="21"/>
                      <w:szCs w:val="21"/>
                      <w:highlight w:val="none"/>
                      <w:lang w:val="en-US" w:eastAsia="zh-CN"/>
                      <w14:textFill>
                        <w14:solidFill>
                          <w14:schemeClr w14:val="tx1"/>
                        </w14:solidFill>
                      </w14:textFill>
                    </w:rPr>
                  </w:pPr>
                </w:p>
              </w:tc>
              <w:tc>
                <w:tcPr>
                  <w:tcW w:w="518" w:type="pct"/>
                  <w:vMerge w:val="continue"/>
                  <w:vAlign w:val="center"/>
                </w:tcPr>
                <w:p w14:paraId="20284ED0">
                  <w:pPr>
                    <w:jc w:val="center"/>
                    <w:rPr>
                      <w:rFonts w:hint="default" w:cs="Times New Roman"/>
                      <w:color w:val="000000" w:themeColor="text1"/>
                      <w:sz w:val="21"/>
                      <w:szCs w:val="21"/>
                      <w:highlight w:val="none"/>
                      <w:lang w:val="en-US" w:eastAsia="zh-CN"/>
                      <w14:textFill>
                        <w14:solidFill>
                          <w14:schemeClr w14:val="tx1"/>
                        </w14:solidFill>
                      </w14:textFill>
                    </w:rPr>
                  </w:pPr>
                </w:p>
              </w:tc>
              <w:tc>
                <w:tcPr>
                  <w:tcW w:w="3769" w:type="pct"/>
                  <w:vAlign w:val="center"/>
                </w:tcPr>
                <w:p w14:paraId="746D833E">
                  <w:pPr>
                    <w:spacing w:line="240" w:lineRule="auto"/>
                    <w:jc w:val="left"/>
                    <w:rPr>
                      <w:rFonts w:hint="default" w:cs="Times New Roman"/>
                      <w:color w:val="FF0000"/>
                      <w:sz w:val="21"/>
                      <w:szCs w:val="21"/>
                      <w:highlight w:val="none"/>
                      <w:lang w:val="en-US" w:eastAsia="zh-CN"/>
                    </w:rPr>
                  </w:pPr>
                  <w:r>
                    <w:rPr>
                      <w:rFonts w:hint="eastAsia" w:cs="Times New Roman"/>
                      <w:color w:val="FF0000"/>
                      <w:sz w:val="21"/>
                      <w:szCs w:val="21"/>
                      <w:highlight w:val="none"/>
                      <w:u w:val="single"/>
                      <w:lang w:val="en-US" w:eastAsia="zh-CN"/>
                    </w:rPr>
                    <w:t>住院楼：地上10层，地下1层，高34米，建筑面积约14300m</w:t>
                  </w:r>
                  <w:r>
                    <w:rPr>
                      <w:rFonts w:hint="eastAsia" w:cs="Times New Roman"/>
                      <w:color w:val="FF0000"/>
                      <w:sz w:val="21"/>
                      <w:szCs w:val="21"/>
                      <w:highlight w:val="none"/>
                      <w:u w:val="single"/>
                      <w:vertAlign w:val="superscript"/>
                      <w:lang w:val="en-US" w:eastAsia="zh-CN"/>
                    </w:rPr>
                    <w:t>2</w:t>
                  </w:r>
                  <w:r>
                    <w:rPr>
                      <w:rFonts w:hint="eastAsia" w:cs="Times New Roman"/>
                      <w:color w:val="FF0000"/>
                      <w:sz w:val="21"/>
                      <w:szCs w:val="21"/>
                      <w:highlight w:val="none"/>
                      <w:u w:val="single"/>
                      <w:vertAlign w:val="baseline"/>
                      <w:lang w:val="en-US" w:eastAsia="zh-CN"/>
                    </w:rPr>
                    <w:t>，负1层主要设置设备机房等；</w:t>
                  </w:r>
                  <w:r>
                    <w:rPr>
                      <w:rFonts w:hint="eastAsia" w:cs="Times New Roman"/>
                      <w:color w:val="FF0000"/>
                      <w:sz w:val="21"/>
                      <w:szCs w:val="21"/>
                      <w:highlight w:val="none"/>
                      <w:u w:val="single"/>
                      <w:lang w:val="en-US" w:eastAsia="zh-CN"/>
                    </w:rPr>
                    <w:t>1F主要设置放射科、消毒供应中心等；2F主要设置检验大厅、手术室等，3-10F为住院病房</w:t>
                  </w:r>
                </w:p>
              </w:tc>
              <w:tc>
                <w:tcPr>
                  <w:tcW w:w="392" w:type="pct"/>
                  <w:vMerge w:val="continue"/>
                  <w:vAlign w:val="center"/>
                </w:tcPr>
                <w:p w14:paraId="3E38BF37">
                  <w:pPr>
                    <w:jc w:val="center"/>
                    <w:rPr>
                      <w:rFonts w:hint="eastAsia" w:cs="Times New Roman"/>
                      <w:color w:val="000000" w:themeColor="text1"/>
                      <w:sz w:val="21"/>
                      <w:szCs w:val="21"/>
                      <w:highlight w:val="none"/>
                      <w:lang w:val="en-US" w:eastAsia="zh-CN"/>
                      <w14:textFill>
                        <w14:solidFill>
                          <w14:schemeClr w14:val="tx1"/>
                        </w14:solidFill>
                      </w14:textFill>
                    </w:rPr>
                  </w:pPr>
                </w:p>
              </w:tc>
            </w:tr>
            <w:tr w14:paraId="63AAE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19" w:type="pct"/>
                  <w:vMerge w:val="continue"/>
                  <w:vAlign w:val="center"/>
                </w:tcPr>
                <w:p w14:paraId="24AA3636">
                  <w:pPr>
                    <w:jc w:val="center"/>
                    <w:rPr>
                      <w:rFonts w:hint="default" w:cs="Times New Roman"/>
                      <w:color w:val="000000" w:themeColor="text1"/>
                      <w:sz w:val="21"/>
                      <w:szCs w:val="21"/>
                      <w:highlight w:val="none"/>
                      <w:lang w:val="en-US" w:eastAsia="zh-CN"/>
                      <w14:textFill>
                        <w14:solidFill>
                          <w14:schemeClr w14:val="tx1"/>
                        </w14:solidFill>
                      </w14:textFill>
                    </w:rPr>
                  </w:pPr>
                </w:p>
              </w:tc>
              <w:tc>
                <w:tcPr>
                  <w:tcW w:w="518" w:type="pct"/>
                  <w:vAlign w:val="center"/>
                </w:tcPr>
                <w:p w14:paraId="73C903C4">
                  <w:pPr>
                    <w:spacing w:line="240" w:lineRule="auto"/>
                    <w:jc w:val="left"/>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公卫/行政办公楼</w:t>
                  </w:r>
                </w:p>
              </w:tc>
              <w:tc>
                <w:tcPr>
                  <w:tcW w:w="3769" w:type="pct"/>
                  <w:vAlign w:val="center"/>
                </w:tcPr>
                <w:p w14:paraId="4D5FA3ED">
                  <w:pPr>
                    <w:spacing w:line="240" w:lineRule="auto"/>
                    <w:jc w:val="left"/>
                    <w:rPr>
                      <w:rFonts w:hint="eastAsia" w:cs="Times New Roman"/>
                      <w:color w:val="FF0000"/>
                      <w:sz w:val="21"/>
                      <w:szCs w:val="21"/>
                      <w:highlight w:val="none"/>
                      <w:u w:val="single"/>
                      <w:lang w:val="en-US" w:eastAsia="zh-CN"/>
                    </w:rPr>
                  </w:pPr>
                  <w:r>
                    <w:rPr>
                      <w:rFonts w:hint="eastAsia" w:cs="Times New Roman"/>
                      <w:color w:val="FF0000"/>
                      <w:sz w:val="21"/>
                      <w:szCs w:val="21"/>
                      <w:highlight w:val="none"/>
                      <w:u w:val="single"/>
                      <w:lang w:val="en-US" w:eastAsia="zh-CN"/>
                    </w:rPr>
                    <w:t>地上</w:t>
                  </w:r>
                  <w:r>
                    <w:rPr>
                      <w:rFonts w:hint="default" w:cs="Times New Roman"/>
                      <w:color w:val="FF0000"/>
                      <w:sz w:val="21"/>
                      <w:szCs w:val="21"/>
                      <w:highlight w:val="none"/>
                      <w:u w:val="single"/>
                      <w:lang w:val="en-US" w:eastAsia="zh-CN"/>
                    </w:rPr>
                    <w:t>5</w:t>
                  </w:r>
                  <w:r>
                    <w:rPr>
                      <w:rFonts w:hint="eastAsia" w:cs="Times New Roman"/>
                      <w:color w:val="FF0000"/>
                      <w:sz w:val="21"/>
                      <w:szCs w:val="21"/>
                      <w:highlight w:val="none"/>
                      <w:u w:val="single"/>
                      <w:lang w:val="en-US" w:eastAsia="zh-CN"/>
                    </w:rPr>
                    <w:t>层，地下1层，高</w:t>
                  </w:r>
                  <w:r>
                    <w:rPr>
                      <w:rFonts w:hint="default" w:cs="Times New Roman"/>
                      <w:color w:val="FF0000"/>
                      <w:sz w:val="21"/>
                      <w:szCs w:val="21"/>
                      <w:highlight w:val="none"/>
                      <w:u w:val="single"/>
                      <w:lang w:val="en-US" w:eastAsia="zh-CN"/>
                    </w:rPr>
                    <w:t>20.55</w:t>
                  </w:r>
                  <w:r>
                    <w:rPr>
                      <w:rFonts w:hint="eastAsia" w:cs="Times New Roman"/>
                      <w:color w:val="FF0000"/>
                      <w:sz w:val="21"/>
                      <w:szCs w:val="21"/>
                      <w:highlight w:val="none"/>
                      <w:u w:val="single"/>
                      <w:lang w:val="en-US" w:eastAsia="zh-CN"/>
                    </w:rPr>
                    <w:t>米，建筑面积约3600m</w:t>
                  </w:r>
                  <w:r>
                    <w:rPr>
                      <w:rFonts w:hint="eastAsia" w:cs="Times New Roman"/>
                      <w:color w:val="FF0000"/>
                      <w:sz w:val="21"/>
                      <w:szCs w:val="21"/>
                      <w:highlight w:val="none"/>
                      <w:u w:val="single"/>
                      <w:vertAlign w:val="superscript"/>
                      <w:lang w:val="en-US" w:eastAsia="zh-CN"/>
                    </w:rPr>
                    <w:t>2</w:t>
                  </w:r>
                  <w:r>
                    <w:rPr>
                      <w:rFonts w:hint="eastAsia" w:cs="Times New Roman"/>
                      <w:color w:val="FF0000"/>
                      <w:sz w:val="21"/>
                      <w:szCs w:val="21"/>
                      <w:highlight w:val="none"/>
                      <w:u w:val="single"/>
                      <w:lang w:val="en-US" w:eastAsia="zh-CN"/>
                    </w:rPr>
                    <w:t>，1-2F为公共卫生服务区；3-5F为办公区</w:t>
                  </w:r>
                </w:p>
              </w:tc>
              <w:tc>
                <w:tcPr>
                  <w:tcW w:w="392" w:type="pct"/>
                  <w:vAlign w:val="center"/>
                </w:tcPr>
                <w:p w14:paraId="00F76D3A">
                  <w:pPr>
                    <w:spacing w:line="240" w:lineRule="auto"/>
                    <w:jc w:val="left"/>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新建</w:t>
                  </w:r>
                </w:p>
              </w:tc>
            </w:tr>
            <w:tr w14:paraId="451B3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19" w:type="pct"/>
                  <w:vMerge w:val="continue"/>
                  <w:vAlign w:val="center"/>
                </w:tcPr>
                <w:p w14:paraId="16271F31">
                  <w:pPr>
                    <w:jc w:val="center"/>
                    <w:rPr>
                      <w:rFonts w:hint="default" w:cs="Times New Roman"/>
                      <w:color w:val="000000" w:themeColor="text1"/>
                      <w:sz w:val="21"/>
                      <w:szCs w:val="21"/>
                      <w:highlight w:val="none"/>
                      <w:lang w:val="en-US" w:eastAsia="zh-CN"/>
                      <w14:textFill>
                        <w14:solidFill>
                          <w14:schemeClr w14:val="tx1"/>
                        </w14:solidFill>
                      </w14:textFill>
                    </w:rPr>
                  </w:pPr>
                </w:p>
              </w:tc>
              <w:tc>
                <w:tcPr>
                  <w:tcW w:w="518" w:type="pct"/>
                  <w:vAlign w:val="center"/>
                </w:tcPr>
                <w:p w14:paraId="748C996E">
                  <w:pPr>
                    <w:spacing w:line="240" w:lineRule="auto"/>
                    <w:jc w:val="left"/>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发热感染楼</w:t>
                  </w:r>
                </w:p>
              </w:tc>
              <w:tc>
                <w:tcPr>
                  <w:tcW w:w="3769" w:type="pct"/>
                  <w:vAlign w:val="center"/>
                </w:tcPr>
                <w:p w14:paraId="3AB32BA6">
                  <w:pPr>
                    <w:spacing w:line="240" w:lineRule="auto"/>
                    <w:jc w:val="left"/>
                    <w:rPr>
                      <w:rFonts w:hint="eastAsia" w:cs="Times New Roman"/>
                      <w:color w:val="FF0000"/>
                      <w:sz w:val="21"/>
                      <w:szCs w:val="21"/>
                      <w:highlight w:val="none"/>
                      <w:u w:val="single"/>
                      <w:lang w:val="en-US" w:eastAsia="zh-CN"/>
                    </w:rPr>
                  </w:pPr>
                  <w:r>
                    <w:rPr>
                      <w:rFonts w:hint="eastAsia" w:cs="Times New Roman"/>
                      <w:color w:val="FF0000"/>
                      <w:sz w:val="21"/>
                      <w:szCs w:val="21"/>
                      <w:highlight w:val="none"/>
                      <w:u w:val="single"/>
                      <w:lang w:val="en-US" w:eastAsia="zh-CN"/>
                    </w:rPr>
                    <w:t>2层（不设置地下室），高8.6米，建筑面积约1200m</w:t>
                  </w:r>
                  <w:r>
                    <w:rPr>
                      <w:rFonts w:hint="eastAsia" w:cs="Times New Roman"/>
                      <w:color w:val="FF0000"/>
                      <w:sz w:val="21"/>
                      <w:szCs w:val="21"/>
                      <w:highlight w:val="none"/>
                      <w:u w:val="single"/>
                      <w:vertAlign w:val="superscript"/>
                      <w:lang w:val="en-US" w:eastAsia="zh-CN"/>
                    </w:rPr>
                    <w:t>2</w:t>
                  </w:r>
                  <w:r>
                    <w:rPr>
                      <w:rFonts w:hint="eastAsia" w:cs="Times New Roman"/>
                      <w:color w:val="FF0000"/>
                      <w:sz w:val="21"/>
                      <w:szCs w:val="21"/>
                      <w:highlight w:val="none"/>
                      <w:u w:val="single"/>
                      <w:lang w:val="en-US" w:eastAsia="zh-CN"/>
                    </w:rPr>
                    <w:t>，1-2F主要设置应急诊室</w:t>
                  </w:r>
                  <w:r>
                    <w:rPr>
                      <w:rFonts w:hint="eastAsia" w:ascii="Times New Roman" w:hAnsi="Times New Roman" w:eastAsia="宋体" w:cs="Times New Roman"/>
                      <w:color w:val="FF0000"/>
                      <w:sz w:val="21"/>
                      <w:szCs w:val="21"/>
                      <w:highlight w:val="none"/>
                      <w:u w:val="single"/>
                      <w:lang w:val="en-US" w:eastAsia="zh-CN"/>
                    </w:rPr>
                    <w:t>，不设置感染科，主要是应对疫情等突发情况，易于</w:t>
                  </w:r>
                  <w:r>
                    <w:rPr>
                      <w:rFonts w:hint="eastAsia" w:cs="Times New Roman"/>
                      <w:color w:val="FF0000"/>
                      <w:sz w:val="21"/>
                      <w:szCs w:val="21"/>
                      <w:highlight w:val="none"/>
                      <w:u w:val="single"/>
                      <w:lang w:val="en-US" w:eastAsia="zh-CN"/>
                    </w:rPr>
                    <w:t>隔离，为应对突发情况，感染楼设置预消毒池</w:t>
                  </w:r>
                </w:p>
              </w:tc>
              <w:tc>
                <w:tcPr>
                  <w:tcW w:w="392" w:type="pct"/>
                  <w:vAlign w:val="center"/>
                </w:tcPr>
                <w:p w14:paraId="31DCAA66">
                  <w:pPr>
                    <w:spacing w:line="240" w:lineRule="auto"/>
                    <w:jc w:val="left"/>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新建</w:t>
                  </w:r>
                </w:p>
              </w:tc>
            </w:tr>
            <w:tr w14:paraId="20D85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319" w:type="pct"/>
                  <w:vMerge w:val="restart"/>
                  <w:vAlign w:val="center"/>
                </w:tcPr>
                <w:p w14:paraId="73FD5220">
                  <w:pPr>
                    <w:jc w:val="center"/>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辅助工程</w:t>
                  </w:r>
                </w:p>
              </w:tc>
              <w:tc>
                <w:tcPr>
                  <w:tcW w:w="518" w:type="pct"/>
                  <w:vAlign w:val="center"/>
                </w:tcPr>
                <w:p w14:paraId="5ACDA89E">
                  <w:pPr>
                    <w:spacing w:line="240" w:lineRule="auto"/>
                    <w:jc w:val="left"/>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污水处理站/垃圾站</w:t>
                  </w:r>
                </w:p>
              </w:tc>
              <w:tc>
                <w:tcPr>
                  <w:tcW w:w="3769" w:type="pct"/>
                  <w:vAlign w:val="center"/>
                </w:tcPr>
                <w:p w14:paraId="357A030C">
                  <w:pPr>
                    <w:spacing w:line="240" w:lineRule="auto"/>
                    <w:jc w:val="left"/>
                    <w:rPr>
                      <w:rFonts w:hint="eastAsia" w:cs="Times New Roman"/>
                      <w:color w:val="FF0000"/>
                      <w:sz w:val="21"/>
                      <w:szCs w:val="21"/>
                      <w:highlight w:val="none"/>
                      <w:u w:val="single"/>
                      <w:lang w:val="en-US" w:eastAsia="zh-CN"/>
                    </w:rPr>
                  </w:pPr>
                  <w:r>
                    <w:rPr>
                      <w:rFonts w:hint="eastAsia" w:cs="Times New Roman"/>
                      <w:color w:val="FF0000"/>
                      <w:sz w:val="21"/>
                      <w:szCs w:val="21"/>
                      <w:highlight w:val="none"/>
                      <w:u w:val="single"/>
                      <w:lang w:val="en-US" w:eastAsia="zh-CN"/>
                    </w:rPr>
                    <w:t>1层（不设置地下室），建筑面积约470m</w:t>
                  </w:r>
                  <w:r>
                    <w:rPr>
                      <w:rFonts w:hint="eastAsia" w:cs="Times New Roman"/>
                      <w:color w:val="FF0000"/>
                      <w:sz w:val="21"/>
                      <w:szCs w:val="21"/>
                      <w:highlight w:val="none"/>
                      <w:u w:val="single"/>
                      <w:vertAlign w:val="superscript"/>
                      <w:lang w:val="en-US" w:eastAsia="zh-CN"/>
                    </w:rPr>
                    <w:t>2</w:t>
                  </w:r>
                  <w:r>
                    <w:rPr>
                      <w:rFonts w:hint="eastAsia" w:cs="Times New Roman"/>
                      <w:color w:val="FF0000"/>
                      <w:sz w:val="21"/>
                      <w:szCs w:val="21"/>
                      <w:highlight w:val="none"/>
                      <w:u w:val="single"/>
                      <w:vertAlign w:val="baseline"/>
                      <w:lang w:val="en-US" w:eastAsia="zh-CN"/>
                    </w:rPr>
                    <w:t>，</w:t>
                  </w:r>
                  <w:r>
                    <w:rPr>
                      <w:rFonts w:hint="eastAsia" w:cs="Times New Roman"/>
                      <w:color w:val="FF0000"/>
                      <w:sz w:val="21"/>
                      <w:szCs w:val="21"/>
                      <w:highlight w:val="none"/>
                      <w:u w:val="single"/>
                      <w:lang w:val="en-US" w:eastAsia="zh-CN"/>
                    </w:rPr>
                    <w:t>主要设置污水处理站、垃圾站</w:t>
                  </w:r>
                </w:p>
              </w:tc>
              <w:tc>
                <w:tcPr>
                  <w:tcW w:w="392" w:type="pct"/>
                  <w:vAlign w:val="center"/>
                </w:tcPr>
                <w:p w14:paraId="386C13B7">
                  <w:pPr>
                    <w:spacing w:line="240" w:lineRule="auto"/>
                    <w:jc w:val="left"/>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新建</w:t>
                  </w:r>
                </w:p>
              </w:tc>
            </w:tr>
            <w:tr w14:paraId="37ED4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319" w:type="pct"/>
                  <w:vMerge w:val="continue"/>
                  <w:vAlign w:val="center"/>
                </w:tcPr>
                <w:p w14:paraId="7AF2621B">
                  <w:pPr>
                    <w:jc w:val="center"/>
                    <w:rPr>
                      <w:rFonts w:hint="default" w:cs="Times New Roman"/>
                      <w:color w:val="000000" w:themeColor="text1"/>
                      <w:sz w:val="21"/>
                      <w:szCs w:val="21"/>
                      <w:highlight w:val="none"/>
                      <w:lang w:val="en-US" w:eastAsia="zh-CN"/>
                      <w14:textFill>
                        <w14:solidFill>
                          <w14:schemeClr w14:val="tx1"/>
                        </w14:solidFill>
                      </w14:textFill>
                    </w:rPr>
                  </w:pPr>
                </w:p>
              </w:tc>
              <w:tc>
                <w:tcPr>
                  <w:tcW w:w="518" w:type="pct"/>
                  <w:vAlign w:val="center"/>
                </w:tcPr>
                <w:p w14:paraId="778A8D64">
                  <w:pPr>
                    <w:spacing w:line="240" w:lineRule="auto"/>
                    <w:jc w:val="left"/>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液氧站</w:t>
                  </w:r>
                </w:p>
              </w:tc>
              <w:tc>
                <w:tcPr>
                  <w:tcW w:w="3769" w:type="pct"/>
                  <w:vAlign w:val="center"/>
                </w:tcPr>
                <w:p w14:paraId="31CFC957">
                  <w:pPr>
                    <w:spacing w:line="240" w:lineRule="auto"/>
                    <w:jc w:val="left"/>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占地面积约30m</w:t>
                  </w:r>
                  <w:r>
                    <w:rPr>
                      <w:rFonts w:hint="eastAsia" w:cs="Times New Roman"/>
                      <w:color w:val="000000" w:themeColor="text1"/>
                      <w:sz w:val="21"/>
                      <w:szCs w:val="21"/>
                      <w:highlight w:val="none"/>
                      <w:vertAlign w:val="superscript"/>
                      <w:lang w:val="en-US" w:eastAsia="zh-CN"/>
                      <w14:textFill>
                        <w14:solidFill>
                          <w14:schemeClr w14:val="tx1"/>
                        </w14:solidFill>
                      </w14:textFill>
                    </w:rPr>
                    <w:t>2</w:t>
                  </w:r>
                  <w:r>
                    <w:rPr>
                      <w:rFonts w:hint="eastAsia" w:cs="Times New Roman"/>
                      <w:color w:val="000000" w:themeColor="text1"/>
                      <w:sz w:val="21"/>
                      <w:szCs w:val="21"/>
                      <w:highlight w:val="none"/>
                      <w:vertAlign w:val="baseline"/>
                      <w:lang w:val="en-US" w:eastAsia="zh-CN"/>
                      <w14:textFill>
                        <w14:solidFill>
                          <w14:schemeClr w14:val="tx1"/>
                        </w14:solidFill>
                      </w14:textFill>
                    </w:rPr>
                    <w:t>，提供氧气</w:t>
                  </w:r>
                </w:p>
              </w:tc>
              <w:tc>
                <w:tcPr>
                  <w:tcW w:w="392" w:type="pct"/>
                  <w:vAlign w:val="center"/>
                </w:tcPr>
                <w:p w14:paraId="07C6F04D">
                  <w:pPr>
                    <w:spacing w:line="240" w:lineRule="auto"/>
                    <w:jc w:val="left"/>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新建</w:t>
                  </w:r>
                </w:p>
              </w:tc>
            </w:tr>
            <w:tr w14:paraId="13503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319" w:type="pct"/>
                  <w:vMerge w:val="continue"/>
                  <w:vAlign w:val="center"/>
                </w:tcPr>
                <w:p w14:paraId="5AA4895B">
                  <w:pPr>
                    <w:jc w:val="center"/>
                    <w:rPr>
                      <w:rFonts w:hint="default" w:cs="Times New Roman"/>
                      <w:color w:val="000000" w:themeColor="text1"/>
                      <w:sz w:val="21"/>
                      <w:szCs w:val="21"/>
                      <w:highlight w:val="none"/>
                      <w:lang w:val="en-US" w:eastAsia="zh-CN"/>
                      <w14:textFill>
                        <w14:solidFill>
                          <w14:schemeClr w14:val="tx1"/>
                        </w14:solidFill>
                      </w14:textFill>
                    </w:rPr>
                  </w:pPr>
                </w:p>
              </w:tc>
              <w:tc>
                <w:tcPr>
                  <w:tcW w:w="518" w:type="pct"/>
                  <w:vAlign w:val="center"/>
                </w:tcPr>
                <w:p w14:paraId="633EB21C">
                  <w:pPr>
                    <w:spacing w:line="240" w:lineRule="auto"/>
                    <w:jc w:val="left"/>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食堂</w:t>
                  </w:r>
                </w:p>
              </w:tc>
              <w:tc>
                <w:tcPr>
                  <w:tcW w:w="3769" w:type="pct"/>
                  <w:vAlign w:val="center"/>
                </w:tcPr>
                <w:p w14:paraId="3A294788">
                  <w:pPr>
                    <w:spacing w:line="240" w:lineRule="auto"/>
                    <w:jc w:val="left"/>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位于</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门诊医技楼</w:t>
                  </w:r>
                  <w:r>
                    <w:rPr>
                      <w:rFonts w:hint="eastAsia" w:cs="Times New Roman"/>
                      <w:color w:val="000000" w:themeColor="text1"/>
                      <w:sz w:val="21"/>
                      <w:szCs w:val="21"/>
                      <w:highlight w:val="none"/>
                      <w:lang w:val="en-US" w:eastAsia="zh-CN"/>
                      <w14:textFill>
                        <w14:solidFill>
                          <w14:schemeClr w14:val="tx1"/>
                        </w14:solidFill>
                      </w14:textFill>
                    </w:rPr>
                    <w:t>一楼，提供三餐，不对外营业，采用天然气作为燃料</w:t>
                  </w:r>
                </w:p>
              </w:tc>
              <w:tc>
                <w:tcPr>
                  <w:tcW w:w="392" w:type="pct"/>
                  <w:vAlign w:val="center"/>
                </w:tcPr>
                <w:p w14:paraId="192F29D1">
                  <w:pPr>
                    <w:spacing w:line="240" w:lineRule="auto"/>
                    <w:jc w:val="left"/>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新建</w:t>
                  </w:r>
                </w:p>
              </w:tc>
            </w:tr>
            <w:tr w14:paraId="1BFA4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319" w:type="pct"/>
                  <w:vMerge w:val="continue"/>
                  <w:vAlign w:val="center"/>
                </w:tcPr>
                <w:p w14:paraId="5E86DF6E">
                  <w:pPr>
                    <w:jc w:val="center"/>
                    <w:rPr>
                      <w:rFonts w:hint="default" w:cs="Times New Roman"/>
                      <w:color w:val="000000" w:themeColor="text1"/>
                      <w:sz w:val="21"/>
                      <w:szCs w:val="21"/>
                      <w:highlight w:val="none"/>
                      <w:lang w:val="en-US" w:eastAsia="zh-CN"/>
                      <w14:textFill>
                        <w14:solidFill>
                          <w14:schemeClr w14:val="tx1"/>
                        </w14:solidFill>
                      </w14:textFill>
                    </w:rPr>
                  </w:pPr>
                </w:p>
              </w:tc>
              <w:tc>
                <w:tcPr>
                  <w:tcW w:w="518" w:type="pct"/>
                  <w:vAlign w:val="center"/>
                </w:tcPr>
                <w:p w14:paraId="3A5D59ED">
                  <w:pPr>
                    <w:spacing w:line="240" w:lineRule="auto"/>
                    <w:jc w:val="left"/>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煎药室</w:t>
                  </w:r>
                </w:p>
              </w:tc>
              <w:tc>
                <w:tcPr>
                  <w:tcW w:w="3769" w:type="pct"/>
                  <w:vAlign w:val="center"/>
                </w:tcPr>
                <w:p w14:paraId="25284B88">
                  <w:pPr>
                    <w:spacing w:line="240" w:lineRule="auto"/>
                    <w:jc w:val="left"/>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位于门诊楼一楼，主要提供中药煎药服务</w:t>
                  </w:r>
                </w:p>
              </w:tc>
              <w:tc>
                <w:tcPr>
                  <w:tcW w:w="392" w:type="pct"/>
                  <w:vAlign w:val="center"/>
                </w:tcPr>
                <w:p w14:paraId="56F07D09">
                  <w:pPr>
                    <w:spacing w:line="240" w:lineRule="auto"/>
                    <w:jc w:val="left"/>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新建</w:t>
                  </w:r>
                </w:p>
              </w:tc>
            </w:tr>
            <w:tr w14:paraId="353A2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319" w:type="pct"/>
                  <w:vMerge w:val="continue"/>
                  <w:vAlign w:val="center"/>
                </w:tcPr>
                <w:p w14:paraId="5E63B06E">
                  <w:pPr>
                    <w:jc w:val="center"/>
                    <w:rPr>
                      <w:rFonts w:hint="default" w:cs="Times New Roman"/>
                      <w:color w:val="000000" w:themeColor="text1"/>
                      <w:sz w:val="21"/>
                      <w:szCs w:val="21"/>
                      <w:highlight w:val="none"/>
                      <w:lang w:val="en-US" w:eastAsia="zh-CN"/>
                      <w14:textFill>
                        <w14:solidFill>
                          <w14:schemeClr w14:val="tx1"/>
                        </w14:solidFill>
                      </w14:textFill>
                    </w:rPr>
                  </w:pPr>
                </w:p>
              </w:tc>
              <w:tc>
                <w:tcPr>
                  <w:tcW w:w="518" w:type="pct"/>
                  <w:vAlign w:val="center"/>
                </w:tcPr>
                <w:p w14:paraId="13E9C745">
                  <w:pPr>
                    <w:spacing w:line="240" w:lineRule="auto"/>
                    <w:jc w:val="left"/>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洗衣房</w:t>
                  </w:r>
                </w:p>
              </w:tc>
              <w:tc>
                <w:tcPr>
                  <w:tcW w:w="3769" w:type="pct"/>
                  <w:vAlign w:val="center"/>
                </w:tcPr>
                <w:p w14:paraId="781B4284">
                  <w:pPr>
                    <w:spacing w:line="240" w:lineRule="auto"/>
                    <w:jc w:val="left"/>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位于住院楼一楼，主要清洗病服、床单等</w:t>
                  </w:r>
                </w:p>
              </w:tc>
              <w:tc>
                <w:tcPr>
                  <w:tcW w:w="392" w:type="pct"/>
                  <w:vAlign w:val="center"/>
                </w:tcPr>
                <w:p w14:paraId="4C6E928E">
                  <w:pPr>
                    <w:spacing w:line="240" w:lineRule="auto"/>
                    <w:jc w:val="left"/>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新建</w:t>
                  </w:r>
                </w:p>
              </w:tc>
            </w:tr>
            <w:tr w14:paraId="7C67E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9" w:type="pct"/>
                  <w:vMerge w:val="continue"/>
                  <w:vAlign w:val="center"/>
                </w:tcPr>
                <w:p w14:paraId="3899FEB5">
                  <w:pPr>
                    <w:jc w:val="center"/>
                    <w:rPr>
                      <w:rFonts w:hint="default" w:cs="Times New Roman"/>
                      <w:color w:val="000000" w:themeColor="text1"/>
                      <w:sz w:val="21"/>
                      <w:szCs w:val="21"/>
                      <w:highlight w:val="none"/>
                      <w:lang w:val="en-US" w:eastAsia="zh-CN"/>
                      <w14:textFill>
                        <w14:solidFill>
                          <w14:schemeClr w14:val="tx1"/>
                        </w14:solidFill>
                      </w14:textFill>
                    </w:rPr>
                  </w:pPr>
                </w:p>
              </w:tc>
              <w:tc>
                <w:tcPr>
                  <w:tcW w:w="518" w:type="pct"/>
                  <w:vAlign w:val="center"/>
                </w:tcPr>
                <w:p w14:paraId="1717192C">
                  <w:pPr>
                    <w:spacing w:line="240" w:lineRule="auto"/>
                    <w:jc w:val="left"/>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停车场</w:t>
                  </w:r>
                </w:p>
              </w:tc>
              <w:tc>
                <w:tcPr>
                  <w:tcW w:w="3769" w:type="pct"/>
                  <w:vAlign w:val="center"/>
                </w:tcPr>
                <w:p w14:paraId="25ACEF4D">
                  <w:pPr>
                    <w:spacing w:line="240" w:lineRule="auto"/>
                    <w:jc w:val="left"/>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设置有224个地上停车位，位于门诊楼、住院楼周边，用于停放医院救护车及来院就诊的社会车辆，36个地下停车场，主要位于行政办公楼，用于员工车辆停放</w:t>
                  </w:r>
                </w:p>
              </w:tc>
              <w:tc>
                <w:tcPr>
                  <w:tcW w:w="392" w:type="pct"/>
                  <w:vAlign w:val="center"/>
                </w:tcPr>
                <w:p w14:paraId="19F32599">
                  <w:pPr>
                    <w:spacing w:line="240" w:lineRule="auto"/>
                    <w:jc w:val="left"/>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新建</w:t>
                  </w:r>
                </w:p>
              </w:tc>
            </w:tr>
            <w:tr w14:paraId="69435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319" w:type="pct"/>
                  <w:vMerge w:val="restart"/>
                  <w:vAlign w:val="center"/>
                </w:tcPr>
                <w:p w14:paraId="4CEFBCCD">
                  <w:pPr>
                    <w:spacing w:line="240" w:lineRule="auto"/>
                    <w:jc w:val="center"/>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default" w:ascii="Times New Roman" w:hAnsi="Times New Roman" w:cs="Times New Roman"/>
                      <w:color w:val="000000" w:themeColor="text1"/>
                      <w:sz w:val="21"/>
                      <w:szCs w:val="21"/>
                      <w:highlight w:val="none"/>
                      <w:lang w:val="en-US"/>
                      <w14:textFill>
                        <w14:solidFill>
                          <w14:schemeClr w14:val="tx1"/>
                        </w14:solidFill>
                      </w14:textFill>
                    </w:rPr>
                    <w:t>公用工程</w:t>
                  </w:r>
                </w:p>
              </w:tc>
              <w:tc>
                <w:tcPr>
                  <w:tcW w:w="518" w:type="pct"/>
                  <w:vAlign w:val="center"/>
                </w:tcPr>
                <w:p w14:paraId="196C90EE">
                  <w:pPr>
                    <w:spacing w:line="240" w:lineRule="auto"/>
                    <w:jc w:val="left"/>
                    <w:rPr>
                      <w:rFonts w:hint="eastAsia" w:ascii="Times New Roman" w:hAnsi="Times New Roman" w:cs="Times New Roman"/>
                      <w:color w:val="000000" w:themeColor="text1"/>
                      <w:sz w:val="21"/>
                      <w:szCs w:val="21"/>
                      <w:highlight w:val="none"/>
                      <w:lang w:val="en-US"/>
                      <w14:textFill>
                        <w14:solidFill>
                          <w14:schemeClr w14:val="tx1"/>
                        </w14:solidFill>
                      </w14:textFill>
                    </w:rPr>
                  </w:pPr>
                  <w:r>
                    <w:rPr>
                      <w:rFonts w:hint="eastAsia" w:ascii="Times New Roman" w:hAnsi="Times New Roman" w:cs="Times New Roman"/>
                      <w:color w:val="000000" w:themeColor="text1"/>
                      <w:sz w:val="21"/>
                      <w:szCs w:val="21"/>
                      <w:highlight w:val="none"/>
                      <w:lang w:val="en-US"/>
                      <w14:textFill>
                        <w14:solidFill>
                          <w14:schemeClr w14:val="tx1"/>
                        </w14:solidFill>
                      </w14:textFill>
                    </w:rPr>
                    <w:t>给水</w:t>
                  </w:r>
                </w:p>
              </w:tc>
              <w:tc>
                <w:tcPr>
                  <w:tcW w:w="4162" w:type="pct"/>
                  <w:gridSpan w:val="2"/>
                  <w:vAlign w:val="center"/>
                </w:tcPr>
                <w:p w14:paraId="5F5FCE10">
                  <w:pPr>
                    <w:spacing w:line="240" w:lineRule="auto"/>
                    <w:jc w:val="left"/>
                    <w:rPr>
                      <w:rFonts w:hint="eastAsia" w:ascii="Times New Roman" w:hAnsi="Times New Roman" w:cs="Times New Roman"/>
                      <w:color w:val="000000" w:themeColor="text1"/>
                      <w:sz w:val="21"/>
                      <w:szCs w:val="21"/>
                      <w:highlight w:val="none"/>
                      <w:lang w:val="en-US"/>
                      <w14:textFill>
                        <w14:solidFill>
                          <w14:schemeClr w14:val="tx1"/>
                        </w14:solidFill>
                      </w14:textFill>
                    </w:rPr>
                  </w:pPr>
                  <w:r>
                    <w:rPr>
                      <w:rFonts w:hint="eastAsia" w:ascii="Times New Roman" w:hAnsi="Times New Roman" w:cs="Times New Roman"/>
                      <w:color w:val="000000" w:themeColor="text1"/>
                      <w:sz w:val="21"/>
                      <w:szCs w:val="21"/>
                      <w:highlight w:val="none"/>
                      <w:lang w:val="en-US"/>
                      <w14:textFill>
                        <w14:solidFill>
                          <w14:schemeClr w14:val="tx1"/>
                        </w14:solidFill>
                      </w14:textFill>
                    </w:rPr>
                    <w:t>由</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市政管网</w:t>
                  </w:r>
                  <w:r>
                    <w:rPr>
                      <w:rFonts w:hint="eastAsia" w:ascii="Times New Roman" w:hAnsi="Times New Roman" w:cs="Times New Roman"/>
                      <w:color w:val="000000" w:themeColor="text1"/>
                      <w:sz w:val="21"/>
                      <w:szCs w:val="21"/>
                      <w:highlight w:val="none"/>
                      <w:lang w:val="en-US"/>
                      <w14:textFill>
                        <w14:solidFill>
                          <w14:schemeClr w14:val="tx1"/>
                        </w14:solidFill>
                      </w14:textFill>
                    </w:rPr>
                    <w:t>供给</w:t>
                  </w:r>
                </w:p>
              </w:tc>
            </w:tr>
            <w:tr w14:paraId="6B041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19" w:type="pct"/>
                  <w:vMerge w:val="continue"/>
                  <w:vAlign w:val="center"/>
                </w:tcPr>
                <w:p w14:paraId="66D8EAD4">
                  <w:pPr>
                    <w:spacing w:line="240" w:lineRule="auto"/>
                    <w:jc w:val="center"/>
                    <w:rPr>
                      <w:rFonts w:hint="default" w:ascii="Times New Roman" w:hAnsi="Times New Roman" w:cs="Times New Roman"/>
                      <w:b w:val="0"/>
                      <w:bCs w:val="0"/>
                      <w:color w:val="000000" w:themeColor="text1"/>
                      <w:sz w:val="21"/>
                      <w:szCs w:val="21"/>
                      <w:highlight w:val="none"/>
                      <w:lang w:val="en-US"/>
                      <w14:textFill>
                        <w14:solidFill>
                          <w14:schemeClr w14:val="tx1"/>
                        </w14:solidFill>
                      </w14:textFill>
                    </w:rPr>
                  </w:pPr>
                </w:p>
              </w:tc>
              <w:tc>
                <w:tcPr>
                  <w:tcW w:w="518" w:type="pct"/>
                  <w:vAlign w:val="center"/>
                </w:tcPr>
                <w:p w14:paraId="311EFF1B">
                  <w:pPr>
                    <w:spacing w:line="240" w:lineRule="auto"/>
                    <w:jc w:val="left"/>
                    <w:rPr>
                      <w:rFonts w:hint="eastAsia" w:ascii="Times New Roman" w:hAnsi="Times New Roman" w:cs="Times New Roman"/>
                      <w:color w:val="000000" w:themeColor="text1"/>
                      <w:sz w:val="21"/>
                      <w:szCs w:val="21"/>
                      <w:highlight w:val="none"/>
                      <w:u w:val="none"/>
                      <w:lang w:val="en-US"/>
                      <w14:textFill>
                        <w14:solidFill>
                          <w14:schemeClr w14:val="tx1"/>
                        </w14:solidFill>
                      </w14:textFill>
                    </w:rPr>
                  </w:pPr>
                  <w:r>
                    <w:rPr>
                      <w:rFonts w:hint="eastAsia" w:ascii="Times New Roman" w:hAnsi="Times New Roman" w:cs="Times New Roman"/>
                      <w:color w:val="000000" w:themeColor="text1"/>
                      <w:sz w:val="21"/>
                      <w:szCs w:val="21"/>
                      <w:highlight w:val="none"/>
                      <w:u w:val="none"/>
                      <w:lang w:val="en-US"/>
                      <w14:textFill>
                        <w14:solidFill>
                          <w14:schemeClr w14:val="tx1"/>
                        </w14:solidFill>
                      </w14:textFill>
                    </w:rPr>
                    <w:t>排水</w:t>
                  </w:r>
                </w:p>
              </w:tc>
              <w:tc>
                <w:tcPr>
                  <w:tcW w:w="4162" w:type="pct"/>
                  <w:gridSpan w:val="2"/>
                  <w:vAlign w:val="center"/>
                </w:tcPr>
                <w:p w14:paraId="73222742">
                  <w:pPr>
                    <w:spacing w:line="240" w:lineRule="auto"/>
                    <w:jc w:val="left"/>
                    <w:rPr>
                      <w:rFonts w:hint="eastAsia" w:ascii="Times New Roman" w:hAnsi="Times New Roman" w:cs="Times New Roman"/>
                      <w:color w:val="000000" w:themeColor="text1"/>
                      <w:sz w:val="21"/>
                      <w:szCs w:val="21"/>
                      <w:highlight w:val="none"/>
                      <w:u w:val="none"/>
                      <w:lang w:val="en-US"/>
                      <w14:textFill>
                        <w14:solidFill>
                          <w14:schemeClr w14:val="tx1"/>
                        </w14:solidFill>
                      </w14:textFill>
                    </w:rPr>
                  </w:pPr>
                  <w:r>
                    <w:rPr>
                      <w:rFonts w:hint="eastAsia" w:ascii="Times New Roman" w:hAnsi="Times New Roman" w:cs="Times New Roman"/>
                      <w:color w:val="FF0000"/>
                      <w:sz w:val="21"/>
                      <w:szCs w:val="21"/>
                      <w:highlight w:val="none"/>
                      <w:u w:val="single"/>
                      <w:lang w:val="en-US"/>
                    </w:rPr>
                    <w:t>排水采用雨污分流</w:t>
                  </w:r>
                  <w:r>
                    <w:rPr>
                      <w:rFonts w:hint="eastAsia" w:cs="Times New Roman"/>
                      <w:color w:val="FF0000"/>
                      <w:sz w:val="21"/>
                      <w:szCs w:val="21"/>
                      <w:highlight w:val="none"/>
                      <w:u w:val="single"/>
                      <w:lang w:val="en-US" w:eastAsia="zh-CN"/>
                    </w:rPr>
                    <w:t>、污污分流、分质治理</w:t>
                  </w:r>
                  <w:r>
                    <w:rPr>
                      <w:rFonts w:hint="eastAsia" w:ascii="Times New Roman" w:hAnsi="Times New Roman" w:cs="Times New Roman"/>
                      <w:color w:val="FF0000"/>
                      <w:sz w:val="21"/>
                      <w:szCs w:val="21"/>
                      <w:highlight w:val="none"/>
                      <w:u w:val="single"/>
                      <w:lang w:val="en-US"/>
                    </w:rPr>
                    <w:t>，</w:t>
                  </w:r>
                  <w:r>
                    <w:rPr>
                      <w:rFonts w:hint="eastAsia" w:cs="Times New Roman"/>
                      <w:color w:val="FF0000"/>
                      <w:sz w:val="21"/>
                      <w:szCs w:val="21"/>
                      <w:highlight w:val="none"/>
                      <w:u w:val="single"/>
                      <w:lang w:val="en-US" w:eastAsia="zh-CN"/>
                    </w:rPr>
                    <w:t>食堂废水经隔油池处理后进入低庄镇污水处理厂，医疗废水</w:t>
                  </w:r>
                  <w:r>
                    <w:rPr>
                      <w:rFonts w:hint="eastAsia" w:ascii="Times New Roman" w:hAnsi="Times New Roman" w:cs="Times New Roman"/>
                      <w:color w:val="FF0000"/>
                      <w:sz w:val="21"/>
                      <w:szCs w:val="21"/>
                      <w:highlight w:val="none"/>
                      <w:u w:val="single"/>
                      <w:lang w:val="en-US"/>
                    </w:rPr>
                    <w:t>排入污水处理站</w:t>
                  </w:r>
                  <w:r>
                    <w:rPr>
                      <w:rFonts w:hint="eastAsia" w:ascii="Times New Roman" w:hAnsi="Times New Roman" w:eastAsia="宋体" w:cs="Times New Roman"/>
                      <w:color w:val="FF0000"/>
                      <w:sz w:val="21"/>
                      <w:szCs w:val="21"/>
                      <w:highlight w:val="none"/>
                      <w:u w:val="single"/>
                      <w:lang w:val="en-US" w:eastAsia="zh-CN"/>
                    </w:rPr>
                    <w:t>（处理工艺：格栅+调节池+混凝沉淀池+消毒，处理能力：150t/d）</w:t>
                  </w:r>
                  <w:r>
                    <w:rPr>
                      <w:rFonts w:hint="eastAsia" w:ascii="Times New Roman" w:hAnsi="Times New Roman" w:cs="Times New Roman"/>
                      <w:color w:val="FF0000"/>
                      <w:sz w:val="21"/>
                      <w:szCs w:val="21"/>
                      <w:highlight w:val="none"/>
                      <w:u w:val="single"/>
                      <w:lang w:val="en-US"/>
                    </w:rPr>
                    <w:t>进行处理，处理达到《医疗机构水污染物排放标准》（GB18466-2005）</w:t>
                  </w:r>
                  <w:r>
                    <w:rPr>
                      <w:rFonts w:hint="eastAsia" w:cs="Times New Roman"/>
                      <w:color w:val="FF0000"/>
                      <w:sz w:val="21"/>
                      <w:szCs w:val="21"/>
                      <w:highlight w:val="none"/>
                      <w:u w:val="single"/>
                      <w:lang w:val="en-US" w:eastAsia="zh-CN"/>
                    </w:rPr>
                    <w:t>间接排放</w:t>
                  </w:r>
                  <w:r>
                    <w:rPr>
                      <w:rFonts w:hint="eastAsia" w:ascii="Times New Roman" w:hAnsi="Times New Roman" w:cs="Times New Roman"/>
                      <w:color w:val="FF0000"/>
                      <w:sz w:val="21"/>
                      <w:szCs w:val="21"/>
                      <w:highlight w:val="none"/>
                      <w:u w:val="single"/>
                      <w:lang w:val="en-US"/>
                    </w:rPr>
                    <w:t>标准后</w:t>
                  </w:r>
                  <w:r>
                    <w:rPr>
                      <w:rFonts w:hint="eastAsia" w:cs="Times New Roman"/>
                      <w:color w:val="FF0000"/>
                      <w:sz w:val="21"/>
                      <w:szCs w:val="21"/>
                      <w:highlight w:val="none"/>
                      <w:u w:val="single"/>
                      <w:lang w:val="en-US" w:eastAsia="zh-CN"/>
                    </w:rPr>
                    <w:t>排入城镇市政管网</w:t>
                  </w:r>
                </w:p>
              </w:tc>
            </w:tr>
            <w:tr w14:paraId="6FAB0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19" w:type="pct"/>
                  <w:vMerge w:val="continue"/>
                  <w:vAlign w:val="center"/>
                </w:tcPr>
                <w:p w14:paraId="3445B6AC">
                  <w:pPr>
                    <w:spacing w:line="240" w:lineRule="auto"/>
                    <w:jc w:val="center"/>
                    <w:rPr>
                      <w:rFonts w:hint="default" w:ascii="Times New Roman" w:hAnsi="Times New Roman" w:cs="Times New Roman"/>
                      <w:b w:val="0"/>
                      <w:bCs w:val="0"/>
                      <w:color w:val="000000" w:themeColor="text1"/>
                      <w:sz w:val="21"/>
                      <w:szCs w:val="21"/>
                      <w:highlight w:val="none"/>
                      <w:lang w:val="en-US"/>
                      <w14:textFill>
                        <w14:solidFill>
                          <w14:schemeClr w14:val="tx1"/>
                        </w14:solidFill>
                      </w14:textFill>
                    </w:rPr>
                  </w:pPr>
                </w:p>
              </w:tc>
              <w:tc>
                <w:tcPr>
                  <w:tcW w:w="518" w:type="pct"/>
                  <w:vAlign w:val="center"/>
                </w:tcPr>
                <w:p w14:paraId="2C37CA91">
                  <w:pPr>
                    <w:spacing w:line="240" w:lineRule="auto"/>
                    <w:jc w:val="left"/>
                    <w:rPr>
                      <w:rFonts w:hint="eastAsia" w:ascii="Times New Roman" w:hAnsi="Times New Roman" w:cs="Times New Roman"/>
                      <w:color w:val="000000" w:themeColor="text1"/>
                      <w:sz w:val="21"/>
                      <w:szCs w:val="21"/>
                      <w:highlight w:val="none"/>
                      <w:lang w:val="en-US"/>
                      <w14:textFill>
                        <w14:solidFill>
                          <w14:schemeClr w14:val="tx1"/>
                        </w14:solidFill>
                      </w14:textFill>
                    </w:rPr>
                  </w:pPr>
                  <w:r>
                    <w:rPr>
                      <w:rFonts w:hint="eastAsia" w:ascii="Times New Roman" w:hAnsi="Times New Roman" w:cs="Times New Roman"/>
                      <w:color w:val="000000" w:themeColor="text1"/>
                      <w:sz w:val="21"/>
                      <w:szCs w:val="21"/>
                      <w:highlight w:val="none"/>
                      <w:lang w:val="en-US"/>
                      <w14:textFill>
                        <w14:solidFill>
                          <w14:schemeClr w14:val="tx1"/>
                        </w14:solidFill>
                      </w14:textFill>
                    </w:rPr>
                    <w:t>供电</w:t>
                  </w:r>
                </w:p>
              </w:tc>
              <w:tc>
                <w:tcPr>
                  <w:tcW w:w="4162" w:type="pct"/>
                  <w:gridSpan w:val="2"/>
                  <w:vAlign w:val="center"/>
                </w:tcPr>
                <w:p w14:paraId="5075CB43">
                  <w:pPr>
                    <w:spacing w:line="240" w:lineRule="auto"/>
                    <w:ind w:firstLine="0" w:firstLineChars="0"/>
                    <w:jc w:val="left"/>
                    <w:rPr>
                      <w:rFonts w:hint="eastAsia" w:ascii="Times New Roman" w:hAnsi="Times New Roman" w:cs="Times New Roman"/>
                      <w:color w:val="000000" w:themeColor="text1"/>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市</w:t>
                  </w:r>
                  <w:r>
                    <w:rPr>
                      <w:rFonts w:hint="eastAsia" w:cs="Times New Roman"/>
                      <w:color w:val="000000" w:themeColor="text1"/>
                      <w:sz w:val="21"/>
                      <w:szCs w:val="21"/>
                      <w:highlight w:val="none"/>
                      <w:u w:val="none"/>
                      <w:lang w:val="en-US" w:eastAsia="zh-CN"/>
                      <w14:textFill>
                        <w14:solidFill>
                          <w14:schemeClr w14:val="tx1"/>
                        </w14:solidFill>
                      </w14:textFill>
                    </w:rPr>
                    <w:t>政</w:t>
                  </w: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电网</w:t>
                  </w:r>
                  <w:r>
                    <w:rPr>
                      <w:rFonts w:hint="eastAsia" w:cs="Times New Roman"/>
                      <w:color w:val="000000" w:themeColor="text1"/>
                      <w:sz w:val="21"/>
                      <w:szCs w:val="21"/>
                      <w:highlight w:val="none"/>
                      <w:u w:val="none"/>
                      <w:lang w:val="en-US" w:eastAsia="zh-CN"/>
                      <w14:textFill>
                        <w14:solidFill>
                          <w14:schemeClr w14:val="tx1"/>
                        </w14:solidFill>
                      </w14:textFill>
                    </w:rPr>
                    <w:t>双回路</w:t>
                  </w: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供电</w:t>
                  </w:r>
                  <w:r>
                    <w:rPr>
                      <w:rFonts w:hint="eastAsia" w:cs="Times New Roman"/>
                      <w:color w:val="000000" w:themeColor="text1"/>
                      <w:sz w:val="21"/>
                      <w:szCs w:val="21"/>
                      <w:highlight w:val="none"/>
                      <w:u w:val="none"/>
                      <w:lang w:val="en-US" w:eastAsia="zh-CN"/>
                      <w14:textFill>
                        <w14:solidFill>
                          <w14:schemeClr w14:val="tx1"/>
                        </w14:solidFill>
                      </w14:textFill>
                    </w:rPr>
                    <w:t>，自备应急柴油发电机</w:t>
                  </w:r>
                </w:p>
              </w:tc>
            </w:tr>
            <w:tr w14:paraId="77F13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319" w:type="pct"/>
                  <w:vMerge w:val="continue"/>
                  <w:vAlign w:val="center"/>
                </w:tcPr>
                <w:p w14:paraId="7EB46122">
                  <w:pPr>
                    <w:spacing w:line="240" w:lineRule="auto"/>
                    <w:jc w:val="center"/>
                    <w:rPr>
                      <w:rFonts w:hint="default" w:ascii="Times New Roman" w:hAnsi="Times New Roman" w:cs="Times New Roman"/>
                      <w:b w:val="0"/>
                      <w:bCs w:val="0"/>
                      <w:color w:val="000000" w:themeColor="text1"/>
                      <w:sz w:val="21"/>
                      <w:szCs w:val="21"/>
                      <w:highlight w:val="none"/>
                      <w:lang w:val="en-US"/>
                      <w14:textFill>
                        <w14:solidFill>
                          <w14:schemeClr w14:val="tx1"/>
                        </w14:solidFill>
                      </w14:textFill>
                    </w:rPr>
                  </w:pPr>
                </w:p>
              </w:tc>
              <w:tc>
                <w:tcPr>
                  <w:tcW w:w="518" w:type="pct"/>
                  <w:vAlign w:val="center"/>
                </w:tcPr>
                <w:p w14:paraId="7C36E287">
                  <w:pPr>
                    <w:spacing w:line="240" w:lineRule="auto"/>
                    <w:jc w:val="left"/>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14:textFill>
                        <w14:solidFill>
                          <w14:schemeClr w14:val="tx1"/>
                        </w14:solidFill>
                      </w14:textFill>
                    </w:rPr>
                    <w:t>热</w:t>
                  </w:r>
                  <w:r>
                    <w:rPr>
                      <w:rFonts w:hint="eastAsia" w:cs="Times New Roman"/>
                      <w:color w:val="000000" w:themeColor="text1"/>
                      <w:sz w:val="21"/>
                      <w:szCs w:val="21"/>
                      <w:highlight w:val="none"/>
                      <w:lang w:val="en-US" w:eastAsia="zh-CN"/>
                      <w14:textFill>
                        <w14:solidFill>
                          <w14:schemeClr w14:val="tx1"/>
                        </w14:solidFill>
                      </w14:textFill>
                    </w:rPr>
                    <w:t>水</w:t>
                  </w:r>
                </w:p>
              </w:tc>
              <w:tc>
                <w:tcPr>
                  <w:tcW w:w="4162" w:type="pct"/>
                  <w:gridSpan w:val="2"/>
                  <w:vAlign w:val="center"/>
                </w:tcPr>
                <w:p w14:paraId="6325CB3B">
                  <w:pPr>
                    <w:spacing w:line="240" w:lineRule="auto"/>
                    <w:ind w:firstLine="0" w:firstLineChars="0"/>
                    <w:jc w:val="left"/>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14:textFill>
                        <w14:solidFill>
                          <w14:schemeClr w14:val="tx1"/>
                        </w14:solidFill>
                      </w14:textFill>
                    </w:rPr>
                    <w:t>门诊区采用分散式热水供应，用水点采用电热水器供给</w:t>
                  </w:r>
                  <w:r>
                    <w:rPr>
                      <w:rFonts w:hint="eastAsia"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14:textFill>
                        <w14:solidFill>
                          <w14:schemeClr w14:val="tx1"/>
                        </w14:solidFill>
                      </w14:textFill>
                    </w:rPr>
                    <w:t>住院部区域设置全日集中生活热水供应,由屋顶空气源热泵提供热源</w:t>
                  </w:r>
                </w:p>
              </w:tc>
            </w:tr>
            <w:tr w14:paraId="51D6F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9" w:type="pct"/>
                  <w:vMerge w:val="continue"/>
                  <w:vAlign w:val="center"/>
                </w:tcPr>
                <w:p w14:paraId="6F478EA7">
                  <w:pPr>
                    <w:spacing w:line="240" w:lineRule="auto"/>
                    <w:jc w:val="center"/>
                    <w:rPr>
                      <w:rFonts w:hint="default" w:ascii="Times New Roman" w:hAnsi="Times New Roman" w:cs="Times New Roman"/>
                      <w:b w:val="0"/>
                      <w:bCs w:val="0"/>
                      <w:color w:val="000000" w:themeColor="text1"/>
                      <w:sz w:val="21"/>
                      <w:szCs w:val="21"/>
                      <w:highlight w:val="none"/>
                      <w:lang w:val="en-US"/>
                      <w14:textFill>
                        <w14:solidFill>
                          <w14:schemeClr w14:val="tx1"/>
                        </w14:solidFill>
                      </w14:textFill>
                    </w:rPr>
                  </w:pPr>
                </w:p>
              </w:tc>
              <w:tc>
                <w:tcPr>
                  <w:tcW w:w="518" w:type="pct"/>
                  <w:vAlign w:val="center"/>
                </w:tcPr>
                <w:p w14:paraId="155DC899">
                  <w:pPr>
                    <w:spacing w:line="240" w:lineRule="auto"/>
                    <w:jc w:val="left"/>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14:textFill>
                        <w14:solidFill>
                          <w14:schemeClr w14:val="tx1"/>
                        </w14:solidFill>
                      </w14:textFill>
                    </w:rPr>
                    <w:t>制冷</w:t>
                  </w:r>
                  <w:r>
                    <w:rPr>
                      <w:rFonts w:hint="eastAsia" w:cs="Times New Roman"/>
                      <w:color w:val="000000" w:themeColor="text1"/>
                      <w:sz w:val="21"/>
                      <w:szCs w:val="21"/>
                      <w:highlight w:val="none"/>
                      <w:lang w:val="en-US" w:eastAsia="zh-CN"/>
                      <w14:textFill>
                        <w14:solidFill>
                          <w14:schemeClr w14:val="tx1"/>
                        </w14:solidFill>
                      </w14:textFill>
                    </w:rPr>
                    <w:t>、制热</w:t>
                  </w:r>
                </w:p>
              </w:tc>
              <w:tc>
                <w:tcPr>
                  <w:tcW w:w="4162" w:type="pct"/>
                  <w:gridSpan w:val="2"/>
                  <w:vAlign w:val="center"/>
                </w:tcPr>
                <w:p w14:paraId="1C343240">
                  <w:pPr>
                    <w:spacing w:line="240" w:lineRule="auto"/>
                    <w:jc w:val="left"/>
                    <w:rPr>
                      <w:rFonts w:hint="eastAsia" w:ascii="Times New Roman" w:hAnsi="Times New Roman" w:cs="Times New Roman"/>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14:textFill>
                        <w14:solidFill>
                          <w14:schemeClr w14:val="tx1"/>
                        </w14:solidFill>
                      </w14:textFill>
                    </w:rPr>
                    <w:t>项目设中央空调，空调冷热源采用螺杆式风冷热泵机组</w:t>
                  </w:r>
                </w:p>
              </w:tc>
            </w:tr>
            <w:tr w14:paraId="30928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319" w:type="pct"/>
                  <w:vMerge w:val="restart"/>
                  <w:vAlign w:val="center"/>
                </w:tcPr>
                <w:p w14:paraId="40D2B6DE">
                  <w:pPr>
                    <w:spacing w:line="240" w:lineRule="auto"/>
                    <w:jc w:val="center"/>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default" w:ascii="Times New Roman" w:hAnsi="Times New Roman" w:cs="Times New Roman"/>
                      <w:color w:val="000000" w:themeColor="text1"/>
                      <w:sz w:val="21"/>
                      <w:szCs w:val="21"/>
                      <w:highlight w:val="none"/>
                      <w:lang w:val="en-US"/>
                      <w14:textFill>
                        <w14:solidFill>
                          <w14:schemeClr w14:val="tx1"/>
                        </w14:solidFill>
                      </w14:textFill>
                    </w:rPr>
                    <w:t>环保工程</w:t>
                  </w:r>
                </w:p>
              </w:tc>
              <w:tc>
                <w:tcPr>
                  <w:tcW w:w="518" w:type="pct"/>
                  <w:vAlign w:val="center"/>
                </w:tcPr>
                <w:p w14:paraId="408905FD">
                  <w:pPr>
                    <w:spacing w:line="240" w:lineRule="auto"/>
                    <w:jc w:val="left"/>
                    <w:rPr>
                      <w:rFonts w:hint="eastAsia" w:ascii="Times New Roman" w:hAnsi="Times New Roman" w:cs="Times New Roman"/>
                      <w:color w:val="000000" w:themeColor="text1"/>
                      <w:sz w:val="21"/>
                      <w:szCs w:val="21"/>
                      <w:highlight w:val="none"/>
                      <w:lang w:val="en-US"/>
                      <w14:textFill>
                        <w14:solidFill>
                          <w14:schemeClr w14:val="tx1"/>
                        </w14:solidFill>
                      </w14:textFill>
                    </w:rPr>
                  </w:pPr>
                  <w:r>
                    <w:rPr>
                      <w:rFonts w:hint="eastAsia" w:ascii="Times New Roman" w:hAnsi="Times New Roman" w:cs="Times New Roman"/>
                      <w:color w:val="000000" w:themeColor="text1"/>
                      <w:sz w:val="21"/>
                      <w:szCs w:val="21"/>
                      <w:highlight w:val="none"/>
                      <w:lang w:val="en-US"/>
                      <w14:textFill>
                        <w14:solidFill>
                          <w14:schemeClr w14:val="tx1"/>
                        </w14:solidFill>
                      </w14:textFill>
                    </w:rPr>
                    <w:t>废水</w:t>
                  </w:r>
                </w:p>
              </w:tc>
              <w:tc>
                <w:tcPr>
                  <w:tcW w:w="4162" w:type="pct"/>
                  <w:gridSpan w:val="2"/>
                  <w:vAlign w:val="center"/>
                </w:tcPr>
                <w:p w14:paraId="54FEDDEF">
                  <w:pPr>
                    <w:spacing w:line="240" w:lineRule="auto"/>
                    <w:jc w:val="left"/>
                    <w:rPr>
                      <w:rFonts w:hint="eastAsia" w:ascii="Times New Roman" w:hAnsi="Times New Roman" w:eastAsia="宋体" w:cs="Times New Roman"/>
                      <w:b w:val="0"/>
                      <w:bCs w:val="0"/>
                      <w:color w:val="000000" w:themeColor="text1"/>
                      <w:sz w:val="21"/>
                      <w:szCs w:val="21"/>
                      <w:highlight w:val="none"/>
                      <w:lang w:val="en-US"/>
                      <w14:textFill>
                        <w14:solidFill>
                          <w14:schemeClr w14:val="tx1"/>
                        </w14:solidFill>
                      </w14:textFill>
                    </w:rPr>
                  </w:pPr>
                  <w:r>
                    <w:rPr>
                      <w:rFonts w:hint="eastAsia" w:cs="Times New Roman"/>
                      <w:color w:val="FF0000"/>
                      <w:sz w:val="21"/>
                      <w:szCs w:val="21"/>
                      <w:highlight w:val="none"/>
                      <w:u w:val="single" w:color="auto"/>
                      <w:lang w:val="en-US" w:eastAsia="zh-CN"/>
                    </w:rPr>
                    <w:t>食堂废水经隔油池处理后进入低庄镇污水处理厂，医疗废水</w:t>
                  </w:r>
                  <w:r>
                    <w:rPr>
                      <w:rFonts w:hint="eastAsia" w:ascii="Times New Roman" w:hAnsi="Times New Roman" w:cs="Times New Roman"/>
                      <w:color w:val="FF0000"/>
                      <w:sz w:val="21"/>
                      <w:szCs w:val="21"/>
                      <w:highlight w:val="none"/>
                      <w:u w:val="single" w:color="auto"/>
                      <w:lang w:val="en-US"/>
                    </w:rPr>
                    <w:t>排入污水处理站</w:t>
                  </w:r>
                  <w:r>
                    <w:rPr>
                      <w:rFonts w:hint="eastAsia" w:cs="Times New Roman"/>
                      <w:color w:val="FF0000"/>
                      <w:sz w:val="21"/>
                      <w:szCs w:val="21"/>
                      <w:highlight w:val="none"/>
                      <w:u w:val="single" w:color="auto"/>
                      <w:lang w:val="en-US" w:eastAsia="zh-CN"/>
                    </w:rPr>
                    <w:t>（处理工艺：格栅</w:t>
                  </w:r>
                  <w:r>
                    <w:rPr>
                      <w:rFonts w:hint="eastAsia" w:ascii="Times New Roman" w:hAnsi="Times New Roman" w:eastAsia="宋体" w:cs="Times New Roman"/>
                      <w:color w:val="FF0000"/>
                      <w:sz w:val="21"/>
                      <w:szCs w:val="21"/>
                      <w:highlight w:val="none"/>
                      <w:u w:val="single" w:color="auto"/>
                      <w:lang w:val="en-US" w:eastAsia="zh-CN"/>
                    </w:rPr>
                    <w:t>+</w:t>
                  </w:r>
                  <w:r>
                    <w:rPr>
                      <w:rFonts w:hint="eastAsia" w:cs="Times New Roman"/>
                      <w:color w:val="FF0000"/>
                      <w:sz w:val="21"/>
                      <w:szCs w:val="21"/>
                      <w:highlight w:val="none"/>
                      <w:u w:val="single" w:color="auto"/>
                      <w:lang w:val="en-US" w:eastAsia="zh-CN"/>
                    </w:rPr>
                    <w:t>调节池</w:t>
                  </w:r>
                  <w:r>
                    <w:rPr>
                      <w:rFonts w:hint="eastAsia" w:ascii="Times New Roman" w:hAnsi="Times New Roman" w:eastAsia="宋体" w:cs="Times New Roman"/>
                      <w:color w:val="FF0000"/>
                      <w:sz w:val="21"/>
                      <w:szCs w:val="21"/>
                      <w:highlight w:val="none"/>
                      <w:u w:val="single" w:color="auto"/>
                      <w:lang w:val="en-US" w:eastAsia="zh-CN"/>
                    </w:rPr>
                    <w:t>+</w:t>
                  </w:r>
                  <w:r>
                    <w:rPr>
                      <w:rFonts w:hint="eastAsia" w:cs="Times New Roman"/>
                      <w:color w:val="FF0000"/>
                      <w:sz w:val="21"/>
                      <w:szCs w:val="21"/>
                      <w:highlight w:val="none"/>
                      <w:u w:val="single" w:color="auto"/>
                      <w:lang w:val="en-US" w:eastAsia="zh-CN"/>
                    </w:rPr>
                    <w:t>混凝沉淀池+消毒，处理能力：150t/d）</w:t>
                  </w:r>
                  <w:r>
                    <w:rPr>
                      <w:rFonts w:hint="eastAsia" w:ascii="Times New Roman" w:hAnsi="Times New Roman" w:cs="Times New Roman"/>
                      <w:color w:val="FF0000"/>
                      <w:sz w:val="21"/>
                      <w:szCs w:val="21"/>
                      <w:highlight w:val="none"/>
                      <w:u w:val="single" w:color="auto"/>
                      <w:lang w:val="en-US"/>
                    </w:rPr>
                    <w:t>进行处理</w:t>
                  </w:r>
                  <w:r>
                    <w:rPr>
                      <w:rFonts w:hint="eastAsia" w:hAnsi="Times New Roman" w:cs="Times New Roman"/>
                      <w:color w:val="FF0000"/>
                      <w:sz w:val="21"/>
                      <w:szCs w:val="21"/>
                      <w:highlight w:val="none"/>
                      <w:u w:val="single" w:color="auto"/>
                      <w:lang w:val="en-US" w:eastAsia="zh-CN"/>
                    </w:rPr>
                    <w:t>，</w:t>
                  </w:r>
                  <w:r>
                    <w:rPr>
                      <w:rFonts w:hint="eastAsia" w:ascii="Times New Roman" w:hAnsi="Times New Roman" w:eastAsia="宋体" w:cs="Times New Roman"/>
                      <w:color w:val="FF0000"/>
                      <w:sz w:val="21"/>
                      <w:szCs w:val="21"/>
                      <w:highlight w:val="none"/>
                      <w:u w:val="single" w:color="auto"/>
                      <w:lang w:val="en-US" w:eastAsia="zh-CN"/>
                    </w:rPr>
                    <w:t>排入</w:t>
                  </w:r>
                  <w:r>
                    <w:rPr>
                      <w:rFonts w:hint="eastAsia" w:ascii="Times New Roman" w:hAnsi="Times New Roman" w:cs="Times New Roman"/>
                      <w:color w:val="FF0000"/>
                      <w:sz w:val="21"/>
                      <w:szCs w:val="21"/>
                      <w:highlight w:val="none"/>
                      <w:u w:val="single" w:color="auto"/>
                      <w:lang w:val="en-US" w:eastAsia="zh-CN"/>
                    </w:rPr>
                    <w:t>城镇</w:t>
                  </w:r>
                  <w:r>
                    <w:rPr>
                      <w:rFonts w:hint="eastAsia" w:ascii="Times New Roman" w:hAnsi="Times New Roman" w:eastAsia="宋体" w:cs="Times New Roman"/>
                      <w:color w:val="FF0000"/>
                      <w:sz w:val="21"/>
                      <w:szCs w:val="21"/>
                      <w:highlight w:val="none"/>
                      <w:u w:val="single" w:color="auto"/>
                      <w:lang w:val="en-US" w:eastAsia="zh-CN"/>
                    </w:rPr>
                    <w:t>污水管网，再进入</w:t>
                  </w:r>
                  <w:r>
                    <w:rPr>
                      <w:rFonts w:hint="eastAsia" w:hAnsi="Times New Roman" w:cs="Times New Roman"/>
                      <w:color w:val="FF0000"/>
                      <w:sz w:val="21"/>
                      <w:szCs w:val="21"/>
                      <w:highlight w:val="none"/>
                      <w:u w:val="single" w:color="auto"/>
                      <w:lang w:val="en-US" w:eastAsia="zh-CN"/>
                    </w:rPr>
                    <w:t>低庄镇污水处理厂</w:t>
                  </w:r>
                  <w:r>
                    <w:rPr>
                      <w:rFonts w:hint="eastAsia" w:ascii="Times New Roman" w:hAnsi="Times New Roman" w:eastAsia="宋体" w:cs="Times New Roman"/>
                      <w:color w:val="FF0000"/>
                      <w:sz w:val="21"/>
                      <w:szCs w:val="21"/>
                      <w:highlight w:val="none"/>
                      <w:u w:val="single" w:color="auto"/>
                      <w:lang w:val="en-US" w:eastAsia="zh-CN"/>
                    </w:rPr>
                    <w:t>深度处理</w:t>
                  </w:r>
                  <w:r>
                    <w:rPr>
                      <w:rFonts w:hint="eastAsia" w:ascii="Times New Roman" w:hAnsi="Times New Roman" w:cs="Times New Roman"/>
                      <w:color w:val="FF0000"/>
                      <w:sz w:val="21"/>
                      <w:szCs w:val="21"/>
                      <w:highlight w:val="none"/>
                      <w:u w:val="single" w:color="auto"/>
                      <w:lang w:val="en-US" w:eastAsia="zh-CN"/>
                    </w:rPr>
                    <w:t>后排入四都河</w:t>
                  </w:r>
                  <w:r>
                    <w:rPr>
                      <w:rFonts w:hint="eastAsia" w:ascii="Times New Roman" w:hAnsi="Times New Roman" w:eastAsia="宋体" w:cs="Times New Roman"/>
                      <w:color w:val="FF0000"/>
                      <w:sz w:val="21"/>
                      <w:szCs w:val="21"/>
                      <w:highlight w:val="none"/>
                      <w:u w:val="single" w:color="auto"/>
                      <w:lang w:val="en-US" w:eastAsia="zh-CN"/>
                    </w:rPr>
                    <w:t>。</w:t>
                  </w:r>
                </w:p>
              </w:tc>
            </w:tr>
            <w:tr w14:paraId="32DFF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19" w:type="pct"/>
                  <w:vMerge w:val="continue"/>
                  <w:vAlign w:val="center"/>
                </w:tcPr>
                <w:p w14:paraId="7E953163">
                  <w:pPr>
                    <w:spacing w:line="240" w:lineRule="auto"/>
                    <w:jc w:val="center"/>
                    <w:rPr>
                      <w:rFonts w:hint="default" w:ascii="Times New Roman" w:hAnsi="Times New Roman" w:cs="Times New Roman"/>
                      <w:b w:val="0"/>
                      <w:bCs w:val="0"/>
                      <w:color w:val="000000" w:themeColor="text1"/>
                      <w:sz w:val="21"/>
                      <w:szCs w:val="21"/>
                      <w:highlight w:val="none"/>
                      <w:lang w:val="en-US"/>
                      <w14:textFill>
                        <w14:solidFill>
                          <w14:schemeClr w14:val="tx1"/>
                        </w14:solidFill>
                      </w14:textFill>
                    </w:rPr>
                  </w:pPr>
                </w:p>
              </w:tc>
              <w:tc>
                <w:tcPr>
                  <w:tcW w:w="518" w:type="pct"/>
                  <w:vAlign w:val="center"/>
                </w:tcPr>
                <w:p w14:paraId="1ACF153F">
                  <w:pPr>
                    <w:spacing w:line="240" w:lineRule="auto"/>
                    <w:jc w:val="left"/>
                    <w:rPr>
                      <w:rFonts w:hint="eastAsia" w:ascii="Times New Roman" w:hAnsi="Times New Roman" w:eastAsia="宋体" w:cs="Times New Roman"/>
                      <w:b w:val="0"/>
                      <w:bCs w:val="0"/>
                      <w:color w:val="000000" w:themeColor="text1"/>
                      <w:sz w:val="21"/>
                      <w:szCs w:val="21"/>
                      <w:highlight w:val="none"/>
                      <w:lang w:val="en-US"/>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14:textFill>
                        <w14:solidFill>
                          <w14:schemeClr w14:val="tx1"/>
                        </w14:solidFill>
                      </w14:textFill>
                    </w:rPr>
                    <w:t>噪声</w:t>
                  </w:r>
                </w:p>
              </w:tc>
              <w:tc>
                <w:tcPr>
                  <w:tcW w:w="4162" w:type="pct"/>
                  <w:gridSpan w:val="2"/>
                  <w:vAlign w:val="center"/>
                </w:tcPr>
                <w:p w14:paraId="3DF03867">
                  <w:pPr>
                    <w:spacing w:line="240" w:lineRule="auto"/>
                    <w:jc w:val="left"/>
                    <w:rPr>
                      <w:rFonts w:hint="eastAsia" w:ascii="Times New Roman" w:hAnsi="Times New Roman" w:eastAsia="宋体" w:cs="Times New Roman"/>
                      <w:b w:val="0"/>
                      <w:bCs w:val="0"/>
                      <w:color w:val="000000" w:themeColor="text1"/>
                      <w:sz w:val="21"/>
                      <w:szCs w:val="21"/>
                      <w:highlight w:val="none"/>
                      <w:lang w:val="en-US"/>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14:textFill>
                        <w14:solidFill>
                          <w14:schemeClr w14:val="tx1"/>
                        </w14:solidFill>
                      </w14:textFill>
                    </w:rPr>
                    <w:t>通过隔声、禁止喧哗</w:t>
                  </w:r>
                  <w:r>
                    <w:rPr>
                      <w:rFonts w:hint="eastAsia" w:cs="Times New Roman"/>
                      <w:b w:val="0"/>
                      <w:bCs w:val="0"/>
                      <w:color w:val="000000" w:themeColor="text1"/>
                      <w:sz w:val="21"/>
                      <w:szCs w:val="21"/>
                      <w:highlight w:val="none"/>
                      <w:lang w:val="en-US" w:eastAsia="zh-CN"/>
                      <w14:textFill>
                        <w14:solidFill>
                          <w14:schemeClr w14:val="tx1"/>
                        </w14:solidFill>
                      </w14:textFill>
                    </w:rPr>
                    <w:t>标识</w:t>
                  </w:r>
                  <w:r>
                    <w:rPr>
                      <w:rFonts w:hint="eastAsia" w:ascii="Times New Roman" w:hAnsi="Times New Roman" w:eastAsia="宋体" w:cs="Times New Roman"/>
                      <w:b w:val="0"/>
                      <w:bCs w:val="0"/>
                      <w:color w:val="000000" w:themeColor="text1"/>
                      <w:sz w:val="21"/>
                      <w:szCs w:val="21"/>
                      <w:highlight w:val="none"/>
                      <w:lang w:val="en-US"/>
                      <w14:textFill>
                        <w14:solidFill>
                          <w14:schemeClr w14:val="tx1"/>
                        </w14:solidFill>
                      </w14:textFill>
                    </w:rPr>
                    <w:t>，距离衰减等措施处理后达到相关标准要求</w:t>
                  </w:r>
                </w:p>
              </w:tc>
            </w:tr>
            <w:tr w14:paraId="3CF6E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9" w:type="pct"/>
                  <w:vMerge w:val="continue"/>
                  <w:vAlign w:val="center"/>
                </w:tcPr>
                <w:p w14:paraId="09F43C33">
                  <w:pPr>
                    <w:spacing w:line="240" w:lineRule="auto"/>
                    <w:jc w:val="center"/>
                    <w:rPr>
                      <w:rFonts w:hint="default" w:ascii="Times New Roman" w:hAnsi="Times New Roman" w:cs="Times New Roman"/>
                      <w:b w:val="0"/>
                      <w:bCs w:val="0"/>
                      <w:color w:val="000000" w:themeColor="text1"/>
                      <w:sz w:val="21"/>
                      <w:szCs w:val="21"/>
                      <w:highlight w:val="none"/>
                      <w:lang w:val="en-US"/>
                      <w14:textFill>
                        <w14:solidFill>
                          <w14:schemeClr w14:val="tx1"/>
                        </w14:solidFill>
                      </w14:textFill>
                    </w:rPr>
                  </w:pPr>
                </w:p>
              </w:tc>
              <w:tc>
                <w:tcPr>
                  <w:tcW w:w="518" w:type="pct"/>
                  <w:vAlign w:val="center"/>
                </w:tcPr>
                <w:p w14:paraId="0A480536">
                  <w:pPr>
                    <w:spacing w:line="240" w:lineRule="auto"/>
                    <w:jc w:val="left"/>
                    <w:rPr>
                      <w:rFonts w:hint="eastAsia" w:ascii="Times New Roman" w:hAnsi="Times New Roman" w:eastAsia="宋体" w:cs="Times New Roman"/>
                      <w:b w:val="0"/>
                      <w:bCs w:val="0"/>
                      <w:color w:val="000000" w:themeColor="text1"/>
                      <w:sz w:val="21"/>
                      <w:szCs w:val="21"/>
                      <w:highlight w:val="none"/>
                      <w:lang w:val="en-US"/>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14:textFill>
                        <w14:solidFill>
                          <w14:schemeClr w14:val="tx1"/>
                        </w14:solidFill>
                      </w14:textFill>
                    </w:rPr>
                    <w:t>废气</w:t>
                  </w:r>
                </w:p>
              </w:tc>
              <w:tc>
                <w:tcPr>
                  <w:tcW w:w="4162" w:type="pct"/>
                  <w:gridSpan w:val="2"/>
                  <w:vAlign w:val="center"/>
                </w:tcPr>
                <w:p w14:paraId="181AE5B1">
                  <w:pPr>
                    <w:spacing w:line="240" w:lineRule="auto"/>
                    <w:jc w:val="left"/>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14:textFill>
                        <w14:solidFill>
                          <w14:schemeClr w14:val="tx1"/>
                        </w14:solidFill>
                      </w14:textFill>
                    </w:rPr>
                    <w:t>项目污水处理站恶臭</w:t>
                  </w:r>
                  <w:r>
                    <w:rPr>
                      <w:rFonts w:hint="eastAsia" w:cs="Times New Roman"/>
                      <w:b w:val="0"/>
                      <w:bCs w:val="0"/>
                      <w:color w:val="000000" w:themeColor="text1"/>
                      <w:sz w:val="21"/>
                      <w:szCs w:val="21"/>
                      <w:highlight w:val="none"/>
                      <w:lang w:val="en-US" w:eastAsia="zh-CN"/>
                      <w14:textFill>
                        <w14:solidFill>
                          <w14:schemeClr w14:val="tx1"/>
                        </w14:solidFill>
                      </w14:textFill>
                    </w:rPr>
                    <w:t>采用</w:t>
                  </w:r>
                  <w:r>
                    <w:rPr>
                      <w:rFonts w:hint="eastAsia"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封闭、使用除臭剂，周边绿化等措施处理；</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医疗废物暂存间恶臭</w:t>
                  </w:r>
                  <w:r>
                    <w:rPr>
                      <w:rFonts w:hint="eastAsia" w:cs="Times New Roman"/>
                      <w:b w:val="0"/>
                      <w:bCs w:val="0"/>
                      <w:color w:val="000000" w:themeColor="text1"/>
                      <w:sz w:val="21"/>
                      <w:szCs w:val="21"/>
                      <w:highlight w:val="none"/>
                      <w:lang w:val="en-US" w:eastAsia="zh-CN"/>
                      <w14:textFill>
                        <w14:solidFill>
                          <w14:schemeClr w14:val="tx1"/>
                        </w14:solidFill>
                      </w14:textFill>
                    </w:rPr>
                    <w:t>采用</w:t>
                  </w:r>
                  <w:r>
                    <w:rPr>
                      <w:rFonts w:hint="eastAsia"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及时清运等措施处理</w:t>
                  </w:r>
                  <w:r>
                    <w:rPr>
                      <w:rFonts w:hint="eastAsia" w:cs="Times New Roman"/>
                      <w:b w:val="0"/>
                      <w:bCs w:val="0"/>
                      <w:color w:val="000000" w:themeColor="text1"/>
                      <w:sz w:val="21"/>
                      <w:szCs w:val="21"/>
                      <w:highlight w:val="none"/>
                      <w:u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lang w:val="en-US"/>
                      <w14:textFill>
                        <w14:solidFill>
                          <w14:schemeClr w14:val="tx1"/>
                        </w14:solidFill>
                      </w14:textFill>
                    </w:rPr>
                    <w:t>食堂油烟经过</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抽油烟机</w:t>
                  </w:r>
                  <w:r>
                    <w:rPr>
                      <w:rFonts w:hint="eastAsia" w:ascii="Times New Roman" w:hAnsi="Times New Roman" w:eastAsia="宋体" w:cs="Times New Roman"/>
                      <w:b w:val="0"/>
                      <w:bCs w:val="0"/>
                      <w:color w:val="000000" w:themeColor="text1"/>
                      <w:sz w:val="21"/>
                      <w:szCs w:val="21"/>
                      <w:highlight w:val="none"/>
                      <w:lang w:val="en-US"/>
                      <w14:textFill>
                        <w14:solidFill>
                          <w14:schemeClr w14:val="tx1"/>
                        </w14:solidFill>
                      </w14:textFill>
                    </w:rPr>
                    <w:t>净化后达标排放</w:t>
                  </w:r>
                  <w:r>
                    <w:rPr>
                      <w:rFonts w:hint="eastAsia" w:cs="Times New Roman"/>
                      <w:b w:val="0"/>
                      <w:bCs w:val="0"/>
                      <w:color w:val="000000" w:themeColor="text1"/>
                      <w:sz w:val="21"/>
                      <w:szCs w:val="21"/>
                      <w:highlight w:val="none"/>
                      <w:lang w:val="en-US" w:eastAsia="zh-CN"/>
                      <w14:textFill>
                        <w14:solidFill>
                          <w14:schemeClr w14:val="tx1"/>
                        </w14:solidFill>
                      </w14:textFill>
                    </w:rPr>
                    <w:t>；手术室等含病菌废气经新风系统消毒后排放；煎药室废气经排风扇排放</w:t>
                  </w:r>
                </w:p>
              </w:tc>
            </w:tr>
            <w:tr w14:paraId="6FBD7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9" w:type="pct"/>
                  <w:vMerge w:val="continue"/>
                  <w:vAlign w:val="center"/>
                </w:tcPr>
                <w:p w14:paraId="2A807C77">
                  <w:pPr>
                    <w:spacing w:line="240" w:lineRule="auto"/>
                    <w:jc w:val="center"/>
                    <w:rPr>
                      <w:rFonts w:hint="default" w:ascii="Times New Roman" w:hAnsi="Times New Roman" w:cs="Times New Roman"/>
                      <w:b w:val="0"/>
                      <w:bCs w:val="0"/>
                      <w:color w:val="000000" w:themeColor="text1"/>
                      <w:sz w:val="21"/>
                      <w:szCs w:val="21"/>
                      <w:highlight w:val="none"/>
                      <w:lang w:val="en-US"/>
                      <w14:textFill>
                        <w14:solidFill>
                          <w14:schemeClr w14:val="tx1"/>
                        </w14:solidFill>
                      </w14:textFill>
                    </w:rPr>
                  </w:pPr>
                </w:p>
              </w:tc>
              <w:tc>
                <w:tcPr>
                  <w:tcW w:w="518" w:type="pct"/>
                  <w:shd w:val="clear" w:color="auto" w:fill="auto"/>
                  <w:vAlign w:val="center"/>
                </w:tcPr>
                <w:p w14:paraId="1AE39723">
                  <w:pPr>
                    <w:spacing w:line="240" w:lineRule="auto"/>
                    <w:jc w:val="left"/>
                    <w:rPr>
                      <w:rFonts w:hint="eastAsia" w:ascii="Times New Roman" w:hAnsi="Times New Roman" w:eastAsia="宋体" w:cs="Times New Roman"/>
                      <w:b w:val="0"/>
                      <w:bCs w:val="0"/>
                      <w:color w:val="000000" w:themeColor="text1"/>
                      <w:sz w:val="21"/>
                      <w:szCs w:val="21"/>
                      <w:highlight w:val="none"/>
                      <w:lang w:val="en-US" w:eastAsia="zh-CN" w:bidi="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14:textFill>
                        <w14:solidFill>
                          <w14:schemeClr w14:val="tx1"/>
                        </w14:solidFill>
                      </w14:textFill>
                    </w:rPr>
                    <w:t>固废</w:t>
                  </w:r>
                </w:p>
              </w:tc>
              <w:tc>
                <w:tcPr>
                  <w:tcW w:w="4162" w:type="pct"/>
                  <w:gridSpan w:val="2"/>
                  <w:shd w:val="clear" w:color="auto" w:fill="auto"/>
                  <w:vAlign w:val="center"/>
                </w:tcPr>
                <w:p w14:paraId="0B91490B">
                  <w:pPr>
                    <w:spacing w:line="240" w:lineRule="auto"/>
                    <w:jc w:val="left"/>
                    <w:rPr>
                      <w:rFonts w:hint="eastAsia" w:ascii="Times New Roman" w:hAnsi="Times New Roman" w:eastAsia="宋体" w:cs="Times New Roman"/>
                      <w:b w:val="0"/>
                      <w:bCs w:val="0"/>
                      <w:color w:val="000000" w:themeColor="text1"/>
                      <w:sz w:val="21"/>
                      <w:szCs w:val="21"/>
                      <w:highlight w:val="none"/>
                      <w:lang w:val="en-US" w:eastAsia="zh-CN" w:bidi="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14:textFill>
                        <w14:solidFill>
                          <w14:schemeClr w14:val="tx1"/>
                        </w14:solidFill>
                      </w14:textFill>
                    </w:rPr>
                    <w:t>生活垃圾与医疗废物分开收集，生活垃圾收集后交由当地环卫部门</w:t>
                  </w:r>
                  <w:r>
                    <w:rPr>
                      <w:rFonts w:hint="eastAsia" w:cs="Times New Roman"/>
                      <w:b w:val="0"/>
                      <w:bCs w:val="0"/>
                      <w:color w:val="000000" w:themeColor="text1"/>
                      <w:sz w:val="21"/>
                      <w:szCs w:val="21"/>
                      <w:highlight w:val="none"/>
                      <w:lang w:val="en-US" w:eastAsia="zh-CN"/>
                      <w14:textFill>
                        <w14:solidFill>
                          <w14:schemeClr w14:val="tx1"/>
                        </w14:solidFill>
                      </w14:textFill>
                    </w:rPr>
                    <w:t>清</w:t>
                  </w:r>
                  <w:r>
                    <w:rPr>
                      <w:rFonts w:hint="eastAsia" w:ascii="Times New Roman" w:hAnsi="Times New Roman" w:eastAsia="宋体" w:cs="Times New Roman"/>
                      <w:b w:val="0"/>
                      <w:bCs w:val="0"/>
                      <w:color w:val="000000" w:themeColor="text1"/>
                      <w:sz w:val="21"/>
                      <w:szCs w:val="21"/>
                      <w:highlight w:val="none"/>
                      <w:lang w:val="en-US"/>
                      <w14:textFill>
                        <w14:solidFill>
                          <w14:schemeClr w14:val="tx1"/>
                        </w14:solidFill>
                      </w14:textFill>
                    </w:rPr>
                    <w:t>运；</w:t>
                  </w:r>
                  <w:r>
                    <w:rPr>
                      <w:rFonts w:hint="eastAsia" w:ascii="Times New Roman" w:hAnsi="Times New Roman" w:eastAsia="宋体" w:cs="Times New Roman"/>
                      <w:b w:val="0"/>
                      <w:bCs w:val="0"/>
                      <w:color w:val="000000" w:themeColor="text1"/>
                      <w:sz w:val="21"/>
                      <w:szCs w:val="21"/>
                      <w:highlight w:val="none"/>
                      <w:u w:val="none"/>
                      <w:lang w:val="en-US" w:eastAsia="zh-CN" w:bidi="zh-CN"/>
                      <w14:textFill>
                        <w14:solidFill>
                          <w14:schemeClr w14:val="tx1"/>
                        </w14:solidFill>
                      </w14:textFill>
                    </w:rPr>
                    <w:t>输液瓶（袋）</w:t>
                  </w:r>
                  <w:r>
                    <w:rPr>
                      <w:rFonts w:hint="eastAsia" w:cs="Times New Roman"/>
                      <w:b w:val="0"/>
                      <w:bCs w:val="0"/>
                      <w:color w:val="000000" w:themeColor="text1"/>
                      <w:sz w:val="21"/>
                      <w:szCs w:val="21"/>
                      <w:highlight w:val="none"/>
                      <w:u w:val="none"/>
                      <w:lang w:val="en-US" w:eastAsia="zh-CN" w:bidi="zh-CN"/>
                      <w14:textFill>
                        <w14:solidFill>
                          <w14:schemeClr w14:val="tx1"/>
                        </w14:solidFill>
                      </w14:textFill>
                    </w:rPr>
                    <w:t>、中药渣</w:t>
                  </w:r>
                  <w:r>
                    <w:rPr>
                      <w:rFonts w:hint="eastAsia" w:ascii="Times New Roman" w:hAnsi="Times New Roman" w:eastAsia="宋体" w:cs="Times New Roman"/>
                      <w:b w:val="0"/>
                      <w:bCs w:val="0"/>
                      <w:color w:val="000000" w:themeColor="text1"/>
                      <w:sz w:val="21"/>
                      <w:szCs w:val="21"/>
                      <w:highlight w:val="none"/>
                      <w:u w:val="none"/>
                      <w:lang w:val="en-US" w:eastAsia="zh-CN" w:bidi="zh-CN"/>
                      <w14:textFill>
                        <w14:solidFill>
                          <w14:schemeClr w14:val="tx1"/>
                        </w14:solidFill>
                      </w14:textFill>
                    </w:rPr>
                    <w:t>等</w:t>
                  </w:r>
                  <w:r>
                    <w:rPr>
                      <w:rFonts w:hint="eastAsia" w:cs="Times New Roman"/>
                      <w:b w:val="0"/>
                      <w:bCs w:val="0"/>
                      <w:color w:val="000000" w:themeColor="text1"/>
                      <w:sz w:val="21"/>
                      <w:szCs w:val="21"/>
                      <w:highlight w:val="none"/>
                      <w:u w:val="none"/>
                      <w:lang w:val="en-US" w:eastAsia="zh-CN" w:bidi="zh-CN"/>
                      <w14:textFill>
                        <w14:solidFill>
                          <w14:schemeClr w14:val="tx1"/>
                        </w14:solidFill>
                      </w14:textFill>
                    </w:rPr>
                    <w:t>存放在一般医疗废物暂存间（30</w:t>
                  </w:r>
                  <w:r>
                    <w:rPr>
                      <w:rFonts w:hint="eastAsia" w:cs="Times New Roman"/>
                      <w:color w:val="000000" w:themeColor="text1"/>
                      <w:sz w:val="21"/>
                      <w:szCs w:val="21"/>
                      <w:highlight w:val="none"/>
                      <w:lang w:val="en-US" w:eastAsia="zh-CN"/>
                      <w14:textFill>
                        <w14:solidFill>
                          <w14:schemeClr w14:val="tx1"/>
                        </w14:solidFill>
                      </w14:textFill>
                    </w:rPr>
                    <w:t>m</w:t>
                  </w:r>
                  <w:r>
                    <w:rPr>
                      <w:rFonts w:hint="eastAsia" w:cs="Times New Roman"/>
                      <w:color w:val="000000" w:themeColor="text1"/>
                      <w:sz w:val="21"/>
                      <w:szCs w:val="21"/>
                      <w:highlight w:val="none"/>
                      <w:vertAlign w:val="superscript"/>
                      <w:lang w:val="en-US" w:eastAsia="zh-CN"/>
                      <w14:textFill>
                        <w14:solidFill>
                          <w14:schemeClr w14:val="tx1"/>
                        </w14:solidFill>
                      </w14:textFill>
                    </w:rPr>
                    <w:t>2</w:t>
                  </w:r>
                  <w:r>
                    <w:rPr>
                      <w:rFonts w:hint="eastAsia" w:cs="Times New Roman"/>
                      <w:color w:val="000000" w:themeColor="text1"/>
                      <w:sz w:val="21"/>
                      <w:szCs w:val="21"/>
                      <w:highlight w:val="none"/>
                      <w:vertAlign w:val="baseline"/>
                      <w:lang w:val="en-US" w:eastAsia="zh-CN"/>
                      <w14:textFill>
                        <w14:solidFill>
                          <w14:schemeClr w14:val="tx1"/>
                        </w14:solidFill>
                      </w14:textFill>
                    </w:rPr>
                    <w:t>，位于门诊地下室</w:t>
                  </w:r>
                  <w:r>
                    <w:rPr>
                      <w:rFonts w:hint="eastAsia" w:cs="Times New Roman"/>
                      <w:b w:val="0"/>
                      <w:bCs w:val="0"/>
                      <w:color w:val="000000" w:themeColor="text1"/>
                      <w:sz w:val="21"/>
                      <w:szCs w:val="21"/>
                      <w:highlight w:val="none"/>
                      <w:u w:val="none"/>
                      <w:lang w:val="en-US" w:eastAsia="zh-CN" w:bidi="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u w:val="none"/>
                      <w:lang w:val="en-US" w:eastAsia="zh-CN" w:bidi="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外售其他单位综合利用</w:t>
                  </w:r>
                  <w:r>
                    <w:rPr>
                      <w:rFonts w:hint="eastAsia" w:cs="Times New Roman"/>
                      <w:b w:val="0"/>
                      <w:bCs w:val="0"/>
                      <w:color w:val="000000" w:themeColor="text1"/>
                      <w:sz w:val="21"/>
                      <w:szCs w:val="21"/>
                      <w:highlight w:val="none"/>
                      <w:lang w:val="en-US" w:eastAsia="zh-CN"/>
                      <w14:textFill>
                        <w14:solidFill>
                          <w14:schemeClr w14:val="tx1"/>
                        </w14:solidFill>
                      </w14:textFill>
                    </w:rPr>
                    <w:t>，医疗废物暂存于医废间内（</w:t>
                  </w:r>
                  <w:r>
                    <w:rPr>
                      <w:rFonts w:hint="eastAsia" w:cs="Times New Roman"/>
                      <w:b w:val="0"/>
                      <w:bCs w:val="0"/>
                      <w:color w:val="000000" w:themeColor="text1"/>
                      <w:sz w:val="21"/>
                      <w:szCs w:val="21"/>
                      <w:highlight w:val="none"/>
                      <w:u w:val="none"/>
                      <w:lang w:val="en-US" w:eastAsia="zh-CN" w:bidi="zh-CN"/>
                      <w14:textFill>
                        <w14:solidFill>
                          <w14:schemeClr w14:val="tx1"/>
                        </w14:solidFill>
                      </w14:textFill>
                    </w:rPr>
                    <w:t>20</w:t>
                  </w:r>
                  <w:r>
                    <w:rPr>
                      <w:rFonts w:hint="eastAsia" w:cs="Times New Roman"/>
                      <w:color w:val="000000" w:themeColor="text1"/>
                      <w:sz w:val="21"/>
                      <w:szCs w:val="21"/>
                      <w:highlight w:val="none"/>
                      <w:lang w:val="en-US" w:eastAsia="zh-CN"/>
                      <w14:textFill>
                        <w14:solidFill>
                          <w14:schemeClr w14:val="tx1"/>
                        </w14:solidFill>
                      </w14:textFill>
                    </w:rPr>
                    <w:t>m</w:t>
                  </w:r>
                  <w:r>
                    <w:rPr>
                      <w:rFonts w:hint="eastAsia" w:cs="Times New Roman"/>
                      <w:color w:val="000000" w:themeColor="text1"/>
                      <w:sz w:val="21"/>
                      <w:szCs w:val="21"/>
                      <w:highlight w:val="none"/>
                      <w:vertAlign w:val="superscript"/>
                      <w:lang w:val="en-US" w:eastAsia="zh-CN"/>
                      <w14:textFill>
                        <w14:solidFill>
                          <w14:schemeClr w14:val="tx1"/>
                        </w14:solidFill>
                      </w14:textFill>
                    </w:rPr>
                    <w:t>2</w:t>
                  </w:r>
                  <w:r>
                    <w:rPr>
                      <w:rFonts w:hint="eastAsia" w:cs="Times New Roman"/>
                      <w:color w:val="000000" w:themeColor="text1"/>
                      <w:sz w:val="21"/>
                      <w:szCs w:val="21"/>
                      <w:highlight w:val="none"/>
                      <w:vertAlign w:val="baseline"/>
                      <w:lang w:val="en-US" w:eastAsia="zh-CN"/>
                      <w14:textFill>
                        <w14:solidFill>
                          <w14:schemeClr w14:val="tx1"/>
                        </w14:solidFill>
                      </w14:textFill>
                    </w:rPr>
                    <w:t>，位于门诊地下室</w:t>
                  </w:r>
                  <w:r>
                    <w:rPr>
                      <w:rFonts w:hint="eastAsia" w:cs="Times New Roman"/>
                      <w:b w:val="0"/>
                      <w:bCs w:val="0"/>
                      <w:color w:val="000000" w:themeColor="text1"/>
                      <w:sz w:val="21"/>
                      <w:szCs w:val="21"/>
                      <w:highlight w:val="none"/>
                      <w:lang w:val="en-US" w:eastAsia="zh-CN"/>
                      <w14:textFill>
                        <w14:solidFill>
                          <w14:schemeClr w14:val="tx1"/>
                        </w14:solidFill>
                      </w14:textFill>
                    </w:rPr>
                    <w:t>），交由资质单位处置</w:t>
                  </w:r>
                </w:p>
              </w:tc>
            </w:tr>
            <w:tr w14:paraId="265E0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19" w:type="pct"/>
                  <w:vMerge w:val="continue"/>
                  <w:vAlign w:val="center"/>
                </w:tcPr>
                <w:p w14:paraId="00C706E2">
                  <w:pPr>
                    <w:spacing w:line="240" w:lineRule="auto"/>
                    <w:jc w:val="center"/>
                    <w:rPr>
                      <w:rFonts w:hint="default" w:ascii="Times New Roman" w:hAnsi="Times New Roman" w:cs="Times New Roman"/>
                      <w:b w:val="0"/>
                      <w:bCs w:val="0"/>
                      <w:color w:val="000000" w:themeColor="text1"/>
                      <w:sz w:val="21"/>
                      <w:szCs w:val="21"/>
                      <w:highlight w:val="none"/>
                      <w:lang w:val="en-US"/>
                      <w14:textFill>
                        <w14:solidFill>
                          <w14:schemeClr w14:val="tx1"/>
                        </w14:solidFill>
                      </w14:textFill>
                    </w:rPr>
                  </w:pPr>
                </w:p>
              </w:tc>
              <w:tc>
                <w:tcPr>
                  <w:tcW w:w="518" w:type="pct"/>
                  <w:vAlign w:val="center"/>
                </w:tcPr>
                <w:p w14:paraId="0486013A">
                  <w:pPr>
                    <w:spacing w:line="240" w:lineRule="auto"/>
                    <w:jc w:val="left"/>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环境风险</w:t>
                  </w:r>
                </w:p>
              </w:tc>
              <w:tc>
                <w:tcPr>
                  <w:tcW w:w="4162" w:type="pct"/>
                  <w:gridSpan w:val="2"/>
                  <w:vAlign w:val="center"/>
                </w:tcPr>
                <w:p w14:paraId="75FBCE54">
                  <w:pPr>
                    <w:spacing w:line="240" w:lineRule="auto"/>
                    <w:jc w:val="left"/>
                    <w:rPr>
                      <w:rFonts w:hint="eastAsia" w:ascii="Times New Roman" w:hAnsi="Times New Roman" w:eastAsia="宋体" w:cs="Times New Roman"/>
                      <w:b w:val="0"/>
                      <w:bCs w:val="0"/>
                      <w:color w:val="000000" w:themeColor="text1"/>
                      <w:sz w:val="21"/>
                      <w:szCs w:val="21"/>
                      <w:highlight w:val="none"/>
                      <w:lang w:val="en-US"/>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污水处理站、医废间等需重点防渗，医废转移严格落实</w:t>
                  </w:r>
                  <w:r>
                    <w:rPr>
                      <w:rFonts w:hint="eastAsia" w:ascii="Times New Roman" w:hAnsi="Times New Roman" w:eastAsia="宋体" w:cs="Times New Roman"/>
                      <w:b w:val="0"/>
                      <w:color w:val="000000" w:themeColor="text1"/>
                      <w:kern w:val="0"/>
                      <w:sz w:val="21"/>
                      <w:szCs w:val="21"/>
                      <w:highlight w:val="none"/>
                      <w:u w:val="none"/>
                      <w:lang w:val="en-US" w:eastAsia="zh-CN" w:bidi="ar"/>
                      <w14:textFill>
                        <w14:solidFill>
                          <w14:schemeClr w14:val="tx1"/>
                        </w14:solidFill>
                      </w14:textFill>
                    </w:rPr>
                    <w:t>《</w:t>
                  </w:r>
                  <w:r>
                    <w:rPr>
                      <w:rFonts w:hint="eastAsia" w:cs="Times New Roman"/>
                      <w:b w:val="0"/>
                      <w:color w:val="000000" w:themeColor="text1"/>
                      <w:kern w:val="0"/>
                      <w:sz w:val="21"/>
                      <w:szCs w:val="21"/>
                      <w:highlight w:val="none"/>
                      <w:u w:val="none"/>
                      <w:lang w:val="en-US" w:eastAsia="zh-CN" w:bidi="ar"/>
                      <w14:textFill>
                        <w14:solidFill>
                          <w14:schemeClr w14:val="tx1"/>
                        </w14:solidFill>
                      </w14:textFill>
                    </w:rPr>
                    <w:t>医疗废物管理条例</w:t>
                  </w:r>
                  <w:r>
                    <w:rPr>
                      <w:rFonts w:hint="eastAsia" w:ascii="Times New Roman" w:hAnsi="Times New Roman" w:eastAsia="宋体" w:cs="Times New Roman"/>
                      <w:b w:val="0"/>
                      <w:color w:val="000000" w:themeColor="text1"/>
                      <w:kern w:val="0"/>
                      <w:sz w:val="21"/>
                      <w:szCs w:val="21"/>
                      <w:highlight w:val="none"/>
                      <w:u w:val="none"/>
                      <w:lang w:val="en-US" w:eastAsia="zh-CN" w:bidi="ar"/>
                      <w14:textFill>
                        <w14:solidFill>
                          <w14:schemeClr w14:val="tx1"/>
                        </w14:solidFill>
                      </w14:textFill>
                    </w:rPr>
                    <w:t>》</w:t>
                  </w:r>
                  <w:r>
                    <w:rPr>
                      <w:rFonts w:hint="eastAsia" w:cs="Times New Roman"/>
                      <w:b w:val="0"/>
                      <w:color w:val="000000" w:themeColor="text1"/>
                      <w:kern w:val="0"/>
                      <w:sz w:val="21"/>
                      <w:szCs w:val="21"/>
                      <w:highlight w:val="none"/>
                      <w:u w:val="none"/>
                      <w:lang w:val="en-US" w:eastAsia="zh-CN" w:bidi="ar"/>
                      <w14:textFill>
                        <w14:solidFill>
                          <w14:schemeClr w14:val="tx1"/>
                        </w14:solidFill>
                      </w14:textFill>
                    </w:rPr>
                    <w:t>中医废贮存、转移的相关要求，设置应急池</w:t>
                  </w:r>
                </w:p>
              </w:tc>
            </w:tr>
          </w:tbl>
          <w:p w14:paraId="0184D3CC">
            <w:pPr>
              <w:widowControl/>
              <w:ind w:left="0" w:leftChars="0" w:firstLine="422" w:firstLineChars="200"/>
              <w:jc w:val="center"/>
              <w:rPr>
                <w:rFonts w:hint="eastAsia"/>
                <w:b/>
                <w:bCs/>
                <w:color w:val="FF0000"/>
                <w:sz w:val="21"/>
                <w:szCs w:val="21"/>
                <w:highlight w:val="none"/>
                <w:u w:val="single"/>
                <w:lang w:val="en-US" w:eastAsia="zh-CN"/>
              </w:rPr>
            </w:pPr>
            <w:r>
              <w:rPr>
                <w:rFonts w:hint="eastAsia"/>
                <w:b/>
                <w:bCs/>
                <w:color w:val="FF0000"/>
                <w:sz w:val="21"/>
                <w:szCs w:val="21"/>
                <w:highlight w:val="none"/>
                <w:u w:val="single"/>
                <w:lang w:val="en-US" w:eastAsia="zh-CN"/>
              </w:rPr>
              <w:t>表2-2   主要经济技术指标表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2"/>
              <w:gridCol w:w="1296"/>
              <w:gridCol w:w="1047"/>
              <w:gridCol w:w="4085"/>
            </w:tblGrid>
            <w:tr w14:paraId="02BA5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2" w:type="dxa"/>
                  <w:vAlign w:val="center"/>
                </w:tcPr>
                <w:p w14:paraId="57B9A56B">
                  <w:pPr>
                    <w:widowControl/>
                    <w:jc w:val="center"/>
                    <w:rPr>
                      <w:rFonts w:hint="eastAsia"/>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项目</w:t>
                  </w:r>
                </w:p>
              </w:tc>
              <w:tc>
                <w:tcPr>
                  <w:tcW w:w="1296" w:type="dxa"/>
                  <w:vAlign w:val="center"/>
                </w:tcPr>
                <w:p w14:paraId="3C500327">
                  <w:pPr>
                    <w:widowControl/>
                    <w:jc w:val="center"/>
                    <w:rPr>
                      <w:rFonts w:hint="eastAsia"/>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数值</w:t>
                  </w:r>
                </w:p>
              </w:tc>
              <w:tc>
                <w:tcPr>
                  <w:tcW w:w="1047" w:type="dxa"/>
                  <w:vAlign w:val="center"/>
                </w:tcPr>
                <w:p w14:paraId="1F509102">
                  <w:pPr>
                    <w:widowControl/>
                    <w:jc w:val="center"/>
                    <w:rPr>
                      <w:rFonts w:hint="eastAsia"/>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单位</w:t>
                  </w:r>
                </w:p>
              </w:tc>
              <w:tc>
                <w:tcPr>
                  <w:tcW w:w="4085" w:type="dxa"/>
                  <w:vAlign w:val="center"/>
                </w:tcPr>
                <w:p w14:paraId="2B5B027C">
                  <w:pPr>
                    <w:widowControl/>
                    <w:jc w:val="center"/>
                    <w:rPr>
                      <w:rFonts w:hint="eastAsia"/>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备注</w:t>
                  </w:r>
                </w:p>
              </w:tc>
            </w:tr>
            <w:tr w14:paraId="15A5A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2" w:type="dxa"/>
                  <w:vAlign w:val="center"/>
                </w:tcPr>
                <w:p w14:paraId="143F8C1B">
                  <w:pPr>
                    <w:widowControl/>
                    <w:jc w:val="center"/>
                    <w:rPr>
                      <w:rFonts w:hint="eastAsia"/>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用地面积</w:t>
                  </w:r>
                </w:p>
              </w:tc>
              <w:tc>
                <w:tcPr>
                  <w:tcW w:w="1296" w:type="dxa"/>
                  <w:vAlign w:val="center"/>
                </w:tcPr>
                <w:p w14:paraId="1DF92D6F">
                  <w:pPr>
                    <w:widowControl/>
                    <w:jc w:val="center"/>
                    <w:rPr>
                      <w:rFonts w:hint="default"/>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19992.77</w:t>
                  </w:r>
                </w:p>
              </w:tc>
              <w:tc>
                <w:tcPr>
                  <w:tcW w:w="1047" w:type="dxa"/>
                  <w:vAlign w:val="center"/>
                </w:tcPr>
                <w:p w14:paraId="30A4CC0A">
                  <w:pPr>
                    <w:widowControl/>
                    <w:jc w:val="center"/>
                    <w:rPr>
                      <w:rFonts w:hint="eastAsia"/>
                      <w:b w:val="0"/>
                      <w:bCs w:val="0"/>
                      <w:color w:val="FF0000"/>
                      <w:sz w:val="21"/>
                      <w:szCs w:val="21"/>
                      <w:highlight w:val="none"/>
                      <w:u w:val="single"/>
                      <w:vertAlign w:val="baseline"/>
                      <w:lang w:val="en-US" w:eastAsia="zh-CN"/>
                    </w:rPr>
                  </w:pPr>
                  <w:r>
                    <w:rPr>
                      <w:rFonts w:hint="eastAsia" w:cs="Times New Roman"/>
                      <w:color w:val="FF0000"/>
                      <w:sz w:val="21"/>
                      <w:szCs w:val="21"/>
                      <w:highlight w:val="none"/>
                      <w:u w:val="single"/>
                      <w:lang w:val="en-US" w:eastAsia="zh-CN"/>
                    </w:rPr>
                    <w:t>m</w:t>
                  </w:r>
                  <w:r>
                    <w:rPr>
                      <w:rFonts w:hint="eastAsia" w:cs="Times New Roman"/>
                      <w:color w:val="FF0000"/>
                      <w:sz w:val="21"/>
                      <w:szCs w:val="21"/>
                      <w:highlight w:val="none"/>
                      <w:u w:val="single"/>
                      <w:vertAlign w:val="superscript"/>
                      <w:lang w:val="en-US" w:eastAsia="zh-CN"/>
                    </w:rPr>
                    <w:t>2</w:t>
                  </w:r>
                </w:p>
              </w:tc>
              <w:tc>
                <w:tcPr>
                  <w:tcW w:w="4085" w:type="dxa"/>
                  <w:vAlign w:val="center"/>
                </w:tcPr>
                <w:p w14:paraId="0BB66666">
                  <w:pPr>
                    <w:widowControl/>
                    <w:jc w:val="center"/>
                    <w:rPr>
                      <w:rFonts w:hint="eastAsia"/>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由居住用地调整为医疗卫生用地</w:t>
                  </w:r>
                </w:p>
              </w:tc>
            </w:tr>
            <w:tr w14:paraId="7A5B6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2" w:type="dxa"/>
                  <w:vAlign w:val="center"/>
                </w:tcPr>
                <w:p w14:paraId="1DA39C83">
                  <w:pPr>
                    <w:widowControl/>
                    <w:jc w:val="center"/>
                    <w:rPr>
                      <w:rFonts w:hint="eastAsia"/>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总建筑面积</w:t>
                  </w:r>
                </w:p>
              </w:tc>
              <w:tc>
                <w:tcPr>
                  <w:tcW w:w="1296" w:type="dxa"/>
                  <w:vAlign w:val="center"/>
                </w:tcPr>
                <w:p w14:paraId="7E361222">
                  <w:pPr>
                    <w:widowControl/>
                    <w:jc w:val="center"/>
                    <w:rPr>
                      <w:rFonts w:hint="eastAsia"/>
                      <w:b w:val="0"/>
                      <w:bCs w:val="0"/>
                      <w:color w:val="FF0000"/>
                      <w:sz w:val="21"/>
                      <w:szCs w:val="21"/>
                      <w:highlight w:val="none"/>
                      <w:u w:val="single"/>
                      <w:vertAlign w:val="baseline"/>
                      <w:lang w:val="en-US" w:eastAsia="zh-CN"/>
                    </w:rPr>
                  </w:pPr>
                  <w:r>
                    <w:rPr>
                      <w:rFonts w:hint="eastAsia" w:cs="Times New Roman"/>
                      <w:color w:val="FF0000"/>
                      <w:kern w:val="0"/>
                      <w:sz w:val="21"/>
                      <w:szCs w:val="21"/>
                      <w:u w:val="single"/>
                      <w:lang w:val="en-US" w:eastAsia="zh-CN" w:bidi="zh-CN"/>
                    </w:rPr>
                    <w:t>28600</w:t>
                  </w:r>
                </w:p>
              </w:tc>
              <w:tc>
                <w:tcPr>
                  <w:tcW w:w="1047" w:type="dxa"/>
                  <w:vAlign w:val="center"/>
                </w:tcPr>
                <w:p w14:paraId="4B7B410D">
                  <w:pPr>
                    <w:widowControl/>
                    <w:jc w:val="center"/>
                    <w:rPr>
                      <w:rFonts w:hint="eastAsia"/>
                      <w:b w:val="0"/>
                      <w:bCs w:val="0"/>
                      <w:color w:val="FF0000"/>
                      <w:sz w:val="21"/>
                      <w:szCs w:val="21"/>
                      <w:highlight w:val="none"/>
                      <w:u w:val="single"/>
                      <w:vertAlign w:val="baseline"/>
                      <w:lang w:val="en-US" w:eastAsia="zh-CN"/>
                    </w:rPr>
                  </w:pPr>
                  <w:r>
                    <w:rPr>
                      <w:rFonts w:hint="eastAsia" w:cs="Times New Roman"/>
                      <w:color w:val="FF0000"/>
                      <w:sz w:val="21"/>
                      <w:szCs w:val="21"/>
                      <w:highlight w:val="none"/>
                      <w:u w:val="single"/>
                      <w:lang w:val="en-US" w:eastAsia="zh-CN"/>
                    </w:rPr>
                    <w:t>m</w:t>
                  </w:r>
                  <w:r>
                    <w:rPr>
                      <w:rFonts w:hint="eastAsia" w:cs="Times New Roman"/>
                      <w:color w:val="FF0000"/>
                      <w:sz w:val="21"/>
                      <w:szCs w:val="21"/>
                      <w:highlight w:val="none"/>
                      <w:u w:val="single"/>
                      <w:vertAlign w:val="superscript"/>
                      <w:lang w:val="en-US" w:eastAsia="zh-CN"/>
                    </w:rPr>
                    <w:t>2</w:t>
                  </w:r>
                </w:p>
              </w:tc>
              <w:tc>
                <w:tcPr>
                  <w:tcW w:w="4085" w:type="dxa"/>
                  <w:vAlign w:val="center"/>
                </w:tcPr>
                <w:p w14:paraId="43CD06B0">
                  <w:pPr>
                    <w:widowControl/>
                    <w:jc w:val="center"/>
                    <w:rPr>
                      <w:rFonts w:hint="default"/>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w:t>
                  </w:r>
                </w:p>
              </w:tc>
            </w:tr>
            <w:tr w14:paraId="58CE9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2" w:type="dxa"/>
                  <w:vAlign w:val="center"/>
                </w:tcPr>
                <w:p w14:paraId="0735EF0A">
                  <w:pPr>
                    <w:widowControl/>
                    <w:jc w:val="center"/>
                    <w:rPr>
                      <w:rFonts w:hint="eastAsia"/>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计容建筑面积</w:t>
                  </w:r>
                </w:p>
              </w:tc>
              <w:tc>
                <w:tcPr>
                  <w:tcW w:w="1296" w:type="dxa"/>
                  <w:vAlign w:val="center"/>
                </w:tcPr>
                <w:p w14:paraId="365E87AF">
                  <w:pPr>
                    <w:widowControl/>
                    <w:jc w:val="center"/>
                    <w:rPr>
                      <w:rFonts w:hint="eastAsia"/>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25608.85</w:t>
                  </w:r>
                </w:p>
              </w:tc>
              <w:tc>
                <w:tcPr>
                  <w:tcW w:w="1047" w:type="dxa"/>
                  <w:vAlign w:val="center"/>
                </w:tcPr>
                <w:p w14:paraId="40E55F83">
                  <w:pPr>
                    <w:widowControl/>
                    <w:jc w:val="center"/>
                    <w:rPr>
                      <w:rFonts w:hint="eastAsia"/>
                      <w:b w:val="0"/>
                      <w:bCs w:val="0"/>
                      <w:color w:val="FF0000"/>
                      <w:sz w:val="21"/>
                      <w:szCs w:val="21"/>
                      <w:highlight w:val="none"/>
                      <w:u w:val="single"/>
                      <w:vertAlign w:val="baseline"/>
                      <w:lang w:val="en-US" w:eastAsia="zh-CN"/>
                    </w:rPr>
                  </w:pPr>
                  <w:r>
                    <w:rPr>
                      <w:rFonts w:hint="eastAsia" w:cs="Times New Roman"/>
                      <w:color w:val="FF0000"/>
                      <w:sz w:val="21"/>
                      <w:szCs w:val="21"/>
                      <w:highlight w:val="none"/>
                      <w:u w:val="single"/>
                      <w:lang w:val="en-US" w:eastAsia="zh-CN"/>
                    </w:rPr>
                    <w:t>m</w:t>
                  </w:r>
                  <w:r>
                    <w:rPr>
                      <w:rFonts w:hint="eastAsia" w:cs="Times New Roman"/>
                      <w:color w:val="FF0000"/>
                      <w:sz w:val="21"/>
                      <w:szCs w:val="21"/>
                      <w:highlight w:val="none"/>
                      <w:u w:val="single"/>
                      <w:vertAlign w:val="superscript"/>
                      <w:lang w:val="en-US" w:eastAsia="zh-CN"/>
                    </w:rPr>
                    <w:t>2</w:t>
                  </w:r>
                </w:p>
              </w:tc>
              <w:tc>
                <w:tcPr>
                  <w:tcW w:w="4085" w:type="dxa"/>
                  <w:vAlign w:val="center"/>
                </w:tcPr>
                <w:p w14:paraId="260FD8BF">
                  <w:pPr>
                    <w:widowControl/>
                    <w:jc w:val="center"/>
                    <w:rPr>
                      <w:rFonts w:hint="default"/>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w:t>
                  </w:r>
                </w:p>
              </w:tc>
            </w:tr>
            <w:tr w14:paraId="60B76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2" w:type="dxa"/>
                  <w:vAlign w:val="center"/>
                </w:tcPr>
                <w:p w14:paraId="344975E3">
                  <w:pPr>
                    <w:widowControl/>
                    <w:jc w:val="center"/>
                    <w:rPr>
                      <w:rFonts w:hint="eastAsia"/>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地上建筑面积</w:t>
                  </w:r>
                </w:p>
              </w:tc>
              <w:tc>
                <w:tcPr>
                  <w:tcW w:w="1296" w:type="dxa"/>
                  <w:vAlign w:val="center"/>
                </w:tcPr>
                <w:p w14:paraId="0BCB56C8">
                  <w:pPr>
                    <w:widowControl/>
                    <w:jc w:val="center"/>
                    <w:rPr>
                      <w:rFonts w:hint="default"/>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25608.85</w:t>
                  </w:r>
                </w:p>
              </w:tc>
              <w:tc>
                <w:tcPr>
                  <w:tcW w:w="1047" w:type="dxa"/>
                  <w:vAlign w:val="center"/>
                </w:tcPr>
                <w:p w14:paraId="1946A840">
                  <w:pPr>
                    <w:widowControl/>
                    <w:jc w:val="center"/>
                    <w:rPr>
                      <w:rFonts w:hint="eastAsia"/>
                      <w:b w:val="0"/>
                      <w:bCs w:val="0"/>
                      <w:color w:val="FF0000"/>
                      <w:sz w:val="21"/>
                      <w:szCs w:val="21"/>
                      <w:highlight w:val="none"/>
                      <w:u w:val="single"/>
                      <w:vertAlign w:val="baseline"/>
                      <w:lang w:val="en-US" w:eastAsia="zh-CN"/>
                    </w:rPr>
                  </w:pPr>
                  <w:r>
                    <w:rPr>
                      <w:rFonts w:hint="eastAsia" w:cs="Times New Roman"/>
                      <w:color w:val="FF0000"/>
                      <w:sz w:val="21"/>
                      <w:szCs w:val="21"/>
                      <w:highlight w:val="none"/>
                      <w:u w:val="single"/>
                      <w:lang w:val="en-US" w:eastAsia="zh-CN"/>
                    </w:rPr>
                    <w:t>m</w:t>
                  </w:r>
                  <w:r>
                    <w:rPr>
                      <w:rFonts w:hint="eastAsia" w:cs="Times New Roman"/>
                      <w:color w:val="FF0000"/>
                      <w:sz w:val="21"/>
                      <w:szCs w:val="21"/>
                      <w:highlight w:val="none"/>
                      <w:u w:val="single"/>
                      <w:vertAlign w:val="superscript"/>
                      <w:lang w:val="en-US" w:eastAsia="zh-CN"/>
                    </w:rPr>
                    <w:t>2</w:t>
                  </w:r>
                </w:p>
              </w:tc>
              <w:tc>
                <w:tcPr>
                  <w:tcW w:w="4085" w:type="dxa"/>
                  <w:vAlign w:val="center"/>
                </w:tcPr>
                <w:p w14:paraId="07CA6CF6">
                  <w:pPr>
                    <w:widowControl/>
                    <w:jc w:val="center"/>
                    <w:rPr>
                      <w:rFonts w:hint="default"/>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w:t>
                  </w:r>
                </w:p>
              </w:tc>
            </w:tr>
            <w:tr w14:paraId="4DA7B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2" w:type="dxa"/>
                  <w:vAlign w:val="center"/>
                </w:tcPr>
                <w:p w14:paraId="13FEFF0F">
                  <w:pPr>
                    <w:widowControl/>
                    <w:jc w:val="center"/>
                    <w:rPr>
                      <w:rFonts w:hint="eastAsia"/>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地下建筑面积</w:t>
                  </w:r>
                </w:p>
              </w:tc>
              <w:tc>
                <w:tcPr>
                  <w:tcW w:w="1296" w:type="dxa"/>
                  <w:vAlign w:val="center"/>
                </w:tcPr>
                <w:p w14:paraId="1601C28A">
                  <w:pPr>
                    <w:widowControl/>
                    <w:jc w:val="center"/>
                    <w:rPr>
                      <w:rFonts w:hint="default"/>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2991.15</w:t>
                  </w:r>
                </w:p>
              </w:tc>
              <w:tc>
                <w:tcPr>
                  <w:tcW w:w="1047" w:type="dxa"/>
                  <w:vAlign w:val="center"/>
                </w:tcPr>
                <w:p w14:paraId="7E5A4D87">
                  <w:pPr>
                    <w:widowControl/>
                    <w:jc w:val="center"/>
                    <w:rPr>
                      <w:rFonts w:hint="eastAsia"/>
                      <w:b w:val="0"/>
                      <w:bCs w:val="0"/>
                      <w:color w:val="FF0000"/>
                      <w:sz w:val="21"/>
                      <w:szCs w:val="21"/>
                      <w:highlight w:val="none"/>
                      <w:u w:val="single"/>
                      <w:vertAlign w:val="baseline"/>
                      <w:lang w:val="en-US" w:eastAsia="zh-CN"/>
                    </w:rPr>
                  </w:pPr>
                  <w:r>
                    <w:rPr>
                      <w:rFonts w:hint="eastAsia" w:cs="Times New Roman"/>
                      <w:color w:val="FF0000"/>
                      <w:sz w:val="21"/>
                      <w:szCs w:val="21"/>
                      <w:highlight w:val="none"/>
                      <w:u w:val="single"/>
                      <w:lang w:val="en-US" w:eastAsia="zh-CN"/>
                    </w:rPr>
                    <w:t>m</w:t>
                  </w:r>
                  <w:r>
                    <w:rPr>
                      <w:rFonts w:hint="eastAsia" w:cs="Times New Roman"/>
                      <w:color w:val="FF0000"/>
                      <w:sz w:val="21"/>
                      <w:szCs w:val="21"/>
                      <w:highlight w:val="none"/>
                      <w:u w:val="single"/>
                      <w:vertAlign w:val="superscript"/>
                      <w:lang w:val="en-US" w:eastAsia="zh-CN"/>
                    </w:rPr>
                    <w:t>2</w:t>
                  </w:r>
                </w:p>
              </w:tc>
              <w:tc>
                <w:tcPr>
                  <w:tcW w:w="4085" w:type="dxa"/>
                  <w:vAlign w:val="center"/>
                </w:tcPr>
                <w:p w14:paraId="76C88208">
                  <w:pPr>
                    <w:widowControl/>
                    <w:jc w:val="center"/>
                    <w:rPr>
                      <w:rFonts w:hint="default"/>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w:t>
                  </w:r>
                </w:p>
              </w:tc>
            </w:tr>
            <w:tr w14:paraId="4ACB8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2" w:type="dxa"/>
                  <w:vAlign w:val="center"/>
                </w:tcPr>
                <w:p w14:paraId="72BF4F6D">
                  <w:pPr>
                    <w:widowControl/>
                    <w:jc w:val="center"/>
                    <w:rPr>
                      <w:rFonts w:hint="eastAsia"/>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容积率</w:t>
                  </w:r>
                </w:p>
              </w:tc>
              <w:tc>
                <w:tcPr>
                  <w:tcW w:w="1296" w:type="dxa"/>
                  <w:vAlign w:val="center"/>
                </w:tcPr>
                <w:p w14:paraId="22B9C6E4">
                  <w:pPr>
                    <w:widowControl/>
                    <w:jc w:val="center"/>
                    <w:rPr>
                      <w:rFonts w:hint="default"/>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1.28</w:t>
                  </w:r>
                </w:p>
              </w:tc>
              <w:tc>
                <w:tcPr>
                  <w:tcW w:w="1047" w:type="dxa"/>
                  <w:vAlign w:val="center"/>
                </w:tcPr>
                <w:p w14:paraId="74BA4D06">
                  <w:pPr>
                    <w:widowControl/>
                    <w:jc w:val="center"/>
                    <w:rPr>
                      <w:rFonts w:hint="default"/>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w:t>
                  </w:r>
                </w:p>
              </w:tc>
              <w:tc>
                <w:tcPr>
                  <w:tcW w:w="4085" w:type="dxa"/>
                  <w:vAlign w:val="center"/>
                </w:tcPr>
                <w:p w14:paraId="60348B2A">
                  <w:pPr>
                    <w:widowControl/>
                    <w:jc w:val="center"/>
                    <w:rPr>
                      <w:rFonts w:hint="default"/>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w:t>
                  </w:r>
                </w:p>
              </w:tc>
            </w:tr>
            <w:tr w14:paraId="5426B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2" w:type="dxa"/>
                  <w:vAlign w:val="center"/>
                </w:tcPr>
                <w:p w14:paraId="0CE3AC38">
                  <w:pPr>
                    <w:widowControl/>
                    <w:jc w:val="center"/>
                    <w:rPr>
                      <w:rFonts w:hint="eastAsia"/>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建筑密度</w:t>
                  </w:r>
                </w:p>
              </w:tc>
              <w:tc>
                <w:tcPr>
                  <w:tcW w:w="1296" w:type="dxa"/>
                  <w:vAlign w:val="center"/>
                </w:tcPr>
                <w:p w14:paraId="4D326FC3">
                  <w:pPr>
                    <w:widowControl/>
                    <w:jc w:val="center"/>
                    <w:rPr>
                      <w:rFonts w:hint="default"/>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28.09%</w:t>
                  </w:r>
                </w:p>
              </w:tc>
              <w:tc>
                <w:tcPr>
                  <w:tcW w:w="1047" w:type="dxa"/>
                  <w:vAlign w:val="center"/>
                </w:tcPr>
                <w:p w14:paraId="0575645E">
                  <w:pPr>
                    <w:widowControl/>
                    <w:jc w:val="center"/>
                    <w:rPr>
                      <w:rFonts w:hint="default"/>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w:t>
                  </w:r>
                </w:p>
              </w:tc>
              <w:tc>
                <w:tcPr>
                  <w:tcW w:w="4085" w:type="dxa"/>
                  <w:vAlign w:val="center"/>
                </w:tcPr>
                <w:p w14:paraId="3FC405A6">
                  <w:pPr>
                    <w:widowControl/>
                    <w:jc w:val="center"/>
                    <w:rPr>
                      <w:rFonts w:hint="default"/>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w:t>
                  </w:r>
                </w:p>
              </w:tc>
            </w:tr>
            <w:tr w14:paraId="7E244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2" w:type="dxa"/>
                  <w:vAlign w:val="center"/>
                </w:tcPr>
                <w:p w14:paraId="598F03A2">
                  <w:pPr>
                    <w:widowControl/>
                    <w:jc w:val="center"/>
                    <w:rPr>
                      <w:rFonts w:hint="eastAsia"/>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停车位</w:t>
                  </w:r>
                </w:p>
              </w:tc>
              <w:tc>
                <w:tcPr>
                  <w:tcW w:w="1296" w:type="dxa"/>
                  <w:vAlign w:val="center"/>
                </w:tcPr>
                <w:p w14:paraId="3557DE86">
                  <w:pPr>
                    <w:widowControl/>
                    <w:jc w:val="center"/>
                    <w:rPr>
                      <w:rFonts w:hint="default"/>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260</w:t>
                  </w:r>
                </w:p>
              </w:tc>
              <w:tc>
                <w:tcPr>
                  <w:tcW w:w="1047" w:type="dxa"/>
                  <w:vAlign w:val="center"/>
                </w:tcPr>
                <w:p w14:paraId="46064776">
                  <w:pPr>
                    <w:widowControl/>
                    <w:jc w:val="center"/>
                    <w:rPr>
                      <w:rFonts w:hint="eastAsia"/>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辆</w:t>
                  </w:r>
                </w:p>
              </w:tc>
              <w:tc>
                <w:tcPr>
                  <w:tcW w:w="4085" w:type="dxa"/>
                  <w:vAlign w:val="center"/>
                </w:tcPr>
                <w:p w14:paraId="5CB75EB9">
                  <w:pPr>
                    <w:widowControl/>
                    <w:jc w:val="center"/>
                    <w:rPr>
                      <w:rFonts w:hint="eastAsia"/>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按1辆/100</w:t>
                  </w:r>
                  <w:r>
                    <w:rPr>
                      <w:rFonts w:hint="eastAsia" w:cs="Times New Roman"/>
                      <w:color w:val="FF0000"/>
                      <w:sz w:val="21"/>
                      <w:szCs w:val="21"/>
                      <w:highlight w:val="none"/>
                      <w:u w:val="single"/>
                      <w:lang w:val="en-US" w:eastAsia="zh-CN"/>
                    </w:rPr>
                    <w:t>m</w:t>
                  </w:r>
                  <w:r>
                    <w:rPr>
                      <w:rFonts w:hint="eastAsia" w:cs="Times New Roman"/>
                      <w:color w:val="FF0000"/>
                      <w:sz w:val="21"/>
                      <w:szCs w:val="21"/>
                      <w:highlight w:val="none"/>
                      <w:u w:val="single"/>
                      <w:vertAlign w:val="superscript"/>
                      <w:lang w:val="en-US" w:eastAsia="zh-CN"/>
                    </w:rPr>
                    <w:t>2</w:t>
                  </w:r>
                  <w:r>
                    <w:rPr>
                      <w:rFonts w:hint="eastAsia"/>
                      <w:b w:val="0"/>
                      <w:bCs w:val="0"/>
                      <w:color w:val="FF0000"/>
                      <w:sz w:val="21"/>
                      <w:szCs w:val="21"/>
                      <w:highlight w:val="none"/>
                      <w:u w:val="single"/>
                      <w:vertAlign w:val="baseline"/>
                      <w:lang w:val="en-US" w:eastAsia="zh-CN"/>
                    </w:rPr>
                    <w:t>配置</w:t>
                  </w:r>
                </w:p>
              </w:tc>
            </w:tr>
            <w:tr w14:paraId="2115A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2" w:type="dxa"/>
                  <w:vAlign w:val="center"/>
                </w:tcPr>
                <w:p w14:paraId="17E75B6F">
                  <w:pPr>
                    <w:widowControl/>
                    <w:jc w:val="center"/>
                    <w:rPr>
                      <w:rFonts w:hint="eastAsia"/>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地上停车位</w:t>
                  </w:r>
                </w:p>
              </w:tc>
              <w:tc>
                <w:tcPr>
                  <w:tcW w:w="1296" w:type="dxa"/>
                  <w:vAlign w:val="center"/>
                </w:tcPr>
                <w:p w14:paraId="4E3E166E">
                  <w:pPr>
                    <w:widowControl/>
                    <w:jc w:val="center"/>
                    <w:rPr>
                      <w:rFonts w:hint="default"/>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224</w:t>
                  </w:r>
                </w:p>
              </w:tc>
              <w:tc>
                <w:tcPr>
                  <w:tcW w:w="1047" w:type="dxa"/>
                  <w:vAlign w:val="center"/>
                </w:tcPr>
                <w:p w14:paraId="0A76F4F1">
                  <w:pPr>
                    <w:widowControl/>
                    <w:jc w:val="center"/>
                    <w:rPr>
                      <w:rFonts w:hint="eastAsia"/>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辆</w:t>
                  </w:r>
                </w:p>
              </w:tc>
              <w:tc>
                <w:tcPr>
                  <w:tcW w:w="4085" w:type="dxa"/>
                  <w:vAlign w:val="center"/>
                </w:tcPr>
                <w:p w14:paraId="47FC2B6D">
                  <w:pPr>
                    <w:widowControl/>
                    <w:jc w:val="center"/>
                    <w:rPr>
                      <w:rFonts w:hint="default"/>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w:t>
                  </w:r>
                </w:p>
              </w:tc>
            </w:tr>
            <w:tr w14:paraId="4F328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2" w:type="dxa"/>
                  <w:vAlign w:val="center"/>
                </w:tcPr>
                <w:p w14:paraId="404FCC74">
                  <w:pPr>
                    <w:widowControl/>
                    <w:jc w:val="center"/>
                    <w:rPr>
                      <w:rFonts w:hint="eastAsia"/>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地下停车位</w:t>
                  </w:r>
                </w:p>
              </w:tc>
              <w:tc>
                <w:tcPr>
                  <w:tcW w:w="1296" w:type="dxa"/>
                  <w:vAlign w:val="center"/>
                </w:tcPr>
                <w:p w14:paraId="4CBE9706">
                  <w:pPr>
                    <w:widowControl/>
                    <w:jc w:val="center"/>
                    <w:rPr>
                      <w:rFonts w:hint="default"/>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36</w:t>
                  </w:r>
                </w:p>
              </w:tc>
              <w:tc>
                <w:tcPr>
                  <w:tcW w:w="1047" w:type="dxa"/>
                  <w:vAlign w:val="center"/>
                </w:tcPr>
                <w:p w14:paraId="686E0789">
                  <w:pPr>
                    <w:widowControl/>
                    <w:jc w:val="center"/>
                    <w:rPr>
                      <w:rFonts w:hint="eastAsia"/>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辆</w:t>
                  </w:r>
                </w:p>
              </w:tc>
              <w:tc>
                <w:tcPr>
                  <w:tcW w:w="4085" w:type="dxa"/>
                  <w:vAlign w:val="center"/>
                </w:tcPr>
                <w:p w14:paraId="191AFB84">
                  <w:pPr>
                    <w:widowControl/>
                    <w:jc w:val="center"/>
                    <w:rPr>
                      <w:rFonts w:hint="default"/>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w:t>
                  </w:r>
                </w:p>
              </w:tc>
            </w:tr>
            <w:tr w14:paraId="17B07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2" w:type="dxa"/>
                  <w:vAlign w:val="center"/>
                </w:tcPr>
                <w:p w14:paraId="3A12CF5A">
                  <w:pPr>
                    <w:widowControl/>
                    <w:jc w:val="center"/>
                    <w:rPr>
                      <w:rFonts w:hint="eastAsia"/>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非机动车</w:t>
                  </w:r>
                </w:p>
              </w:tc>
              <w:tc>
                <w:tcPr>
                  <w:tcW w:w="1296" w:type="dxa"/>
                  <w:vAlign w:val="center"/>
                </w:tcPr>
                <w:p w14:paraId="1F505FAF">
                  <w:pPr>
                    <w:widowControl/>
                    <w:jc w:val="center"/>
                    <w:rPr>
                      <w:rFonts w:hint="default"/>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260</w:t>
                  </w:r>
                </w:p>
              </w:tc>
              <w:tc>
                <w:tcPr>
                  <w:tcW w:w="1047" w:type="dxa"/>
                  <w:vAlign w:val="center"/>
                </w:tcPr>
                <w:p w14:paraId="66502172">
                  <w:pPr>
                    <w:widowControl/>
                    <w:jc w:val="center"/>
                    <w:rPr>
                      <w:rFonts w:hint="eastAsia"/>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辆</w:t>
                  </w:r>
                </w:p>
              </w:tc>
              <w:tc>
                <w:tcPr>
                  <w:tcW w:w="4085" w:type="dxa"/>
                  <w:vAlign w:val="center"/>
                </w:tcPr>
                <w:p w14:paraId="4BFFC963">
                  <w:pPr>
                    <w:widowControl/>
                    <w:jc w:val="center"/>
                    <w:rPr>
                      <w:rFonts w:hint="default"/>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按1辆/100</w:t>
                  </w:r>
                  <w:r>
                    <w:rPr>
                      <w:rFonts w:hint="eastAsia" w:cs="Times New Roman"/>
                      <w:color w:val="FF0000"/>
                      <w:sz w:val="21"/>
                      <w:szCs w:val="21"/>
                      <w:highlight w:val="none"/>
                      <w:u w:val="single"/>
                      <w:lang w:val="en-US" w:eastAsia="zh-CN"/>
                    </w:rPr>
                    <w:t>m</w:t>
                  </w:r>
                  <w:r>
                    <w:rPr>
                      <w:rFonts w:hint="eastAsia" w:cs="Times New Roman"/>
                      <w:color w:val="FF0000"/>
                      <w:sz w:val="21"/>
                      <w:szCs w:val="21"/>
                      <w:highlight w:val="none"/>
                      <w:u w:val="single"/>
                      <w:vertAlign w:val="superscript"/>
                      <w:lang w:val="en-US" w:eastAsia="zh-CN"/>
                    </w:rPr>
                    <w:t>2</w:t>
                  </w:r>
                  <w:r>
                    <w:rPr>
                      <w:rFonts w:hint="eastAsia"/>
                      <w:b w:val="0"/>
                      <w:bCs w:val="0"/>
                      <w:color w:val="FF0000"/>
                      <w:sz w:val="21"/>
                      <w:szCs w:val="21"/>
                      <w:highlight w:val="none"/>
                      <w:u w:val="single"/>
                      <w:vertAlign w:val="baseline"/>
                      <w:lang w:val="en-US" w:eastAsia="zh-CN"/>
                    </w:rPr>
                    <w:t>配置，每个车位1.5</w:t>
                  </w:r>
                  <w:r>
                    <w:rPr>
                      <w:rFonts w:hint="eastAsia" w:cs="Times New Roman"/>
                      <w:color w:val="FF0000"/>
                      <w:sz w:val="21"/>
                      <w:szCs w:val="21"/>
                      <w:highlight w:val="none"/>
                      <w:u w:val="single"/>
                      <w:lang w:val="en-US" w:eastAsia="zh-CN"/>
                    </w:rPr>
                    <w:t>m</w:t>
                  </w:r>
                  <w:r>
                    <w:rPr>
                      <w:rFonts w:hint="eastAsia" w:cs="Times New Roman"/>
                      <w:color w:val="FF0000"/>
                      <w:sz w:val="21"/>
                      <w:szCs w:val="21"/>
                      <w:highlight w:val="none"/>
                      <w:u w:val="single"/>
                      <w:vertAlign w:val="superscript"/>
                      <w:lang w:val="en-US" w:eastAsia="zh-CN"/>
                    </w:rPr>
                    <w:t>2</w:t>
                  </w:r>
                  <w:r>
                    <w:rPr>
                      <w:rFonts w:hint="eastAsia" w:cs="宋体"/>
                      <w:color w:val="FF0000"/>
                      <w:sz w:val="21"/>
                      <w:szCs w:val="21"/>
                      <w:highlight w:val="none"/>
                      <w:u w:val="single"/>
                      <w:vertAlign w:val="baseline"/>
                      <w:lang w:val="en-US" w:eastAsia="zh-CN"/>
                    </w:rPr>
                    <w:t>计算</w:t>
                  </w:r>
                </w:p>
              </w:tc>
            </w:tr>
          </w:tbl>
          <w:p w14:paraId="6DABA1FE">
            <w:pPr>
              <w:widowControl/>
              <w:ind w:left="0" w:leftChars="0" w:firstLine="420" w:firstLineChars="200"/>
              <w:jc w:val="both"/>
              <w:rPr>
                <w:rFonts w:hint="eastAsia"/>
                <w:b w:val="0"/>
                <w:bCs w:val="0"/>
                <w:color w:val="FF0000"/>
                <w:sz w:val="21"/>
                <w:szCs w:val="21"/>
                <w:highlight w:val="none"/>
                <w:u w:val="single"/>
                <w:lang w:val="en-US" w:eastAsia="zh-CN"/>
              </w:rPr>
            </w:pPr>
            <w:r>
              <w:rPr>
                <w:rFonts w:hint="eastAsia"/>
                <w:b w:val="0"/>
                <w:bCs w:val="0"/>
                <w:color w:val="FF0000"/>
                <w:sz w:val="21"/>
                <w:szCs w:val="21"/>
                <w:highlight w:val="none"/>
                <w:u w:val="single"/>
                <w:lang w:val="en-US" w:eastAsia="zh-CN"/>
              </w:rPr>
              <w:t>注：实际建设以最终报建设计资料为准。</w:t>
            </w:r>
          </w:p>
          <w:p w14:paraId="1F57D05F">
            <w:pPr>
              <w:widowControl/>
              <w:ind w:left="0" w:leftChars="0" w:firstLine="422" w:firstLineChars="200"/>
              <w:jc w:val="center"/>
              <w:rPr>
                <w:rFonts w:hint="eastAsia"/>
                <w:b/>
                <w:bCs/>
                <w:color w:val="FF0000"/>
                <w:sz w:val="21"/>
                <w:szCs w:val="21"/>
                <w:highlight w:val="none"/>
                <w:u w:val="single"/>
                <w:lang w:val="en-US" w:eastAsia="zh-CN"/>
              </w:rPr>
            </w:pPr>
            <w:r>
              <w:rPr>
                <w:rFonts w:hint="eastAsia"/>
                <w:b/>
                <w:bCs/>
                <w:color w:val="FF0000"/>
                <w:sz w:val="21"/>
                <w:szCs w:val="21"/>
                <w:highlight w:val="none"/>
                <w:u w:val="single"/>
                <w:lang w:val="en-US" w:eastAsia="zh-CN"/>
              </w:rPr>
              <w:t>表2-3   迁建前后对比一览表</w:t>
            </w:r>
          </w:p>
          <w:tbl>
            <w:tblPr>
              <w:tblStyle w:val="35"/>
              <w:tblW w:w="0" w:type="auto"/>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4"/>
              <w:gridCol w:w="2648"/>
              <w:gridCol w:w="2665"/>
              <w:gridCol w:w="2143"/>
            </w:tblGrid>
            <w:tr w14:paraId="1076D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vAlign w:val="center"/>
                </w:tcPr>
                <w:p w14:paraId="10E93D55">
                  <w:pPr>
                    <w:widowControl/>
                    <w:jc w:val="center"/>
                    <w:rPr>
                      <w:rFonts w:hint="eastAsia"/>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内容</w:t>
                  </w:r>
                </w:p>
              </w:tc>
              <w:tc>
                <w:tcPr>
                  <w:tcW w:w="2648" w:type="dxa"/>
                  <w:vAlign w:val="center"/>
                </w:tcPr>
                <w:p w14:paraId="47216DE7">
                  <w:pPr>
                    <w:widowControl/>
                    <w:jc w:val="center"/>
                    <w:rPr>
                      <w:rFonts w:hint="eastAsia"/>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迁建前</w:t>
                  </w:r>
                </w:p>
              </w:tc>
              <w:tc>
                <w:tcPr>
                  <w:tcW w:w="2665" w:type="dxa"/>
                  <w:vAlign w:val="center"/>
                </w:tcPr>
                <w:p w14:paraId="7E340214">
                  <w:pPr>
                    <w:widowControl/>
                    <w:jc w:val="center"/>
                    <w:rPr>
                      <w:rFonts w:hint="eastAsia"/>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迁建后</w:t>
                  </w:r>
                </w:p>
              </w:tc>
              <w:tc>
                <w:tcPr>
                  <w:tcW w:w="2143" w:type="dxa"/>
                  <w:vAlign w:val="center"/>
                </w:tcPr>
                <w:p w14:paraId="3605FBD4">
                  <w:pPr>
                    <w:widowControl/>
                    <w:jc w:val="center"/>
                    <w:rPr>
                      <w:rFonts w:hint="eastAsia"/>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变化情况</w:t>
                  </w:r>
                </w:p>
              </w:tc>
            </w:tr>
            <w:tr w14:paraId="7417D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vAlign w:val="center"/>
                </w:tcPr>
                <w:p w14:paraId="72519C64">
                  <w:pPr>
                    <w:widowControl/>
                    <w:jc w:val="center"/>
                    <w:rPr>
                      <w:rFonts w:hint="eastAsia"/>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床位</w:t>
                  </w:r>
                </w:p>
              </w:tc>
              <w:tc>
                <w:tcPr>
                  <w:tcW w:w="2648" w:type="dxa"/>
                  <w:vAlign w:val="center"/>
                </w:tcPr>
                <w:p w14:paraId="25B2648D">
                  <w:pPr>
                    <w:widowControl/>
                    <w:jc w:val="center"/>
                    <w:rPr>
                      <w:rFonts w:hint="default"/>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100</w:t>
                  </w:r>
                </w:p>
              </w:tc>
              <w:tc>
                <w:tcPr>
                  <w:tcW w:w="2665" w:type="dxa"/>
                  <w:vAlign w:val="center"/>
                </w:tcPr>
                <w:p w14:paraId="23F767D6">
                  <w:pPr>
                    <w:widowControl/>
                    <w:jc w:val="center"/>
                    <w:rPr>
                      <w:rFonts w:hint="default"/>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300</w:t>
                  </w:r>
                </w:p>
              </w:tc>
              <w:tc>
                <w:tcPr>
                  <w:tcW w:w="2143" w:type="dxa"/>
                  <w:vAlign w:val="center"/>
                </w:tcPr>
                <w:p w14:paraId="3A9BAE77">
                  <w:pPr>
                    <w:widowControl/>
                    <w:jc w:val="center"/>
                    <w:rPr>
                      <w:rFonts w:hint="default"/>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新增200张床位</w:t>
                  </w:r>
                </w:p>
              </w:tc>
            </w:tr>
            <w:tr w14:paraId="70792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vAlign w:val="center"/>
                </w:tcPr>
                <w:p w14:paraId="023FB58B">
                  <w:pPr>
                    <w:widowControl/>
                    <w:jc w:val="center"/>
                    <w:rPr>
                      <w:rFonts w:hint="eastAsia"/>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人员</w:t>
                  </w:r>
                </w:p>
              </w:tc>
              <w:tc>
                <w:tcPr>
                  <w:tcW w:w="2648" w:type="dxa"/>
                  <w:vAlign w:val="center"/>
                </w:tcPr>
                <w:p w14:paraId="34A03F79">
                  <w:pPr>
                    <w:widowControl/>
                    <w:jc w:val="center"/>
                    <w:rPr>
                      <w:rFonts w:hint="default"/>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163人，医护人员146人，后勤人员17人</w:t>
                  </w:r>
                </w:p>
              </w:tc>
              <w:tc>
                <w:tcPr>
                  <w:tcW w:w="2665" w:type="dxa"/>
                  <w:vAlign w:val="center"/>
                </w:tcPr>
                <w:p w14:paraId="0A1E3DDB">
                  <w:pPr>
                    <w:widowControl/>
                    <w:jc w:val="center"/>
                    <w:rPr>
                      <w:rFonts w:hint="default"/>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195人，医护人员170人，后勤人员25人</w:t>
                  </w:r>
                </w:p>
              </w:tc>
              <w:tc>
                <w:tcPr>
                  <w:tcW w:w="2143" w:type="dxa"/>
                  <w:vAlign w:val="center"/>
                </w:tcPr>
                <w:p w14:paraId="6FAC0F06">
                  <w:pPr>
                    <w:widowControl/>
                    <w:jc w:val="center"/>
                    <w:rPr>
                      <w:rFonts w:hint="default"/>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新增劳动定员32人</w:t>
                  </w:r>
                </w:p>
              </w:tc>
            </w:tr>
            <w:tr w14:paraId="24E79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vAlign w:val="center"/>
                </w:tcPr>
                <w:p w14:paraId="3383B012">
                  <w:pPr>
                    <w:widowControl/>
                    <w:jc w:val="center"/>
                    <w:rPr>
                      <w:rFonts w:hint="eastAsia"/>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科室设置情况</w:t>
                  </w:r>
                </w:p>
              </w:tc>
              <w:tc>
                <w:tcPr>
                  <w:tcW w:w="2648" w:type="dxa"/>
                  <w:vAlign w:val="center"/>
                </w:tcPr>
                <w:p w14:paraId="0E691CE6">
                  <w:pPr>
                    <w:widowControl/>
                    <w:jc w:val="center"/>
                    <w:rPr>
                      <w:rFonts w:hint="eastAsia"/>
                      <w:b w:val="0"/>
                      <w:bCs w:val="0"/>
                      <w:color w:val="FF0000"/>
                      <w:sz w:val="21"/>
                      <w:szCs w:val="21"/>
                      <w:highlight w:val="none"/>
                      <w:u w:val="single"/>
                      <w:vertAlign w:val="baseline"/>
                      <w:lang w:val="en-US" w:eastAsia="zh-CN"/>
                    </w:rPr>
                  </w:pPr>
                  <w:r>
                    <w:rPr>
                      <w:rFonts w:hint="eastAsia" w:ascii="Times New Roman" w:hAnsi="Times New Roman" w:eastAsia="宋体" w:cs="Times New Roman"/>
                      <w:color w:val="FF0000"/>
                      <w:kern w:val="2"/>
                      <w:sz w:val="21"/>
                      <w:szCs w:val="21"/>
                      <w:u w:val="single"/>
                      <w:lang w:val="en-US" w:eastAsia="zh-CN" w:bidi="ar-SA"/>
                    </w:rPr>
                    <w:t>预防保健科、全科医疗科、内科（呼吸内科专业，消化内科专业，神经内科专业，心血管内科专业，血液内科专业，肾病学专业，老年病专业，其他）、外科（普通外科专业，骨科专业，泌尿外科专业，烧伤科专业，其他）、妇产科（妇科专业，产科专业，其他）、儿科、眼科、耳鼻咽喉科、口腔科、皮肤科、急诊医学科、康复医学科、麻醉科、医学检验科、医学影像科、中医科</w:t>
                  </w:r>
                </w:p>
              </w:tc>
              <w:tc>
                <w:tcPr>
                  <w:tcW w:w="2665" w:type="dxa"/>
                  <w:vAlign w:val="center"/>
                </w:tcPr>
                <w:p w14:paraId="232F572C">
                  <w:pPr>
                    <w:widowControl/>
                    <w:jc w:val="center"/>
                    <w:rPr>
                      <w:rFonts w:hint="eastAsia"/>
                      <w:b w:val="0"/>
                      <w:bCs w:val="0"/>
                      <w:color w:val="FF0000"/>
                      <w:sz w:val="21"/>
                      <w:szCs w:val="21"/>
                      <w:highlight w:val="none"/>
                      <w:u w:val="single"/>
                      <w:vertAlign w:val="baseline"/>
                      <w:lang w:val="en-US" w:eastAsia="zh-CN"/>
                    </w:rPr>
                  </w:pPr>
                  <w:r>
                    <w:rPr>
                      <w:rFonts w:hint="eastAsia" w:ascii="Times New Roman" w:hAnsi="Times New Roman" w:eastAsia="宋体" w:cs="Times New Roman"/>
                      <w:color w:val="FF0000"/>
                      <w:kern w:val="2"/>
                      <w:sz w:val="21"/>
                      <w:szCs w:val="21"/>
                      <w:u w:val="single"/>
                      <w:lang w:val="en-US" w:eastAsia="zh-CN" w:bidi="ar-SA"/>
                    </w:rPr>
                    <w:t>预防保健科、全科医疗科、内科（呼吸内科专业，消化内科专业，神经内科专业，心血管内科专业，血液内科专业，肾病学专业，老年病专业，其他）、外科（普通外科专业，骨科专业，泌尿外科专业，烧伤科专业，其他）、妇产科（妇科专业，产科专业，其他）、儿科、眼科、耳鼻咽喉科、口腔科、皮肤科、急诊医学科、康复医学科、麻醉科、医学检验科、医学影像科、中医科</w:t>
                  </w:r>
                </w:p>
              </w:tc>
              <w:tc>
                <w:tcPr>
                  <w:tcW w:w="2143" w:type="dxa"/>
                  <w:vAlign w:val="center"/>
                </w:tcPr>
                <w:p w14:paraId="16A97038">
                  <w:pPr>
                    <w:widowControl/>
                    <w:jc w:val="center"/>
                    <w:rPr>
                      <w:rFonts w:hint="eastAsia"/>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科室设置保持不变</w:t>
                  </w:r>
                </w:p>
              </w:tc>
            </w:tr>
            <w:tr w14:paraId="4EE04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vAlign w:val="center"/>
                </w:tcPr>
                <w:p w14:paraId="1C1FC628">
                  <w:pPr>
                    <w:widowControl/>
                    <w:jc w:val="center"/>
                    <w:rPr>
                      <w:rFonts w:hint="eastAsia"/>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排水去向</w:t>
                  </w:r>
                </w:p>
              </w:tc>
              <w:tc>
                <w:tcPr>
                  <w:tcW w:w="2648" w:type="dxa"/>
                  <w:vAlign w:val="center"/>
                </w:tcPr>
                <w:p w14:paraId="4729F8AF">
                  <w:pPr>
                    <w:widowControl/>
                    <w:jc w:val="center"/>
                    <w:rPr>
                      <w:rFonts w:hint="eastAsia"/>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低庄镇污水处理厂</w:t>
                  </w:r>
                </w:p>
              </w:tc>
              <w:tc>
                <w:tcPr>
                  <w:tcW w:w="2665" w:type="dxa"/>
                  <w:vAlign w:val="center"/>
                </w:tcPr>
                <w:p w14:paraId="2A836972">
                  <w:pPr>
                    <w:widowControl/>
                    <w:jc w:val="center"/>
                    <w:rPr>
                      <w:rFonts w:hint="eastAsia"/>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低庄镇污水处理厂</w:t>
                  </w:r>
                </w:p>
              </w:tc>
              <w:tc>
                <w:tcPr>
                  <w:tcW w:w="2143" w:type="dxa"/>
                  <w:vAlign w:val="center"/>
                </w:tcPr>
                <w:p w14:paraId="13C83914">
                  <w:pPr>
                    <w:widowControl/>
                    <w:jc w:val="center"/>
                    <w:rPr>
                      <w:rFonts w:hint="eastAsia"/>
                      <w:b w:val="0"/>
                      <w:bCs w:val="0"/>
                      <w:color w:val="FF0000"/>
                      <w:sz w:val="21"/>
                      <w:szCs w:val="21"/>
                      <w:highlight w:val="none"/>
                      <w:u w:val="single"/>
                      <w:vertAlign w:val="baseline"/>
                      <w:lang w:val="en-US" w:eastAsia="zh-CN"/>
                    </w:rPr>
                  </w:pPr>
                  <w:r>
                    <w:rPr>
                      <w:rFonts w:hint="eastAsia"/>
                      <w:b w:val="0"/>
                      <w:bCs w:val="0"/>
                      <w:color w:val="FF0000"/>
                      <w:sz w:val="21"/>
                      <w:szCs w:val="21"/>
                      <w:highlight w:val="none"/>
                      <w:u w:val="single"/>
                      <w:vertAlign w:val="baseline"/>
                      <w:lang w:val="en-US" w:eastAsia="zh-CN"/>
                    </w:rPr>
                    <w:t>污水去向保持不变</w:t>
                  </w:r>
                </w:p>
              </w:tc>
            </w:tr>
          </w:tbl>
          <w:p w14:paraId="752FAAD4">
            <w:pPr>
              <w:widowControl/>
              <w:ind w:left="0" w:leftChars="0" w:firstLine="482" w:firstLineChars="200"/>
              <w:jc w:val="both"/>
              <w:rPr>
                <w:rFonts w:hint="eastAsia" w:eastAsia="宋体"/>
                <w:b/>
                <w:bCs/>
                <w:color w:val="auto"/>
                <w:highlight w:val="none"/>
                <w:u w:val="none"/>
                <w:lang w:eastAsia="zh-CN"/>
              </w:rPr>
            </w:pPr>
            <w:r>
              <w:rPr>
                <w:rFonts w:hint="eastAsia"/>
                <w:b/>
                <w:bCs/>
                <w:color w:val="auto"/>
                <w:highlight w:val="none"/>
                <w:u w:val="none"/>
                <w:lang w:val="en-US" w:eastAsia="zh-CN"/>
              </w:rPr>
              <w:t>2.3</w:t>
            </w:r>
            <w:r>
              <w:rPr>
                <w:rFonts w:hint="eastAsia"/>
                <w:b/>
                <w:bCs/>
                <w:color w:val="auto"/>
                <w:highlight w:val="none"/>
                <w:u w:val="none"/>
              </w:rPr>
              <w:t>主要</w:t>
            </w:r>
            <w:r>
              <w:rPr>
                <w:rFonts w:hint="eastAsia"/>
                <w:b/>
                <w:bCs/>
                <w:color w:val="auto"/>
                <w:highlight w:val="none"/>
                <w:u w:val="none"/>
                <w:lang w:val="en-US" w:eastAsia="zh-CN"/>
              </w:rPr>
              <w:t>设备及原辅材料</w:t>
            </w:r>
          </w:p>
          <w:p w14:paraId="4030EFB6">
            <w:pPr>
              <w:widowControl/>
              <w:spacing w:line="360" w:lineRule="auto"/>
              <w:ind w:firstLine="480" w:firstLineChars="200"/>
              <w:jc w:val="left"/>
              <w:rPr>
                <w:rFonts w:hint="eastAsia" w:eastAsiaTheme="minorEastAsia"/>
                <w:b/>
                <w:bCs/>
                <w:color w:val="auto"/>
                <w:sz w:val="21"/>
                <w:szCs w:val="21"/>
                <w:highlight w:val="none"/>
                <w:u w:val="none"/>
                <w:lang w:eastAsia="zh-CN"/>
              </w:rPr>
            </w:pPr>
            <w:r>
              <w:rPr>
                <w:rFonts w:hint="default" w:ascii="Times New Roman" w:hAnsi="Times New Roman" w:cs="Times New Roman" w:eastAsiaTheme="minorEastAsia"/>
                <w:color w:val="auto"/>
                <w:sz w:val="24"/>
                <w:highlight w:val="none"/>
                <w:u w:val="none"/>
              </w:rPr>
              <w:t>医院主要医疗设备情况见下表</w:t>
            </w:r>
            <w:r>
              <w:rPr>
                <w:rFonts w:hint="eastAsia" w:ascii="Times New Roman" w:hAnsi="Times New Roman" w:cs="Times New Roman" w:eastAsiaTheme="minorEastAsia"/>
                <w:color w:val="auto"/>
                <w:sz w:val="24"/>
                <w:highlight w:val="none"/>
                <w:u w:val="none"/>
                <w:lang w:val="en-US" w:eastAsia="zh-CN"/>
              </w:rPr>
              <w:t>2</w:t>
            </w:r>
            <w:r>
              <w:rPr>
                <w:rFonts w:hint="default" w:ascii="Times New Roman" w:hAnsi="Times New Roman" w:cs="Times New Roman" w:eastAsiaTheme="minorEastAsia"/>
                <w:color w:val="auto"/>
                <w:sz w:val="24"/>
                <w:highlight w:val="none"/>
                <w:u w:val="none"/>
              </w:rPr>
              <w:t>-</w:t>
            </w:r>
            <w:r>
              <w:rPr>
                <w:rFonts w:hint="eastAsia" w:cs="Times New Roman" w:eastAsiaTheme="minorEastAsia"/>
                <w:color w:val="auto"/>
                <w:sz w:val="24"/>
                <w:highlight w:val="none"/>
                <w:u w:val="none"/>
                <w:lang w:val="en-US" w:eastAsia="zh-CN"/>
              </w:rPr>
              <w:t>4</w:t>
            </w:r>
            <w:r>
              <w:rPr>
                <w:rFonts w:hint="eastAsia" w:ascii="Times New Roman" w:hAnsi="Times New Roman" w:cs="Times New Roman" w:eastAsiaTheme="minorEastAsia"/>
                <w:color w:val="auto"/>
                <w:sz w:val="24"/>
                <w:highlight w:val="none"/>
                <w:u w:val="none"/>
                <w:lang w:eastAsia="zh-CN"/>
              </w:rPr>
              <w:t>。</w:t>
            </w:r>
          </w:p>
          <w:p w14:paraId="433C9894">
            <w:pPr>
              <w:widowControl/>
              <w:ind w:firstLine="422" w:firstLineChars="200"/>
              <w:jc w:val="center"/>
              <w:rPr>
                <w:rFonts w:hint="eastAsia"/>
                <w:b/>
                <w:bCs/>
                <w:color w:val="auto"/>
                <w:sz w:val="21"/>
                <w:szCs w:val="21"/>
                <w:highlight w:val="none"/>
                <w:u w:val="none"/>
              </w:rPr>
            </w:pPr>
            <w:r>
              <w:rPr>
                <w:rFonts w:hint="eastAsia"/>
                <w:b/>
                <w:bCs/>
                <w:color w:val="auto"/>
                <w:sz w:val="21"/>
                <w:szCs w:val="21"/>
                <w:highlight w:val="none"/>
                <w:u w:val="none"/>
              </w:rPr>
              <w:t>表2-</w:t>
            </w:r>
            <w:r>
              <w:rPr>
                <w:rFonts w:hint="eastAsia"/>
                <w:b/>
                <w:bCs/>
                <w:color w:val="auto"/>
                <w:sz w:val="21"/>
                <w:szCs w:val="21"/>
                <w:highlight w:val="none"/>
                <w:u w:val="none"/>
                <w:lang w:val="en-US" w:eastAsia="zh-CN"/>
              </w:rPr>
              <w:t>4</w:t>
            </w:r>
            <w:r>
              <w:rPr>
                <w:rFonts w:hint="eastAsia"/>
                <w:b/>
                <w:bCs/>
                <w:color w:val="auto"/>
                <w:sz w:val="21"/>
                <w:szCs w:val="21"/>
                <w:highlight w:val="none"/>
                <w:u w:val="none"/>
              </w:rPr>
              <w:t xml:space="preserve">  </w:t>
            </w:r>
            <w:r>
              <w:rPr>
                <w:rFonts w:hint="eastAsia"/>
                <w:b/>
                <w:bCs/>
                <w:color w:val="auto"/>
                <w:sz w:val="21"/>
                <w:szCs w:val="21"/>
                <w:highlight w:val="none"/>
                <w:u w:val="none"/>
                <w:lang w:val="en-US" w:eastAsia="zh-CN"/>
              </w:rPr>
              <w:t xml:space="preserve"> </w:t>
            </w:r>
            <w:r>
              <w:rPr>
                <w:rFonts w:hint="eastAsia"/>
                <w:b/>
                <w:bCs/>
                <w:color w:val="auto"/>
                <w:sz w:val="21"/>
                <w:szCs w:val="21"/>
                <w:highlight w:val="none"/>
                <w:u w:val="none"/>
              </w:rPr>
              <w:t>项目主要设备一览表</w:t>
            </w:r>
          </w:p>
          <w:tbl>
            <w:tblPr>
              <w:tblStyle w:val="35"/>
              <w:tblW w:w="4998" w:type="pct"/>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790"/>
              <w:gridCol w:w="886"/>
              <w:gridCol w:w="871"/>
              <w:gridCol w:w="2102"/>
              <w:gridCol w:w="2210"/>
            </w:tblGrid>
            <w:tr w14:paraId="28DD4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413" w:type="pct"/>
                  <w:tcBorders>
                    <w:tl2br w:val="nil"/>
                    <w:tr2bl w:val="nil"/>
                  </w:tcBorders>
                  <w:noWrap w:val="0"/>
                  <w:vAlign w:val="center"/>
                </w:tcPr>
                <w:p w14:paraId="58390DA1">
                  <w:pPr>
                    <w:widowControl/>
                    <w:adjustRightInd/>
                    <w:snapToGrid/>
                    <w:ind w:firstLine="0" w:firstLineChars="0"/>
                    <w:jc w:val="center"/>
                    <w:rPr>
                      <w:rFonts w:hint="default" w:ascii="Times New Roman" w:hAnsi="Times New Roman" w:eastAsia="宋体" w:cs="Times New Roman"/>
                      <w:b/>
                      <w:bCs/>
                      <w:color w:val="auto"/>
                      <w:kern w:val="0"/>
                      <w:sz w:val="21"/>
                      <w:szCs w:val="21"/>
                      <w:u w:val="none"/>
                    </w:rPr>
                  </w:pPr>
                  <w:r>
                    <w:rPr>
                      <w:rFonts w:hint="default" w:ascii="Times New Roman" w:hAnsi="Times New Roman" w:eastAsia="宋体" w:cs="Times New Roman"/>
                      <w:b/>
                      <w:bCs/>
                      <w:color w:val="auto"/>
                      <w:kern w:val="0"/>
                      <w:sz w:val="21"/>
                      <w:szCs w:val="21"/>
                      <w:u w:val="none"/>
                    </w:rPr>
                    <w:t>序号</w:t>
                  </w:r>
                </w:p>
              </w:tc>
              <w:tc>
                <w:tcPr>
                  <w:tcW w:w="1044" w:type="pct"/>
                  <w:tcBorders>
                    <w:tl2br w:val="nil"/>
                    <w:tr2bl w:val="nil"/>
                  </w:tcBorders>
                  <w:noWrap w:val="0"/>
                  <w:vAlign w:val="center"/>
                </w:tcPr>
                <w:p w14:paraId="775284C4">
                  <w:pPr>
                    <w:widowControl/>
                    <w:adjustRightInd/>
                    <w:snapToGrid/>
                    <w:ind w:firstLine="0" w:firstLineChars="0"/>
                    <w:jc w:val="center"/>
                    <w:rPr>
                      <w:rFonts w:hint="default" w:ascii="Times New Roman" w:hAnsi="Times New Roman" w:eastAsia="宋体" w:cs="Times New Roman"/>
                      <w:b/>
                      <w:bCs/>
                      <w:color w:val="auto"/>
                      <w:kern w:val="0"/>
                      <w:sz w:val="21"/>
                      <w:szCs w:val="21"/>
                      <w:u w:val="none"/>
                    </w:rPr>
                  </w:pPr>
                  <w:r>
                    <w:rPr>
                      <w:rFonts w:hint="default" w:ascii="Times New Roman" w:hAnsi="Times New Roman" w:eastAsia="宋体" w:cs="Times New Roman"/>
                      <w:b/>
                      <w:bCs/>
                      <w:color w:val="auto"/>
                      <w:kern w:val="0"/>
                      <w:sz w:val="21"/>
                      <w:szCs w:val="21"/>
                      <w:u w:val="none"/>
                    </w:rPr>
                    <w:t>设备名称</w:t>
                  </w:r>
                </w:p>
              </w:tc>
              <w:tc>
                <w:tcPr>
                  <w:tcW w:w="517" w:type="pct"/>
                  <w:tcBorders>
                    <w:tl2br w:val="nil"/>
                    <w:tr2bl w:val="nil"/>
                  </w:tcBorders>
                  <w:noWrap w:val="0"/>
                  <w:vAlign w:val="center"/>
                </w:tcPr>
                <w:p w14:paraId="6E479460">
                  <w:pPr>
                    <w:widowControl/>
                    <w:adjustRightInd/>
                    <w:snapToGrid/>
                    <w:ind w:firstLine="0" w:firstLineChars="0"/>
                    <w:jc w:val="center"/>
                    <w:rPr>
                      <w:rFonts w:hint="default" w:ascii="Times New Roman" w:hAnsi="Times New Roman" w:eastAsia="宋体" w:cs="Times New Roman"/>
                      <w:b/>
                      <w:bCs/>
                      <w:color w:val="auto"/>
                      <w:kern w:val="0"/>
                      <w:sz w:val="21"/>
                      <w:szCs w:val="21"/>
                      <w:u w:val="none"/>
                    </w:rPr>
                  </w:pPr>
                  <w:r>
                    <w:rPr>
                      <w:rFonts w:hint="default" w:ascii="Times New Roman" w:hAnsi="Times New Roman" w:eastAsia="宋体" w:cs="Times New Roman"/>
                      <w:b/>
                      <w:bCs/>
                      <w:color w:val="auto"/>
                      <w:kern w:val="0"/>
                      <w:sz w:val="21"/>
                      <w:szCs w:val="21"/>
                      <w:u w:val="none"/>
                    </w:rPr>
                    <w:t>单位</w:t>
                  </w:r>
                </w:p>
              </w:tc>
              <w:tc>
                <w:tcPr>
                  <w:tcW w:w="508" w:type="pct"/>
                  <w:tcBorders>
                    <w:tl2br w:val="nil"/>
                    <w:tr2bl w:val="nil"/>
                  </w:tcBorders>
                  <w:noWrap w:val="0"/>
                  <w:vAlign w:val="center"/>
                </w:tcPr>
                <w:p w14:paraId="32C80501">
                  <w:pPr>
                    <w:widowControl/>
                    <w:adjustRightInd/>
                    <w:snapToGrid/>
                    <w:ind w:firstLine="0" w:firstLineChars="0"/>
                    <w:jc w:val="center"/>
                    <w:rPr>
                      <w:rFonts w:hint="default" w:ascii="Times New Roman" w:hAnsi="Times New Roman" w:eastAsia="宋体" w:cs="Times New Roman"/>
                      <w:b/>
                      <w:bCs/>
                      <w:color w:val="auto"/>
                      <w:kern w:val="0"/>
                      <w:sz w:val="21"/>
                      <w:szCs w:val="21"/>
                      <w:u w:val="none"/>
                    </w:rPr>
                  </w:pPr>
                  <w:r>
                    <w:rPr>
                      <w:rFonts w:hint="default" w:ascii="Times New Roman" w:hAnsi="Times New Roman" w:eastAsia="宋体" w:cs="Times New Roman"/>
                      <w:b/>
                      <w:bCs/>
                      <w:color w:val="auto"/>
                      <w:kern w:val="0"/>
                      <w:sz w:val="21"/>
                      <w:szCs w:val="21"/>
                      <w:u w:val="none"/>
                    </w:rPr>
                    <w:t>数量</w:t>
                  </w:r>
                </w:p>
              </w:tc>
              <w:tc>
                <w:tcPr>
                  <w:tcW w:w="1226" w:type="pct"/>
                  <w:tcBorders>
                    <w:tl2br w:val="nil"/>
                    <w:tr2bl w:val="nil"/>
                  </w:tcBorders>
                  <w:noWrap w:val="0"/>
                  <w:vAlign w:val="center"/>
                </w:tcPr>
                <w:p w14:paraId="3E4AC42D">
                  <w:pPr>
                    <w:widowControl/>
                    <w:adjustRightInd/>
                    <w:snapToGrid/>
                    <w:ind w:firstLine="0" w:firstLineChars="0"/>
                    <w:jc w:val="center"/>
                    <w:rPr>
                      <w:rFonts w:hint="default" w:ascii="Times New Roman" w:hAnsi="Times New Roman" w:eastAsia="宋体" w:cs="Times New Roman"/>
                      <w:b/>
                      <w:bCs/>
                      <w:color w:val="auto"/>
                      <w:kern w:val="0"/>
                      <w:sz w:val="21"/>
                      <w:szCs w:val="21"/>
                      <w:u w:val="none"/>
                      <w:lang w:eastAsia="zh-CN"/>
                    </w:rPr>
                  </w:pPr>
                  <w:r>
                    <w:rPr>
                      <w:rFonts w:hint="eastAsia" w:cs="Times New Roman"/>
                      <w:b/>
                      <w:bCs/>
                      <w:color w:val="auto"/>
                      <w:kern w:val="0"/>
                      <w:sz w:val="21"/>
                      <w:szCs w:val="21"/>
                      <w:u w:val="none"/>
                      <w:lang w:eastAsia="zh-CN"/>
                    </w:rPr>
                    <w:t>设备型号</w:t>
                  </w:r>
                </w:p>
              </w:tc>
              <w:tc>
                <w:tcPr>
                  <w:tcW w:w="1289" w:type="pct"/>
                  <w:tcBorders>
                    <w:tl2br w:val="nil"/>
                    <w:tr2bl w:val="nil"/>
                  </w:tcBorders>
                  <w:noWrap w:val="0"/>
                  <w:vAlign w:val="center"/>
                </w:tcPr>
                <w:p w14:paraId="0643F726">
                  <w:pPr>
                    <w:widowControl/>
                    <w:adjustRightInd/>
                    <w:snapToGrid/>
                    <w:ind w:firstLine="0" w:firstLineChars="0"/>
                    <w:jc w:val="center"/>
                    <w:rPr>
                      <w:rFonts w:hint="eastAsia" w:cs="Times New Roman"/>
                      <w:b/>
                      <w:bCs/>
                      <w:color w:val="auto"/>
                      <w:kern w:val="0"/>
                      <w:sz w:val="21"/>
                      <w:szCs w:val="21"/>
                      <w:u w:val="none"/>
                      <w:lang w:eastAsia="zh-CN"/>
                    </w:rPr>
                  </w:pPr>
                  <w:r>
                    <w:rPr>
                      <w:rFonts w:hint="eastAsia" w:cs="Times New Roman"/>
                      <w:b/>
                      <w:bCs/>
                      <w:color w:val="auto"/>
                      <w:kern w:val="0"/>
                      <w:sz w:val="21"/>
                      <w:szCs w:val="21"/>
                      <w:u w:val="none"/>
                      <w:lang w:eastAsia="zh-CN"/>
                    </w:rPr>
                    <w:t>备注</w:t>
                  </w:r>
                </w:p>
              </w:tc>
            </w:tr>
            <w:tr w14:paraId="1A770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13" w:type="pct"/>
                  <w:tcBorders>
                    <w:tl2br w:val="nil"/>
                    <w:tr2bl w:val="nil"/>
                  </w:tcBorders>
                  <w:noWrap w:val="0"/>
                  <w:vAlign w:val="center"/>
                </w:tcPr>
                <w:p w14:paraId="4953B7B2">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1</w:t>
                  </w:r>
                </w:p>
              </w:tc>
              <w:tc>
                <w:tcPr>
                  <w:tcW w:w="1044" w:type="pct"/>
                  <w:tcBorders>
                    <w:tl2br w:val="nil"/>
                    <w:tr2bl w:val="nil"/>
                  </w:tcBorders>
                  <w:noWrap w:val="0"/>
                  <w:vAlign w:val="center"/>
                </w:tcPr>
                <w:p w14:paraId="3C1E2AC8">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彩色B超诊断仪</w:t>
                  </w:r>
                </w:p>
              </w:tc>
              <w:tc>
                <w:tcPr>
                  <w:tcW w:w="517" w:type="pct"/>
                  <w:tcBorders>
                    <w:tl2br w:val="nil"/>
                    <w:tr2bl w:val="nil"/>
                  </w:tcBorders>
                  <w:noWrap w:val="0"/>
                  <w:vAlign w:val="center"/>
                </w:tcPr>
                <w:p w14:paraId="1F3FFCD0">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台</w:t>
                  </w:r>
                </w:p>
              </w:tc>
              <w:tc>
                <w:tcPr>
                  <w:tcW w:w="508" w:type="pct"/>
                  <w:tcBorders>
                    <w:tl2br w:val="nil"/>
                    <w:tr2bl w:val="nil"/>
                  </w:tcBorders>
                  <w:noWrap w:val="0"/>
                  <w:vAlign w:val="center"/>
                </w:tcPr>
                <w:p w14:paraId="0EAE235A">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2</w:t>
                  </w:r>
                </w:p>
              </w:tc>
              <w:tc>
                <w:tcPr>
                  <w:tcW w:w="1226" w:type="pct"/>
                  <w:tcBorders>
                    <w:tl2br w:val="nil"/>
                    <w:tr2bl w:val="nil"/>
                  </w:tcBorders>
                  <w:noWrap w:val="0"/>
                  <w:vAlign w:val="center"/>
                </w:tcPr>
                <w:p w14:paraId="01C72297">
                  <w:pPr>
                    <w:widowControl/>
                    <w:adjustRightInd/>
                    <w:snapToGrid/>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2"/>
                      <w:sz w:val="21"/>
                      <w:szCs w:val="21"/>
                      <w:lang w:val="en-US" w:eastAsia="zh-CN" w:bidi="ar-SA"/>
                    </w:rPr>
                    <w:t>ZQ-6600</w:t>
                  </w:r>
                </w:p>
              </w:tc>
              <w:tc>
                <w:tcPr>
                  <w:tcW w:w="1289" w:type="pct"/>
                  <w:tcBorders>
                    <w:tl2br w:val="nil"/>
                    <w:tr2bl w:val="nil"/>
                  </w:tcBorders>
                  <w:noWrap w:val="0"/>
                  <w:vAlign w:val="center"/>
                </w:tcPr>
                <w:p w14:paraId="48096334">
                  <w:pPr>
                    <w:widowControl/>
                    <w:adjustRightInd/>
                    <w:snapToGrid/>
                    <w:ind w:firstLine="0" w:firstLineChars="0"/>
                    <w:jc w:val="center"/>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eastAsia="zh-CN"/>
                    </w:rPr>
                    <w:t>利旧</w:t>
                  </w:r>
                  <w:r>
                    <w:rPr>
                      <w:rFonts w:hint="eastAsia" w:cs="Times New Roman"/>
                      <w:color w:val="auto"/>
                      <w:kern w:val="0"/>
                      <w:sz w:val="21"/>
                      <w:szCs w:val="21"/>
                      <w:u w:val="none"/>
                      <w:lang w:val="en-US" w:eastAsia="zh-CN"/>
                    </w:rPr>
                    <w:t>1台，新增1台</w:t>
                  </w:r>
                </w:p>
              </w:tc>
            </w:tr>
            <w:tr w14:paraId="00CCF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13" w:type="pct"/>
                  <w:tcBorders>
                    <w:tl2br w:val="nil"/>
                    <w:tr2bl w:val="nil"/>
                  </w:tcBorders>
                  <w:noWrap w:val="0"/>
                  <w:vAlign w:val="center"/>
                </w:tcPr>
                <w:p w14:paraId="6A92CBEE">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2</w:t>
                  </w:r>
                </w:p>
              </w:tc>
              <w:tc>
                <w:tcPr>
                  <w:tcW w:w="1044" w:type="pct"/>
                  <w:tcBorders>
                    <w:tl2br w:val="nil"/>
                    <w:tr2bl w:val="nil"/>
                  </w:tcBorders>
                  <w:noWrap w:val="0"/>
                  <w:vAlign w:val="center"/>
                </w:tcPr>
                <w:p w14:paraId="4C161032">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黑白B超</w:t>
                  </w:r>
                </w:p>
              </w:tc>
              <w:tc>
                <w:tcPr>
                  <w:tcW w:w="517" w:type="pct"/>
                  <w:tcBorders>
                    <w:tl2br w:val="nil"/>
                    <w:tr2bl w:val="nil"/>
                  </w:tcBorders>
                  <w:noWrap w:val="0"/>
                  <w:vAlign w:val="center"/>
                </w:tcPr>
                <w:p w14:paraId="500B4602">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台</w:t>
                  </w:r>
                </w:p>
              </w:tc>
              <w:tc>
                <w:tcPr>
                  <w:tcW w:w="508" w:type="pct"/>
                  <w:tcBorders>
                    <w:tl2br w:val="nil"/>
                    <w:tr2bl w:val="nil"/>
                  </w:tcBorders>
                  <w:noWrap w:val="0"/>
                  <w:vAlign w:val="center"/>
                </w:tcPr>
                <w:p w14:paraId="1B8BF75F">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1</w:t>
                  </w:r>
                </w:p>
              </w:tc>
              <w:tc>
                <w:tcPr>
                  <w:tcW w:w="1226" w:type="pct"/>
                  <w:tcBorders>
                    <w:tl2br w:val="nil"/>
                    <w:tr2bl w:val="nil"/>
                  </w:tcBorders>
                  <w:noWrap w:val="0"/>
                  <w:vAlign w:val="center"/>
                </w:tcPr>
                <w:p w14:paraId="1226ED2E">
                  <w:pPr>
                    <w:widowControl/>
                    <w:adjustRightInd/>
                    <w:snapToGrid/>
                    <w:ind w:firstLine="0" w:firstLineChars="0"/>
                    <w:jc w:val="center"/>
                    <w:rPr>
                      <w:rFonts w:hint="eastAsia"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w:t>
                  </w:r>
                </w:p>
              </w:tc>
              <w:tc>
                <w:tcPr>
                  <w:tcW w:w="1289" w:type="pct"/>
                  <w:tcBorders>
                    <w:tl2br w:val="nil"/>
                    <w:tr2bl w:val="nil"/>
                  </w:tcBorders>
                  <w:noWrap w:val="0"/>
                  <w:vAlign w:val="center"/>
                </w:tcPr>
                <w:p w14:paraId="7F3EA252">
                  <w:pPr>
                    <w:widowControl/>
                    <w:adjustRightInd/>
                    <w:snapToGrid/>
                    <w:ind w:firstLine="0" w:firstLineChars="0"/>
                    <w:jc w:val="center"/>
                    <w:rPr>
                      <w:rFonts w:hint="default" w:ascii="Times New Roman" w:hAnsi="Times New Roman" w:eastAsia="宋体" w:cs="Times New Roman"/>
                      <w:color w:val="auto"/>
                      <w:kern w:val="0"/>
                      <w:sz w:val="21"/>
                      <w:szCs w:val="21"/>
                      <w:u w:val="none"/>
                    </w:rPr>
                  </w:pPr>
                  <w:r>
                    <w:rPr>
                      <w:rFonts w:hint="eastAsia" w:cs="Times New Roman"/>
                      <w:color w:val="auto"/>
                      <w:kern w:val="0"/>
                      <w:sz w:val="21"/>
                      <w:szCs w:val="21"/>
                      <w:u w:val="none"/>
                      <w:lang w:eastAsia="zh-CN"/>
                    </w:rPr>
                    <w:t>利旧</w:t>
                  </w:r>
                </w:p>
              </w:tc>
            </w:tr>
            <w:tr w14:paraId="3994F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13" w:type="pct"/>
                  <w:tcBorders>
                    <w:tl2br w:val="nil"/>
                    <w:tr2bl w:val="nil"/>
                  </w:tcBorders>
                  <w:shd w:val="clear" w:color="auto" w:fill="auto"/>
                  <w:noWrap w:val="0"/>
                  <w:vAlign w:val="center"/>
                </w:tcPr>
                <w:p w14:paraId="55BDC209">
                  <w:pPr>
                    <w:widowControl/>
                    <w:ind w:firstLine="0" w:firstLineChars="0"/>
                    <w:jc w:val="center"/>
                    <w:rPr>
                      <w:rFonts w:hint="default" w:ascii="Times New Roman" w:hAnsi="Times New Roman" w:eastAsia="宋体" w:cs="Times New Roman"/>
                      <w:color w:val="auto"/>
                      <w:kern w:val="0"/>
                      <w:sz w:val="21"/>
                      <w:szCs w:val="21"/>
                      <w:u w:val="none"/>
                      <w:lang w:val="zh-CN" w:eastAsia="zh-CN" w:bidi="zh-CN"/>
                    </w:rPr>
                  </w:pPr>
                  <w:r>
                    <w:rPr>
                      <w:rFonts w:hint="default" w:ascii="Times New Roman" w:hAnsi="Times New Roman" w:eastAsia="宋体" w:cs="Times New Roman"/>
                      <w:color w:val="auto"/>
                      <w:sz w:val="21"/>
                      <w:szCs w:val="21"/>
                      <w:u w:val="none"/>
                    </w:rPr>
                    <w:t>3</w:t>
                  </w:r>
                </w:p>
              </w:tc>
              <w:tc>
                <w:tcPr>
                  <w:tcW w:w="1044" w:type="pct"/>
                  <w:tcBorders>
                    <w:tl2br w:val="nil"/>
                    <w:tr2bl w:val="nil"/>
                  </w:tcBorders>
                  <w:noWrap w:val="0"/>
                  <w:vAlign w:val="center"/>
                </w:tcPr>
                <w:p w14:paraId="2E866F9C">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四维彩超</w:t>
                  </w:r>
                </w:p>
              </w:tc>
              <w:tc>
                <w:tcPr>
                  <w:tcW w:w="517" w:type="pct"/>
                  <w:tcBorders>
                    <w:tl2br w:val="nil"/>
                    <w:tr2bl w:val="nil"/>
                  </w:tcBorders>
                  <w:noWrap w:val="0"/>
                  <w:vAlign w:val="center"/>
                </w:tcPr>
                <w:p w14:paraId="44B38519">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台</w:t>
                  </w:r>
                </w:p>
              </w:tc>
              <w:tc>
                <w:tcPr>
                  <w:tcW w:w="508" w:type="pct"/>
                  <w:tcBorders>
                    <w:tl2br w:val="nil"/>
                    <w:tr2bl w:val="nil"/>
                  </w:tcBorders>
                  <w:noWrap w:val="0"/>
                  <w:vAlign w:val="center"/>
                </w:tcPr>
                <w:p w14:paraId="10857D30">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1</w:t>
                  </w:r>
                </w:p>
              </w:tc>
              <w:tc>
                <w:tcPr>
                  <w:tcW w:w="1226" w:type="pct"/>
                  <w:tcBorders>
                    <w:tl2br w:val="nil"/>
                    <w:tr2bl w:val="nil"/>
                  </w:tcBorders>
                  <w:noWrap w:val="0"/>
                  <w:vAlign w:val="center"/>
                </w:tcPr>
                <w:p w14:paraId="01BE03C6">
                  <w:pPr>
                    <w:widowControl/>
                    <w:adjustRightInd/>
                    <w:snapToGrid/>
                    <w:ind w:firstLine="420" w:firstLineChars="200"/>
                    <w:jc w:val="both"/>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2"/>
                      <w:sz w:val="21"/>
                      <w:szCs w:val="21"/>
                      <w:lang w:val="en-US" w:eastAsia="zh-CN" w:bidi="ar-SA"/>
                    </w:rPr>
                    <w:t>ZQ-6600</w:t>
                  </w:r>
                </w:p>
              </w:tc>
              <w:tc>
                <w:tcPr>
                  <w:tcW w:w="1289" w:type="pct"/>
                  <w:tcBorders>
                    <w:tl2br w:val="nil"/>
                    <w:tr2bl w:val="nil"/>
                  </w:tcBorders>
                  <w:noWrap w:val="0"/>
                  <w:vAlign w:val="center"/>
                </w:tcPr>
                <w:p w14:paraId="5EAD35D2">
                  <w:pPr>
                    <w:widowControl/>
                    <w:adjustRightInd/>
                    <w:snapToGrid/>
                    <w:ind w:firstLine="0" w:firstLineChars="0"/>
                    <w:jc w:val="center"/>
                    <w:rPr>
                      <w:rFonts w:hint="default" w:ascii="Times New Roman" w:hAnsi="Times New Roman" w:eastAsia="宋体" w:cs="Times New Roman"/>
                      <w:color w:val="auto"/>
                      <w:kern w:val="0"/>
                      <w:sz w:val="21"/>
                      <w:szCs w:val="21"/>
                      <w:u w:val="none"/>
                    </w:rPr>
                  </w:pPr>
                  <w:r>
                    <w:rPr>
                      <w:rFonts w:hint="eastAsia" w:cs="Times New Roman"/>
                      <w:color w:val="auto"/>
                      <w:kern w:val="0"/>
                      <w:sz w:val="21"/>
                      <w:szCs w:val="21"/>
                      <w:u w:val="none"/>
                      <w:lang w:eastAsia="zh-CN"/>
                    </w:rPr>
                    <w:t>利旧</w:t>
                  </w:r>
                </w:p>
              </w:tc>
            </w:tr>
            <w:tr w14:paraId="30146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413" w:type="pct"/>
                  <w:tcBorders>
                    <w:tl2br w:val="nil"/>
                    <w:tr2bl w:val="nil"/>
                  </w:tcBorders>
                  <w:shd w:val="clear" w:color="auto" w:fill="auto"/>
                  <w:noWrap w:val="0"/>
                  <w:vAlign w:val="center"/>
                </w:tcPr>
                <w:p w14:paraId="41C9A3AB">
                  <w:pPr>
                    <w:widowControl/>
                    <w:ind w:firstLine="0" w:firstLineChars="0"/>
                    <w:jc w:val="center"/>
                    <w:rPr>
                      <w:rFonts w:hint="default" w:ascii="Times New Roman" w:hAnsi="Times New Roman" w:eastAsia="宋体" w:cs="Times New Roman"/>
                      <w:color w:val="auto"/>
                      <w:kern w:val="0"/>
                      <w:sz w:val="21"/>
                      <w:szCs w:val="21"/>
                      <w:u w:val="none"/>
                      <w:lang w:val="zh-CN" w:eastAsia="zh-CN" w:bidi="zh-CN"/>
                    </w:rPr>
                  </w:pPr>
                  <w:r>
                    <w:rPr>
                      <w:rFonts w:hint="default" w:ascii="Times New Roman" w:hAnsi="Times New Roman" w:eastAsia="宋体" w:cs="Times New Roman"/>
                      <w:color w:val="auto"/>
                      <w:sz w:val="21"/>
                      <w:szCs w:val="21"/>
                      <w:u w:val="none"/>
                    </w:rPr>
                    <w:t>4</w:t>
                  </w:r>
                </w:p>
              </w:tc>
              <w:tc>
                <w:tcPr>
                  <w:tcW w:w="1044" w:type="pct"/>
                  <w:tcBorders>
                    <w:tl2br w:val="nil"/>
                    <w:tr2bl w:val="nil"/>
                  </w:tcBorders>
                  <w:noWrap w:val="0"/>
                  <w:vAlign w:val="center"/>
                </w:tcPr>
                <w:p w14:paraId="57F0B372">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500MAX线机（带工作站 ）</w:t>
                  </w:r>
                </w:p>
              </w:tc>
              <w:tc>
                <w:tcPr>
                  <w:tcW w:w="517" w:type="pct"/>
                  <w:tcBorders>
                    <w:tl2br w:val="nil"/>
                    <w:tr2bl w:val="nil"/>
                  </w:tcBorders>
                  <w:noWrap w:val="0"/>
                  <w:vAlign w:val="center"/>
                </w:tcPr>
                <w:p w14:paraId="5E1246BC">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台</w:t>
                  </w:r>
                </w:p>
              </w:tc>
              <w:tc>
                <w:tcPr>
                  <w:tcW w:w="508" w:type="pct"/>
                  <w:tcBorders>
                    <w:tl2br w:val="nil"/>
                    <w:tr2bl w:val="nil"/>
                  </w:tcBorders>
                  <w:noWrap w:val="0"/>
                  <w:vAlign w:val="center"/>
                </w:tcPr>
                <w:p w14:paraId="7F1C5532">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1</w:t>
                  </w:r>
                </w:p>
              </w:tc>
              <w:tc>
                <w:tcPr>
                  <w:tcW w:w="1226" w:type="pct"/>
                  <w:tcBorders>
                    <w:tl2br w:val="nil"/>
                    <w:tr2bl w:val="nil"/>
                  </w:tcBorders>
                  <w:noWrap w:val="0"/>
                  <w:vAlign w:val="center"/>
                </w:tcPr>
                <w:p w14:paraId="4BBC262D">
                  <w:pPr>
                    <w:widowControl/>
                    <w:adjustRightInd/>
                    <w:snapToGrid/>
                    <w:ind w:firstLine="0" w:firstLineChars="0"/>
                    <w:jc w:val="center"/>
                    <w:rPr>
                      <w:rFonts w:hint="eastAsia" w:ascii="Times New Roman" w:hAnsi="Times New Roman" w:eastAsia="宋体" w:cs="Times New Roman"/>
                      <w:color w:val="auto"/>
                      <w:kern w:val="0"/>
                      <w:sz w:val="21"/>
                      <w:szCs w:val="21"/>
                      <w:u w:val="none"/>
                      <w:lang w:eastAsia="zh-CN"/>
                    </w:rPr>
                  </w:pPr>
                  <w:r>
                    <w:rPr>
                      <w:rFonts w:hint="eastAsia" w:cs="Times New Roman"/>
                      <w:color w:val="auto"/>
                      <w:kern w:val="0"/>
                      <w:sz w:val="21"/>
                      <w:szCs w:val="21"/>
                      <w:u w:val="none"/>
                      <w:lang w:eastAsia="zh-CN"/>
                    </w:rPr>
                    <w:t>西门子</w:t>
                  </w:r>
                </w:p>
              </w:tc>
              <w:tc>
                <w:tcPr>
                  <w:tcW w:w="1289" w:type="pct"/>
                  <w:tcBorders>
                    <w:tl2br w:val="nil"/>
                    <w:tr2bl w:val="nil"/>
                  </w:tcBorders>
                  <w:noWrap w:val="0"/>
                  <w:vAlign w:val="center"/>
                </w:tcPr>
                <w:p w14:paraId="754C0E7E">
                  <w:pPr>
                    <w:widowControl/>
                    <w:adjustRightInd/>
                    <w:snapToGrid/>
                    <w:ind w:firstLine="0" w:firstLineChars="0"/>
                    <w:jc w:val="center"/>
                    <w:rPr>
                      <w:rFonts w:hint="default" w:ascii="Times New Roman" w:hAnsi="Times New Roman" w:eastAsia="宋体" w:cs="Times New Roman"/>
                      <w:color w:val="auto"/>
                      <w:kern w:val="0"/>
                      <w:sz w:val="21"/>
                      <w:szCs w:val="21"/>
                      <w:u w:val="none"/>
                    </w:rPr>
                  </w:pPr>
                  <w:r>
                    <w:rPr>
                      <w:rFonts w:hint="eastAsia" w:cs="Times New Roman"/>
                      <w:color w:val="auto"/>
                      <w:kern w:val="0"/>
                      <w:sz w:val="21"/>
                      <w:szCs w:val="21"/>
                      <w:u w:val="none"/>
                      <w:lang w:eastAsia="zh-CN"/>
                    </w:rPr>
                    <w:t>利旧</w:t>
                  </w:r>
                </w:p>
              </w:tc>
            </w:tr>
            <w:tr w14:paraId="56F37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13" w:type="pct"/>
                  <w:tcBorders>
                    <w:tl2br w:val="nil"/>
                    <w:tr2bl w:val="nil"/>
                  </w:tcBorders>
                  <w:shd w:val="clear" w:color="auto" w:fill="auto"/>
                  <w:noWrap w:val="0"/>
                  <w:vAlign w:val="center"/>
                </w:tcPr>
                <w:p w14:paraId="2BEE3F3E">
                  <w:pPr>
                    <w:widowControl/>
                    <w:ind w:firstLine="0" w:firstLineChars="0"/>
                    <w:jc w:val="center"/>
                    <w:rPr>
                      <w:rFonts w:hint="default" w:ascii="Times New Roman" w:hAnsi="Times New Roman" w:eastAsia="宋体" w:cs="Times New Roman"/>
                      <w:color w:val="auto"/>
                      <w:kern w:val="0"/>
                      <w:sz w:val="21"/>
                      <w:szCs w:val="21"/>
                      <w:u w:val="none"/>
                      <w:lang w:val="zh-CN" w:eastAsia="zh-CN" w:bidi="zh-CN"/>
                    </w:rPr>
                  </w:pPr>
                  <w:r>
                    <w:rPr>
                      <w:rFonts w:hint="default" w:ascii="Times New Roman" w:hAnsi="Times New Roman" w:eastAsia="宋体" w:cs="Times New Roman"/>
                      <w:color w:val="auto"/>
                      <w:sz w:val="21"/>
                      <w:szCs w:val="21"/>
                      <w:u w:val="none"/>
                    </w:rPr>
                    <w:t>5</w:t>
                  </w:r>
                </w:p>
              </w:tc>
              <w:tc>
                <w:tcPr>
                  <w:tcW w:w="1044" w:type="pct"/>
                  <w:tcBorders>
                    <w:tl2br w:val="nil"/>
                    <w:tr2bl w:val="nil"/>
                  </w:tcBorders>
                  <w:noWrap w:val="0"/>
                  <w:vAlign w:val="center"/>
                </w:tcPr>
                <w:p w14:paraId="2F8977D1">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200MAX线机</w:t>
                  </w:r>
                </w:p>
              </w:tc>
              <w:tc>
                <w:tcPr>
                  <w:tcW w:w="517" w:type="pct"/>
                  <w:tcBorders>
                    <w:tl2br w:val="nil"/>
                    <w:tr2bl w:val="nil"/>
                  </w:tcBorders>
                  <w:noWrap w:val="0"/>
                  <w:vAlign w:val="center"/>
                </w:tcPr>
                <w:p w14:paraId="5A11BE7B">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台</w:t>
                  </w:r>
                </w:p>
              </w:tc>
              <w:tc>
                <w:tcPr>
                  <w:tcW w:w="508" w:type="pct"/>
                  <w:tcBorders>
                    <w:tl2br w:val="nil"/>
                    <w:tr2bl w:val="nil"/>
                  </w:tcBorders>
                  <w:noWrap w:val="0"/>
                  <w:vAlign w:val="center"/>
                </w:tcPr>
                <w:p w14:paraId="74193874">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1</w:t>
                  </w:r>
                </w:p>
              </w:tc>
              <w:tc>
                <w:tcPr>
                  <w:tcW w:w="1226" w:type="pct"/>
                  <w:tcBorders>
                    <w:tl2br w:val="nil"/>
                    <w:tr2bl w:val="nil"/>
                  </w:tcBorders>
                  <w:noWrap w:val="0"/>
                  <w:vAlign w:val="center"/>
                </w:tcPr>
                <w:p w14:paraId="2749905C">
                  <w:pPr>
                    <w:widowControl/>
                    <w:adjustRightInd/>
                    <w:snapToGrid/>
                    <w:ind w:firstLine="0" w:firstLineChars="0"/>
                    <w:jc w:val="center"/>
                    <w:rPr>
                      <w:rFonts w:hint="default" w:ascii="Times New Roman" w:hAnsi="Times New Roman" w:eastAsia="宋体" w:cs="Times New Roman"/>
                      <w:color w:val="auto"/>
                      <w:kern w:val="0"/>
                      <w:sz w:val="21"/>
                      <w:szCs w:val="21"/>
                      <w:u w:val="none"/>
                    </w:rPr>
                  </w:pPr>
                  <w:r>
                    <w:rPr>
                      <w:rFonts w:hint="eastAsia" w:cs="Times New Roman"/>
                      <w:color w:val="auto"/>
                      <w:kern w:val="0"/>
                      <w:sz w:val="21"/>
                      <w:szCs w:val="21"/>
                      <w:u w:val="none"/>
                      <w:lang w:eastAsia="zh-CN"/>
                    </w:rPr>
                    <w:t>西门子</w:t>
                  </w:r>
                </w:p>
              </w:tc>
              <w:tc>
                <w:tcPr>
                  <w:tcW w:w="1289" w:type="pct"/>
                  <w:tcBorders>
                    <w:tl2br w:val="nil"/>
                    <w:tr2bl w:val="nil"/>
                  </w:tcBorders>
                  <w:noWrap w:val="0"/>
                  <w:vAlign w:val="center"/>
                </w:tcPr>
                <w:p w14:paraId="7FDDD1E2">
                  <w:pPr>
                    <w:widowControl/>
                    <w:adjustRightInd/>
                    <w:snapToGrid/>
                    <w:ind w:firstLine="0" w:firstLineChars="0"/>
                    <w:jc w:val="center"/>
                    <w:rPr>
                      <w:rFonts w:hint="default" w:ascii="Times New Roman" w:hAnsi="Times New Roman" w:eastAsia="宋体" w:cs="Times New Roman"/>
                      <w:color w:val="auto"/>
                      <w:kern w:val="0"/>
                      <w:sz w:val="21"/>
                      <w:szCs w:val="21"/>
                      <w:u w:val="none"/>
                    </w:rPr>
                  </w:pPr>
                  <w:r>
                    <w:rPr>
                      <w:rFonts w:hint="eastAsia" w:cs="Times New Roman"/>
                      <w:color w:val="auto"/>
                      <w:kern w:val="0"/>
                      <w:sz w:val="21"/>
                      <w:szCs w:val="21"/>
                      <w:u w:val="none"/>
                      <w:lang w:eastAsia="zh-CN"/>
                    </w:rPr>
                    <w:t>利旧</w:t>
                  </w:r>
                </w:p>
              </w:tc>
            </w:tr>
            <w:tr w14:paraId="364BC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13" w:type="pct"/>
                  <w:tcBorders>
                    <w:tl2br w:val="nil"/>
                    <w:tr2bl w:val="nil"/>
                  </w:tcBorders>
                  <w:shd w:val="clear" w:color="auto" w:fill="auto"/>
                  <w:noWrap w:val="0"/>
                  <w:vAlign w:val="center"/>
                </w:tcPr>
                <w:p w14:paraId="19D88825">
                  <w:pPr>
                    <w:widowControl/>
                    <w:ind w:firstLine="0" w:firstLineChars="0"/>
                    <w:jc w:val="center"/>
                    <w:rPr>
                      <w:rFonts w:hint="default" w:ascii="Times New Roman" w:hAnsi="Times New Roman" w:eastAsia="宋体" w:cs="Times New Roman"/>
                      <w:color w:val="auto"/>
                      <w:kern w:val="0"/>
                      <w:sz w:val="21"/>
                      <w:szCs w:val="21"/>
                      <w:u w:val="none"/>
                      <w:lang w:val="zh-CN" w:eastAsia="zh-CN" w:bidi="zh-CN"/>
                    </w:rPr>
                  </w:pPr>
                  <w:r>
                    <w:rPr>
                      <w:rFonts w:hint="default" w:ascii="Times New Roman" w:hAnsi="Times New Roman" w:eastAsia="宋体" w:cs="Times New Roman"/>
                      <w:color w:val="auto"/>
                      <w:sz w:val="21"/>
                      <w:szCs w:val="21"/>
                      <w:u w:val="none"/>
                    </w:rPr>
                    <w:t>6</w:t>
                  </w:r>
                </w:p>
              </w:tc>
              <w:tc>
                <w:tcPr>
                  <w:tcW w:w="1044" w:type="pct"/>
                  <w:tcBorders>
                    <w:tl2br w:val="nil"/>
                    <w:tr2bl w:val="nil"/>
                  </w:tcBorders>
                  <w:noWrap w:val="0"/>
                  <w:vAlign w:val="center"/>
                </w:tcPr>
                <w:p w14:paraId="75111CD8">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电子阴道镜</w:t>
                  </w:r>
                </w:p>
              </w:tc>
              <w:tc>
                <w:tcPr>
                  <w:tcW w:w="517" w:type="pct"/>
                  <w:tcBorders>
                    <w:tl2br w:val="nil"/>
                    <w:tr2bl w:val="nil"/>
                  </w:tcBorders>
                  <w:noWrap w:val="0"/>
                  <w:vAlign w:val="center"/>
                </w:tcPr>
                <w:p w14:paraId="083054A9">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台</w:t>
                  </w:r>
                </w:p>
              </w:tc>
              <w:tc>
                <w:tcPr>
                  <w:tcW w:w="508" w:type="pct"/>
                  <w:tcBorders>
                    <w:tl2br w:val="nil"/>
                    <w:tr2bl w:val="nil"/>
                  </w:tcBorders>
                  <w:noWrap w:val="0"/>
                  <w:vAlign w:val="center"/>
                </w:tcPr>
                <w:p w14:paraId="047F22BE">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1</w:t>
                  </w:r>
                </w:p>
              </w:tc>
              <w:tc>
                <w:tcPr>
                  <w:tcW w:w="1226" w:type="pct"/>
                  <w:tcBorders>
                    <w:tl2br w:val="nil"/>
                    <w:tr2bl w:val="nil"/>
                  </w:tcBorders>
                  <w:noWrap w:val="0"/>
                  <w:vAlign w:val="center"/>
                </w:tcPr>
                <w:p w14:paraId="490F61FB">
                  <w:pPr>
                    <w:widowControl/>
                    <w:adjustRightInd/>
                    <w:snapToGrid/>
                    <w:ind w:firstLine="0" w:firstLineChars="0"/>
                    <w:jc w:val="center"/>
                    <w:rPr>
                      <w:rFonts w:hint="eastAsia"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w:t>
                  </w:r>
                </w:p>
              </w:tc>
              <w:tc>
                <w:tcPr>
                  <w:tcW w:w="1289" w:type="pct"/>
                  <w:tcBorders>
                    <w:tl2br w:val="nil"/>
                    <w:tr2bl w:val="nil"/>
                  </w:tcBorders>
                  <w:noWrap w:val="0"/>
                  <w:vAlign w:val="center"/>
                </w:tcPr>
                <w:p w14:paraId="3B255F91">
                  <w:pPr>
                    <w:widowControl/>
                    <w:adjustRightInd/>
                    <w:snapToGrid/>
                    <w:ind w:firstLine="0" w:firstLineChars="0"/>
                    <w:jc w:val="center"/>
                    <w:rPr>
                      <w:rFonts w:hint="default" w:ascii="Times New Roman" w:hAnsi="Times New Roman" w:eastAsia="宋体" w:cs="Times New Roman"/>
                      <w:color w:val="auto"/>
                      <w:kern w:val="0"/>
                      <w:sz w:val="21"/>
                      <w:szCs w:val="21"/>
                      <w:u w:val="none"/>
                    </w:rPr>
                  </w:pPr>
                  <w:r>
                    <w:rPr>
                      <w:rFonts w:hint="eastAsia" w:cs="Times New Roman"/>
                      <w:color w:val="auto"/>
                      <w:kern w:val="0"/>
                      <w:sz w:val="21"/>
                      <w:szCs w:val="21"/>
                      <w:u w:val="none"/>
                      <w:lang w:eastAsia="zh-CN"/>
                    </w:rPr>
                    <w:t>利旧</w:t>
                  </w:r>
                </w:p>
              </w:tc>
            </w:tr>
            <w:tr w14:paraId="24A5F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13" w:type="pct"/>
                  <w:tcBorders>
                    <w:tl2br w:val="nil"/>
                    <w:tr2bl w:val="nil"/>
                  </w:tcBorders>
                  <w:shd w:val="clear" w:color="auto" w:fill="auto"/>
                  <w:noWrap w:val="0"/>
                  <w:vAlign w:val="center"/>
                </w:tcPr>
                <w:p w14:paraId="61341BA1">
                  <w:pPr>
                    <w:widowControl/>
                    <w:ind w:firstLine="0" w:firstLineChars="0"/>
                    <w:jc w:val="center"/>
                    <w:rPr>
                      <w:rFonts w:hint="default" w:ascii="Times New Roman" w:hAnsi="Times New Roman" w:eastAsia="宋体" w:cs="Times New Roman"/>
                      <w:color w:val="auto"/>
                      <w:kern w:val="0"/>
                      <w:sz w:val="21"/>
                      <w:szCs w:val="21"/>
                      <w:u w:val="none"/>
                      <w:lang w:val="zh-CN" w:eastAsia="zh-CN" w:bidi="zh-CN"/>
                    </w:rPr>
                  </w:pPr>
                  <w:r>
                    <w:rPr>
                      <w:rFonts w:hint="default" w:ascii="Times New Roman" w:hAnsi="Times New Roman" w:eastAsia="宋体" w:cs="Times New Roman"/>
                      <w:color w:val="auto"/>
                      <w:sz w:val="21"/>
                      <w:szCs w:val="21"/>
                      <w:u w:val="none"/>
                    </w:rPr>
                    <w:t>7</w:t>
                  </w:r>
                </w:p>
              </w:tc>
              <w:tc>
                <w:tcPr>
                  <w:tcW w:w="1044" w:type="pct"/>
                  <w:tcBorders>
                    <w:tl2br w:val="nil"/>
                    <w:tr2bl w:val="nil"/>
                  </w:tcBorders>
                  <w:noWrap w:val="0"/>
                  <w:vAlign w:val="center"/>
                </w:tcPr>
                <w:p w14:paraId="50D31190">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纤维结肠镜</w:t>
                  </w:r>
                </w:p>
              </w:tc>
              <w:tc>
                <w:tcPr>
                  <w:tcW w:w="517" w:type="pct"/>
                  <w:tcBorders>
                    <w:tl2br w:val="nil"/>
                    <w:tr2bl w:val="nil"/>
                  </w:tcBorders>
                  <w:noWrap w:val="0"/>
                  <w:vAlign w:val="center"/>
                </w:tcPr>
                <w:p w14:paraId="6DADB260">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台</w:t>
                  </w:r>
                </w:p>
              </w:tc>
              <w:tc>
                <w:tcPr>
                  <w:tcW w:w="508" w:type="pct"/>
                  <w:tcBorders>
                    <w:tl2br w:val="nil"/>
                    <w:tr2bl w:val="nil"/>
                  </w:tcBorders>
                  <w:noWrap w:val="0"/>
                  <w:vAlign w:val="center"/>
                </w:tcPr>
                <w:p w14:paraId="2168E761">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1</w:t>
                  </w:r>
                </w:p>
              </w:tc>
              <w:tc>
                <w:tcPr>
                  <w:tcW w:w="1226" w:type="pct"/>
                  <w:tcBorders>
                    <w:tl2br w:val="nil"/>
                    <w:tr2bl w:val="nil"/>
                  </w:tcBorders>
                  <w:noWrap w:val="0"/>
                  <w:vAlign w:val="center"/>
                </w:tcPr>
                <w:p w14:paraId="150E9102">
                  <w:pPr>
                    <w:widowControl/>
                    <w:adjustRightInd/>
                    <w:snapToGrid/>
                    <w:ind w:firstLine="0" w:firstLineChars="0"/>
                    <w:jc w:val="center"/>
                    <w:rPr>
                      <w:rFonts w:hint="eastAsia"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w:t>
                  </w:r>
                </w:p>
              </w:tc>
              <w:tc>
                <w:tcPr>
                  <w:tcW w:w="1289" w:type="pct"/>
                  <w:tcBorders>
                    <w:tl2br w:val="nil"/>
                    <w:tr2bl w:val="nil"/>
                  </w:tcBorders>
                  <w:noWrap w:val="0"/>
                  <w:vAlign w:val="center"/>
                </w:tcPr>
                <w:p w14:paraId="452D230C">
                  <w:pPr>
                    <w:widowControl/>
                    <w:adjustRightInd/>
                    <w:snapToGrid/>
                    <w:ind w:firstLine="0" w:firstLineChars="0"/>
                    <w:jc w:val="center"/>
                    <w:rPr>
                      <w:rFonts w:hint="default" w:ascii="Times New Roman" w:hAnsi="Times New Roman" w:eastAsia="宋体" w:cs="Times New Roman"/>
                      <w:color w:val="auto"/>
                      <w:kern w:val="0"/>
                      <w:sz w:val="21"/>
                      <w:szCs w:val="21"/>
                      <w:u w:val="none"/>
                    </w:rPr>
                  </w:pPr>
                  <w:r>
                    <w:rPr>
                      <w:rFonts w:hint="eastAsia" w:cs="Times New Roman"/>
                      <w:color w:val="auto"/>
                      <w:kern w:val="0"/>
                      <w:sz w:val="21"/>
                      <w:szCs w:val="21"/>
                      <w:u w:val="none"/>
                      <w:lang w:eastAsia="zh-CN"/>
                    </w:rPr>
                    <w:t>利旧</w:t>
                  </w:r>
                </w:p>
              </w:tc>
            </w:tr>
            <w:tr w14:paraId="4B5EE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13" w:type="pct"/>
                  <w:tcBorders>
                    <w:tl2br w:val="nil"/>
                    <w:tr2bl w:val="nil"/>
                  </w:tcBorders>
                  <w:shd w:val="clear" w:color="auto" w:fill="auto"/>
                  <w:noWrap w:val="0"/>
                  <w:vAlign w:val="center"/>
                </w:tcPr>
                <w:p w14:paraId="3653D6F5">
                  <w:pPr>
                    <w:widowControl/>
                    <w:ind w:firstLine="0" w:firstLineChars="0"/>
                    <w:jc w:val="center"/>
                    <w:rPr>
                      <w:rFonts w:hint="default" w:ascii="Times New Roman" w:hAnsi="Times New Roman" w:eastAsia="宋体" w:cs="Times New Roman"/>
                      <w:color w:val="auto"/>
                      <w:kern w:val="0"/>
                      <w:sz w:val="21"/>
                      <w:szCs w:val="21"/>
                      <w:u w:val="none"/>
                      <w:lang w:val="zh-CN" w:eastAsia="zh-CN" w:bidi="zh-CN"/>
                    </w:rPr>
                  </w:pPr>
                  <w:r>
                    <w:rPr>
                      <w:rFonts w:hint="default" w:ascii="Times New Roman" w:hAnsi="Times New Roman" w:eastAsia="宋体" w:cs="Times New Roman"/>
                      <w:color w:val="auto"/>
                      <w:sz w:val="21"/>
                      <w:szCs w:val="21"/>
                      <w:u w:val="none"/>
                    </w:rPr>
                    <w:t>8</w:t>
                  </w:r>
                </w:p>
              </w:tc>
              <w:tc>
                <w:tcPr>
                  <w:tcW w:w="1044" w:type="pct"/>
                  <w:tcBorders>
                    <w:tl2br w:val="nil"/>
                    <w:tr2bl w:val="nil"/>
                  </w:tcBorders>
                  <w:noWrap w:val="0"/>
                  <w:vAlign w:val="center"/>
                </w:tcPr>
                <w:p w14:paraId="65B67EB6">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腹腔镜</w:t>
                  </w:r>
                </w:p>
              </w:tc>
              <w:tc>
                <w:tcPr>
                  <w:tcW w:w="517" w:type="pct"/>
                  <w:tcBorders>
                    <w:tl2br w:val="nil"/>
                    <w:tr2bl w:val="nil"/>
                  </w:tcBorders>
                  <w:noWrap w:val="0"/>
                  <w:vAlign w:val="center"/>
                </w:tcPr>
                <w:p w14:paraId="651EC5CA">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台</w:t>
                  </w:r>
                </w:p>
              </w:tc>
              <w:tc>
                <w:tcPr>
                  <w:tcW w:w="508" w:type="pct"/>
                  <w:tcBorders>
                    <w:tl2br w:val="nil"/>
                    <w:tr2bl w:val="nil"/>
                  </w:tcBorders>
                  <w:noWrap w:val="0"/>
                  <w:vAlign w:val="center"/>
                </w:tcPr>
                <w:p w14:paraId="7121C05B">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2</w:t>
                  </w:r>
                </w:p>
              </w:tc>
              <w:tc>
                <w:tcPr>
                  <w:tcW w:w="1226" w:type="pct"/>
                  <w:tcBorders>
                    <w:tl2br w:val="nil"/>
                    <w:tr2bl w:val="nil"/>
                  </w:tcBorders>
                  <w:noWrap w:val="0"/>
                  <w:vAlign w:val="center"/>
                </w:tcPr>
                <w:p w14:paraId="401BD6FF">
                  <w:pPr>
                    <w:widowControl/>
                    <w:adjustRightInd/>
                    <w:snapToGrid/>
                    <w:ind w:firstLine="0" w:firstLineChars="0"/>
                    <w:jc w:val="center"/>
                    <w:rPr>
                      <w:rFonts w:hint="eastAsia"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w:t>
                  </w:r>
                </w:p>
              </w:tc>
              <w:tc>
                <w:tcPr>
                  <w:tcW w:w="1289" w:type="pct"/>
                  <w:tcBorders>
                    <w:tl2br w:val="nil"/>
                    <w:tr2bl w:val="nil"/>
                  </w:tcBorders>
                  <w:noWrap w:val="0"/>
                  <w:vAlign w:val="center"/>
                </w:tcPr>
                <w:p w14:paraId="3C304ACC">
                  <w:pPr>
                    <w:widowControl/>
                    <w:adjustRightInd/>
                    <w:snapToGrid/>
                    <w:ind w:firstLine="0" w:firstLineChars="0"/>
                    <w:jc w:val="center"/>
                    <w:rPr>
                      <w:rFonts w:hint="default" w:ascii="Times New Roman" w:hAnsi="Times New Roman" w:eastAsia="宋体" w:cs="Times New Roman"/>
                      <w:color w:val="auto"/>
                      <w:kern w:val="0"/>
                      <w:sz w:val="21"/>
                      <w:szCs w:val="21"/>
                      <w:u w:val="none"/>
                    </w:rPr>
                  </w:pPr>
                  <w:r>
                    <w:rPr>
                      <w:rFonts w:hint="eastAsia" w:cs="Times New Roman"/>
                      <w:color w:val="auto"/>
                      <w:kern w:val="0"/>
                      <w:sz w:val="21"/>
                      <w:szCs w:val="21"/>
                      <w:u w:val="none"/>
                      <w:lang w:eastAsia="zh-CN"/>
                    </w:rPr>
                    <w:t>利旧</w:t>
                  </w:r>
                </w:p>
              </w:tc>
            </w:tr>
            <w:tr w14:paraId="06613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413" w:type="pct"/>
                  <w:tcBorders>
                    <w:tl2br w:val="nil"/>
                    <w:tr2bl w:val="nil"/>
                  </w:tcBorders>
                  <w:shd w:val="clear" w:color="auto" w:fill="auto"/>
                  <w:noWrap w:val="0"/>
                  <w:vAlign w:val="center"/>
                </w:tcPr>
                <w:p w14:paraId="0C86EA6A">
                  <w:pPr>
                    <w:widowControl/>
                    <w:ind w:firstLine="0" w:firstLineChars="0"/>
                    <w:jc w:val="center"/>
                    <w:rPr>
                      <w:rFonts w:hint="default" w:ascii="Times New Roman" w:hAnsi="Times New Roman" w:eastAsia="宋体" w:cs="Times New Roman"/>
                      <w:color w:val="auto"/>
                      <w:kern w:val="0"/>
                      <w:sz w:val="21"/>
                      <w:szCs w:val="21"/>
                      <w:u w:val="none"/>
                      <w:lang w:val="zh-CN" w:eastAsia="zh-CN" w:bidi="zh-CN"/>
                    </w:rPr>
                  </w:pPr>
                  <w:r>
                    <w:rPr>
                      <w:rFonts w:hint="default" w:ascii="Times New Roman" w:hAnsi="Times New Roman" w:eastAsia="宋体" w:cs="Times New Roman"/>
                      <w:color w:val="auto"/>
                      <w:sz w:val="21"/>
                      <w:szCs w:val="21"/>
                      <w:u w:val="none"/>
                    </w:rPr>
                    <w:t>9</w:t>
                  </w:r>
                </w:p>
              </w:tc>
              <w:tc>
                <w:tcPr>
                  <w:tcW w:w="1044" w:type="pct"/>
                  <w:tcBorders>
                    <w:tl2br w:val="nil"/>
                    <w:tr2bl w:val="nil"/>
                  </w:tcBorders>
                  <w:noWrap w:val="0"/>
                  <w:vAlign w:val="center"/>
                </w:tcPr>
                <w:p w14:paraId="7D713FF7">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多功能全自动麻醉机</w:t>
                  </w:r>
                </w:p>
              </w:tc>
              <w:tc>
                <w:tcPr>
                  <w:tcW w:w="517" w:type="pct"/>
                  <w:tcBorders>
                    <w:tl2br w:val="nil"/>
                    <w:tr2bl w:val="nil"/>
                  </w:tcBorders>
                  <w:noWrap w:val="0"/>
                  <w:vAlign w:val="center"/>
                </w:tcPr>
                <w:p w14:paraId="2EE5F97A">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台</w:t>
                  </w:r>
                </w:p>
              </w:tc>
              <w:tc>
                <w:tcPr>
                  <w:tcW w:w="508" w:type="pct"/>
                  <w:tcBorders>
                    <w:tl2br w:val="nil"/>
                    <w:tr2bl w:val="nil"/>
                  </w:tcBorders>
                  <w:noWrap w:val="0"/>
                  <w:vAlign w:val="center"/>
                </w:tcPr>
                <w:p w14:paraId="428E055E">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4</w:t>
                  </w:r>
                </w:p>
              </w:tc>
              <w:tc>
                <w:tcPr>
                  <w:tcW w:w="1226" w:type="pct"/>
                  <w:tcBorders>
                    <w:tl2br w:val="nil"/>
                    <w:tr2bl w:val="nil"/>
                  </w:tcBorders>
                  <w:noWrap w:val="0"/>
                  <w:vAlign w:val="center"/>
                </w:tcPr>
                <w:p w14:paraId="44281280">
                  <w:pPr>
                    <w:widowControl/>
                    <w:adjustRightInd/>
                    <w:snapToGrid/>
                    <w:ind w:firstLine="0" w:firstLineChars="0"/>
                    <w:jc w:val="center"/>
                    <w:rPr>
                      <w:rFonts w:hint="eastAsia"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w:t>
                  </w:r>
                </w:p>
              </w:tc>
              <w:tc>
                <w:tcPr>
                  <w:tcW w:w="1289" w:type="pct"/>
                  <w:tcBorders>
                    <w:tl2br w:val="nil"/>
                    <w:tr2bl w:val="nil"/>
                  </w:tcBorders>
                  <w:noWrap w:val="0"/>
                  <w:vAlign w:val="center"/>
                </w:tcPr>
                <w:p w14:paraId="5CC49C70">
                  <w:pPr>
                    <w:widowControl/>
                    <w:adjustRightInd/>
                    <w:snapToGrid/>
                    <w:ind w:firstLine="0" w:firstLineChars="0"/>
                    <w:jc w:val="center"/>
                    <w:rPr>
                      <w:rFonts w:hint="default" w:ascii="Times New Roman" w:hAnsi="Times New Roman" w:eastAsia="宋体" w:cs="Times New Roman"/>
                      <w:color w:val="auto"/>
                      <w:kern w:val="0"/>
                      <w:sz w:val="21"/>
                      <w:szCs w:val="21"/>
                      <w:u w:val="none"/>
                    </w:rPr>
                  </w:pPr>
                  <w:r>
                    <w:rPr>
                      <w:rFonts w:hint="eastAsia" w:cs="Times New Roman"/>
                      <w:color w:val="auto"/>
                      <w:kern w:val="0"/>
                      <w:sz w:val="21"/>
                      <w:szCs w:val="21"/>
                      <w:u w:val="none"/>
                      <w:lang w:eastAsia="zh-CN"/>
                    </w:rPr>
                    <w:t>利旧</w:t>
                  </w:r>
                </w:p>
              </w:tc>
            </w:tr>
            <w:tr w14:paraId="2F24B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13" w:type="pct"/>
                  <w:tcBorders>
                    <w:tl2br w:val="nil"/>
                    <w:tr2bl w:val="nil"/>
                  </w:tcBorders>
                  <w:shd w:val="clear" w:color="auto" w:fill="auto"/>
                  <w:noWrap w:val="0"/>
                  <w:vAlign w:val="center"/>
                </w:tcPr>
                <w:p w14:paraId="416FE453">
                  <w:pPr>
                    <w:widowControl/>
                    <w:ind w:firstLine="0" w:firstLineChars="0"/>
                    <w:jc w:val="center"/>
                    <w:rPr>
                      <w:rFonts w:hint="default" w:ascii="Times New Roman" w:hAnsi="Times New Roman" w:eastAsia="宋体" w:cs="Times New Roman"/>
                      <w:color w:val="auto"/>
                      <w:kern w:val="0"/>
                      <w:sz w:val="21"/>
                      <w:szCs w:val="21"/>
                      <w:u w:val="none"/>
                      <w:lang w:val="zh-CN" w:eastAsia="zh-CN" w:bidi="zh-CN"/>
                    </w:rPr>
                  </w:pPr>
                  <w:r>
                    <w:rPr>
                      <w:rFonts w:hint="default" w:ascii="Times New Roman" w:hAnsi="Times New Roman" w:eastAsia="宋体" w:cs="Times New Roman"/>
                      <w:color w:val="auto"/>
                      <w:sz w:val="21"/>
                      <w:szCs w:val="21"/>
                      <w:u w:val="none"/>
                    </w:rPr>
                    <w:t>10</w:t>
                  </w:r>
                </w:p>
              </w:tc>
              <w:tc>
                <w:tcPr>
                  <w:tcW w:w="1044" w:type="pct"/>
                  <w:tcBorders>
                    <w:tl2br w:val="nil"/>
                    <w:tr2bl w:val="nil"/>
                  </w:tcBorders>
                  <w:noWrap w:val="0"/>
                  <w:vAlign w:val="center"/>
                </w:tcPr>
                <w:p w14:paraId="68B99365">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心电监护仪</w:t>
                  </w:r>
                </w:p>
              </w:tc>
              <w:tc>
                <w:tcPr>
                  <w:tcW w:w="517" w:type="pct"/>
                  <w:tcBorders>
                    <w:tl2br w:val="nil"/>
                    <w:tr2bl w:val="nil"/>
                  </w:tcBorders>
                  <w:noWrap w:val="0"/>
                  <w:vAlign w:val="center"/>
                </w:tcPr>
                <w:p w14:paraId="295C1FFD">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台</w:t>
                  </w:r>
                </w:p>
              </w:tc>
              <w:tc>
                <w:tcPr>
                  <w:tcW w:w="508" w:type="pct"/>
                  <w:tcBorders>
                    <w:tl2br w:val="nil"/>
                    <w:tr2bl w:val="nil"/>
                  </w:tcBorders>
                  <w:noWrap w:val="0"/>
                  <w:vAlign w:val="center"/>
                </w:tcPr>
                <w:p w14:paraId="23B58838">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50</w:t>
                  </w:r>
                </w:p>
              </w:tc>
              <w:tc>
                <w:tcPr>
                  <w:tcW w:w="1226" w:type="pct"/>
                  <w:tcBorders>
                    <w:tl2br w:val="nil"/>
                    <w:tr2bl w:val="nil"/>
                  </w:tcBorders>
                  <w:noWrap w:val="0"/>
                  <w:vAlign w:val="center"/>
                </w:tcPr>
                <w:p w14:paraId="30787619">
                  <w:pPr>
                    <w:widowControl/>
                    <w:adjustRightInd/>
                    <w:snapToGrid/>
                    <w:ind w:firstLine="0" w:firstLineChars="0"/>
                    <w:jc w:val="center"/>
                    <w:rPr>
                      <w:rFonts w:hint="eastAsia"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w:t>
                  </w:r>
                </w:p>
              </w:tc>
              <w:tc>
                <w:tcPr>
                  <w:tcW w:w="1289" w:type="pct"/>
                  <w:tcBorders>
                    <w:tl2br w:val="nil"/>
                    <w:tr2bl w:val="nil"/>
                  </w:tcBorders>
                  <w:noWrap w:val="0"/>
                  <w:vAlign w:val="center"/>
                </w:tcPr>
                <w:p w14:paraId="2CD7D6EC">
                  <w:pPr>
                    <w:widowControl/>
                    <w:adjustRightInd/>
                    <w:snapToGrid/>
                    <w:ind w:firstLine="0" w:firstLineChars="0"/>
                    <w:jc w:val="center"/>
                    <w:rPr>
                      <w:rFonts w:hint="default" w:ascii="Times New Roman" w:hAnsi="Times New Roman" w:eastAsia="宋体" w:cs="Times New Roman"/>
                      <w:color w:val="auto"/>
                      <w:kern w:val="0"/>
                      <w:sz w:val="21"/>
                      <w:szCs w:val="21"/>
                      <w:u w:val="none"/>
                      <w:lang w:val="en-US"/>
                    </w:rPr>
                  </w:pPr>
                  <w:r>
                    <w:rPr>
                      <w:rFonts w:hint="eastAsia" w:cs="Times New Roman"/>
                      <w:color w:val="auto"/>
                      <w:kern w:val="0"/>
                      <w:sz w:val="21"/>
                      <w:szCs w:val="21"/>
                      <w:u w:val="none"/>
                      <w:lang w:eastAsia="zh-CN"/>
                    </w:rPr>
                    <w:t>利旧</w:t>
                  </w:r>
                  <w:r>
                    <w:rPr>
                      <w:rFonts w:hint="eastAsia" w:cs="Times New Roman"/>
                      <w:color w:val="auto"/>
                      <w:kern w:val="0"/>
                      <w:sz w:val="21"/>
                      <w:szCs w:val="21"/>
                      <w:u w:val="none"/>
                      <w:lang w:val="en-US" w:eastAsia="zh-CN"/>
                    </w:rPr>
                    <w:t>30台，新增20台</w:t>
                  </w:r>
                </w:p>
              </w:tc>
            </w:tr>
            <w:tr w14:paraId="6403F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13" w:type="pct"/>
                  <w:tcBorders>
                    <w:tl2br w:val="nil"/>
                    <w:tr2bl w:val="nil"/>
                  </w:tcBorders>
                  <w:shd w:val="clear" w:color="auto" w:fill="auto"/>
                  <w:noWrap w:val="0"/>
                  <w:vAlign w:val="center"/>
                </w:tcPr>
                <w:p w14:paraId="1DAA92FE">
                  <w:pPr>
                    <w:widowControl/>
                    <w:ind w:firstLine="0" w:firstLineChars="0"/>
                    <w:jc w:val="center"/>
                    <w:rPr>
                      <w:rFonts w:hint="default" w:ascii="Times New Roman" w:hAnsi="Times New Roman" w:eastAsia="宋体" w:cs="Times New Roman"/>
                      <w:color w:val="auto"/>
                      <w:kern w:val="0"/>
                      <w:sz w:val="21"/>
                      <w:szCs w:val="21"/>
                      <w:u w:val="none"/>
                      <w:lang w:val="zh-CN" w:eastAsia="zh-CN" w:bidi="zh-CN"/>
                    </w:rPr>
                  </w:pPr>
                  <w:r>
                    <w:rPr>
                      <w:rFonts w:hint="default" w:ascii="Times New Roman" w:hAnsi="Times New Roman" w:eastAsia="宋体" w:cs="Times New Roman"/>
                      <w:color w:val="auto"/>
                      <w:sz w:val="21"/>
                      <w:szCs w:val="21"/>
                      <w:u w:val="none"/>
                    </w:rPr>
                    <w:t>11</w:t>
                  </w:r>
                </w:p>
              </w:tc>
              <w:tc>
                <w:tcPr>
                  <w:tcW w:w="1044" w:type="pct"/>
                  <w:tcBorders>
                    <w:tl2br w:val="nil"/>
                    <w:tr2bl w:val="nil"/>
                  </w:tcBorders>
                  <w:noWrap w:val="0"/>
                  <w:vAlign w:val="center"/>
                </w:tcPr>
                <w:p w14:paraId="22FDE7C5">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多功能抢救床</w:t>
                  </w:r>
                </w:p>
              </w:tc>
              <w:tc>
                <w:tcPr>
                  <w:tcW w:w="517" w:type="pct"/>
                  <w:tcBorders>
                    <w:tl2br w:val="nil"/>
                    <w:tr2bl w:val="nil"/>
                  </w:tcBorders>
                  <w:noWrap w:val="0"/>
                  <w:vAlign w:val="center"/>
                </w:tcPr>
                <w:p w14:paraId="2108DD29">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台</w:t>
                  </w:r>
                </w:p>
              </w:tc>
              <w:tc>
                <w:tcPr>
                  <w:tcW w:w="508" w:type="pct"/>
                  <w:tcBorders>
                    <w:tl2br w:val="nil"/>
                    <w:tr2bl w:val="nil"/>
                  </w:tcBorders>
                  <w:noWrap w:val="0"/>
                  <w:vAlign w:val="center"/>
                </w:tcPr>
                <w:p w14:paraId="6D822AA2">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10</w:t>
                  </w:r>
                </w:p>
              </w:tc>
              <w:tc>
                <w:tcPr>
                  <w:tcW w:w="1226" w:type="pct"/>
                  <w:tcBorders>
                    <w:tl2br w:val="nil"/>
                    <w:tr2bl w:val="nil"/>
                  </w:tcBorders>
                  <w:noWrap w:val="0"/>
                  <w:vAlign w:val="center"/>
                </w:tcPr>
                <w:p w14:paraId="6AACBF1D">
                  <w:pPr>
                    <w:widowControl/>
                    <w:adjustRightInd/>
                    <w:snapToGrid/>
                    <w:ind w:firstLine="0" w:firstLineChars="0"/>
                    <w:jc w:val="center"/>
                    <w:rPr>
                      <w:rFonts w:hint="eastAsia"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w:t>
                  </w:r>
                </w:p>
              </w:tc>
              <w:tc>
                <w:tcPr>
                  <w:tcW w:w="1289" w:type="pct"/>
                  <w:tcBorders>
                    <w:tl2br w:val="nil"/>
                    <w:tr2bl w:val="nil"/>
                  </w:tcBorders>
                  <w:noWrap w:val="0"/>
                  <w:vAlign w:val="center"/>
                </w:tcPr>
                <w:p w14:paraId="7757955A">
                  <w:pPr>
                    <w:widowControl/>
                    <w:adjustRightInd/>
                    <w:snapToGrid/>
                    <w:ind w:firstLine="0" w:firstLineChars="0"/>
                    <w:jc w:val="center"/>
                    <w:rPr>
                      <w:rFonts w:hint="default" w:ascii="Times New Roman" w:hAnsi="Times New Roman" w:eastAsia="宋体" w:cs="Times New Roman"/>
                      <w:color w:val="auto"/>
                      <w:kern w:val="0"/>
                      <w:sz w:val="21"/>
                      <w:szCs w:val="21"/>
                      <w:u w:val="none"/>
                    </w:rPr>
                  </w:pPr>
                  <w:r>
                    <w:rPr>
                      <w:rFonts w:hint="eastAsia" w:cs="Times New Roman"/>
                      <w:color w:val="auto"/>
                      <w:kern w:val="0"/>
                      <w:sz w:val="21"/>
                      <w:szCs w:val="21"/>
                      <w:u w:val="none"/>
                      <w:lang w:eastAsia="zh-CN"/>
                    </w:rPr>
                    <w:t>利旧</w:t>
                  </w:r>
                  <w:r>
                    <w:rPr>
                      <w:rFonts w:hint="eastAsia" w:cs="Times New Roman"/>
                      <w:color w:val="auto"/>
                      <w:kern w:val="0"/>
                      <w:sz w:val="21"/>
                      <w:szCs w:val="21"/>
                      <w:u w:val="none"/>
                      <w:lang w:val="en-US" w:eastAsia="zh-CN"/>
                    </w:rPr>
                    <w:t>4台，新增6台</w:t>
                  </w:r>
                </w:p>
              </w:tc>
            </w:tr>
            <w:tr w14:paraId="0DE15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13" w:type="pct"/>
                  <w:tcBorders>
                    <w:tl2br w:val="nil"/>
                    <w:tr2bl w:val="nil"/>
                  </w:tcBorders>
                  <w:shd w:val="clear" w:color="auto" w:fill="auto"/>
                  <w:noWrap w:val="0"/>
                  <w:vAlign w:val="center"/>
                </w:tcPr>
                <w:p w14:paraId="3B90D4C5">
                  <w:pPr>
                    <w:widowControl/>
                    <w:ind w:firstLine="0" w:firstLineChars="0"/>
                    <w:jc w:val="center"/>
                    <w:rPr>
                      <w:rFonts w:hint="default" w:ascii="Times New Roman" w:hAnsi="Times New Roman" w:eastAsia="宋体" w:cs="Times New Roman"/>
                      <w:color w:val="auto"/>
                      <w:kern w:val="0"/>
                      <w:sz w:val="21"/>
                      <w:szCs w:val="21"/>
                      <w:u w:val="none"/>
                      <w:lang w:val="zh-CN" w:eastAsia="zh-CN" w:bidi="zh-CN"/>
                    </w:rPr>
                  </w:pPr>
                  <w:r>
                    <w:rPr>
                      <w:rFonts w:hint="default" w:ascii="Times New Roman" w:hAnsi="Times New Roman" w:eastAsia="宋体" w:cs="Times New Roman"/>
                      <w:color w:val="auto"/>
                      <w:sz w:val="21"/>
                      <w:szCs w:val="21"/>
                      <w:u w:val="none"/>
                    </w:rPr>
                    <w:t>12</w:t>
                  </w:r>
                </w:p>
              </w:tc>
              <w:tc>
                <w:tcPr>
                  <w:tcW w:w="1044" w:type="pct"/>
                  <w:tcBorders>
                    <w:tl2br w:val="nil"/>
                    <w:tr2bl w:val="nil"/>
                  </w:tcBorders>
                  <w:noWrap w:val="0"/>
                  <w:vAlign w:val="center"/>
                </w:tcPr>
                <w:p w14:paraId="690AE1CA">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万能手术床</w:t>
                  </w:r>
                </w:p>
              </w:tc>
              <w:tc>
                <w:tcPr>
                  <w:tcW w:w="517" w:type="pct"/>
                  <w:tcBorders>
                    <w:tl2br w:val="nil"/>
                    <w:tr2bl w:val="nil"/>
                  </w:tcBorders>
                  <w:noWrap w:val="0"/>
                  <w:vAlign w:val="center"/>
                </w:tcPr>
                <w:p w14:paraId="0BF5B2FB">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台</w:t>
                  </w:r>
                </w:p>
              </w:tc>
              <w:tc>
                <w:tcPr>
                  <w:tcW w:w="508" w:type="pct"/>
                  <w:tcBorders>
                    <w:tl2br w:val="nil"/>
                    <w:tr2bl w:val="nil"/>
                  </w:tcBorders>
                  <w:noWrap w:val="0"/>
                  <w:vAlign w:val="center"/>
                </w:tcPr>
                <w:p w14:paraId="0C687935">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6</w:t>
                  </w:r>
                </w:p>
              </w:tc>
              <w:tc>
                <w:tcPr>
                  <w:tcW w:w="1226" w:type="pct"/>
                  <w:tcBorders>
                    <w:tl2br w:val="nil"/>
                    <w:tr2bl w:val="nil"/>
                  </w:tcBorders>
                  <w:noWrap w:val="0"/>
                  <w:vAlign w:val="center"/>
                </w:tcPr>
                <w:p w14:paraId="0DB712A5">
                  <w:pPr>
                    <w:widowControl/>
                    <w:adjustRightInd/>
                    <w:snapToGrid/>
                    <w:ind w:firstLine="0" w:firstLineChars="0"/>
                    <w:jc w:val="center"/>
                    <w:rPr>
                      <w:rFonts w:hint="eastAsia"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w:t>
                  </w:r>
                </w:p>
              </w:tc>
              <w:tc>
                <w:tcPr>
                  <w:tcW w:w="1289" w:type="pct"/>
                  <w:tcBorders>
                    <w:tl2br w:val="nil"/>
                    <w:tr2bl w:val="nil"/>
                  </w:tcBorders>
                  <w:noWrap w:val="0"/>
                  <w:vAlign w:val="center"/>
                </w:tcPr>
                <w:p w14:paraId="035068A0">
                  <w:pPr>
                    <w:widowControl/>
                    <w:adjustRightInd/>
                    <w:snapToGrid/>
                    <w:ind w:firstLine="0" w:firstLineChars="0"/>
                    <w:jc w:val="center"/>
                    <w:rPr>
                      <w:rFonts w:hint="default" w:ascii="Times New Roman" w:hAnsi="Times New Roman" w:eastAsia="宋体" w:cs="Times New Roman"/>
                      <w:color w:val="auto"/>
                      <w:kern w:val="0"/>
                      <w:sz w:val="21"/>
                      <w:szCs w:val="21"/>
                      <w:u w:val="none"/>
                    </w:rPr>
                  </w:pPr>
                  <w:r>
                    <w:rPr>
                      <w:rFonts w:hint="eastAsia" w:cs="Times New Roman"/>
                      <w:color w:val="auto"/>
                      <w:kern w:val="0"/>
                      <w:sz w:val="21"/>
                      <w:szCs w:val="21"/>
                      <w:u w:val="none"/>
                      <w:lang w:eastAsia="zh-CN"/>
                    </w:rPr>
                    <w:t>利旧</w:t>
                  </w:r>
                  <w:r>
                    <w:rPr>
                      <w:rFonts w:hint="eastAsia" w:cs="Times New Roman"/>
                      <w:color w:val="auto"/>
                      <w:kern w:val="0"/>
                      <w:sz w:val="21"/>
                      <w:szCs w:val="21"/>
                      <w:u w:val="none"/>
                      <w:lang w:val="en-US" w:eastAsia="zh-CN"/>
                    </w:rPr>
                    <w:t>2台，新增4台</w:t>
                  </w:r>
                </w:p>
              </w:tc>
            </w:tr>
            <w:tr w14:paraId="7C6A4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13" w:type="pct"/>
                  <w:tcBorders>
                    <w:tl2br w:val="nil"/>
                    <w:tr2bl w:val="nil"/>
                  </w:tcBorders>
                  <w:shd w:val="clear" w:color="auto" w:fill="auto"/>
                  <w:noWrap w:val="0"/>
                  <w:vAlign w:val="center"/>
                </w:tcPr>
                <w:p w14:paraId="3AF1D0DB">
                  <w:pPr>
                    <w:widowControl/>
                    <w:ind w:firstLine="0" w:firstLineChars="0"/>
                    <w:jc w:val="center"/>
                    <w:rPr>
                      <w:rFonts w:hint="default" w:ascii="Times New Roman" w:hAnsi="Times New Roman" w:eastAsia="宋体" w:cs="Times New Roman"/>
                      <w:color w:val="auto"/>
                      <w:kern w:val="0"/>
                      <w:sz w:val="21"/>
                      <w:szCs w:val="21"/>
                      <w:u w:val="none"/>
                      <w:lang w:val="zh-CN" w:eastAsia="zh-CN" w:bidi="zh-CN"/>
                    </w:rPr>
                  </w:pPr>
                  <w:r>
                    <w:rPr>
                      <w:rFonts w:hint="default" w:ascii="Times New Roman" w:hAnsi="Times New Roman" w:eastAsia="宋体" w:cs="Times New Roman"/>
                      <w:color w:val="auto"/>
                      <w:sz w:val="21"/>
                      <w:szCs w:val="21"/>
                      <w:u w:val="none"/>
                    </w:rPr>
                    <w:t>13</w:t>
                  </w:r>
                </w:p>
              </w:tc>
              <w:tc>
                <w:tcPr>
                  <w:tcW w:w="1044" w:type="pct"/>
                  <w:tcBorders>
                    <w:tl2br w:val="nil"/>
                    <w:tr2bl w:val="nil"/>
                  </w:tcBorders>
                  <w:noWrap w:val="0"/>
                  <w:vAlign w:val="center"/>
                </w:tcPr>
                <w:p w14:paraId="0A091330">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12孔无影灯</w:t>
                  </w:r>
                </w:p>
              </w:tc>
              <w:tc>
                <w:tcPr>
                  <w:tcW w:w="517" w:type="pct"/>
                  <w:tcBorders>
                    <w:tl2br w:val="nil"/>
                    <w:tr2bl w:val="nil"/>
                  </w:tcBorders>
                  <w:noWrap w:val="0"/>
                  <w:vAlign w:val="center"/>
                </w:tcPr>
                <w:p w14:paraId="1C1E356A">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台</w:t>
                  </w:r>
                </w:p>
              </w:tc>
              <w:tc>
                <w:tcPr>
                  <w:tcW w:w="508" w:type="pct"/>
                  <w:tcBorders>
                    <w:tl2br w:val="nil"/>
                    <w:tr2bl w:val="nil"/>
                  </w:tcBorders>
                  <w:noWrap w:val="0"/>
                  <w:vAlign w:val="center"/>
                </w:tcPr>
                <w:p w14:paraId="05D5C941">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6</w:t>
                  </w:r>
                </w:p>
              </w:tc>
              <w:tc>
                <w:tcPr>
                  <w:tcW w:w="1226" w:type="pct"/>
                  <w:tcBorders>
                    <w:tl2br w:val="nil"/>
                    <w:tr2bl w:val="nil"/>
                  </w:tcBorders>
                  <w:noWrap w:val="0"/>
                  <w:vAlign w:val="center"/>
                </w:tcPr>
                <w:p w14:paraId="66492B17">
                  <w:pPr>
                    <w:widowControl/>
                    <w:adjustRightInd/>
                    <w:snapToGrid/>
                    <w:ind w:firstLine="0" w:firstLineChars="0"/>
                    <w:jc w:val="center"/>
                    <w:rPr>
                      <w:rFonts w:hint="eastAsia"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w:t>
                  </w:r>
                </w:p>
              </w:tc>
              <w:tc>
                <w:tcPr>
                  <w:tcW w:w="1289" w:type="pct"/>
                  <w:tcBorders>
                    <w:tl2br w:val="nil"/>
                    <w:tr2bl w:val="nil"/>
                  </w:tcBorders>
                  <w:noWrap w:val="0"/>
                  <w:vAlign w:val="center"/>
                </w:tcPr>
                <w:p w14:paraId="1F79ADEF">
                  <w:pPr>
                    <w:widowControl/>
                    <w:adjustRightInd/>
                    <w:snapToGrid/>
                    <w:ind w:firstLine="0" w:firstLineChars="0"/>
                    <w:jc w:val="center"/>
                    <w:rPr>
                      <w:rFonts w:hint="default" w:ascii="Times New Roman" w:hAnsi="Times New Roman" w:eastAsia="宋体" w:cs="Times New Roman"/>
                      <w:color w:val="auto"/>
                      <w:kern w:val="0"/>
                      <w:sz w:val="21"/>
                      <w:szCs w:val="21"/>
                      <w:u w:val="none"/>
                    </w:rPr>
                  </w:pPr>
                  <w:r>
                    <w:rPr>
                      <w:rFonts w:hint="eastAsia" w:cs="Times New Roman"/>
                      <w:color w:val="auto"/>
                      <w:kern w:val="0"/>
                      <w:sz w:val="21"/>
                      <w:szCs w:val="21"/>
                      <w:u w:val="none"/>
                      <w:lang w:eastAsia="zh-CN"/>
                    </w:rPr>
                    <w:t>利旧</w:t>
                  </w:r>
                  <w:r>
                    <w:rPr>
                      <w:rFonts w:hint="eastAsia" w:cs="Times New Roman"/>
                      <w:color w:val="auto"/>
                      <w:kern w:val="0"/>
                      <w:sz w:val="21"/>
                      <w:szCs w:val="21"/>
                      <w:u w:val="none"/>
                      <w:lang w:val="en-US" w:eastAsia="zh-CN"/>
                    </w:rPr>
                    <w:t>2台，新增4台</w:t>
                  </w:r>
                </w:p>
              </w:tc>
            </w:tr>
            <w:tr w14:paraId="4BBA0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13" w:type="pct"/>
                  <w:tcBorders>
                    <w:tl2br w:val="nil"/>
                    <w:tr2bl w:val="nil"/>
                  </w:tcBorders>
                  <w:shd w:val="clear" w:color="auto" w:fill="auto"/>
                  <w:noWrap w:val="0"/>
                  <w:vAlign w:val="center"/>
                </w:tcPr>
                <w:p w14:paraId="6F05FA66">
                  <w:pPr>
                    <w:widowControl/>
                    <w:ind w:firstLine="0" w:firstLineChars="0"/>
                    <w:jc w:val="center"/>
                    <w:rPr>
                      <w:rFonts w:hint="default" w:ascii="Times New Roman" w:hAnsi="Times New Roman" w:eastAsia="宋体" w:cs="Times New Roman"/>
                      <w:color w:val="auto"/>
                      <w:kern w:val="0"/>
                      <w:sz w:val="21"/>
                      <w:szCs w:val="21"/>
                      <w:u w:val="none"/>
                      <w:lang w:val="zh-CN" w:eastAsia="zh-CN" w:bidi="zh-CN"/>
                    </w:rPr>
                  </w:pPr>
                  <w:r>
                    <w:rPr>
                      <w:rFonts w:hint="default" w:ascii="Times New Roman" w:hAnsi="Times New Roman" w:eastAsia="宋体" w:cs="Times New Roman"/>
                      <w:color w:val="auto"/>
                      <w:sz w:val="21"/>
                      <w:szCs w:val="21"/>
                      <w:u w:val="none"/>
                    </w:rPr>
                    <w:t>14</w:t>
                  </w:r>
                </w:p>
              </w:tc>
              <w:tc>
                <w:tcPr>
                  <w:tcW w:w="1044" w:type="pct"/>
                  <w:tcBorders>
                    <w:tl2br w:val="nil"/>
                    <w:tr2bl w:val="nil"/>
                  </w:tcBorders>
                  <w:noWrap w:val="0"/>
                  <w:vAlign w:val="center"/>
                </w:tcPr>
                <w:p w14:paraId="6B541EC1">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牙科治疗椅</w:t>
                  </w:r>
                </w:p>
              </w:tc>
              <w:tc>
                <w:tcPr>
                  <w:tcW w:w="517" w:type="pct"/>
                  <w:tcBorders>
                    <w:tl2br w:val="nil"/>
                    <w:tr2bl w:val="nil"/>
                  </w:tcBorders>
                  <w:noWrap w:val="0"/>
                  <w:vAlign w:val="center"/>
                </w:tcPr>
                <w:p w14:paraId="324AB3A5">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张</w:t>
                  </w:r>
                </w:p>
              </w:tc>
              <w:tc>
                <w:tcPr>
                  <w:tcW w:w="508" w:type="pct"/>
                  <w:tcBorders>
                    <w:tl2br w:val="nil"/>
                    <w:tr2bl w:val="nil"/>
                  </w:tcBorders>
                  <w:noWrap w:val="0"/>
                  <w:vAlign w:val="center"/>
                </w:tcPr>
                <w:p w14:paraId="1D02150C">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2</w:t>
                  </w:r>
                </w:p>
              </w:tc>
              <w:tc>
                <w:tcPr>
                  <w:tcW w:w="1226" w:type="pct"/>
                  <w:tcBorders>
                    <w:tl2br w:val="nil"/>
                    <w:tr2bl w:val="nil"/>
                  </w:tcBorders>
                  <w:noWrap w:val="0"/>
                  <w:vAlign w:val="center"/>
                </w:tcPr>
                <w:p w14:paraId="08DBA185">
                  <w:pPr>
                    <w:widowControl/>
                    <w:adjustRightInd/>
                    <w:snapToGrid/>
                    <w:ind w:firstLine="0" w:firstLineChars="0"/>
                    <w:jc w:val="center"/>
                    <w:rPr>
                      <w:rFonts w:hint="eastAsia"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w:t>
                  </w:r>
                </w:p>
              </w:tc>
              <w:tc>
                <w:tcPr>
                  <w:tcW w:w="1289" w:type="pct"/>
                  <w:tcBorders>
                    <w:tl2br w:val="nil"/>
                    <w:tr2bl w:val="nil"/>
                  </w:tcBorders>
                  <w:noWrap w:val="0"/>
                  <w:vAlign w:val="center"/>
                </w:tcPr>
                <w:p w14:paraId="0C4EC00B">
                  <w:pPr>
                    <w:widowControl/>
                    <w:adjustRightInd/>
                    <w:snapToGrid/>
                    <w:ind w:firstLine="0" w:firstLineChars="0"/>
                    <w:jc w:val="center"/>
                    <w:rPr>
                      <w:rFonts w:hint="default" w:ascii="Times New Roman" w:hAnsi="Times New Roman" w:eastAsia="宋体" w:cs="Times New Roman"/>
                      <w:color w:val="auto"/>
                      <w:kern w:val="0"/>
                      <w:sz w:val="21"/>
                      <w:szCs w:val="21"/>
                      <w:u w:val="none"/>
                    </w:rPr>
                  </w:pPr>
                  <w:r>
                    <w:rPr>
                      <w:rFonts w:hint="eastAsia" w:cs="Times New Roman"/>
                      <w:color w:val="auto"/>
                      <w:kern w:val="0"/>
                      <w:sz w:val="21"/>
                      <w:szCs w:val="21"/>
                      <w:u w:val="none"/>
                      <w:lang w:eastAsia="zh-CN"/>
                    </w:rPr>
                    <w:t>利旧</w:t>
                  </w:r>
                  <w:r>
                    <w:rPr>
                      <w:rFonts w:hint="eastAsia" w:cs="Times New Roman"/>
                      <w:color w:val="auto"/>
                      <w:kern w:val="0"/>
                      <w:sz w:val="21"/>
                      <w:szCs w:val="21"/>
                      <w:u w:val="none"/>
                      <w:lang w:val="en-US" w:eastAsia="zh-CN"/>
                    </w:rPr>
                    <w:t>1台，新增1台</w:t>
                  </w:r>
                </w:p>
              </w:tc>
            </w:tr>
            <w:tr w14:paraId="598B3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13" w:type="pct"/>
                  <w:tcBorders>
                    <w:tl2br w:val="nil"/>
                    <w:tr2bl w:val="nil"/>
                  </w:tcBorders>
                  <w:shd w:val="clear" w:color="auto" w:fill="auto"/>
                  <w:noWrap w:val="0"/>
                  <w:vAlign w:val="center"/>
                </w:tcPr>
                <w:p w14:paraId="3545B629">
                  <w:pPr>
                    <w:widowControl/>
                    <w:ind w:firstLine="0" w:firstLineChars="0"/>
                    <w:jc w:val="center"/>
                    <w:rPr>
                      <w:rFonts w:hint="default" w:ascii="Times New Roman" w:hAnsi="Times New Roman" w:eastAsia="宋体" w:cs="Times New Roman"/>
                      <w:color w:val="auto"/>
                      <w:kern w:val="0"/>
                      <w:sz w:val="21"/>
                      <w:szCs w:val="21"/>
                      <w:u w:val="single"/>
                      <w:lang w:val="zh-CN" w:eastAsia="zh-CN" w:bidi="zh-CN"/>
                    </w:rPr>
                  </w:pPr>
                  <w:r>
                    <w:rPr>
                      <w:rFonts w:hint="default" w:ascii="Times New Roman" w:hAnsi="Times New Roman" w:eastAsia="宋体" w:cs="Times New Roman"/>
                      <w:color w:val="auto"/>
                      <w:sz w:val="21"/>
                      <w:szCs w:val="21"/>
                      <w:u w:val="single"/>
                    </w:rPr>
                    <w:t>15</w:t>
                  </w:r>
                </w:p>
              </w:tc>
              <w:tc>
                <w:tcPr>
                  <w:tcW w:w="1044" w:type="pct"/>
                  <w:tcBorders>
                    <w:tl2br w:val="nil"/>
                    <w:tr2bl w:val="nil"/>
                  </w:tcBorders>
                  <w:noWrap w:val="0"/>
                  <w:vAlign w:val="center"/>
                </w:tcPr>
                <w:p w14:paraId="07518477">
                  <w:pPr>
                    <w:widowControl/>
                    <w:ind w:firstLine="0" w:firstLineChars="0"/>
                    <w:jc w:val="center"/>
                    <w:rPr>
                      <w:rFonts w:hint="default" w:ascii="Times New Roman" w:hAnsi="Times New Roman" w:eastAsia="宋体" w:cs="Times New Roman"/>
                      <w:color w:val="auto"/>
                      <w:kern w:val="0"/>
                      <w:sz w:val="21"/>
                      <w:szCs w:val="21"/>
                      <w:u w:val="single"/>
                    </w:rPr>
                  </w:pPr>
                  <w:r>
                    <w:rPr>
                      <w:rFonts w:hint="eastAsia" w:cs="Times New Roman"/>
                      <w:color w:val="auto"/>
                      <w:sz w:val="21"/>
                      <w:szCs w:val="21"/>
                      <w:u w:val="single"/>
                      <w:lang w:eastAsia="zh-CN"/>
                    </w:rPr>
                    <w:t>牙椅（含</w:t>
                  </w:r>
                  <w:r>
                    <w:rPr>
                      <w:rFonts w:hint="default" w:ascii="Times New Roman" w:hAnsi="Times New Roman" w:eastAsia="宋体" w:cs="Times New Roman"/>
                      <w:color w:val="auto"/>
                      <w:sz w:val="21"/>
                      <w:szCs w:val="21"/>
                      <w:u w:val="single"/>
                    </w:rPr>
                    <w:t>牙钻机</w:t>
                  </w:r>
                  <w:r>
                    <w:rPr>
                      <w:rFonts w:hint="eastAsia" w:cs="Times New Roman"/>
                      <w:color w:val="auto"/>
                      <w:sz w:val="21"/>
                      <w:szCs w:val="21"/>
                      <w:u w:val="single"/>
                      <w:lang w:eastAsia="zh-CN"/>
                    </w:rPr>
                    <w:t>）</w:t>
                  </w:r>
                </w:p>
              </w:tc>
              <w:tc>
                <w:tcPr>
                  <w:tcW w:w="517" w:type="pct"/>
                  <w:tcBorders>
                    <w:tl2br w:val="nil"/>
                    <w:tr2bl w:val="nil"/>
                  </w:tcBorders>
                  <w:noWrap w:val="0"/>
                  <w:vAlign w:val="center"/>
                </w:tcPr>
                <w:p w14:paraId="398559FE">
                  <w:pPr>
                    <w:widowControl/>
                    <w:ind w:firstLine="0" w:firstLineChars="0"/>
                    <w:jc w:val="center"/>
                    <w:rPr>
                      <w:rFonts w:hint="eastAsia" w:ascii="Times New Roman" w:hAnsi="Times New Roman" w:eastAsia="宋体" w:cs="Times New Roman"/>
                      <w:color w:val="auto"/>
                      <w:kern w:val="0"/>
                      <w:sz w:val="21"/>
                      <w:szCs w:val="21"/>
                      <w:u w:val="single"/>
                      <w:lang w:eastAsia="zh-CN"/>
                    </w:rPr>
                  </w:pPr>
                  <w:r>
                    <w:rPr>
                      <w:rFonts w:hint="eastAsia" w:cs="Times New Roman"/>
                      <w:color w:val="auto"/>
                      <w:sz w:val="21"/>
                      <w:szCs w:val="21"/>
                      <w:u w:val="single"/>
                      <w:lang w:eastAsia="zh-CN"/>
                    </w:rPr>
                    <w:t>套</w:t>
                  </w:r>
                </w:p>
              </w:tc>
              <w:tc>
                <w:tcPr>
                  <w:tcW w:w="508" w:type="pct"/>
                  <w:tcBorders>
                    <w:tl2br w:val="nil"/>
                    <w:tr2bl w:val="nil"/>
                  </w:tcBorders>
                  <w:noWrap w:val="0"/>
                  <w:vAlign w:val="center"/>
                </w:tcPr>
                <w:p w14:paraId="5E274A3A">
                  <w:pPr>
                    <w:widowControl/>
                    <w:ind w:firstLine="0" w:firstLineChars="0"/>
                    <w:jc w:val="center"/>
                    <w:rPr>
                      <w:rFonts w:hint="default" w:ascii="Times New Roman" w:hAnsi="Times New Roman" w:eastAsia="宋体" w:cs="Times New Roman"/>
                      <w:color w:val="auto"/>
                      <w:kern w:val="0"/>
                      <w:sz w:val="21"/>
                      <w:szCs w:val="21"/>
                      <w:u w:val="single"/>
                    </w:rPr>
                  </w:pPr>
                  <w:r>
                    <w:rPr>
                      <w:rFonts w:hint="default" w:ascii="Times New Roman" w:hAnsi="Times New Roman" w:eastAsia="宋体" w:cs="Times New Roman"/>
                      <w:color w:val="auto"/>
                      <w:sz w:val="21"/>
                      <w:szCs w:val="21"/>
                      <w:u w:val="single"/>
                    </w:rPr>
                    <w:t>1</w:t>
                  </w:r>
                </w:p>
              </w:tc>
              <w:tc>
                <w:tcPr>
                  <w:tcW w:w="1226" w:type="pct"/>
                  <w:tcBorders>
                    <w:tl2br w:val="nil"/>
                    <w:tr2bl w:val="nil"/>
                  </w:tcBorders>
                  <w:noWrap w:val="0"/>
                  <w:vAlign w:val="center"/>
                </w:tcPr>
                <w:p w14:paraId="71DB6401">
                  <w:pPr>
                    <w:widowControl/>
                    <w:adjustRightInd/>
                    <w:snapToGrid/>
                    <w:ind w:firstLine="0" w:firstLineChars="0"/>
                    <w:jc w:val="center"/>
                    <w:rPr>
                      <w:rFonts w:hint="eastAsia" w:ascii="Times New Roman" w:hAnsi="Times New Roman" w:eastAsia="宋体" w:cs="Times New Roman"/>
                      <w:color w:val="auto"/>
                      <w:kern w:val="0"/>
                      <w:sz w:val="21"/>
                      <w:szCs w:val="21"/>
                      <w:u w:val="single"/>
                      <w:lang w:val="en-US" w:eastAsia="zh-CN"/>
                    </w:rPr>
                  </w:pPr>
                  <w:r>
                    <w:rPr>
                      <w:rFonts w:hint="eastAsia" w:cs="Times New Roman"/>
                      <w:color w:val="auto"/>
                      <w:kern w:val="0"/>
                      <w:sz w:val="21"/>
                      <w:szCs w:val="21"/>
                      <w:u w:val="single"/>
                      <w:lang w:val="en-US" w:eastAsia="zh-CN"/>
                    </w:rPr>
                    <w:t>/</w:t>
                  </w:r>
                </w:p>
              </w:tc>
              <w:tc>
                <w:tcPr>
                  <w:tcW w:w="1289" w:type="pct"/>
                  <w:tcBorders>
                    <w:tl2br w:val="nil"/>
                    <w:tr2bl w:val="nil"/>
                  </w:tcBorders>
                  <w:noWrap w:val="0"/>
                  <w:vAlign w:val="center"/>
                </w:tcPr>
                <w:p w14:paraId="33649A66">
                  <w:pPr>
                    <w:widowControl/>
                    <w:adjustRightInd/>
                    <w:snapToGrid/>
                    <w:ind w:firstLine="0" w:firstLineChars="0"/>
                    <w:jc w:val="center"/>
                    <w:rPr>
                      <w:rFonts w:hint="default" w:ascii="Times New Roman" w:hAnsi="Times New Roman" w:eastAsia="宋体" w:cs="Times New Roman"/>
                      <w:color w:val="auto"/>
                      <w:kern w:val="0"/>
                      <w:sz w:val="21"/>
                      <w:szCs w:val="21"/>
                      <w:u w:val="single"/>
                    </w:rPr>
                  </w:pPr>
                  <w:r>
                    <w:rPr>
                      <w:rFonts w:hint="eastAsia" w:cs="Times New Roman"/>
                      <w:color w:val="auto"/>
                      <w:kern w:val="0"/>
                      <w:sz w:val="21"/>
                      <w:szCs w:val="21"/>
                      <w:u w:val="single"/>
                      <w:lang w:eastAsia="zh-CN"/>
                    </w:rPr>
                    <w:t>利旧</w:t>
                  </w:r>
                </w:p>
              </w:tc>
            </w:tr>
            <w:tr w14:paraId="28452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13" w:type="pct"/>
                  <w:tcBorders>
                    <w:tl2br w:val="nil"/>
                    <w:tr2bl w:val="nil"/>
                  </w:tcBorders>
                  <w:shd w:val="clear" w:color="auto" w:fill="auto"/>
                  <w:noWrap w:val="0"/>
                  <w:vAlign w:val="center"/>
                </w:tcPr>
                <w:p w14:paraId="04505968">
                  <w:pPr>
                    <w:widowControl/>
                    <w:ind w:firstLine="0" w:firstLineChars="0"/>
                    <w:jc w:val="center"/>
                    <w:rPr>
                      <w:rFonts w:hint="default" w:ascii="Times New Roman" w:hAnsi="Times New Roman" w:eastAsia="宋体" w:cs="Times New Roman"/>
                      <w:color w:val="auto"/>
                      <w:kern w:val="0"/>
                      <w:sz w:val="21"/>
                      <w:szCs w:val="21"/>
                      <w:u w:val="none"/>
                      <w:lang w:val="zh-CN" w:eastAsia="zh-CN" w:bidi="zh-CN"/>
                    </w:rPr>
                  </w:pPr>
                  <w:r>
                    <w:rPr>
                      <w:rFonts w:hint="default" w:ascii="Times New Roman" w:hAnsi="Times New Roman" w:eastAsia="宋体" w:cs="Times New Roman"/>
                      <w:color w:val="auto"/>
                      <w:sz w:val="21"/>
                      <w:szCs w:val="21"/>
                      <w:u w:val="none"/>
                    </w:rPr>
                    <w:t>16</w:t>
                  </w:r>
                </w:p>
              </w:tc>
              <w:tc>
                <w:tcPr>
                  <w:tcW w:w="1044" w:type="pct"/>
                  <w:tcBorders>
                    <w:tl2br w:val="nil"/>
                    <w:tr2bl w:val="nil"/>
                  </w:tcBorders>
                  <w:noWrap w:val="0"/>
                  <w:vAlign w:val="center"/>
                </w:tcPr>
                <w:p w14:paraId="5FBFD629">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显微镜</w:t>
                  </w:r>
                </w:p>
              </w:tc>
              <w:tc>
                <w:tcPr>
                  <w:tcW w:w="517" w:type="pct"/>
                  <w:tcBorders>
                    <w:tl2br w:val="nil"/>
                    <w:tr2bl w:val="nil"/>
                  </w:tcBorders>
                  <w:noWrap w:val="0"/>
                  <w:vAlign w:val="center"/>
                </w:tcPr>
                <w:p w14:paraId="22CC33F1">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台</w:t>
                  </w:r>
                </w:p>
              </w:tc>
              <w:tc>
                <w:tcPr>
                  <w:tcW w:w="508" w:type="pct"/>
                  <w:tcBorders>
                    <w:tl2br w:val="nil"/>
                    <w:tr2bl w:val="nil"/>
                  </w:tcBorders>
                  <w:noWrap w:val="0"/>
                  <w:vAlign w:val="center"/>
                </w:tcPr>
                <w:p w14:paraId="3763154F">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4</w:t>
                  </w:r>
                </w:p>
              </w:tc>
              <w:tc>
                <w:tcPr>
                  <w:tcW w:w="1226" w:type="pct"/>
                  <w:tcBorders>
                    <w:tl2br w:val="nil"/>
                    <w:tr2bl w:val="nil"/>
                  </w:tcBorders>
                  <w:noWrap w:val="0"/>
                  <w:vAlign w:val="center"/>
                </w:tcPr>
                <w:p w14:paraId="05E4ECFF">
                  <w:pPr>
                    <w:widowControl/>
                    <w:adjustRightInd/>
                    <w:snapToGrid/>
                    <w:ind w:firstLine="0" w:firstLineChars="0"/>
                    <w:jc w:val="center"/>
                    <w:rPr>
                      <w:rFonts w:hint="eastAsia"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w:t>
                  </w:r>
                </w:p>
              </w:tc>
              <w:tc>
                <w:tcPr>
                  <w:tcW w:w="1289" w:type="pct"/>
                  <w:tcBorders>
                    <w:tl2br w:val="nil"/>
                    <w:tr2bl w:val="nil"/>
                  </w:tcBorders>
                  <w:noWrap w:val="0"/>
                  <w:vAlign w:val="center"/>
                </w:tcPr>
                <w:p w14:paraId="2334FF6D">
                  <w:pPr>
                    <w:widowControl/>
                    <w:adjustRightInd/>
                    <w:snapToGrid/>
                    <w:ind w:firstLine="0" w:firstLineChars="0"/>
                    <w:jc w:val="center"/>
                    <w:rPr>
                      <w:rFonts w:hint="default" w:ascii="Times New Roman" w:hAnsi="Times New Roman" w:eastAsia="宋体" w:cs="Times New Roman"/>
                      <w:color w:val="auto"/>
                      <w:kern w:val="0"/>
                      <w:sz w:val="21"/>
                      <w:szCs w:val="21"/>
                      <w:u w:val="none"/>
                    </w:rPr>
                  </w:pPr>
                  <w:r>
                    <w:rPr>
                      <w:rFonts w:hint="eastAsia" w:cs="Times New Roman"/>
                      <w:color w:val="auto"/>
                      <w:kern w:val="0"/>
                      <w:sz w:val="21"/>
                      <w:szCs w:val="21"/>
                      <w:u w:val="none"/>
                      <w:lang w:eastAsia="zh-CN"/>
                    </w:rPr>
                    <w:t>利旧</w:t>
                  </w:r>
                </w:p>
              </w:tc>
            </w:tr>
            <w:tr w14:paraId="4CB64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413" w:type="pct"/>
                  <w:tcBorders>
                    <w:tl2br w:val="nil"/>
                    <w:tr2bl w:val="nil"/>
                  </w:tcBorders>
                  <w:shd w:val="clear" w:color="auto" w:fill="auto"/>
                  <w:noWrap w:val="0"/>
                  <w:vAlign w:val="center"/>
                </w:tcPr>
                <w:p w14:paraId="572D0552">
                  <w:pPr>
                    <w:widowControl/>
                    <w:ind w:firstLine="0" w:firstLineChars="0"/>
                    <w:jc w:val="center"/>
                    <w:rPr>
                      <w:rFonts w:hint="default" w:ascii="Times New Roman" w:hAnsi="Times New Roman" w:eastAsia="宋体" w:cs="Times New Roman"/>
                      <w:color w:val="auto"/>
                      <w:kern w:val="0"/>
                      <w:sz w:val="21"/>
                      <w:szCs w:val="21"/>
                      <w:u w:val="none"/>
                      <w:lang w:val="zh-CN" w:eastAsia="zh-CN" w:bidi="zh-CN"/>
                    </w:rPr>
                  </w:pPr>
                  <w:r>
                    <w:rPr>
                      <w:rFonts w:hint="default" w:ascii="Times New Roman" w:hAnsi="Times New Roman" w:eastAsia="宋体" w:cs="Times New Roman"/>
                      <w:color w:val="auto"/>
                      <w:sz w:val="21"/>
                      <w:szCs w:val="21"/>
                      <w:u w:val="none"/>
                    </w:rPr>
                    <w:t>17</w:t>
                  </w:r>
                </w:p>
              </w:tc>
              <w:tc>
                <w:tcPr>
                  <w:tcW w:w="1044" w:type="pct"/>
                  <w:tcBorders>
                    <w:tl2br w:val="nil"/>
                    <w:tr2bl w:val="nil"/>
                  </w:tcBorders>
                  <w:noWrap w:val="0"/>
                  <w:vAlign w:val="center"/>
                </w:tcPr>
                <w:p w14:paraId="078ADE09">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电冰箱</w:t>
                  </w:r>
                </w:p>
              </w:tc>
              <w:tc>
                <w:tcPr>
                  <w:tcW w:w="517" w:type="pct"/>
                  <w:tcBorders>
                    <w:tl2br w:val="nil"/>
                    <w:tr2bl w:val="nil"/>
                  </w:tcBorders>
                  <w:noWrap w:val="0"/>
                  <w:vAlign w:val="center"/>
                </w:tcPr>
                <w:p w14:paraId="192DBCF3">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台</w:t>
                  </w:r>
                </w:p>
              </w:tc>
              <w:tc>
                <w:tcPr>
                  <w:tcW w:w="508" w:type="pct"/>
                  <w:tcBorders>
                    <w:tl2br w:val="nil"/>
                    <w:tr2bl w:val="nil"/>
                  </w:tcBorders>
                  <w:noWrap w:val="0"/>
                  <w:vAlign w:val="center"/>
                </w:tcPr>
                <w:p w14:paraId="7CD0EBE9">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20</w:t>
                  </w:r>
                </w:p>
              </w:tc>
              <w:tc>
                <w:tcPr>
                  <w:tcW w:w="1226" w:type="pct"/>
                  <w:tcBorders>
                    <w:tl2br w:val="nil"/>
                    <w:tr2bl w:val="nil"/>
                  </w:tcBorders>
                  <w:noWrap w:val="0"/>
                  <w:vAlign w:val="center"/>
                </w:tcPr>
                <w:p w14:paraId="195B1C13">
                  <w:pPr>
                    <w:widowControl/>
                    <w:adjustRightInd/>
                    <w:snapToGrid/>
                    <w:ind w:firstLine="0" w:firstLineChars="0"/>
                    <w:jc w:val="center"/>
                    <w:rPr>
                      <w:rFonts w:hint="eastAsia"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w:t>
                  </w:r>
                </w:p>
              </w:tc>
              <w:tc>
                <w:tcPr>
                  <w:tcW w:w="1289" w:type="pct"/>
                  <w:tcBorders>
                    <w:tl2br w:val="nil"/>
                    <w:tr2bl w:val="nil"/>
                  </w:tcBorders>
                  <w:noWrap w:val="0"/>
                  <w:vAlign w:val="center"/>
                </w:tcPr>
                <w:p w14:paraId="4FC8EAA3">
                  <w:pPr>
                    <w:widowControl/>
                    <w:adjustRightInd/>
                    <w:snapToGrid/>
                    <w:ind w:firstLine="0" w:firstLineChars="0"/>
                    <w:jc w:val="center"/>
                    <w:rPr>
                      <w:rFonts w:hint="default" w:ascii="Times New Roman" w:hAnsi="Times New Roman" w:eastAsia="宋体" w:cs="Times New Roman"/>
                      <w:color w:val="auto"/>
                      <w:kern w:val="0"/>
                      <w:sz w:val="21"/>
                      <w:szCs w:val="21"/>
                      <w:u w:val="none"/>
                    </w:rPr>
                  </w:pPr>
                  <w:r>
                    <w:rPr>
                      <w:rFonts w:hint="eastAsia" w:cs="Times New Roman"/>
                      <w:color w:val="auto"/>
                      <w:kern w:val="0"/>
                      <w:sz w:val="21"/>
                      <w:szCs w:val="21"/>
                      <w:u w:val="none"/>
                      <w:lang w:eastAsia="zh-CN"/>
                    </w:rPr>
                    <w:t>利旧</w:t>
                  </w:r>
                  <w:r>
                    <w:rPr>
                      <w:rFonts w:hint="eastAsia" w:cs="Times New Roman"/>
                      <w:color w:val="auto"/>
                      <w:kern w:val="0"/>
                      <w:sz w:val="21"/>
                      <w:szCs w:val="21"/>
                      <w:u w:val="none"/>
                      <w:lang w:val="en-US" w:eastAsia="zh-CN"/>
                    </w:rPr>
                    <w:t>10台，新增10台</w:t>
                  </w:r>
                </w:p>
              </w:tc>
            </w:tr>
            <w:tr w14:paraId="1B40E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13" w:type="pct"/>
                  <w:tcBorders>
                    <w:tl2br w:val="nil"/>
                    <w:tr2bl w:val="nil"/>
                  </w:tcBorders>
                  <w:shd w:val="clear" w:color="auto" w:fill="auto"/>
                  <w:noWrap w:val="0"/>
                  <w:vAlign w:val="center"/>
                </w:tcPr>
                <w:p w14:paraId="6888FAAD">
                  <w:pPr>
                    <w:widowControl/>
                    <w:ind w:firstLine="0" w:firstLineChars="0"/>
                    <w:jc w:val="center"/>
                    <w:rPr>
                      <w:rFonts w:hint="default" w:ascii="Times New Roman" w:hAnsi="Times New Roman" w:eastAsia="宋体" w:cs="Times New Roman"/>
                      <w:color w:val="auto"/>
                      <w:kern w:val="0"/>
                      <w:sz w:val="21"/>
                      <w:szCs w:val="21"/>
                      <w:u w:val="none"/>
                      <w:lang w:val="zh-CN" w:eastAsia="zh-CN" w:bidi="zh-CN"/>
                    </w:rPr>
                  </w:pPr>
                  <w:r>
                    <w:rPr>
                      <w:rFonts w:hint="default" w:ascii="Times New Roman" w:hAnsi="Times New Roman" w:eastAsia="宋体" w:cs="Times New Roman"/>
                      <w:color w:val="auto"/>
                      <w:sz w:val="21"/>
                      <w:szCs w:val="21"/>
                      <w:u w:val="none"/>
                    </w:rPr>
                    <w:t>18</w:t>
                  </w:r>
                </w:p>
              </w:tc>
              <w:tc>
                <w:tcPr>
                  <w:tcW w:w="1044" w:type="pct"/>
                  <w:tcBorders>
                    <w:tl2br w:val="nil"/>
                    <w:tr2bl w:val="nil"/>
                  </w:tcBorders>
                  <w:noWrap w:val="0"/>
                  <w:vAlign w:val="center"/>
                </w:tcPr>
                <w:p w14:paraId="7B902D22">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恒温箱</w:t>
                  </w:r>
                </w:p>
              </w:tc>
              <w:tc>
                <w:tcPr>
                  <w:tcW w:w="517" w:type="pct"/>
                  <w:tcBorders>
                    <w:tl2br w:val="nil"/>
                    <w:tr2bl w:val="nil"/>
                  </w:tcBorders>
                  <w:noWrap w:val="0"/>
                  <w:vAlign w:val="center"/>
                </w:tcPr>
                <w:p w14:paraId="167739F5">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台</w:t>
                  </w:r>
                </w:p>
              </w:tc>
              <w:tc>
                <w:tcPr>
                  <w:tcW w:w="508" w:type="pct"/>
                  <w:tcBorders>
                    <w:tl2br w:val="nil"/>
                    <w:tr2bl w:val="nil"/>
                  </w:tcBorders>
                  <w:noWrap w:val="0"/>
                  <w:vAlign w:val="center"/>
                </w:tcPr>
                <w:p w14:paraId="1E35AD5C">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10</w:t>
                  </w:r>
                </w:p>
              </w:tc>
              <w:tc>
                <w:tcPr>
                  <w:tcW w:w="1226" w:type="pct"/>
                  <w:tcBorders>
                    <w:tl2br w:val="nil"/>
                    <w:tr2bl w:val="nil"/>
                  </w:tcBorders>
                  <w:noWrap w:val="0"/>
                  <w:vAlign w:val="center"/>
                </w:tcPr>
                <w:p w14:paraId="2EAC9FED">
                  <w:pPr>
                    <w:widowControl/>
                    <w:adjustRightInd/>
                    <w:snapToGrid/>
                    <w:ind w:firstLine="0" w:firstLineChars="0"/>
                    <w:jc w:val="center"/>
                    <w:rPr>
                      <w:rFonts w:hint="eastAsia"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w:t>
                  </w:r>
                </w:p>
              </w:tc>
              <w:tc>
                <w:tcPr>
                  <w:tcW w:w="1289" w:type="pct"/>
                  <w:tcBorders>
                    <w:tl2br w:val="nil"/>
                    <w:tr2bl w:val="nil"/>
                  </w:tcBorders>
                  <w:noWrap w:val="0"/>
                  <w:vAlign w:val="center"/>
                </w:tcPr>
                <w:p w14:paraId="58C5F324">
                  <w:pPr>
                    <w:widowControl/>
                    <w:adjustRightInd/>
                    <w:snapToGrid/>
                    <w:ind w:firstLine="0" w:firstLineChars="0"/>
                    <w:jc w:val="center"/>
                    <w:rPr>
                      <w:rFonts w:hint="default" w:ascii="Times New Roman" w:hAnsi="Times New Roman" w:eastAsia="宋体" w:cs="Times New Roman"/>
                      <w:color w:val="auto"/>
                      <w:kern w:val="0"/>
                      <w:sz w:val="21"/>
                      <w:szCs w:val="21"/>
                      <w:u w:val="none"/>
                    </w:rPr>
                  </w:pPr>
                  <w:r>
                    <w:rPr>
                      <w:rFonts w:hint="eastAsia" w:cs="Times New Roman"/>
                      <w:color w:val="auto"/>
                      <w:kern w:val="0"/>
                      <w:sz w:val="21"/>
                      <w:szCs w:val="21"/>
                      <w:u w:val="none"/>
                      <w:lang w:eastAsia="zh-CN"/>
                    </w:rPr>
                    <w:t>利旧</w:t>
                  </w:r>
                </w:p>
              </w:tc>
            </w:tr>
            <w:tr w14:paraId="2962C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13" w:type="pct"/>
                  <w:tcBorders>
                    <w:tl2br w:val="nil"/>
                    <w:tr2bl w:val="nil"/>
                  </w:tcBorders>
                  <w:shd w:val="clear" w:color="auto" w:fill="auto"/>
                  <w:noWrap w:val="0"/>
                  <w:vAlign w:val="center"/>
                </w:tcPr>
                <w:p w14:paraId="78201F6A">
                  <w:pPr>
                    <w:widowControl/>
                    <w:ind w:firstLine="0" w:firstLineChars="0"/>
                    <w:jc w:val="center"/>
                    <w:rPr>
                      <w:rFonts w:hint="default" w:ascii="Times New Roman" w:hAnsi="Times New Roman" w:eastAsia="宋体" w:cs="Times New Roman"/>
                      <w:color w:val="auto"/>
                      <w:kern w:val="0"/>
                      <w:sz w:val="21"/>
                      <w:szCs w:val="21"/>
                      <w:u w:val="none"/>
                      <w:lang w:val="zh-CN" w:eastAsia="zh-CN" w:bidi="zh-CN"/>
                    </w:rPr>
                  </w:pPr>
                  <w:r>
                    <w:rPr>
                      <w:rFonts w:hint="default" w:ascii="Times New Roman" w:hAnsi="Times New Roman" w:eastAsia="宋体" w:cs="Times New Roman"/>
                      <w:color w:val="auto"/>
                      <w:sz w:val="21"/>
                      <w:szCs w:val="21"/>
                      <w:u w:val="none"/>
                    </w:rPr>
                    <w:t>19</w:t>
                  </w:r>
                </w:p>
              </w:tc>
              <w:tc>
                <w:tcPr>
                  <w:tcW w:w="1044" w:type="pct"/>
                  <w:tcBorders>
                    <w:tl2br w:val="nil"/>
                    <w:tr2bl w:val="nil"/>
                  </w:tcBorders>
                  <w:noWrap w:val="0"/>
                  <w:vAlign w:val="center"/>
                </w:tcPr>
                <w:p w14:paraId="4C4EEFE5">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分析天平</w:t>
                  </w:r>
                </w:p>
              </w:tc>
              <w:tc>
                <w:tcPr>
                  <w:tcW w:w="517" w:type="pct"/>
                  <w:tcBorders>
                    <w:tl2br w:val="nil"/>
                    <w:tr2bl w:val="nil"/>
                  </w:tcBorders>
                  <w:noWrap w:val="0"/>
                  <w:vAlign w:val="center"/>
                </w:tcPr>
                <w:p w14:paraId="6AE13FB5">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台</w:t>
                  </w:r>
                </w:p>
              </w:tc>
              <w:tc>
                <w:tcPr>
                  <w:tcW w:w="508" w:type="pct"/>
                  <w:tcBorders>
                    <w:tl2br w:val="nil"/>
                    <w:tr2bl w:val="nil"/>
                  </w:tcBorders>
                  <w:noWrap w:val="0"/>
                  <w:vAlign w:val="center"/>
                </w:tcPr>
                <w:p w14:paraId="4868456C">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2</w:t>
                  </w:r>
                </w:p>
              </w:tc>
              <w:tc>
                <w:tcPr>
                  <w:tcW w:w="1226" w:type="pct"/>
                  <w:tcBorders>
                    <w:tl2br w:val="nil"/>
                    <w:tr2bl w:val="nil"/>
                  </w:tcBorders>
                  <w:noWrap w:val="0"/>
                  <w:vAlign w:val="center"/>
                </w:tcPr>
                <w:p w14:paraId="5BDD6620">
                  <w:pPr>
                    <w:widowControl/>
                    <w:adjustRightInd/>
                    <w:snapToGrid/>
                    <w:ind w:firstLine="0" w:firstLineChars="0"/>
                    <w:jc w:val="center"/>
                    <w:rPr>
                      <w:rFonts w:hint="eastAsia"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w:t>
                  </w:r>
                </w:p>
              </w:tc>
              <w:tc>
                <w:tcPr>
                  <w:tcW w:w="1289" w:type="pct"/>
                  <w:tcBorders>
                    <w:tl2br w:val="nil"/>
                    <w:tr2bl w:val="nil"/>
                  </w:tcBorders>
                  <w:noWrap w:val="0"/>
                  <w:vAlign w:val="center"/>
                </w:tcPr>
                <w:p w14:paraId="272C6DEE">
                  <w:pPr>
                    <w:widowControl/>
                    <w:adjustRightInd/>
                    <w:snapToGrid/>
                    <w:ind w:firstLine="0" w:firstLineChars="0"/>
                    <w:jc w:val="center"/>
                    <w:rPr>
                      <w:rFonts w:hint="default" w:ascii="Times New Roman" w:hAnsi="Times New Roman" w:eastAsia="宋体" w:cs="Times New Roman"/>
                      <w:color w:val="auto"/>
                      <w:kern w:val="0"/>
                      <w:sz w:val="21"/>
                      <w:szCs w:val="21"/>
                      <w:u w:val="none"/>
                    </w:rPr>
                  </w:pPr>
                  <w:r>
                    <w:rPr>
                      <w:rFonts w:hint="eastAsia" w:cs="Times New Roman"/>
                      <w:color w:val="auto"/>
                      <w:kern w:val="0"/>
                      <w:sz w:val="21"/>
                      <w:szCs w:val="21"/>
                      <w:u w:val="none"/>
                      <w:lang w:eastAsia="zh-CN"/>
                    </w:rPr>
                    <w:t>利旧</w:t>
                  </w:r>
                </w:p>
              </w:tc>
            </w:tr>
            <w:tr w14:paraId="5A071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13" w:type="pct"/>
                  <w:tcBorders>
                    <w:tl2br w:val="nil"/>
                    <w:tr2bl w:val="nil"/>
                  </w:tcBorders>
                  <w:shd w:val="clear" w:color="auto" w:fill="auto"/>
                  <w:noWrap w:val="0"/>
                  <w:vAlign w:val="center"/>
                </w:tcPr>
                <w:p w14:paraId="3E453480">
                  <w:pPr>
                    <w:widowControl/>
                    <w:ind w:firstLine="0" w:firstLineChars="0"/>
                    <w:jc w:val="center"/>
                    <w:rPr>
                      <w:rFonts w:hint="default" w:ascii="Times New Roman" w:hAnsi="Times New Roman" w:eastAsia="宋体" w:cs="Times New Roman"/>
                      <w:color w:val="auto"/>
                      <w:kern w:val="0"/>
                      <w:sz w:val="21"/>
                      <w:szCs w:val="21"/>
                      <w:u w:val="none"/>
                      <w:lang w:val="zh-CN" w:eastAsia="zh-CN" w:bidi="zh-CN"/>
                    </w:rPr>
                  </w:pPr>
                  <w:r>
                    <w:rPr>
                      <w:rFonts w:hint="default" w:ascii="Times New Roman" w:hAnsi="Times New Roman" w:eastAsia="宋体" w:cs="Times New Roman"/>
                      <w:color w:val="auto"/>
                      <w:sz w:val="21"/>
                      <w:szCs w:val="21"/>
                      <w:u w:val="none"/>
                    </w:rPr>
                    <w:t>20</w:t>
                  </w:r>
                </w:p>
              </w:tc>
              <w:tc>
                <w:tcPr>
                  <w:tcW w:w="1044" w:type="pct"/>
                  <w:tcBorders>
                    <w:tl2br w:val="nil"/>
                    <w:tr2bl w:val="nil"/>
                  </w:tcBorders>
                  <w:noWrap w:val="0"/>
                  <w:vAlign w:val="center"/>
                </w:tcPr>
                <w:p w14:paraId="591BF252">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离心机</w:t>
                  </w:r>
                </w:p>
              </w:tc>
              <w:tc>
                <w:tcPr>
                  <w:tcW w:w="517" w:type="pct"/>
                  <w:tcBorders>
                    <w:tl2br w:val="nil"/>
                    <w:tr2bl w:val="nil"/>
                  </w:tcBorders>
                  <w:noWrap w:val="0"/>
                  <w:vAlign w:val="center"/>
                </w:tcPr>
                <w:p w14:paraId="4C02EE13">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台</w:t>
                  </w:r>
                </w:p>
              </w:tc>
              <w:tc>
                <w:tcPr>
                  <w:tcW w:w="508" w:type="pct"/>
                  <w:tcBorders>
                    <w:tl2br w:val="nil"/>
                    <w:tr2bl w:val="nil"/>
                  </w:tcBorders>
                  <w:noWrap w:val="0"/>
                  <w:vAlign w:val="center"/>
                </w:tcPr>
                <w:p w14:paraId="6476FB7F">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4</w:t>
                  </w:r>
                </w:p>
              </w:tc>
              <w:tc>
                <w:tcPr>
                  <w:tcW w:w="1226" w:type="pct"/>
                  <w:tcBorders>
                    <w:tl2br w:val="nil"/>
                    <w:tr2bl w:val="nil"/>
                  </w:tcBorders>
                  <w:noWrap w:val="0"/>
                  <w:vAlign w:val="center"/>
                </w:tcPr>
                <w:p w14:paraId="7CA6AB13">
                  <w:pPr>
                    <w:widowControl/>
                    <w:adjustRightInd/>
                    <w:snapToGrid/>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2"/>
                      <w:sz w:val="21"/>
                      <w:szCs w:val="21"/>
                      <w:lang w:val="en-US" w:eastAsia="zh-CN" w:bidi="ar-SA"/>
                    </w:rPr>
                    <w:t>TD4低速离心机</w:t>
                  </w:r>
                </w:p>
              </w:tc>
              <w:tc>
                <w:tcPr>
                  <w:tcW w:w="1289" w:type="pct"/>
                  <w:tcBorders>
                    <w:tl2br w:val="nil"/>
                    <w:tr2bl w:val="nil"/>
                  </w:tcBorders>
                  <w:noWrap w:val="0"/>
                  <w:vAlign w:val="center"/>
                </w:tcPr>
                <w:p w14:paraId="5B34CD8C">
                  <w:pPr>
                    <w:widowControl/>
                    <w:adjustRightInd/>
                    <w:snapToGrid/>
                    <w:ind w:firstLine="0" w:firstLineChars="0"/>
                    <w:jc w:val="center"/>
                    <w:rPr>
                      <w:rFonts w:hint="default" w:ascii="Times New Roman" w:hAnsi="Times New Roman" w:eastAsia="宋体" w:cs="Times New Roman"/>
                      <w:color w:val="auto"/>
                      <w:kern w:val="0"/>
                      <w:sz w:val="21"/>
                      <w:szCs w:val="21"/>
                      <w:u w:val="none"/>
                    </w:rPr>
                  </w:pPr>
                  <w:r>
                    <w:rPr>
                      <w:rFonts w:hint="eastAsia" w:cs="Times New Roman"/>
                      <w:color w:val="auto"/>
                      <w:kern w:val="0"/>
                      <w:sz w:val="21"/>
                      <w:szCs w:val="21"/>
                      <w:u w:val="none"/>
                      <w:lang w:eastAsia="zh-CN"/>
                    </w:rPr>
                    <w:t>利旧</w:t>
                  </w:r>
                </w:p>
              </w:tc>
            </w:tr>
            <w:tr w14:paraId="6D733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13" w:type="pct"/>
                  <w:tcBorders>
                    <w:tl2br w:val="nil"/>
                    <w:tr2bl w:val="nil"/>
                  </w:tcBorders>
                  <w:shd w:val="clear" w:color="auto" w:fill="auto"/>
                  <w:noWrap w:val="0"/>
                  <w:vAlign w:val="center"/>
                </w:tcPr>
                <w:p w14:paraId="7B995B60">
                  <w:pPr>
                    <w:widowControl/>
                    <w:ind w:firstLine="0" w:firstLineChars="0"/>
                    <w:jc w:val="center"/>
                    <w:rPr>
                      <w:rFonts w:hint="default" w:ascii="Times New Roman" w:hAnsi="Times New Roman" w:eastAsia="宋体" w:cs="Times New Roman"/>
                      <w:color w:val="auto"/>
                      <w:kern w:val="0"/>
                      <w:sz w:val="21"/>
                      <w:szCs w:val="21"/>
                      <w:u w:val="none"/>
                      <w:lang w:val="zh-CN" w:eastAsia="zh-CN" w:bidi="zh-CN"/>
                    </w:rPr>
                  </w:pPr>
                  <w:r>
                    <w:rPr>
                      <w:rFonts w:hint="default" w:ascii="Times New Roman" w:hAnsi="Times New Roman" w:eastAsia="宋体" w:cs="Times New Roman"/>
                      <w:color w:val="auto"/>
                      <w:sz w:val="21"/>
                      <w:szCs w:val="21"/>
                      <w:u w:val="none"/>
                    </w:rPr>
                    <w:t>21</w:t>
                  </w:r>
                </w:p>
              </w:tc>
              <w:tc>
                <w:tcPr>
                  <w:tcW w:w="1044" w:type="pct"/>
                  <w:tcBorders>
                    <w:tl2br w:val="nil"/>
                    <w:tr2bl w:val="nil"/>
                  </w:tcBorders>
                  <w:noWrap w:val="0"/>
                  <w:vAlign w:val="center"/>
                </w:tcPr>
                <w:p w14:paraId="4E81471E">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尿液分析仪</w:t>
                  </w:r>
                </w:p>
              </w:tc>
              <w:tc>
                <w:tcPr>
                  <w:tcW w:w="517" w:type="pct"/>
                  <w:tcBorders>
                    <w:tl2br w:val="nil"/>
                    <w:tr2bl w:val="nil"/>
                  </w:tcBorders>
                  <w:noWrap w:val="0"/>
                  <w:vAlign w:val="center"/>
                </w:tcPr>
                <w:p w14:paraId="201686BE">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台</w:t>
                  </w:r>
                </w:p>
              </w:tc>
              <w:tc>
                <w:tcPr>
                  <w:tcW w:w="508" w:type="pct"/>
                  <w:tcBorders>
                    <w:tl2br w:val="nil"/>
                    <w:tr2bl w:val="nil"/>
                  </w:tcBorders>
                  <w:noWrap w:val="0"/>
                  <w:vAlign w:val="center"/>
                </w:tcPr>
                <w:p w14:paraId="6F2FBA09">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2</w:t>
                  </w:r>
                </w:p>
              </w:tc>
              <w:tc>
                <w:tcPr>
                  <w:tcW w:w="1226" w:type="pct"/>
                  <w:tcBorders>
                    <w:tl2br w:val="nil"/>
                    <w:tr2bl w:val="nil"/>
                  </w:tcBorders>
                  <w:noWrap w:val="0"/>
                  <w:vAlign w:val="center"/>
                </w:tcPr>
                <w:p w14:paraId="1D40F243">
                  <w:pPr>
                    <w:widowControl/>
                    <w:adjustRightInd/>
                    <w:snapToGrid/>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rPr>
                    <w:t>URIT-180</w:t>
                  </w:r>
                </w:p>
              </w:tc>
              <w:tc>
                <w:tcPr>
                  <w:tcW w:w="1289" w:type="pct"/>
                  <w:tcBorders>
                    <w:tl2br w:val="nil"/>
                    <w:tr2bl w:val="nil"/>
                  </w:tcBorders>
                  <w:noWrap w:val="0"/>
                  <w:vAlign w:val="center"/>
                </w:tcPr>
                <w:p w14:paraId="55E40BE3">
                  <w:pPr>
                    <w:widowControl/>
                    <w:adjustRightInd/>
                    <w:snapToGrid/>
                    <w:ind w:firstLine="0" w:firstLineChars="0"/>
                    <w:jc w:val="center"/>
                    <w:rPr>
                      <w:rFonts w:hint="default" w:ascii="Times New Roman" w:hAnsi="Times New Roman" w:eastAsia="宋体" w:cs="Times New Roman"/>
                      <w:color w:val="auto"/>
                      <w:kern w:val="0"/>
                      <w:sz w:val="21"/>
                      <w:szCs w:val="21"/>
                      <w:u w:val="none"/>
                    </w:rPr>
                  </w:pPr>
                  <w:r>
                    <w:rPr>
                      <w:rFonts w:hint="eastAsia" w:cs="Times New Roman"/>
                      <w:color w:val="auto"/>
                      <w:kern w:val="0"/>
                      <w:sz w:val="21"/>
                      <w:szCs w:val="21"/>
                      <w:u w:val="none"/>
                      <w:lang w:eastAsia="zh-CN"/>
                    </w:rPr>
                    <w:t>利旧</w:t>
                  </w:r>
                </w:p>
              </w:tc>
            </w:tr>
            <w:tr w14:paraId="26BCD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13" w:type="pct"/>
                  <w:tcBorders>
                    <w:tl2br w:val="nil"/>
                    <w:tr2bl w:val="nil"/>
                  </w:tcBorders>
                  <w:shd w:val="clear" w:color="auto" w:fill="auto"/>
                  <w:noWrap w:val="0"/>
                  <w:vAlign w:val="center"/>
                </w:tcPr>
                <w:p w14:paraId="25994BBD">
                  <w:pPr>
                    <w:widowControl/>
                    <w:ind w:firstLine="0" w:firstLineChars="0"/>
                    <w:jc w:val="center"/>
                    <w:rPr>
                      <w:rFonts w:hint="default" w:ascii="Times New Roman" w:hAnsi="Times New Roman" w:eastAsia="宋体" w:cs="Times New Roman"/>
                      <w:color w:val="auto"/>
                      <w:kern w:val="0"/>
                      <w:sz w:val="21"/>
                      <w:szCs w:val="21"/>
                      <w:u w:val="none"/>
                      <w:lang w:val="zh-CN" w:eastAsia="zh-CN" w:bidi="zh-CN"/>
                    </w:rPr>
                  </w:pPr>
                  <w:r>
                    <w:rPr>
                      <w:rFonts w:hint="default" w:ascii="Times New Roman" w:hAnsi="Times New Roman" w:eastAsia="宋体" w:cs="Times New Roman"/>
                      <w:color w:val="auto"/>
                      <w:sz w:val="21"/>
                      <w:szCs w:val="21"/>
                      <w:u w:val="none"/>
                    </w:rPr>
                    <w:t>22</w:t>
                  </w:r>
                </w:p>
              </w:tc>
              <w:tc>
                <w:tcPr>
                  <w:tcW w:w="1044" w:type="pct"/>
                  <w:tcBorders>
                    <w:tl2br w:val="nil"/>
                    <w:tr2bl w:val="nil"/>
                  </w:tcBorders>
                  <w:noWrap w:val="0"/>
                  <w:vAlign w:val="center"/>
                </w:tcPr>
                <w:p w14:paraId="5E3F4824">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血细胞分析仪</w:t>
                  </w:r>
                </w:p>
              </w:tc>
              <w:tc>
                <w:tcPr>
                  <w:tcW w:w="517" w:type="pct"/>
                  <w:tcBorders>
                    <w:tl2br w:val="nil"/>
                    <w:tr2bl w:val="nil"/>
                  </w:tcBorders>
                  <w:noWrap w:val="0"/>
                  <w:vAlign w:val="center"/>
                </w:tcPr>
                <w:p w14:paraId="3742556F">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台</w:t>
                  </w:r>
                </w:p>
              </w:tc>
              <w:tc>
                <w:tcPr>
                  <w:tcW w:w="508" w:type="pct"/>
                  <w:tcBorders>
                    <w:tl2br w:val="nil"/>
                    <w:tr2bl w:val="nil"/>
                  </w:tcBorders>
                  <w:noWrap w:val="0"/>
                  <w:vAlign w:val="center"/>
                </w:tcPr>
                <w:p w14:paraId="34BEC75E">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1</w:t>
                  </w:r>
                </w:p>
              </w:tc>
              <w:tc>
                <w:tcPr>
                  <w:tcW w:w="1226" w:type="pct"/>
                  <w:tcBorders>
                    <w:tl2br w:val="nil"/>
                    <w:tr2bl w:val="nil"/>
                  </w:tcBorders>
                  <w:noWrap w:val="0"/>
                  <w:vAlign w:val="center"/>
                </w:tcPr>
                <w:p w14:paraId="6CE0D6F9">
                  <w:pPr>
                    <w:widowControl/>
                    <w:adjustRightInd/>
                    <w:snapToGrid/>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rPr>
                    <w:t>URIT-2981</w:t>
                  </w:r>
                </w:p>
              </w:tc>
              <w:tc>
                <w:tcPr>
                  <w:tcW w:w="1289" w:type="pct"/>
                  <w:tcBorders>
                    <w:tl2br w:val="nil"/>
                    <w:tr2bl w:val="nil"/>
                  </w:tcBorders>
                  <w:noWrap w:val="0"/>
                  <w:vAlign w:val="center"/>
                </w:tcPr>
                <w:p w14:paraId="73C733C4">
                  <w:pPr>
                    <w:widowControl/>
                    <w:adjustRightInd/>
                    <w:snapToGrid/>
                    <w:ind w:firstLine="0" w:firstLineChars="0"/>
                    <w:jc w:val="center"/>
                    <w:rPr>
                      <w:rFonts w:hint="default" w:ascii="Times New Roman" w:hAnsi="Times New Roman" w:eastAsia="宋体" w:cs="Times New Roman"/>
                      <w:color w:val="auto"/>
                      <w:kern w:val="0"/>
                      <w:sz w:val="21"/>
                      <w:szCs w:val="21"/>
                      <w:u w:val="none"/>
                    </w:rPr>
                  </w:pPr>
                  <w:r>
                    <w:rPr>
                      <w:rFonts w:hint="eastAsia" w:cs="Times New Roman"/>
                      <w:color w:val="auto"/>
                      <w:kern w:val="0"/>
                      <w:sz w:val="21"/>
                      <w:szCs w:val="21"/>
                      <w:u w:val="none"/>
                      <w:lang w:eastAsia="zh-CN"/>
                    </w:rPr>
                    <w:t>利旧</w:t>
                  </w:r>
                </w:p>
              </w:tc>
            </w:tr>
            <w:tr w14:paraId="7E4FC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413" w:type="pct"/>
                  <w:tcBorders>
                    <w:tl2br w:val="nil"/>
                    <w:tr2bl w:val="nil"/>
                  </w:tcBorders>
                  <w:shd w:val="clear" w:color="auto" w:fill="auto"/>
                  <w:noWrap w:val="0"/>
                  <w:vAlign w:val="center"/>
                </w:tcPr>
                <w:p w14:paraId="1D20ADFE">
                  <w:pPr>
                    <w:widowControl/>
                    <w:ind w:firstLine="0" w:firstLineChars="0"/>
                    <w:jc w:val="center"/>
                    <w:rPr>
                      <w:rFonts w:hint="default" w:ascii="Times New Roman" w:hAnsi="Times New Roman" w:eastAsia="宋体" w:cs="Times New Roman"/>
                      <w:color w:val="auto"/>
                      <w:kern w:val="0"/>
                      <w:sz w:val="21"/>
                      <w:szCs w:val="21"/>
                      <w:u w:val="none"/>
                      <w:lang w:val="zh-CN" w:eastAsia="zh-CN" w:bidi="zh-CN"/>
                    </w:rPr>
                  </w:pPr>
                  <w:r>
                    <w:rPr>
                      <w:rFonts w:hint="default" w:ascii="Times New Roman" w:hAnsi="Times New Roman" w:eastAsia="宋体" w:cs="Times New Roman"/>
                      <w:color w:val="auto"/>
                      <w:sz w:val="21"/>
                      <w:szCs w:val="21"/>
                      <w:u w:val="none"/>
                    </w:rPr>
                    <w:t>23</w:t>
                  </w:r>
                </w:p>
              </w:tc>
              <w:tc>
                <w:tcPr>
                  <w:tcW w:w="1044" w:type="pct"/>
                  <w:tcBorders>
                    <w:tl2br w:val="nil"/>
                    <w:tr2bl w:val="nil"/>
                  </w:tcBorders>
                  <w:noWrap w:val="0"/>
                  <w:vAlign w:val="center"/>
                </w:tcPr>
                <w:p w14:paraId="0CED9BDD">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全自动生化分析仪</w:t>
                  </w:r>
                </w:p>
              </w:tc>
              <w:tc>
                <w:tcPr>
                  <w:tcW w:w="517" w:type="pct"/>
                  <w:tcBorders>
                    <w:tl2br w:val="nil"/>
                    <w:tr2bl w:val="nil"/>
                  </w:tcBorders>
                  <w:noWrap w:val="0"/>
                  <w:vAlign w:val="center"/>
                </w:tcPr>
                <w:p w14:paraId="2AECA05D">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台</w:t>
                  </w:r>
                </w:p>
              </w:tc>
              <w:tc>
                <w:tcPr>
                  <w:tcW w:w="508" w:type="pct"/>
                  <w:tcBorders>
                    <w:tl2br w:val="nil"/>
                    <w:tr2bl w:val="nil"/>
                  </w:tcBorders>
                  <w:noWrap w:val="0"/>
                  <w:vAlign w:val="center"/>
                </w:tcPr>
                <w:p w14:paraId="6829691D">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1</w:t>
                  </w:r>
                </w:p>
              </w:tc>
              <w:tc>
                <w:tcPr>
                  <w:tcW w:w="1226" w:type="pct"/>
                  <w:tcBorders>
                    <w:tl2br w:val="nil"/>
                    <w:tr2bl w:val="nil"/>
                  </w:tcBorders>
                  <w:noWrap w:val="0"/>
                  <w:vAlign w:val="center"/>
                </w:tcPr>
                <w:p w14:paraId="1ACC82BA">
                  <w:pPr>
                    <w:widowControl/>
                    <w:adjustRightInd/>
                    <w:snapToGrid/>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2"/>
                      <w:sz w:val="21"/>
                      <w:szCs w:val="21"/>
                      <w:lang w:val="en-US" w:eastAsia="zh-CN" w:bidi="ar-SA"/>
                    </w:rPr>
                    <w:t>URIT-8021A</w:t>
                  </w:r>
                </w:p>
              </w:tc>
              <w:tc>
                <w:tcPr>
                  <w:tcW w:w="1289" w:type="pct"/>
                  <w:tcBorders>
                    <w:tl2br w:val="nil"/>
                    <w:tr2bl w:val="nil"/>
                  </w:tcBorders>
                  <w:noWrap w:val="0"/>
                  <w:vAlign w:val="center"/>
                </w:tcPr>
                <w:p w14:paraId="7FAD3EA8">
                  <w:pPr>
                    <w:widowControl/>
                    <w:adjustRightInd/>
                    <w:snapToGrid/>
                    <w:ind w:firstLine="0" w:firstLineChars="0"/>
                    <w:jc w:val="center"/>
                    <w:rPr>
                      <w:rFonts w:hint="default" w:ascii="Times New Roman" w:hAnsi="Times New Roman" w:eastAsia="宋体" w:cs="Times New Roman"/>
                      <w:color w:val="auto"/>
                      <w:kern w:val="0"/>
                      <w:sz w:val="21"/>
                      <w:szCs w:val="21"/>
                      <w:u w:val="none"/>
                    </w:rPr>
                  </w:pPr>
                  <w:r>
                    <w:rPr>
                      <w:rFonts w:hint="eastAsia" w:cs="Times New Roman"/>
                      <w:color w:val="auto"/>
                      <w:kern w:val="0"/>
                      <w:sz w:val="21"/>
                      <w:szCs w:val="21"/>
                      <w:u w:val="none"/>
                      <w:lang w:eastAsia="zh-CN"/>
                    </w:rPr>
                    <w:t>利旧</w:t>
                  </w:r>
                </w:p>
              </w:tc>
            </w:tr>
            <w:tr w14:paraId="79C5C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13" w:type="pct"/>
                  <w:tcBorders>
                    <w:tl2br w:val="nil"/>
                    <w:tr2bl w:val="nil"/>
                  </w:tcBorders>
                  <w:shd w:val="clear" w:color="auto" w:fill="auto"/>
                  <w:noWrap w:val="0"/>
                  <w:vAlign w:val="center"/>
                </w:tcPr>
                <w:p w14:paraId="08C0BE4D">
                  <w:pPr>
                    <w:widowControl/>
                    <w:ind w:firstLine="0" w:firstLineChars="0"/>
                    <w:jc w:val="center"/>
                    <w:rPr>
                      <w:rFonts w:hint="default" w:ascii="Times New Roman" w:hAnsi="Times New Roman" w:eastAsia="宋体" w:cs="Times New Roman"/>
                      <w:color w:val="auto"/>
                      <w:kern w:val="0"/>
                      <w:sz w:val="21"/>
                      <w:szCs w:val="21"/>
                      <w:u w:val="none"/>
                      <w:lang w:val="zh-CN" w:eastAsia="zh-CN" w:bidi="zh-CN"/>
                    </w:rPr>
                  </w:pPr>
                  <w:r>
                    <w:rPr>
                      <w:rFonts w:hint="default" w:ascii="Times New Roman" w:hAnsi="Times New Roman" w:eastAsia="宋体" w:cs="Times New Roman"/>
                      <w:color w:val="auto"/>
                      <w:sz w:val="21"/>
                      <w:szCs w:val="21"/>
                      <w:u w:val="none"/>
                    </w:rPr>
                    <w:t>24</w:t>
                  </w:r>
                </w:p>
              </w:tc>
              <w:tc>
                <w:tcPr>
                  <w:tcW w:w="1044" w:type="pct"/>
                  <w:tcBorders>
                    <w:tl2br w:val="nil"/>
                    <w:tr2bl w:val="nil"/>
                  </w:tcBorders>
                  <w:noWrap w:val="0"/>
                  <w:vAlign w:val="center"/>
                </w:tcPr>
                <w:p w14:paraId="7E713E18">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干燥箱</w:t>
                  </w:r>
                </w:p>
              </w:tc>
              <w:tc>
                <w:tcPr>
                  <w:tcW w:w="517" w:type="pct"/>
                  <w:tcBorders>
                    <w:tl2br w:val="nil"/>
                    <w:tr2bl w:val="nil"/>
                  </w:tcBorders>
                  <w:noWrap w:val="0"/>
                  <w:vAlign w:val="center"/>
                </w:tcPr>
                <w:p w14:paraId="432D8D7E">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台</w:t>
                  </w:r>
                </w:p>
              </w:tc>
              <w:tc>
                <w:tcPr>
                  <w:tcW w:w="508" w:type="pct"/>
                  <w:tcBorders>
                    <w:tl2br w:val="nil"/>
                    <w:tr2bl w:val="nil"/>
                  </w:tcBorders>
                  <w:noWrap w:val="0"/>
                  <w:vAlign w:val="center"/>
                </w:tcPr>
                <w:p w14:paraId="7D2AE7AF">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1</w:t>
                  </w:r>
                </w:p>
              </w:tc>
              <w:tc>
                <w:tcPr>
                  <w:tcW w:w="1226" w:type="pct"/>
                  <w:tcBorders>
                    <w:tl2br w:val="nil"/>
                    <w:tr2bl w:val="nil"/>
                  </w:tcBorders>
                  <w:noWrap w:val="0"/>
                  <w:vAlign w:val="center"/>
                </w:tcPr>
                <w:p w14:paraId="79AFCB29">
                  <w:pPr>
                    <w:widowControl/>
                    <w:adjustRightInd/>
                    <w:snapToGrid/>
                    <w:ind w:firstLine="0" w:firstLineChars="0"/>
                    <w:jc w:val="center"/>
                    <w:rPr>
                      <w:rFonts w:hint="eastAsia"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w:t>
                  </w:r>
                </w:p>
              </w:tc>
              <w:tc>
                <w:tcPr>
                  <w:tcW w:w="1289" w:type="pct"/>
                  <w:tcBorders>
                    <w:tl2br w:val="nil"/>
                    <w:tr2bl w:val="nil"/>
                  </w:tcBorders>
                  <w:noWrap w:val="0"/>
                  <w:vAlign w:val="center"/>
                </w:tcPr>
                <w:p w14:paraId="397290EF">
                  <w:pPr>
                    <w:widowControl/>
                    <w:adjustRightInd/>
                    <w:snapToGrid/>
                    <w:ind w:firstLine="0" w:firstLineChars="0"/>
                    <w:jc w:val="center"/>
                    <w:rPr>
                      <w:rFonts w:hint="default" w:ascii="Times New Roman" w:hAnsi="Times New Roman" w:eastAsia="宋体" w:cs="Times New Roman"/>
                      <w:color w:val="auto"/>
                      <w:kern w:val="0"/>
                      <w:sz w:val="21"/>
                      <w:szCs w:val="21"/>
                      <w:u w:val="none"/>
                    </w:rPr>
                  </w:pPr>
                  <w:r>
                    <w:rPr>
                      <w:rFonts w:hint="eastAsia" w:cs="Times New Roman"/>
                      <w:color w:val="auto"/>
                      <w:kern w:val="0"/>
                      <w:sz w:val="21"/>
                      <w:szCs w:val="21"/>
                      <w:u w:val="none"/>
                      <w:lang w:eastAsia="zh-CN"/>
                    </w:rPr>
                    <w:t>利旧</w:t>
                  </w:r>
                </w:p>
              </w:tc>
            </w:tr>
            <w:tr w14:paraId="59C49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13" w:type="pct"/>
                  <w:tcBorders>
                    <w:tl2br w:val="nil"/>
                    <w:tr2bl w:val="nil"/>
                  </w:tcBorders>
                  <w:shd w:val="clear" w:color="auto" w:fill="auto"/>
                  <w:noWrap w:val="0"/>
                  <w:vAlign w:val="center"/>
                </w:tcPr>
                <w:p w14:paraId="741E8ABA">
                  <w:pPr>
                    <w:widowControl/>
                    <w:ind w:firstLine="0" w:firstLineChars="0"/>
                    <w:jc w:val="center"/>
                    <w:rPr>
                      <w:rFonts w:hint="default" w:ascii="Times New Roman" w:hAnsi="Times New Roman" w:eastAsia="宋体" w:cs="Times New Roman"/>
                      <w:color w:val="auto"/>
                      <w:kern w:val="0"/>
                      <w:sz w:val="21"/>
                      <w:szCs w:val="21"/>
                      <w:u w:val="none"/>
                      <w:lang w:val="zh-CN" w:eastAsia="zh-CN" w:bidi="zh-CN"/>
                    </w:rPr>
                  </w:pPr>
                  <w:r>
                    <w:rPr>
                      <w:rFonts w:hint="default" w:ascii="Times New Roman" w:hAnsi="Times New Roman" w:eastAsia="宋体" w:cs="Times New Roman"/>
                      <w:color w:val="auto"/>
                      <w:sz w:val="21"/>
                      <w:szCs w:val="21"/>
                      <w:u w:val="none"/>
                    </w:rPr>
                    <w:t>25</w:t>
                  </w:r>
                </w:p>
              </w:tc>
              <w:tc>
                <w:tcPr>
                  <w:tcW w:w="1044" w:type="pct"/>
                  <w:tcBorders>
                    <w:tl2br w:val="nil"/>
                    <w:tr2bl w:val="nil"/>
                  </w:tcBorders>
                  <w:noWrap w:val="0"/>
                  <w:vAlign w:val="center"/>
                </w:tcPr>
                <w:p w14:paraId="5A3C2307">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中心供氧系统</w:t>
                  </w:r>
                </w:p>
              </w:tc>
              <w:tc>
                <w:tcPr>
                  <w:tcW w:w="517" w:type="pct"/>
                  <w:tcBorders>
                    <w:tl2br w:val="nil"/>
                    <w:tr2bl w:val="nil"/>
                  </w:tcBorders>
                  <w:noWrap w:val="0"/>
                  <w:vAlign w:val="center"/>
                </w:tcPr>
                <w:p w14:paraId="19D96400">
                  <w:pPr>
                    <w:widowControl/>
                    <w:ind w:firstLine="0" w:firstLineChars="0"/>
                    <w:jc w:val="center"/>
                    <w:rPr>
                      <w:rFonts w:hint="default" w:ascii="Times New Roman" w:hAnsi="Times New Roman" w:eastAsia="宋体" w:cs="Times New Roman"/>
                      <w:color w:val="auto"/>
                      <w:kern w:val="0"/>
                      <w:sz w:val="21"/>
                      <w:szCs w:val="21"/>
                      <w:u w:val="none"/>
                    </w:rPr>
                  </w:pPr>
                </w:p>
              </w:tc>
              <w:tc>
                <w:tcPr>
                  <w:tcW w:w="508" w:type="pct"/>
                  <w:tcBorders>
                    <w:tl2br w:val="nil"/>
                    <w:tr2bl w:val="nil"/>
                  </w:tcBorders>
                  <w:noWrap w:val="0"/>
                  <w:vAlign w:val="center"/>
                </w:tcPr>
                <w:p w14:paraId="55C06FD3">
                  <w:pPr>
                    <w:widowControl/>
                    <w:ind w:firstLine="0" w:firstLineChars="0"/>
                    <w:jc w:val="center"/>
                    <w:rPr>
                      <w:rFonts w:hint="eastAsia"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1</w:t>
                  </w:r>
                </w:p>
              </w:tc>
              <w:tc>
                <w:tcPr>
                  <w:tcW w:w="1226" w:type="pct"/>
                  <w:tcBorders>
                    <w:tl2br w:val="nil"/>
                    <w:tr2bl w:val="nil"/>
                  </w:tcBorders>
                  <w:noWrap w:val="0"/>
                  <w:vAlign w:val="center"/>
                </w:tcPr>
                <w:p w14:paraId="48344C03">
                  <w:pPr>
                    <w:widowControl/>
                    <w:adjustRightInd/>
                    <w:snapToGrid/>
                    <w:ind w:firstLine="0" w:firstLineChars="0"/>
                    <w:jc w:val="center"/>
                    <w:rPr>
                      <w:rFonts w:hint="eastAsia"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w:t>
                  </w:r>
                </w:p>
              </w:tc>
              <w:tc>
                <w:tcPr>
                  <w:tcW w:w="1289" w:type="pct"/>
                  <w:tcBorders>
                    <w:tl2br w:val="nil"/>
                    <w:tr2bl w:val="nil"/>
                  </w:tcBorders>
                  <w:noWrap w:val="0"/>
                  <w:vAlign w:val="center"/>
                </w:tcPr>
                <w:p w14:paraId="6696F7A7">
                  <w:pPr>
                    <w:widowControl/>
                    <w:adjustRightInd/>
                    <w:snapToGrid/>
                    <w:ind w:firstLine="0" w:firstLineChars="0"/>
                    <w:jc w:val="center"/>
                    <w:rPr>
                      <w:rFonts w:hint="eastAsia" w:ascii="Times New Roman" w:hAnsi="Times New Roman" w:eastAsia="宋体" w:cs="Times New Roman"/>
                      <w:color w:val="auto"/>
                      <w:kern w:val="0"/>
                      <w:sz w:val="21"/>
                      <w:szCs w:val="21"/>
                      <w:u w:val="none"/>
                      <w:lang w:eastAsia="zh-CN"/>
                    </w:rPr>
                  </w:pPr>
                  <w:r>
                    <w:rPr>
                      <w:rFonts w:hint="eastAsia" w:cs="Times New Roman"/>
                      <w:color w:val="auto"/>
                      <w:kern w:val="0"/>
                      <w:sz w:val="21"/>
                      <w:szCs w:val="21"/>
                      <w:u w:val="none"/>
                      <w:lang w:eastAsia="zh-CN"/>
                    </w:rPr>
                    <w:t>新建</w:t>
                  </w:r>
                </w:p>
              </w:tc>
            </w:tr>
            <w:tr w14:paraId="115AF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13" w:type="pct"/>
                  <w:tcBorders>
                    <w:tl2br w:val="nil"/>
                    <w:tr2bl w:val="nil"/>
                  </w:tcBorders>
                  <w:shd w:val="clear" w:color="auto" w:fill="auto"/>
                  <w:noWrap w:val="0"/>
                  <w:vAlign w:val="center"/>
                </w:tcPr>
                <w:p w14:paraId="42C2A046">
                  <w:pPr>
                    <w:widowControl/>
                    <w:ind w:firstLine="0" w:firstLineChars="0"/>
                    <w:jc w:val="center"/>
                    <w:rPr>
                      <w:rFonts w:hint="default" w:ascii="Times New Roman" w:hAnsi="Times New Roman" w:eastAsia="宋体" w:cs="Times New Roman"/>
                      <w:color w:val="auto"/>
                      <w:kern w:val="0"/>
                      <w:sz w:val="21"/>
                      <w:szCs w:val="21"/>
                      <w:u w:val="none"/>
                      <w:lang w:val="zh-CN" w:eastAsia="zh-CN" w:bidi="zh-CN"/>
                    </w:rPr>
                  </w:pPr>
                  <w:r>
                    <w:rPr>
                      <w:rFonts w:hint="default" w:ascii="Times New Roman" w:hAnsi="Times New Roman" w:eastAsia="宋体" w:cs="Times New Roman"/>
                      <w:color w:val="auto"/>
                      <w:sz w:val="21"/>
                      <w:szCs w:val="21"/>
                      <w:u w:val="none"/>
                    </w:rPr>
                    <w:t>26</w:t>
                  </w:r>
                </w:p>
              </w:tc>
              <w:tc>
                <w:tcPr>
                  <w:tcW w:w="1044" w:type="pct"/>
                  <w:tcBorders>
                    <w:tl2br w:val="nil"/>
                    <w:tr2bl w:val="nil"/>
                  </w:tcBorders>
                  <w:noWrap w:val="0"/>
                  <w:vAlign w:val="center"/>
                </w:tcPr>
                <w:p w14:paraId="5F60B9BE">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救护车</w:t>
                  </w:r>
                </w:p>
              </w:tc>
              <w:tc>
                <w:tcPr>
                  <w:tcW w:w="517" w:type="pct"/>
                  <w:tcBorders>
                    <w:tl2br w:val="nil"/>
                    <w:tr2bl w:val="nil"/>
                  </w:tcBorders>
                  <w:noWrap w:val="0"/>
                  <w:vAlign w:val="center"/>
                </w:tcPr>
                <w:p w14:paraId="0675861D">
                  <w:pPr>
                    <w:widowControl/>
                    <w:ind w:firstLine="0" w:firstLineChars="0"/>
                    <w:jc w:val="center"/>
                    <w:rPr>
                      <w:rFonts w:hint="eastAsia" w:ascii="Times New Roman" w:hAnsi="Times New Roman" w:eastAsia="宋体" w:cs="Times New Roman"/>
                      <w:color w:val="auto"/>
                      <w:kern w:val="0"/>
                      <w:sz w:val="21"/>
                      <w:szCs w:val="21"/>
                      <w:u w:val="none"/>
                      <w:lang w:eastAsia="zh-CN"/>
                    </w:rPr>
                  </w:pPr>
                  <w:r>
                    <w:rPr>
                      <w:rFonts w:hint="eastAsia" w:cs="Times New Roman"/>
                      <w:color w:val="auto"/>
                      <w:sz w:val="21"/>
                      <w:szCs w:val="21"/>
                      <w:u w:val="none"/>
                      <w:lang w:eastAsia="zh-CN"/>
                    </w:rPr>
                    <w:t>辆</w:t>
                  </w:r>
                </w:p>
              </w:tc>
              <w:tc>
                <w:tcPr>
                  <w:tcW w:w="508" w:type="pct"/>
                  <w:tcBorders>
                    <w:tl2br w:val="nil"/>
                    <w:tr2bl w:val="nil"/>
                  </w:tcBorders>
                  <w:noWrap w:val="0"/>
                  <w:vAlign w:val="center"/>
                </w:tcPr>
                <w:p w14:paraId="229028D3">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4</w:t>
                  </w:r>
                </w:p>
              </w:tc>
              <w:tc>
                <w:tcPr>
                  <w:tcW w:w="1226" w:type="pct"/>
                  <w:tcBorders>
                    <w:tl2br w:val="nil"/>
                    <w:tr2bl w:val="nil"/>
                  </w:tcBorders>
                  <w:noWrap w:val="0"/>
                  <w:vAlign w:val="center"/>
                </w:tcPr>
                <w:p w14:paraId="09900F9F">
                  <w:pPr>
                    <w:widowControl/>
                    <w:adjustRightInd/>
                    <w:snapToGrid/>
                    <w:ind w:firstLine="0" w:firstLineChars="0"/>
                    <w:jc w:val="center"/>
                    <w:rPr>
                      <w:rFonts w:hint="eastAsia"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w:t>
                  </w:r>
                </w:p>
              </w:tc>
              <w:tc>
                <w:tcPr>
                  <w:tcW w:w="1289" w:type="pct"/>
                  <w:tcBorders>
                    <w:tl2br w:val="nil"/>
                    <w:tr2bl w:val="nil"/>
                  </w:tcBorders>
                  <w:noWrap w:val="0"/>
                  <w:vAlign w:val="center"/>
                </w:tcPr>
                <w:p w14:paraId="468FBA8B">
                  <w:pPr>
                    <w:widowControl/>
                    <w:adjustRightInd/>
                    <w:snapToGrid/>
                    <w:ind w:firstLine="0" w:firstLineChars="0"/>
                    <w:jc w:val="center"/>
                    <w:rPr>
                      <w:rFonts w:hint="default" w:ascii="Times New Roman" w:hAnsi="Times New Roman" w:eastAsia="宋体" w:cs="Times New Roman"/>
                      <w:color w:val="auto"/>
                      <w:kern w:val="0"/>
                      <w:sz w:val="21"/>
                      <w:szCs w:val="21"/>
                      <w:u w:val="none"/>
                    </w:rPr>
                  </w:pPr>
                  <w:r>
                    <w:rPr>
                      <w:rFonts w:hint="eastAsia" w:cs="Times New Roman"/>
                      <w:color w:val="auto"/>
                      <w:kern w:val="0"/>
                      <w:sz w:val="21"/>
                      <w:szCs w:val="21"/>
                      <w:u w:val="none"/>
                      <w:lang w:eastAsia="zh-CN"/>
                    </w:rPr>
                    <w:t>利旧</w:t>
                  </w:r>
                  <w:r>
                    <w:rPr>
                      <w:rFonts w:hint="eastAsia" w:cs="Times New Roman"/>
                      <w:color w:val="auto"/>
                      <w:kern w:val="0"/>
                      <w:sz w:val="21"/>
                      <w:szCs w:val="21"/>
                      <w:u w:val="none"/>
                      <w:lang w:val="en-US" w:eastAsia="zh-CN"/>
                    </w:rPr>
                    <w:t>1</w:t>
                  </w:r>
                  <w:r>
                    <w:rPr>
                      <w:rFonts w:hint="eastAsia" w:cs="Times New Roman"/>
                      <w:color w:val="auto"/>
                      <w:sz w:val="21"/>
                      <w:szCs w:val="21"/>
                      <w:u w:val="none"/>
                      <w:lang w:eastAsia="zh-CN"/>
                    </w:rPr>
                    <w:t>辆</w:t>
                  </w:r>
                  <w:r>
                    <w:rPr>
                      <w:rFonts w:hint="eastAsia" w:cs="Times New Roman"/>
                      <w:color w:val="auto"/>
                      <w:kern w:val="0"/>
                      <w:sz w:val="21"/>
                      <w:szCs w:val="21"/>
                      <w:u w:val="none"/>
                      <w:lang w:val="en-US" w:eastAsia="zh-CN"/>
                    </w:rPr>
                    <w:t>，新增1</w:t>
                  </w:r>
                  <w:r>
                    <w:rPr>
                      <w:rFonts w:hint="eastAsia" w:cs="Times New Roman"/>
                      <w:color w:val="auto"/>
                      <w:sz w:val="21"/>
                      <w:szCs w:val="21"/>
                      <w:u w:val="none"/>
                      <w:lang w:eastAsia="zh-CN"/>
                    </w:rPr>
                    <w:t>辆</w:t>
                  </w:r>
                </w:p>
              </w:tc>
            </w:tr>
            <w:tr w14:paraId="17B62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13" w:type="pct"/>
                  <w:tcBorders>
                    <w:tl2br w:val="nil"/>
                    <w:tr2bl w:val="nil"/>
                  </w:tcBorders>
                  <w:shd w:val="clear" w:color="auto" w:fill="auto"/>
                  <w:noWrap w:val="0"/>
                  <w:vAlign w:val="center"/>
                </w:tcPr>
                <w:p w14:paraId="6D955554">
                  <w:pPr>
                    <w:widowControl/>
                    <w:ind w:firstLine="0" w:firstLineChars="0"/>
                    <w:jc w:val="center"/>
                    <w:rPr>
                      <w:rFonts w:hint="default" w:ascii="Times New Roman" w:hAnsi="Times New Roman" w:eastAsia="宋体" w:cs="Times New Roman"/>
                      <w:color w:val="auto"/>
                      <w:kern w:val="0"/>
                      <w:sz w:val="21"/>
                      <w:szCs w:val="21"/>
                      <w:u w:val="none"/>
                      <w:lang w:val="zh-CN" w:eastAsia="zh-CN" w:bidi="zh-CN"/>
                    </w:rPr>
                  </w:pPr>
                  <w:r>
                    <w:rPr>
                      <w:rFonts w:hint="default" w:ascii="Times New Roman" w:hAnsi="Times New Roman" w:eastAsia="宋体" w:cs="Times New Roman"/>
                      <w:color w:val="auto"/>
                      <w:sz w:val="21"/>
                      <w:szCs w:val="21"/>
                      <w:u w:val="none"/>
                    </w:rPr>
                    <w:t>27</w:t>
                  </w:r>
                </w:p>
              </w:tc>
              <w:tc>
                <w:tcPr>
                  <w:tcW w:w="1044" w:type="pct"/>
                  <w:tcBorders>
                    <w:tl2br w:val="nil"/>
                    <w:tr2bl w:val="nil"/>
                  </w:tcBorders>
                  <w:noWrap w:val="0"/>
                  <w:vAlign w:val="center"/>
                </w:tcPr>
                <w:p w14:paraId="20E126C7">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生活用车</w:t>
                  </w:r>
                </w:p>
              </w:tc>
              <w:tc>
                <w:tcPr>
                  <w:tcW w:w="517" w:type="pct"/>
                  <w:tcBorders>
                    <w:tl2br w:val="nil"/>
                    <w:tr2bl w:val="nil"/>
                  </w:tcBorders>
                  <w:noWrap w:val="0"/>
                  <w:vAlign w:val="center"/>
                </w:tcPr>
                <w:p w14:paraId="6C71F9FA">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台</w:t>
                  </w:r>
                </w:p>
              </w:tc>
              <w:tc>
                <w:tcPr>
                  <w:tcW w:w="508" w:type="pct"/>
                  <w:tcBorders>
                    <w:tl2br w:val="nil"/>
                    <w:tr2bl w:val="nil"/>
                  </w:tcBorders>
                  <w:noWrap w:val="0"/>
                  <w:vAlign w:val="center"/>
                </w:tcPr>
                <w:p w14:paraId="03275083">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1</w:t>
                  </w:r>
                </w:p>
              </w:tc>
              <w:tc>
                <w:tcPr>
                  <w:tcW w:w="1226" w:type="pct"/>
                  <w:tcBorders>
                    <w:tl2br w:val="nil"/>
                    <w:tr2bl w:val="nil"/>
                  </w:tcBorders>
                  <w:noWrap w:val="0"/>
                  <w:vAlign w:val="center"/>
                </w:tcPr>
                <w:p w14:paraId="60AF4B43">
                  <w:pPr>
                    <w:widowControl/>
                    <w:adjustRightInd/>
                    <w:snapToGrid/>
                    <w:ind w:firstLine="0" w:firstLineChars="0"/>
                    <w:jc w:val="center"/>
                    <w:rPr>
                      <w:rFonts w:hint="eastAsia"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w:t>
                  </w:r>
                </w:p>
              </w:tc>
              <w:tc>
                <w:tcPr>
                  <w:tcW w:w="1289" w:type="pct"/>
                  <w:tcBorders>
                    <w:tl2br w:val="nil"/>
                    <w:tr2bl w:val="nil"/>
                  </w:tcBorders>
                  <w:noWrap w:val="0"/>
                  <w:vAlign w:val="center"/>
                </w:tcPr>
                <w:p w14:paraId="2364AC4E">
                  <w:pPr>
                    <w:widowControl/>
                    <w:adjustRightInd/>
                    <w:snapToGrid/>
                    <w:ind w:firstLine="0" w:firstLineChars="0"/>
                    <w:jc w:val="center"/>
                    <w:rPr>
                      <w:rFonts w:hint="default" w:ascii="Times New Roman" w:hAnsi="Times New Roman" w:eastAsia="宋体" w:cs="Times New Roman"/>
                      <w:color w:val="auto"/>
                      <w:kern w:val="0"/>
                      <w:sz w:val="21"/>
                      <w:szCs w:val="21"/>
                      <w:u w:val="none"/>
                    </w:rPr>
                  </w:pPr>
                  <w:r>
                    <w:rPr>
                      <w:rFonts w:hint="eastAsia" w:cs="Times New Roman"/>
                      <w:color w:val="auto"/>
                      <w:kern w:val="0"/>
                      <w:sz w:val="21"/>
                      <w:szCs w:val="21"/>
                      <w:u w:val="none"/>
                      <w:lang w:eastAsia="zh-CN"/>
                    </w:rPr>
                    <w:t>利旧</w:t>
                  </w:r>
                </w:p>
              </w:tc>
            </w:tr>
            <w:tr w14:paraId="566AB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13" w:type="pct"/>
                  <w:tcBorders>
                    <w:tl2br w:val="nil"/>
                    <w:tr2bl w:val="nil"/>
                  </w:tcBorders>
                  <w:shd w:val="clear" w:color="auto" w:fill="auto"/>
                  <w:noWrap w:val="0"/>
                  <w:vAlign w:val="center"/>
                </w:tcPr>
                <w:p w14:paraId="48C6EB68">
                  <w:pPr>
                    <w:widowControl/>
                    <w:ind w:firstLine="0" w:firstLineChars="0"/>
                    <w:jc w:val="center"/>
                    <w:rPr>
                      <w:rFonts w:hint="default" w:ascii="Times New Roman" w:hAnsi="Times New Roman" w:eastAsia="宋体" w:cs="Times New Roman"/>
                      <w:color w:val="auto"/>
                      <w:kern w:val="0"/>
                      <w:sz w:val="21"/>
                      <w:szCs w:val="21"/>
                      <w:u w:val="none"/>
                      <w:lang w:val="zh-CN" w:eastAsia="zh-CN" w:bidi="zh-CN"/>
                    </w:rPr>
                  </w:pPr>
                  <w:r>
                    <w:rPr>
                      <w:rFonts w:hint="default" w:ascii="Times New Roman" w:hAnsi="Times New Roman" w:eastAsia="宋体" w:cs="Times New Roman"/>
                      <w:color w:val="auto"/>
                      <w:sz w:val="21"/>
                      <w:szCs w:val="21"/>
                      <w:u w:val="none"/>
                    </w:rPr>
                    <w:t>28</w:t>
                  </w:r>
                </w:p>
              </w:tc>
              <w:tc>
                <w:tcPr>
                  <w:tcW w:w="1044" w:type="pct"/>
                  <w:tcBorders>
                    <w:tl2br w:val="nil"/>
                    <w:tr2bl w:val="nil"/>
                  </w:tcBorders>
                  <w:noWrap w:val="0"/>
                  <w:vAlign w:val="center"/>
                </w:tcPr>
                <w:p w14:paraId="449A4AD9">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病床及配套用品</w:t>
                  </w:r>
                </w:p>
              </w:tc>
              <w:tc>
                <w:tcPr>
                  <w:tcW w:w="517" w:type="pct"/>
                  <w:tcBorders>
                    <w:tl2br w:val="nil"/>
                    <w:tr2bl w:val="nil"/>
                  </w:tcBorders>
                  <w:noWrap w:val="0"/>
                  <w:vAlign w:val="center"/>
                </w:tcPr>
                <w:p w14:paraId="36A08A4B">
                  <w:pPr>
                    <w:widowControl/>
                    <w:ind w:firstLine="0" w:firstLineChars="0"/>
                    <w:jc w:val="center"/>
                    <w:rPr>
                      <w:rFonts w:hint="eastAsia" w:ascii="Times New Roman" w:hAnsi="Times New Roman" w:eastAsia="宋体" w:cs="Times New Roman"/>
                      <w:color w:val="auto"/>
                      <w:kern w:val="0"/>
                      <w:sz w:val="21"/>
                      <w:szCs w:val="21"/>
                      <w:u w:val="none"/>
                      <w:lang w:eastAsia="zh-CN"/>
                    </w:rPr>
                  </w:pPr>
                  <w:r>
                    <w:rPr>
                      <w:rFonts w:hint="eastAsia" w:cs="Times New Roman"/>
                      <w:color w:val="auto"/>
                      <w:sz w:val="21"/>
                      <w:szCs w:val="21"/>
                      <w:u w:val="none"/>
                      <w:lang w:eastAsia="zh-CN"/>
                    </w:rPr>
                    <w:t>套</w:t>
                  </w:r>
                </w:p>
              </w:tc>
              <w:tc>
                <w:tcPr>
                  <w:tcW w:w="508" w:type="pct"/>
                  <w:tcBorders>
                    <w:tl2br w:val="nil"/>
                    <w:tr2bl w:val="nil"/>
                  </w:tcBorders>
                  <w:noWrap w:val="0"/>
                  <w:vAlign w:val="center"/>
                </w:tcPr>
                <w:p w14:paraId="5ED867AB">
                  <w:pPr>
                    <w:widowControl/>
                    <w:ind w:firstLine="0" w:firstLineChars="0"/>
                    <w:jc w:val="center"/>
                    <w:rPr>
                      <w:rFonts w:hint="default" w:ascii="Times New Roman" w:hAnsi="Times New Roman" w:eastAsia="宋体" w:cs="Times New Roman"/>
                      <w:color w:val="auto"/>
                      <w:kern w:val="0"/>
                      <w:sz w:val="21"/>
                      <w:szCs w:val="21"/>
                      <w:u w:val="none"/>
                      <w:lang w:val="en-US" w:eastAsia="zh-CN"/>
                    </w:rPr>
                  </w:pPr>
                  <w:r>
                    <w:rPr>
                      <w:rFonts w:hint="eastAsia" w:cs="Times New Roman"/>
                      <w:color w:val="auto"/>
                      <w:sz w:val="21"/>
                      <w:szCs w:val="21"/>
                      <w:u w:val="none"/>
                      <w:lang w:val="en-US" w:eastAsia="zh-CN"/>
                    </w:rPr>
                    <w:t>850</w:t>
                  </w:r>
                </w:p>
              </w:tc>
              <w:tc>
                <w:tcPr>
                  <w:tcW w:w="1226" w:type="pct"/>
                  <w:tcBorders>
                    <w:tl2br w:val="nil"/>
                    <w:tr2bl w:val="nil"/>
                  </w:tcBorders>
                  <w:noWrap w:val="0"/>
                  <w:vAlign w:val="center"/>
                </w:tcPr>
                <w:p w14:paraId="53BD3442">
                  <w:pPr>
                    <w:widowControl/>
                    <w:adjustRightInd/>
                    <w:snapToGrid/>
                    <w:ind w:firstLine="0" w:firstLineChars="0"/>
                    <w:jc w:val="center"/>
                    <w:rPr>
                      <w:rFonts w:hint="eastAsia"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w:t>
                  </w:r>
                </w:p>
              </w:tc>
              <w:tc>
                <w:tcPr>
                  <w:tcW w:w="1289" w:type="pct"/>
                  <w:tcBorders>
                    <w:tl2br w:val="nil"/>
                    <w:tr2bl w:val="nil"/>
                  </w:tcBorders>
                  <w:noWrap w:val="0"/>
                  <w:vAlign w:val="center"/>
                </w:tcPr>
                <w:p w14:paraId="1AD42101">
                  <w:pPr>
                    <w:widowControl/>
                    <w:adjustRightInd/>
                    <w:snapToGrid/>
                    <w:ind w:firstLine="0" w:firstLineChars="0"/>
                    <w:jc w:val="center"/>
                    <w:rPr>
                      <w:rFonts w:hint="eastAsia" w:ascii="Times New Roman" w:hAnsi="Times New Roman" w:eastAsia="宋体" w:cs="Times New Roman"/>
                      <w:color w:val="auto"/>
                      <w:kern w:val="0"/>
                      <w:sz w:val="21"/>
                      <w:szCs w:val="21"/>
                      <w:u w:val="none"/>
                      <w:lang w:eastAsia="zh-CN"/>
                    </w:rPr>
                  </w:pPr>
                  <w:r>
                    <w:rPr>
                      <w:rFonts w:hint="eastAsia" w:cs="Times New Roman"/>
                      <w:color w:val="auto"/>
                      <w:kern w:val="0"/>
                      <w:sz w:val="21"/>
                      <w:szCs w:val="21"/>
                      <w:u w:val="none"/>
                      <w:lang w:eastAsia="zh-CN"/>
                    </w:rPr>
                    <w:t>新购</w:t>
                  </w:r>
                </w:p>
              </w:tc>
            </w:tr>
            <w:tr w14:paraId="014EF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13" w:type="pct"/>
                  <w:tcBorders>
                    <w:tl2br w:val="nil"/>
                    <w:tr2bl w:val="nil"/>
                  </w:tcBorders>
                  <w:shd w:val="clear" w:color="auto" w:fill="auto"/>
                  <w:noWrap w:val="0"/>
                  <w:vAlign w:val="center"/>
                </w:tcPr>
                <w:p w14:paraId="5573405D">
                  <w:pPr>
                    <w:widowControl/>
                    <w:ind w:firstLine="0" w:firstLineChars="0"/>
                    <w:jc w:val="center"/>
                    <w:rPr>
                      <w:rFonts w:hint="default" w:ascii="Times New Roman" w:hAnsi="Times New Roman" w:eastAsia="宋体" w:cs="Times New Roman"/>
                      <w:color w:val="auto"/>
                      <w:kern w:val="0"/>
                      <w:sz w:val="21"/>
                      <w:szCs w:val="21"/>
                      <w:u w:val="none"/>
                      <w:lang w:val="zh-CN" w:eastAsia="zh-CN" w:bidi="zh-CN"/>
                    </w:rPr>
                  </w:pPr>
                  <w:r>
                    <w:rPr>
                      <w:rFonts w:hint="default" w:ascii="Times New Roman" w:hAnsi="Times New Roman" w:eastAsia="宋体" w:cs="Times New Roman"/>
                      <w:color w:val="auto"/>
                      <w:kern w:val="0"/>
                      <w:sz w:val="21"/>
                      <w:szCs w:val="21"/>
                      <w:u w:val="none"/>
                    </w:rPr>
                    <w:t>29</w:t>
                  </w:r>
                </w:p>
              </w:tc>
              <w:tc>
                <w:tcPr>
                  <w:tcW w:w="1044" w:type="pct"/>
                  <w:tcBorders>
                    <w:tl2br w:val="nil"/>
                    <w:tr2bl w:val="nil"/>
                  </w:tcBorders>
                  <w:noWrap w:val="0"/>
                  <w:vAlign w:val="center"/>
                </w:tcPr>
                <w:p w14:paraId="72E8005D">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CT</w:t>
                  </w:r>
                </w:p>
              </w:tc>
              <w:tc>
                <w:tcPr>
                  <w:tcW w:w="517" w:type="pct"/>
                  <w:tcBorders>
                    <w:tl2br w:val="nil"/>
                    <w:tr2bl w:val="nil"/>
                  </w:tcBorders>
                  <w:noWrap w:val="0"/>
                  <w:vAlign w:val="center"/>
                </w:tcPr>
                <w:p w14:paraId="49B724B3">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台</w:t>
                  </w:r>
                </w:p>
              </w:tc>
              <w:tc>
                <w:tcPr>
                  <w:tcW w:w="508" w:type="pct"/>
                  <w:tcBorders>
                    <w:tl2br w:val="nil"/>
                    <w:tr2bl w:val="nil"/>
                  </w:tcBorders>
                  <w:noWrap w:val="0"/>
                  <w:vAlign w:val="center"/>
                </w:tcPr>
                <w:p w14:paraId="273B7C3A">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2</w:t>
                  </w:r>
                </w:p>
              </w:tc>
              <w:tc>
                <w:tcPr>
                  <w:tcW w:w="1226" w:type="pct"/>
                  <w:tcBorders>
                    <w:tl2br w:val="nil"/>
                    <w:tr2bl w:val="nil"/>
                  </w:tcBorders>
                  <w:noWrap w:val="0"/>
                  <w:vAlign w:val="center"/>
                </w:tcPr>
                <w:p w14:paraId="09091A47">
                  <w:pPr>
                    <w:widowControl/>
                    <w:adjustRightInd/>
                    <w:snapToGrid/>
                    <w:ind w:firstLine="0" w:firstLineChars="0"/>
                    <w:jc w:val="center"/>
                    <w:rPr>
                      <w:rFonts w:hint="default" w:ascii="Times New Roman" w:hAnsi="Times New Roman" w:eastAsia="宋体" w:cs="Times New Roman"/>
                      <w:color w:val="auto"/>
                      <w:kern w:val="0"/>
                      <w:sz w:val="21"/>
                      <w:szCs w:val="21"/>
                      <w:u w:val="none"/>
                      <w:lang w:eastAsia="zh-CN"/>
                    </w:rPr>
                  </w:pPr>
                  <w:r>
                    <w:rPr>
                      <w:rFonts w:hint="default" w:ascii="Times New Roman" w:hAnsi="Times New Roman" w:eastAsia="宋体" w:cs="Times New Roman"/>
                      <w:color w:val="auto"/>
                      <w:kern w:val="0"/>
                      <w:sz w:val="21"/>
                      <w:szCs w:val="21"/>
                      <w:u w:val="none"/>
                      <w:lang w:eastAsia="zh-CN"/>
                    </w:rPr>
                    <w:t>干片</w:t>
                  </w:r>
                </w:p>
              </w:tc>
              <w:tc>
                <w:tcPr>
                  <w:tcW w:w="1289" w:type="pct"/>
                  <w:tcBorders>
                    <w:tl2br w:val="nil"/>
                    <w:tr2bl w:val="nil"/>
                  </w:tcBorders>
                  <w:noWrap w:val="0"/>
                  <w:vAlign w:val="center"/>
                </w:tcPr>
                <w:p w14:paraId="23045393">
                  <w:pPr>
                    <w:widowControl/>
                    <w:adjustRightInd/>
                    <w:snapToGrid/>
                    <w:ind w:firstLine="0" w:firstLineChars="0"/>
                    <w:jc w:val="center"/>
                    <w:rPr>
                      <w:rFonts w:hint="default" w:ascii="Times New Roman" w:hAnsi="Times New Roman" w:eastAsia="宋体" w:cs="Times New Roman"/>
                      <w:color w:val="auto"/>
                      <w:kern w:val="0"/>
                      <w:sz w:val="21"/>
                      <w:szCs w:val="21"/>
                      <w:u w:val="none"/>
                      <w:lang w:eastAsia="zh-CN"/>
                    </w:rPr>
                  </w:pPr>
                  <w:r>
                    <w:rPr>
                      <w:rFonts w:hint="eastAsia" w:cs="Times New Roman"/>
                      <w:color w:val="auto"/>
                      <w:kern w:val="0"/>
                      <w:sz w:val="21"/>
                      <w:szCs w:val="21"/>
                      <w:u w:val="none"/>
                      <w:lang w:eastAsia="zh-CN"/>
                    </w:rPr>
                    <w:t>利旧</w:t>
                  </w:r>
                  <w:r>
                    <w:rPr>
                      <w:rFonts w:hint="eastAsia" w:cs="Times New Roman"/>
                      <w:color w:val="auto"/>
                      <w:kern w:val="0"/>
                      <w:sz w:val="21"/>
                      <w:szCs w:val="21"/>
                      <w:u w:val="none"/>
                      <w:lang w:val="en-US" w:eastAsia="zh-CN"/>
                    </w:rPr>
                    <w:t>1台，新增1台</w:t>
                  </w:r>
                </w:p>
              </w:tc>
            </w:tr>
            <w:tr w14:paraId="5C575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13" w:type="pct"/>
                  <w:tcBorders>
                    <w:tl2br w:val="nil"/>
                    <w:tr2bl w:val="nil"/>
                  </w:tcBorders>
                  <w:shd w:val="clear" w:color="auto" w:fill="auto"/>
                  <w:noWrap w:val="0"/>
                  <w:vAlign w:val="center"/>
                </w:tcPr>
                <w:p w14:paraId="0986179A">
                  <w:pPr>
                    <w:widowControl/>
                    <w:ind w:firstLine="0" w:firstLineChars="0"/>
                    <w:jc w:val="center"/>
                    <w:rPr>
                      <w:rFonts w:hint="default" w:ascii="Times New Roman" w:hAnsi="Times New Roman" w:eastAsia="宋体" w:cs="Times New Roman"/>
                      <w:color w:val="auto"/>
                      <w:kern w:val="0"/>
                      <w:sz w:val="21"/>
                      <w:szCs w:val="21"/>
                      <w:u w:val="none"/>
                      <w:lang w:val="zh-CN" w:eastAsia="zh-CN" w:bidi="zh-CN"/>
                    </w:rPr>
                  </w:pPr>
                  <w:r>
                    <w:rPr>
                      <w:rFonts w:hint="default" w:ascii="Times New Roman" w:hAnsi="Times New Roman" w:eastAsia="宋体" w:cs="Times New Roman"/>
                      <w:color w:val="auto"/>
                      <w:kern w:val="0"/>
                      <w:sz w:val="21"/>
                      <w:szCs w:val="21"/>
                      <w:u w:val="none"/>
                    </w:rPr>
                    <w:t>30</w:t>
                  </w:r>
                </w:p>
              </w:tc>
              <w:tc>
                <w:tcPr>
                  <w:tcW w:w="1044" w:type="pct"/>
                  <w:tcBorders>
                    <w:tl2br w:val="nil"/>
                    <w:tr2bl w:val="nil"/>
                  </w:tcBorders>
                  <w:noWrap w:val="0"/>
                  <w:vAlign w:val="center"/>
                </w:tcPr>
                <w:p w14:paraId="623EEAB7">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DR</w:t>
                  </w:r>
                </w:p>
              </w:tc>
              <w:tc>
                <w:tcPr>
                  <w:tcW w:w="517" w:type="pct"/>
                  <w:tcBorders>
                    <w:tl2br w:val="nil"/>
                    <w:tr2bl w:val="nil"/>
                  </w:tcBorders>
                  <w:noWrap w:val="0"/>
                  <w:vAlign w:val="center"/>
                </w:tcPr>
                <w:p w14:paraId="6027E3B1">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台</w:t>
                  </w:r>
                </w:p>
              </w:tc>
              <w:tc>
                <w:tcPr>
                  <w:tcW w:w="508" w:type="pct"/>
                  <w:tcBorders>
                    <w:tl2br w:val="nil"/>
                    <w:tr2bl w:val="nil"/>
                  </w:tcBorders>
                  <w:noWrap w:val="0"/>
                  <w:vAlign w:val="center"/>
                </w:tcPr>
                <w:p w14:paraId="0BC174F6">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1</w:t>
                  </w:r>
                </w:p>
              </w:tc>
              <w:tc>
                <w:tcPr>
                  <w:tcW w:w="1226" w:type="pct"/>
                  <w:tcBorders>
                    <w:tl2br w:val="nil"/>
                    <w:tr2bl w:val="nil"/>
                  </w:tcBorders>
                  <w:noWrap w:val="0"/>
                  <w:vAlign w:val="center"/>
                </w:tcPr>
                <w:p w14:paraId="202C1387">
                  <w:pPr>
                    <w:widowControl/>
                    <w:adjustRightInd/>
                    <w:snapToGrid/>
                    <w:ind w:firstLine="0" w:firstLineChars="0"/>
                    <w:jc w:val="center"/>
                    <w:rPr>
                      <w:rFonts w:hint="eastAsia" w:ascii="Times New Roman" w:hAnsi="Times New Roman" w:eastAsia="宋体" w:cs="Times New Roman"/>
                      <w:color w:val="auto"/>
                      <w:kern w:val="0"/>
                      <w:sz w:val="21"/>
                      <w:szCs w:val="21"/>
                      <w:u w:val="none"/>
                      <w:lang w:eastAsia="zh-CN"/>
                    </w:rPr>
                  </w:pPr>
                  <w:r>
                    <w:rPr>
                      <w:rFonts w:hint="eastAsia" w:cs="Times New Roman"/>
                      <w:color w:val="auto"/>
                      <w:kern w:val="0"/>
                      <w:sz w:val="21"/>
                      <w:szCs w:val="21"/>
                      <w:u w:val="none"/>
                      <w:lang w:eastAsia="zh-CN"/>
                    </w:rPr>
                    <w:t>西门子</w:t>
                  </w:r>
                </w:p>
              </w:tc>
              <w:tc>
                <w:tcPr>
                  <w:tcW w:w="1289" w:type="pct"/>
                  <w:tcBorders>
                    <w:tl2br w:val="nil"/>
                    <w:tr2bl w:val="nil"/>
                  </w:tcBorders>
                  <w:noWrap w:val="0"/>
                  <w:vAlign w:val="center"/>
                </w:tcPr>
                <w:p w14:paraId="4902B101">
                  <w:pPr>
                    <w:widowControl/>
                    <w:adjustRightInd/>
                    <w:snapToGrid/>
                    <w:ind w:firstLine="0" w:firstLineChars="0"/>
                    <w:jc w:val="center"/>
                    <w:rPr>
                      <w:rFonts w:hint="default" w:ascii="Times New Roman" w:hAnsi="Times New Roman" w:eastAsia="宋体" w:cs="Times New Roman"/>
                      <w:color w:val="auto"/>
                      <w:kern w:val="0"/>
                      <w:sz w:val="21"/>
                      <w:szCs w:val="21"/>
                      <w:u w:val="none"/>
                    </w:rPr>
                  </w:pPr>
                  <w:r>
                    <w:rPr>
                      <w:rFonts w:hint="eastAsia" w:cs="Times New Roman"/>
                      <w:color w:val="auto"/>
                      <w:kern w:val="0"/>
                      <w:sz w:val="21"/>
                      <w:szCs w:val="21"/>
                      <w:u w:val="none"/>
                      <w:lang w:eastAsia="zh-CN"/>
                    </w:rPr>
                    <w:t>利旧</w:t>
                  </w:r>
                </w:p>
              </w:tc>
            </w:tr>
            <w:tr w14:paraId="2C2DB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13" w:type="pct"/>
                  <w:tcBorders>
                    <w:tl2br w:val="nil"/>
                    <w:tr2bl w:val="nil"/>
                  </w:tcBorders>
                  <w:shd w:val="clear" w:color="auto" w:fill="auto"/>
                  <w:noWrap w:val="0"/>
                  <w:vAlign w:val="center"/>
                </w:tcPr>
                <w:p w14:paraId="0758E9FC">
                  <w:pPr>
                    <w:widowControl/>
                    <w:ind w:firstLine="0" w:firstLineChars="0"/>
                    <w:jc w:val="center"/>
                    <w:rPr>
                      <w:rFonts w:hint="default" w:ascii="Times New Roman" w:hAnsi="Times New Roman" w:eastAsia="宋体" w:cs="Times New Roman"/>
                      <w:color w:val="auto"/>
                      <w:kern w:val="0"/>
                      <w:sz w:val="21"/>
                      <w:szCs w:val="21"/>
                      <w:u w:val="none"/>
                      <w:lang w:val="en-US" w:eastAsia="zh-CN" w:bidi="zh-CN"/>
                    </w:rPr>
                  </w:pPr>
                  <w:r>
                    <w:rPr>
                      <w:rFonts w:hint="default" w:ascii="Times New Roman" w:hAnsi="Times New Roman" w:eastAsia="宋体" w:cs="Times New Roman"/>
                      <w:color w:val="auto"/>
                      <w:kern w:val="0"/>
                      <w:sz w:val="21"/>
                      <w:szCs w:val="21"/>
                      <w:u w:val="none"/>
                    </w:rPr>
                    <w:t>3</w:t>
                  </w:r>
                  <w:r>
                    <w:rPr>
                      <w:rFonts w:hint="default" w:ascii="Times New Roman" w:hAnsi="Times New Roman" w:eastAsia="宋体" w:cs="Times New Roman"/>
                      <w:color w:val="auto"/>
                      <w:kern w:val="0"/>
                      <w:sz w:val="21"/>
                      <w:szCs w:val="21"/>
                      <w:u w:val="none"/>
                      <w:lang w:val="en-US" w:eastAsia="zh-CN"/>
                    </w:rPr>
                    <w:t>1</w:t>
                  </w:r>
                </w:p>
              </w:tc>
              <w:tc>
                <w:tcPr>
                  <w:tcW w:w="1044" w:type="pct"/>
                  <w:tcBorders>
                    <w:tl2br w:val="nil"/>
                    <w:tr2bl w:val="nil"/>
                  </w:tcBorders>
                  <w:noWrap w:val="0"/>
                  <w:vAlign w:val="center"/>
                </w:tcPr>
                <w:p w14:paraId="313BB528">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C臂机</w:t>
                  </w:r>
                </w:p>
              </w:tc>
              <w:tc>
                <w:tcPr>
                  <w:tcW w:w="517" w:type="pct"/>
                  <w:tcBorders>
                    <w:tl2br w:val="nil"/>
                    <w:tr2bl w:val="nil"/>
                  </w:tcBorders>
                  <w:noWrap w:val="0"/>
                  <w:vAlign w:val="center"/>
                </w:tcPr>
                <w:p w14:paraId="0FF47251">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台</w:t>
                  </w:r>
                </w:p>
              </w:tc>
              <w:tc>
                <w:tcPr>
                  <w:tcW w:w="508" w:type="pct"/>
                  <w:tcBorders>
                    <w:tl2br w:val="nil"/>
                    <w:tr2bl w:val="nil"/>
                  </w:tcBorders>
                  <w:noWrap w:val="0"/>
                  <w:vAlign w:val="center"/>
                </w:tcPr>
                <w:p w14:paraId="50C4A677">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1</w:t>
                  </w:r>
                </w:p>
              </w:tc>
              <w:tc>
                <w:tcPr>
                  <w:tcW w:w="1226" w:type="pct"/>
                  <w:tcBorders>
                    <w:tl2br w:val="nil"/>
                    <w:tr2bl w:val="nil"/>
                  </w:tcBorders>
                  <w:noWrap w:val="0"/>
                  <w:vAlign w:val="center"/>
                </w:tcPr>
                <w:p w14:paraId="6B20F224">
                  <w:pPr>
                    <w:widowControl/>
                    <w:adjustRightInd/>
                    <w:snapToGrid/>
                    <w:ind w:firstLine="0" w:firstLineChars="0"/>
                    <w:jc w:val="center"/>
                    <w:rPr>
                      <w:rFonts w:hint="eastAsia"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w:t>
                  </w:r>
                </w:p>
              </w:tc>
              <w:tc>
                <w:tcPr>
                  <w:tcW w:w="1289" w:type="pct"/>
                  <w:tcBorders>
                    <w:tl2br w:val="nil"/>
                    <w:tr2bl w:val="nil"/>
                  </w:tcBorders>
                  <w:noWrap w:val="0"/>
                  <w:vAlign w:val="center"/>
                </w:tcPr>
                <w:p w14:paraId="367E4744">
                  <w:pPr>
                    <w:widowControl/>
                    <w:adjustRightInd/>
                    <w:snapToGrid/>
                    <w:ind w:firstLine="0" w:firstLineChars="0"/>
                    <w:jc w:val="center"/>
                    <w:rPr>
                      <w:rFonts w:hint="default" w:ascii="Times New Roman" w:hAnsi="Times New Roman" w:eastAsia="宋体" w:cs="Times New Roman"/>
                      <w:color w:val="auto"/>
                      <w:kern w:val="0"/>
                      <w:sz w:val="21"/>
                      <w:szCs w:val="21"/>
                      <w:u w:val="none"/>
                    </w:rPr>
                  </w:pPr>
                  <w:r>
                    <w:rPr>
                      <w:rFonts w:hint="eastAsia" w:cs="Times New Roman"/>
                      <w:color w:val="auto"/>
                      <w:kern w:val="0"/>
                      <w:sz w:val="21"/>
                      <w:szCs w:val="21"/>
                      <w:u w:val="none"/>
                      <w:lang w:eastAsia="zh-CN"/>
                    </w:rPr>
                    <w:t>利旧</w:t>
                  </w:r>
                </w:p>
              </w:tc>
            </w:tr>
            <w:tr w14:paraId="5C5D3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13" w:type="pct"/>
                  <w:tcBorders>
                    <w:tl2br w:val="nil"/>
                    <w:tr2bl w:val="nil"/>
                  </w:tcBorders>
                  <w:shd w:val="clear" w:color="auto" w:fill="auto"/>
                  <w:noWrap w:val="0"/>
                  <w:vAlign w:val="center"/>
                </w:tcPr>
                <w:p w14:paraId="0960F936">
                  <w:pPr>
                    <w:widowControl/>
                    <w:ind w:firstLine="0" w:firstLineChars="0"/>
                    <w:jc w:val="center"/>
                    <w:rPr>
                      <w:rFonts w:hint="default" w:ascii="Times New Roman" w:hAnsi="Times New Roman" w:eastAsia="宋体" w:cs="Times New Roman"/>
                      <w:color w:val="auto"/>
                      <w:kern w:val="0"/>
                      <w:sz w:val="21"/>
                      <w:szCs w:val="21"/>
                      <w:u w:val="none"/>
                      <w:lang w:val="en-US" w:eastAsia="zh-CN" w:bidi="zh-CN"/>
                    </w:rPr>
                  </w:pPr>
                  <w:r>
                    <w:rPr>
                      <w:rFonts w:hint="default" w:ascii="Times New Roman" w:hAnsi="Times New Roman" w:eastAsia="宋体" w:cs="Times New Roman"/>
                      <w:color w:val="auto"/>
                      <w:kern w:val="0"/>
                      <w:sz w:val="21"/>
                      <w:szCs w:val="21"/>
                      <w:u w:val="none"/>
                    </w:rPr>
                    <w:t>3</w:t>
                  </w:r>
                  <w:r>
                    <w:rPr>
                      <w:rFonts w:hint="default" w:ascii="Times New Roman" w:hAnsi="Times New Roman" w:eastAsia="宋体" w:cs="Times New Roman"/>
                      <w:color w:val="auto"/>
                      <w:kern w:val="0"/>
                      <w:sz w:val="21"/>
                      <w:szCs w:val="21"/>
                      <w:u w:val="none"/>
                      <w:lang w:val="en-US" w:eastAsia="zh-CN"/>
                    </w:rPr>
                    <w:t>2</w:t>
                  </w:r>
                </w:p>
              </w:tc>
              <w:tc>
                <w:tcPr>
                  <w:tcW w:w="1044" w:type="pct"/>
                  <w:tcBorders>
                    <w:tl2br w:val="nil"/>
                    <w:tr2bl w:val="nil"/>
                  </w:tcBorders>
                  <w:noWrap w:val="0"/>
                  <w:vAlign w:val="center"/>
                </w:tcPr>
                <w:p w14:paraId="3B572522">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血透机</w:t>
                  </w:r>
                </w:p>
              </w:tc>
              <w:tc>
                <w:tcPr>
                  <w:tcW w:w="517" w:type="pct"/>
                  <w:tcBorders>
                    <w:tl2br w:val="nil"/>
                    <w:tr2bl w:val="nil"/>
                  </w:tcBorders>
                  <w:noWrap w:val="0"/>
                  <w:vAlign w:val="center"/>
                </w:tcPr>
                <w:p w14:paraId="13F74711">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台</w:t>
                  </w:r>
                </w:p>
              </w:tc>
              <w:tc>
                <w:tcPr>
                  <w:tcW w:w="508" w:type="pct"/>
                  <w:tcBorders>
                    <w:tl2br w:val="nil"/>
                    <w:tr2bl w:val="nil"/>
                  </w:tcBorders>
                  <w:noWrap w:val="0"/>
                  <w:vAlign w:val="center"/>
                </w:tcPr>
                <w:p w14:paraId="6D44E393">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35</w:t>
                  </w:r>
                </w:p>
              </w:tc>
              <w:tc>
                <w:tcPr>
                  <w:tcW w:w="1226" w:type="pct"/>
                  <w:tcBorders>
                    <w:tl2br w:val="nil"/>
                    <w:tr2bl w:val="nil"/>
                  </w:tcBorders>
                  <w:noWrap w:val="0"/>
                  <w:vAlign w:val="center"/>
                </w:tcPr>
                <w:p w14:paraId="23AE1671">
                  <w:pPr>
                    <w:widowControl/>
                    <w:adjustRightInd/>
                    <w:snapToGrid/>
                    <w:ind w:firstLine="0" w:firstLineChars="0"/>
                    <w:jc w:val="center"/>
                    <w:rPr>
                      <w:rFonts w:hint="eastAsia"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w:t>
                  </w:r>
                </w:p>
              </w:tc>
              <w:tc>
                <w:tcPr>
                  <w:tcW w:w="1289" w:type="pct"/>
                  <w:tcBorders>
                    <w:tl2br w:val="nil"/>
                    <w:tr2bl w:val="nil"/>
                  </w:tcBorders>
                  <w:noWrap w:val="0"/>
                  <w:vAlign w:val="center"/>
                </w:tcPr>
                <w:p w14:paraId="2F17B763">
                  <w:pPr>
                    <w:widowControl/>
                    <w:adjustRightInd/>
                    <w:snapToGrid/>
                    <w:ind w:firstLine="0" w:firstLineChars="0"/>
                    <w:jc w:val="center"/>
                    <w:rPr>
                      <w:rFonts w:hint="default" w:ascii="Times New Roman" w:hAnsi="Times New Roman" w:eastAsia="宋体" w:cs="Times New Roman"/>
                      <w:color w:val="auto"/>
                      <w:kern w:val="0"/>
                      <w:sz w:val="21"/>
                      <w:szCs w:val="21"/>
                      <w:u w:val="none"/>
                    </w:rPr>
                  </w:pPr>
                  <w:r>
                    <w:rPr>
                      <w:rFonts w:hint="eastAsia" w:cs="Times New Roman"/>
                      <w:color w:val="auto"/>
                      <w:kern w:val="0"/>
                      <w:sz w:val="21"/>
                      <w:szCs w:val="21"/>
                      <w:u w:val="none"/>
                      <w:lang w:eastAsia="zh-CN"/>
                    </w:rPr>
                    <w:t>利旧</w:t>
                  </w:r>
                  <w:r>
                    <w:rPr>
                      <w:rFonts w:hint="eastAsia" w:cs="Times New Roman"/>
                      <w:color w:val="auto"/>
                      <w:kern w:val="0"/>
                      <w:sz w:val="21"/>
                      <w:szCs w:val="21"/>
                      <w:u w:val="none"/>
                      <w:lang w:val="en-US" w:eastAsia="zh-CN"/>
                    </w:rPr>
                    <w:t>10台，新增25台</w:t>
                  </w:r>
                </w:p>
              </w:tc>
            </w:tr>
            <w:tr w14:paraId="5F4DD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13" w:type="pct"/>
                  <w:tcBorders>
                    <w:tl2br w:val="nil"/>
                    <w:tr2bl w:val="nil"/>
                  </w:tcBorders>
                  <w:shd w:val="clear" w:color="auto" w:fill="auto"/>
                  <w:noWrap w:val="0"/>
                  <w:vAlign w:val="center"/>
                </w:tcPr>
                <w:p w14:paraId="106291F2">
                  <w:pPr>
                    <w:widowControl/>
                    <w:ind w:firstLine="0" w:firstLineChars="0"/>
                    <w:jc w:val="center"/>
                    <w:rPr>
                      <w:rFonts w:hint="default" w:ascii="Times New Roman" w:hAnsi="Times New Roman" w:eastAsia="宋体" w:cs="Times New Roman"/>
                      <w:color w:val="auto"/>
                      <w:kern w:val="0"/>
                      <w:sz w:val="21"/>
                      <w:szCs w:val="21"/>
                      <w:u w:val="none"/>
                      <w:lang w:val="en-US" w:eastAsia="zh-CN" w:bidi="zh-CN"/>
                    </w:rPr>
                  </w:pPr>
                  <w:r>
                    <w:rPr>
                      <w:rFonts w:hint="default" w:ascii="Times New Roman" w:hAnsi="Times New Roman" w:eastAsia="宋体" w:cs="Times New Roman"/>
                      <w:color w:val="auto"/>
                      <w:sz w:val="21"/>
                      <w:szCs w:val="21"/>
                      <w:u w:val="none"/>
                    </w:rPr>
                    <w:t>3</w:t>
                  </w:r>
                  <w:r>
                    <w:rPr>
                      <w:rFonts w:hint="default" w:ascii="Times New Roman" w:hAnsi="Times New Roman" w:eastAsia="宋体" w:cs="Times New Roman"/>
                      <w:color w:val="auto"/>
                      <w:sz w:val="21"/>
                      <w:szCs w:val="21"/>
                      <w:u w:val="none"/>
                      <w:lang w:val="en-US" w:eastAsia="zh-CN"/>
                    </w:rPr>
                    <w:t>3</w:t>
                  </w:r>
                </w:p>
              </w:tc>
              <w:tc>
                <w:tcPr>
                  <w:tcW w:w="1044" w:type="pct"/>
                  <w:tcBorders>
                    <w:tl2br w:val="nil"/>
                    <w:tr2bl w:val="nil"/>
                  </w:tcBorders>
                  <w:noWrap w:val="0"/>
                  <w:vAlign w:val="center"/>
                </w:tcPr>
                <w:p w14:paraId="28934298">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血率机</w:t>
                  </w:r>
                </w:p>
              </w:tc>
              <w:tc>
                <w:tcPr>
                  <w:tcW w:w="517" w:type="pct"/>
                  <w:tcBorders>
                    <w:tl2br w:val="nil"/>
                    <w:tr2bl w:val="nil"/>
                  </w:tcBorders>
                  <w:noWrap w:val="0"/>
                  <w:vAlign w:val="center"/>
                </w:tcPr>
                <w:p w14:paraId="207D6084">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台</w:t>
                  </w:r>
                </w:p>
              </w:tc>
              <w:tc>
                <w:tcPr>
                  <w:tcW w:w="508" w:type="pct"/>
                  <w:tcBorders>
                    <w:tl2br w:val="nil"/>
                    <w:tr2bl w:val="nil"/>
                  </w:tcBorders>
                  <w:noWrap w:val="0"/>
                  <w:vAlign w:val="center"/>
                </w:tcPr>
                <w:p w14:paraId="0965AD94">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2</w:t>
                  </w:r>
                </w:p>
              </w:tc>
              <w:tc>
                <w:tcPr>
                  <w:tcW w:w="1226" w:type="pct"/>
                  <w:tcBorders>
                    <w:tl2br w:val="nil"/>
                    <w:tr2bl w:val="nil"/>
                  </w:tcBorders>
                  <w:noWrap w:val="0"/>
                  <w:vAlign w:val="center"/>
                </w:tcPr>
                <w:p w14:paraId="163E30BB">
                  <w:pPr>
                    <w:widowControl/>
                    <w:adjustRightInd/>
                    <w:snapToGrid/>
                    <w:ind w:firstLine="0" w:firstLineChars="0"/>
                    <w:jc w:val="center"/>
                    <w:rPr>
                      <w:rFonts w:hint="eastAsia"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w:t>
                  </w:r>
                </w:p>
              </w:tc>
              <w:tc>
                <w:tcPr>
                  <w:tcW w:w="1289" w:type="pct"/>
                  <w:tcBorders>
                    <w:tl2br w:val="nil"/>
                    <w:tr2bl w:val="nil"/>
                  </w:tcBorders>
                  <w:noWrap w:val="0"/>
                  <w:vAlign w:val="center"/>
                </w:tcPr>
                <w:p w14:paraId="591FF272">
                  <w:pPr>
                    <w:widowControl/>
                    <w:adjustRightInd/>
                    <w:snapToGrid/>
                    <w:ind w:firstLine="0" w:firstLineChars="0"/>
                    <w:jc w:val="center"/>
                    <w:rPr>
                      <w:rFonts w:hint="default" w:ascii="Times New Roman" w:hAnsi="Times New Roman" w:eastAsia="宋体" w:cs="Times New Roman"/>
                      <w:color w:val="auto"/>
                      <w:kern w:val="0"/>
                      <w:sz w:val="21"/>
                      <w:szCs w:val="21"/>
                      <w:u w:val="none"/>
                    </w:rPr>
                  </w:pPr>
                  <w:r>
                    <w:rPr>
                      <w:rFonts w:hint="eastAsia" w:cs="Times New Roman"/>
                      <w:color w:val="auto"/>
                      <w:kern w:val="0"/>
                      <w:sz w:val="21"/>
                      <w:szCs w:val="21"/>
                      <w:u w:val="none"/>
                      <w:lang w:eastAsia="zh-CN"/>
                    </w:rPr>
                    <w:t>利旧</w:t>
                  </w:r>
                </w:p>
              </w:tc>
            </w:tr>
            <w:tr w14:paraId="56D5E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13" w:type="pct"/>
                  <w:tcBorders>
                    <w:tl2br w:val="nil"/>
                    <w:tr2bl w:val="nil"/>
                  </w:tcBorders>
                  <w:shd w:val="clear" w:color="auto" w:fill="auto"/>
                  <w:noWrap w:val="0"/>
                  <w:vAlign w:val="center"/>
                </w:tcPr>
                <w:p w14:paraId="4ECEE3D6">
                  <w:pPr>
                    <w:widowControl/>
                    <w:ind w:firstLine="0" w:firstLineChars="0"/>
                    <w:jc w:val="center"/>
                    <w:rPr>
                      <w:rFonts w:hint="default" w:ascii="Times New Roman" w:hAnsi="Times New Roman" w:eastAsia="宋体" w:cs="Times New Roman"/>
                      <w:color w:val="auto"/>
                      <w:kern w:val="0"/>
                      <w:sz w:val="21"/>
                      <w:szCs w:val="21"/>
                      <w:u w:val="none"/>
                      <w:lang w:val="en-US" w:eastAsia="zh-CN" w:bidi="zh-CN"/>
                    </w:rPr>
                  </w:pPr>
                  <w:r>
                    <w:rPr>
                      <w:rFonts w:hint="default" w:ascii="Times New Roman" w:hAnsi="Times New Roman" w:eastAsia="宋体" w:cs="Times New Roman"/>
                      <w:color w:val="auto"/>
                      <w:sz w:val="21"/>
                      <w:szCs w:val="21"/>
                      <w:u w:val="none"/>
                    </w:rPr>
                    <w:t>3</w:t>
                  </w:r>
                  <w:r>
                    <w:rPr>
                      <w:rFonts w:hint="default" w:ascii="Times New Roman" w:hAnsi="Times New Roman" w:eastAsia="宋体" w:cs="Times New Roman"/>
                      <w:color w:val="auto"/>
                      <w:sz w:val="21"/>
                      <w:szCs w:val="21"/>
                      <w:u w:val="none"/>
                      <w:lang w:val="en-US" w:eastAsia="zh-CN"/>
                    </w:rPr>
                    <w:t>4</w:t>
                  </w:r>
                </w:p>
              </w:tc>
              <w:tc>
                <w:tcPr>
                  <w:tcW w:w="1044" w:type="pct"/>
                  <w:tcBorders>
                    <w:tl2br w:val="nil"/>
                    <w:tr2bl w:val="nil"/>
                  </w:tcBorders>
                  <w:noWrap w:val="0"/>
                  <w:vAlign w:val="center"/>
                </w:tcPr>
                <w:p w14:paraId="603BCA2F">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lang w:eastAsia="zh-CN"/>
                    </w:rPr>
                    <w:t>中央空调系统</w:t>
                  </w:r>
                </w:p>
              </w:tc>
              <w:tc>
                <w:tcPr>
                  <w:tcW w:w="517" w:type="pct"/>
                  <w:tcBorders>
                    <w:tl2br w:val="nil"/>
                    <w:tr2bl w:val="nil"/>
                  </w:tcBorders>
                  <w:noWrap w:val="0"/>
                  <w:vAlign w:val="center"/>
                </w:tcPr>
                <w:p w14:paraId="1D89B559">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台</w:t>
                  </w:r>
                </w:p>
              </w:tc>
              <w:tc>
                <w:tcPr>
                  <w:tcW w:w="508" w:type="pct"/>
                  <w:tcBorders>
                    <w:tl2br w:val="nil"/>
                    <w:tr2bl w:val="nil"/>
                  </w:tcBorders>
                  <w:noWrap w:val="0"/>
                  <w:vAlign w:val="center"/>
                </w:tcPr>
                <w:p w14:paraId="4C5F9872">
                  <w:pPr>
                    <w:widowControl/>
                    <w:ind w:firstLine="0" w:firstLineChars="0"/>
                    <w:jc w:val="center"/>
                    <w:rPr>
                      <w:rFonts w:hint="eastAsia" w:ascii="Times New Roman" w:hAnsi="Times New Roman" w:eastAsia="宋体" w:cs="Times New Roman"/>
                      <w:color w:val="auto"/>
                      <w:kern w:val="0"/>
                      <w:sz w:val="21"/>
                      <w:szCs w:val="21"/>
                      <w:u w:val="none"/>
                      <w:lang w:eastAsia="zh-CN"/>
                    </w:rPr>
                  </w:pPr>
                  <w:r>
                    <w:rPr>
                      <w:rFonts w:hint="eastAsia" w:cs="Times New Roman"/>
                      <w:color w:val="auto"/>
                      <w:sz w:val="21"/>
                      <w:szCs w:val="21"/>
                      <w:u w:val="none"/>
                      <w:lang w:val="en-US" w:eastAsia="zh-CN"/>
                    </w:rPr>
                    <w:t>3</w:t>
                  </w:r>
                </w:p>
              </w:tc>
              <w:tc>
                <w:tcPr>
                  <w:tcW w:w="1226" w:type="pct"/>
                  <w:tcBorders>
                    <w:tl2br w:val="nil"/>
                    <w:tr2bl w:val="nil"/>
                  </w:tcBorders>
                  <w:noWrap w:val="0"/>
                  <w:vAlign w:val="center"/>
                </w:tcPr>
                <w:p w14:paraId="7CF6A5DD">
                  <w:pPr>
                    <w:widowControl/>
                    <w:adjustRightInd/>
                    <w:snapToGrid/>
                    <w:ind w:firstLine="0" w:firstLineChars="0"/>
                    <w:jc w:val="center"/>
                    <w:rPr>
                      <w:rFonts w:hint="eastAsia"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w:t>
                  </w:r>
                </w:p>
              </w:tc>
              <w:tc>
                <w:tcPr>
                  <w:tcW w:w="1289" w:type="pct"/>
                  <w:tcBorders>
                    <w:tl2br w:val="nil"/>
                    <w:tr2bl w:val="nil"/>
                  </w:tcBorders>
                  <w:noWrap w:val="0"/>
                  <w:vAlign w:val="center"/>
                </w:tcPr>
                <w:p w14:paraId="47C63152">
                  <w:pPr>
                    <w:widowControl/>
                    <w:adjustRightInd/>
                    <w:snapToGrid/>
                    <w:ind w:firstLine="0" w:firstLineChars="0"/>
                    <w:jc w:val="center"/>
                    <w:rPr>
                      <w:rFonts w:hint="eastAsia" w:ascii="Times New Roman" w:hAnsi="Times New Roman" w:eastAsia="宋体" w:cs="Times New Roman"/>
                      <w:color w:val="auto"/>
                      <w:kern w:val="0"/>
                      <w:sz w:val="21"/>
                      <w:szCs w:val="21"/>
                      <w:u w:val="none"/>
                      <w:lang w:eastAsia="zh-CN"/>
                    </w:rPr>
                  </w:pPr>
                  <w:r>
                    <w:rPr>
                      <w:rFonts w:hint="eastAsia" w:cs="Times New Roman"/>
                      <w:color w:val="auto"/>
                      <w:kern w:val="0"/>
                      <w:sz w:val="21"/>
                      <w:szCs w:val="21"/>
                      <w:u w:val="none"/>
                      <w:lang w:eastAsia="zh-CN"/>
                    </w:rPr>
                    <w:t>新建</w:t>
                  </w:r>
                </w:p>
              </w:tc>
            </w:tr>
            <w:tr w14:paraId="5E955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13" w:type="pct"/>
                  <w:tcBorders>
                    <w:tl2br w:val="nil"/>
                    <w:tr2bl w:val="nil"/>
                  </w:tcBorders>
                  <w:shd w:val="clear" w:color="auto" w:fill="auto"/>
                  <w:noWrap w:val="0"/>
                  <w:vAlign w:val="center"/>
                </w:tcPr>
                <w:p w14:paraId="0C9FB61D">
                  <w:pPr>
                    <w:widowControl/>
                    <w:ind w:firstLine="0" w:firstLineChars="0"/>
                    <w:jc w:val="center"/>
                    <w:rPr>
                      <w:rFonts w:hint="default" w:ascii="Times New Roman" w:hAnsi="Times New Roman" w:eastAsia="宋体" w:cs="Times New Roman"/>
                      <w:color w:val="auto"/>
                      <w:kern w:val="0"/>
                      <w:sz w:val="21"/>
                      <w:szCs w:val="21"/>
                      <w:u w:val="none"/>
                      <w:lang w:val="en-US" w:eastAsia="zh-CN" w:bidi="zh-CN"/>
                    </w:rPr>
                  </w:pPr>
                  <w:r>
                    <w:rPr>
                      <w:rFonts w:hint="default" w:ascii="Times New Roman" w:hAnsi="Times New Roman" w:eastAsia="宋体" w:cs="Times New Roman"/>
                      <w:color w:val="auto"/>
                      <w:sz w:val="21"/>
                      <w:szCs w:val="21"/>
                      <w:u w:val="none"/>
                    </w:rPr>
                    <w:t>3</w:t>
                  </w:r>
                  <w:r>
                    <w:rPr>
                      <w:rFonts w:hint="default" w:ascii="Times New Roman" w:hAnsi="Times New Roman" w:eastAsia="宋体" w:cs="Times New Roman"/>
                      <w:color w:val="auto"/>
                      <w:sz w:val="21"/>
                      <w:szCs w:val="21"/>
                      <w:u w:val="none"/>
                      <w:lang w:val="en-US" w:eastAsia="zh-CN"/>
                    </w:rPr>
                    <w:t>5</w:t>
                  </w:r>
                </w:p>
              </w:tc>
              <w:tc>
                <w:tcPr>
                  <w:tcW w:w="1044" w:type="pct"/>
                  <w:tcBorders>
                    <w:tl2br w:val="nil"/>
                    <w:tr2bl w:val="nil"/>
                  </w:tcBorders>
                  <w:noWrap w:val="0"/>
                  <w:vAlign w:val="center"/>
                </w:tcPr>
                <w:p w14:paraId="0644BE8C">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污水处理设施</w:t>
                  </w:r>
                </w:p>
              </w:tc>
              <w:tc>
                <w:tcPr>
                  <w:tcW w:w="517" w:type="pct"/>
                  <w:tcBorders>
                    <w:tl2br w:val="nil"/>
                    <w:tr2bl w:val="nil"/>
                  </w:tcBorders>
                  <w:noWrap w:val="0"/>
                  <w:vAlign w:val="center"/>
                </w:tcPr>
                <w:p w14:paraId="50CA3F53">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套</w:t>
                  </w:r>
                </w:p>
              </w:tc>
              <w:tc>
                <w:tcPr>
                  <w:tcW w:w="508" w:type="pct"/>
                  <w:tcBorders>
                    <w:tl2br w:val="nil"/>
                    <w:tr2bl w:val="nil"/>
                  </w:tcBorders>
                  <w:noWrap w:val="0"/>
                  <w:vAlign w:val="center"/>
                </w:tcPr>
                <w:p w14:paraId="0850CF9B">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1</w:t>
                  </w:r>
                </w:p>
              </w:tc>
              <w:tc>
                <w:tcPr>
                  <w:tcW w:w="1226" w:type="pct"/>
                  <w:tcBorders>
                    <w:tl2br w:val="nil"/>
                    <w:tr2bl w:val="nil"/>
                  </w:tcBorders>
                  <w:noWrap w:val="0"/>
                  <w:vAlign w:val="center"/>
                </w:tcPr>
                <w:p w14:paraId="54D94C5A">
                  <w:pPr>
                    <w:widowControl/>
                    <w:adjustRightInd/>
                    <w:snapToGrid/>
                    <w:ind w:firstLine="0" w:firstLineChars="0"/>
                    <w:jc w:val="center"/>
                    <w:rPr>
                      <w:rFonts w:hint="eastAsia"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w:t>
                  </w:r>
                </w:p>
              </w:tc>
              <w:tc>
                <w:tcPr>
                  <w:tcW w:w="1289" w:type="pct"/>
                  <w:tcBorders>
                    <w:tl2br w:val="nil"/>
                    <w:tr2bl w:val="nil"/>
                  </w:tcBorders>
                  <w:noWrap w:val="0"/>
                  <w:vAlign w:val="center"/>
                </w:tcPr>
                <w:p w14:paraId="08F830EA">
                  <w:pPr>
                    <w:widowControl/>
                    <w:adjustRightInd/>
                    <w:snapToGrid/>
                    <w:ind w:firstLine="0" w:firstLineChars="0"/>
                    <w:jc w:val="center"/>
                    <w:rPr>
                      <w:rFonts w:hint="default" w:ascii="Times New Roman" w:hAnsi="Times New Roman" w:eastAsia="宋体" w:cs="Times New Roman"/>
                      <w:color w:val="auto"/>
                      <w:kern w:val="0"/>
                      <w:sz w:val="21"/>
                      <w:szCs w:val="21"/>
                      <w:u w:val="none"/>
                    </w:rPr>
                  </w:pPr>
                  <w:r>
                    <w:rPr>
                      <w:rFonts w:hint="eastAsia" w:cs="Times New Roman"/>
                      <w:color w:val="auto"/>
                      <w:kern w:val="0"/>
                      <w:sz w:val="21"/>
                      <w:szCs w:val="21"/>
                      <w:u w:val="none"/>
                      <w:lang w:eastAsia="zh-CN"/>
                    </w:rPr>
                    <w:t>新建</w:t>
                  </w:r>
                </w:p>
              </w:tc>
            </w:tr>
            <w:tr w14:paraId="12C88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13" w:type="pct"/>
                  <w:tcBorders>
                    <w:tl2br w:val="nil"/>
                    <w:tr2bl w:val="nil"/>
                  </w:tcBorders>
                  <w:shd w:val="clear" w:color="auto" w:fill="auto"/>
                  <w:noWrap w:val="0"/>
                  <w:vAlign w:val="center"/>
                </w:tcPr>
                <w:p w14:paraId="5A087DAA">
                  <w:pPr>
                    <w:widowControl/>
                    <w:ind w:firstLine="0" w:firstLineChars="0"/>
                    <w:jc w:val="center"/>
                    <w:rPr>
                      <w:rFonts w:hint="default" w:ascii="Times New Roman" w:hAnsi="Times New Roman" w:eastAsia="宋体" w:cs="Times New Roman"/>
                      <w:color w:val="auto"/>
                      <w:kern w:val="0"/>
                      <w:sz w:val="21"/>
                      <w:szCs w:val="21"/>
                      <w:u w:val="none"/>
                      <w:lang w:val="en-US" w:eastAsia="zh-CN" w:bidi="zh-CN"/>
                    </w:rPr>
                  </w:pPr>
                  <w:r>
                    <w:rPr>
                      <w:rFonts w:hint="default" w:ascii="Times New Roman" w:hAnsi="Times New Roman" w:eastAsia="宋体" w:cs="Times New Roman"/>
                      <w:color w:val="auto"/>
                      <w:sz w:val="21"/>
                      <w:szCs w:val="21"/>
                      <w:u w:val="none"/>
                    </w:rPr>
                    <w:t>3</w:t>
                  </w:r>
                  <w:r>
                    <w:rPr>
                      <w:rFonts w:hint="default" w:ascii="Times New Roman" w:hAnsi="Times New Roman" w:eastAsia="宋体" w:cs="Times New Roman"/>
                      <w:color w:val="auto"/>
                      <w:sz w:val="21"/>
                      <w:szCs w:val="21"/>
                      <w:u w:val="none"/>
                      <w:lang w:val="en-US" w:eastAsia="zh-CN"/>
                    </w:rPr>
                    <w:t>6</w:t>
                  </w:r>
                </w:p>
              </w:tc>
              <w:tc>
                <w:tcPr>
                  <w:tcW w:w="1044" w:type="pct"/>
                  <w:tcBorders>
                    <w:tl2br w:val="nil"/>
                    <w:tr2bl w:val="nil"/>
                  </w:tcBorders>
                  <w:noWrap w:val="0"/>
                  <w:vAlign w:val="center"/>
                </w:tcPr>
                <w:p w14:paraId="0F71645F">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备用</w:t>
                  </w:r>
                  <w:r>
                    <w:rPr>
                      <w:rFonts w:hint="eastAsia" w:cs="Times New Roman"/>
                      <w:color w:val="auto"/>
                      <w:sz w:val="21"/>
                      <w:szCs w:val="21"/>
                      <w:u w:val="none"/>
                      <w:lang w:eastAsia="zh-CN"/>
                    </w:rPr>
                    <w:t>柴油</w:t>
                  </w:r>
                  <w:r>
                    <w:rPr>
                      <w:rFonts w:hint="default" w:ascii="Times New Roman" w:hAnsi="Times New Roman" w:eastAsia="宋体" w:cs="Times New Roman"/>
                      <w:color w:val="auto"/>
                      <w:sz w:val="21"/>
                      <w:szCs w:val="21"/>
                      <w:u w:val="none"/>
                    </w:rPr>
                    <w:t>发电机</w:t>
                  </w:r>
                </w:p>
              </w:tc>
              <w:tc>
                <w:tcPr>
                  <w:tcW w:w="517" w:type="pct"/>
                  <w:tcBorders>
                    <w:tl2br w:val="nil"/>
                    <w:tr2bl w:val="nil"/>
                  </w:tcBorders>
                  <w:noWrap w:val="0"/>
                  <w:vAlign w:val="center"/>
                </w:tcPr>
                <w:p w14:paraId="06670351">
                  <w:pPr>
                    <w:widowControl/>
                    <w:ind w:firstLine="0" w:firstLineChars="0"/>
                    <w:jc w:val="center"/>
                    <w:rPr>
                      <w:rFonts w:hint="eastAsia" w:ascii="Times New Roman" w:hAnsi="Times New Roman" w:eastAsia="宋体" w:cs="Times New Roman"/>
                      <w:color w:val="auto"/>
                      <w:kern w:val="0"/>
                      <w:sz w:val="21"/>
                      <w:szCs w:val="21"/>
                      <w:u w:val="none"/>
                      <w:lang w:eastAsia="zh-CN"/>
                    </w:rPr>
                  </w:pPr>
                  <w:r>
                    <w:rPr>
                      <w:rFonts w:hint="eastAsia" w:cs="Times New Roman"/>
                      <w:color w:val="auto"/>
                      <w:sz w:val="21"/>
                      <w:szCs w:val="21"/>
                      <w:u w:val="none"/>
                      <w:lang w:eastAsia="zh-CN"/>
                    </w:rPr>
                    <w:t>台</w:t>
                  </w:r>
                </w:p>
              </w:tc>
              <w:tc>
                <w:tcPr>
                  <w:tcW w:w="508" w:type="pct"/>
                  <w:tcBorders>
                    <w:tl2br w:val="nil"/>
                    <w:tr2bl w:val="nil"/>
                  </w:tcBorders>
                  <w:noWrap w:val="0"/>
                  <w:vAlign w:val="center"/>
                </w:tcPr>
                <w:p w14:paraId="3AD81530">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1</w:t>
                  </w:r>
                </w:p>
              </w:tc>
              <w:tc>
                <w:tcPr>
                  <w:tcW w:w="1226" w:type="pct"/>
                  <w:tcBorders>
                    <w:tl2br w:val="nil"/>
                    <w:tr2bl w:val="nil"/>
                  </w:tcBorders>
                  <w:noWrap w:val="0"/>
                  <w:vAlign w:val="center"/>
                </w:tcPr>
                <w:p w14:paraId="73AB0270">
                  <w:pPr>
                    <w:widowControl/>
                    <w:adjustRightInd/>
                    <w:snapToGrid/>
                    <w:ind w:firstLine="0" w:firstLineChars="0"/>
                    <w:jc w:val="center"/>
                    <w:rPr>
                      <w:rFonts w:hint="eastAsia"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color w:val="auto"/>
                      <w:kern w:val="0"/>
                      <w:sz w:val="21"/>
                      <w:szCs w:val="21"/>
                      <w:u w:val="none"/>
                      <w:lang w:val="en-US" w:eastAsia="zh-CN"/>
                    </w:rPr>
                    <w:t>500kW</w:t>
                  </w:r>
                </w:p>
              </w:tc>
              <w:tc>
                <w:tcPr>
                  <w:tcW w:w="1289" w:type="pct"/>
                  <w:tcBorders>
                    <w:tl2br w:val="nil"/>
                    <w:tr2bl w:val="nil"/>
                  </w:tcBorders>
                  <w:noWrap w:val="0"/>
                  <w:vAlign w:val="center"/>
                </w:tcPr>
                <w:p w14:paraId="5000489A">
                  <w:pPr>
                    <w:widowControl/>
                    <w:adjustRightInd/>
                    <w:snapToGrid/>
                    <w:ind w:firstLine="0" w:firstLineChars="0"/>
                    <w:jc w:val="center"/>
                    <w:rPr>
                      <w:rFonts w:hint="eastAsia" w:ascii="Times New Roman" w:hAnsi="Times New Roman" w:eastAsia="宋体" w:cs="Times New Roman"/>
                      <w:color w:val="auto"/>
                      <w:kern w:val="0"/>
                      <w:sz w:val="21"/>
                      <w:szCs w:val="21"/>
                      <w:u w:val="none"/>
                      <w:lang w:eastAsia="zh-CN"/>
                    </w:rPr>
                  </w:pPr>
                  <w:r>
                    <w:rPr>
                      <w:rFonts w:hint="eastAsia" w:cs="Times New Roman"/>
                      <w:color w:val="auto"/>
                      <w:kern w:val="0"/>
                      <w:sz w:val="21"/>
                      <w:szCs w:val="21"/>
                      <w:u w:val="none"/>
                      <w:lang w:eastAsia="zh-CN"/>
                    </w:rPr>
                    <w:t>利旧</w:t>
                  </w:r>
                </w:p>
              </w:tc>
            </w:tr>
            <w:tr w14:paraId="2A802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13" w:type="pct"/>
                  <w:tcBorders>
                    <w:tl2br w:val="nil"/>
                    <w:tr2bl w:val="nil"/>
                  </w:tcBorders>
                  <w:shd w:val="clear" w:color="auto" w:fill="auto"/>
                  <w:noWrap w:val="0"/>
                  <w:vAlign w:val="center"/>
                </w:tcPr>
                <w:p w14:paraId="249026FE">
                  <w:pPr>
                    <w:widowControl/>
                    <w:ind w:firstLine="0" w:firstLineChars="0"/>
                    <w:jc w:val="center"/>
                    <w:rPr>
                      <w:rFonts w:hint="default" w:ascii="Times New Roman" w:hAnsi="Times New Roman" w:eastAsia="宋体" w:cs="Times New Roman"/>
                      <w:color w:val="auto"/>
                      <w:kern w:val="0"/>
                      <w:sz w:val="21"/>
                      <w:szCs w:val="21"/>
                      <w:u w:val="none"/>
                      <w:lang w:val="en-US" w:eastAsia="zh-CN" w:bidi="zh-CN"/>
                    </w:rPr>
                  </w:pPr>
                  <w:r>
                    <w:rPr>
                      <w:rFonts w:hint="default" w:ascii="Times New Roman" w:hAnsi="Times New Roman" w:eastAsia="宋体" w:cs="Times New Roman"/>
                      <w:color w:val="auto"/>
                      <w:kern w:val="0"/>
                      <w:sz w:val="21"/>
                      <w:szCs w:val="21"/>
                      <w:u w:val="none"/>
                    </w:rPr>
                    <w:t>3</w:t>
                  </w:r>
                  <w:r>
                    <w:rPr>
                      <w:rFonts w:hint="default" w:ascii="Times New Roman" w:hAnsi="Times New Roman" w:eastAsia="宋体" w:cs="Times New Roman"/>
                      <w:color w:val="auto"/>
                      <w:kern w:val="0"/>
                      <w:sz w:val="21"/>
                      <w:szCs w:val="21"/>
                      <w:u w:val="none"/>
                      <w:lang w:val="en-US" w:eastAsia="zh-CN"/>
                    </w:rPr>
                    <w:t>7</w:t>
                  </w:r>
                </w:p>
              </w:tc>
              <w:tc>
                <w:tcPr>
                  <w:tcW w:w="1044" w:type="pct"/>
                  <w:tcBorders>
                    <w:tl2br w:val="nil"/>
                    <w:tr2bl w:val="nil"/>
                  </w:tcBorders>
                  <w:noWrap w:val="0"/>
                  <w:vAlign w:val="center"/>
                </w:tcPr>
                <w:p w14:paraId="242F02A7">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电梯</w:t>
                  </w:r>
                </w:p>
              </w:tc>
              <w:tc>
                <w:tcPr>
                  <w:tcW w:w="517" w:type="pct"/>
                  <w:tcBorders>
                    <w:tl2br w:val="nil"/>
                    <w:tr2bl w:val="nil"/>
                  </w:tcBorders>
                  <w:noWrap w:val="0"/>
                  <w:vAlign w:val="center"/>
                </w:tcPr>
                <w:p w14:paraId="3F2AAC7A">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台</w:t>
                  </w:r>
                </w:p>
              </w:tc>
              <w:tc>
                <w:tcPr>
                  <w:tcW w:w="508" w:type="pct"/>
                  <w:tcBorders>
                    <w:tl2br w:val="nil"/>
                    <w:tr2bl w:val="nil"/>
                  </w:tcBorders>
                  <w:noWrap w:val="0"/>
                  <w:vAlign w:val="center"/>
                </w:tcPr>
                <w:p w14:paraId="7FDCB826">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8</w:t>
                  </w:r>
                </w:p>
              </w:tc>
              <w:tc>
                <w:tcPr>
                  <w:tcW w:w="1226" w:type="pct"/>
                  <w:tcBorders>
                    <w:tl2br w:val="nil"/>
                    <w:tr2bl w:val="nil"/>
                  </w:tcBorders>
                  <w:noWrap w:val="0"/>
                  <w:vAlign w:val="center"/>
                </w:tcPr>
                <w:p w14:paraId="5C564BD9">
                  <w:pPr>
                    <w:widowControl/>
                    <w:adjustRightInd/>
                    <w:snapToGrid/>
                    <w:ind w:firstLine="0" w:firstLineChars="0"/>
                    <w:jc w:val="center"/>
                    <w:rPr>
                      <w:rFonts w:hint="eastAsia"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w:t>
                  </w:r>
                </w:p>
              </w:tc>
              <w:tc>
                <w:tcPr>
                  <w:tcW w:w="1289" w:type="pct"/>
                  <w:tcBorders>
                    <w:tl2br w:val="nil"/>
                    <w:tr2bl w:val="nil"/>
                  </w:tcBorders>
                  <w:noWrap w:val="0"/>
                  <w:vAlign w:val="center"/>
                </w:tcPr>
                <w:p w14:paraId="54900821">
                  <w:pPr>
                    <w:widowControl/>
                    <w:adjustRightInd/>
                    <w:snapToGrid/>
                    <w:ind w:firstLine="0" w:firstLineChars="0"/>
                    <w:jc w:val="center"/>
                    <w:rPr>
                      <w:rFonts w:hint="default" w:ascii="Times New Roman" w:hAnsi="Times New Roman" w:eastAsia="宋体" w:cs="Times New Roman"/>
                      <w:color w:val="auto"/>
                      <w:kern w:val="0"/>
                      <w:sz w:val="21"/>
                      <w:szCs w:val="21"/>
                      <w:u w:val="none"/>
                    </w:rPr>
                  </w:pPr>
                  <w:r>
                    <w:rPr>
                      <w:rFonts w:hint="eastAsia" w:cs="Times New Roman"/>
                      <w:color w:val="auto"/>
                      <w:kern w:val="0"/>
                      <w:sz w:val="21"/>
                      <w:szCs w:val="21"/>
                      <w:u w:val="none"/>
                      <w:lang w:eastAsia="zh-CN"/>
                    </w:rPr>
                    <w:t>新建</w:t>
                  </w:r>
                </w:p>
              </w:tc>
            </w:tr>
            <w:tr w14:paraId="17E3F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13" w:type="pct"/>
                  <w:tcBorders>
                    <w:tl2br w:val="nil"/>
                    <w:tr2bl w:val="nil"/>
                  </w:tcBorders>
                  <w:shd w:val="clear" w:color="auto" w:fill="auto"/>
                  <w:noWrap w:val="0"/>
                  <w:vAlign w:val="center"/>
                </w:tcPr>
                <w:p w14:paraId="54B5F1AF">
                  <w:pPr>
                    <w:widowControl/>
                    <w:ind w:firstLine="0" w:firstLineChars="0"/>
                    <w:jc w:val="center"/>
                    <w:rPr>
                      <w:rFonts w:hint="default" w:ascii="Times New Roman" w:hAnsi="Times New Roman" w:eastAsia="宋体" w:cs="Times New Roman"/>
                      <w:color w:val="auto"/>
                      <w:kern w:val="0"/>
                      <w:sz w:val="21"/>
                      <w:szCs w:val="21"/>
                      <w:u w:val="none"/>
                      <w:lang w:val="en-US" w:eastAsia="zh-CN" w:bidi="zh-CN"/>
                    </w:rPr>
                  </w:pPr>
                  <w:r>
                    <w:rPr>
                      <w:rFonts w:hint="default" w:ascii="Times New Roman" w:hAnsi="Times New Roman" w:eastAsia="宋体" w:cs="Times New Roman"/>
                      <w:color w:val="auto"/>
                      <w:kern w:val="0"/>
                      <w:sz w:val="21"/>
                      <w:szCs w:val="21"/>
                      <w:u w:val="none"/>
                      <w:lang w:val="en-US" w:eastAsia="zh-CN"/>
                    </w:rPr>
                    <w:t>38</w:t>
                  </w:r>
                </w:p>
              </w:tc>
              <w:tc>
                <w:tcPr>
                  <w:tcW w:w="1044" w:type="pct"/>
                  <w:tcBorders>
                    <w:tl2br w:val="nil"/>
                    <w:tr2bl w:val="nil"/>
                  </w:tcBorders>
                  <w:noWrap w:val="0"/>
                  <w:vAlign w:val="center"/>
                </w:tcPr>
                <w:p w14:paraId="2782623D">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磁共振</w:t>
                  </w:r>
                </w:p>
              </w:tc>
              <w:tc>
                <w:tcPr>
                  <w:tcW w:w="517" w:type="pct"/>
                  <w:tcBorders>
                    <w:tl2br w:val="nil"/>
                    <w:tr2bl w:val="nil"/>
                  </w:tcBorders>
                  <w:noWrap w:val="0"/>
                  <w:vAlign w:val="center"/>
                </w:tcPr>
                <w:p w14:paraId="49077FCA">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台</w:t>
                  </w:r>
                </w:p>
              </w:tc>
              <w:tc>
                <w:tcPr>
                  <w:tcW w:w="508" w:type="pct"/>
                  <w:tcBorders>
                    <w:tl2br w:val="nil"/>
                    <w:tr2bl w:val="nil"/>
                  </w:tcBorders>
                  <w:noWrap w:val="0"/>
                  <w:vAlign w:val="center"/>
                </w:tcPr>
                <w:p w14:paraId="3D654512">
                  <w:pPr>
                    <w:widowControl/>
                    <w:ind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sz w:val="21"/>
                      <w:szCs w:val="21"/>
                      <w:u w:val="none"/>
                    </w:rPr>
                    <w:t>1</w:t>
                  </w:r>
                </w:p>
              </w:tc>
              <w:tc>
                <w:tcPr>
                  <w:tcW w:w="1226" w:type="pct"/>
                  <w:tcBorders>
                    <w:tl2br w:val="nil"/>
                    <w:tr2bl w:val="nil"/>
                  </w:tcBorders>
                  <w:noWrap w:val="0"/>
                  <w:vAlign w:val="center"/>
                </w:tcPr>
                <w:p w14:paraId="536137F4">
                  <w:pPr>
                    <w:widowControl/>
                    <w:adjustRightInd/>
                    <w:snapToGrid/>
                    <w:ind w:firstLine="0" w:firstLineChars="0"/>
                    <w:jc w:val="center"/>
                    <w:rPr>
                      <w:rFonts w:hint="eastAsia"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w:t>
                  </w:r>
                </w:p>
              </w:tc>
              <w:tc>
                <w:tcPr>
                  <w:tcW w:w="1289" w:type="pct"/>
                  <w:tcBorders>
                    <w:tl2br w:val="nil"/>
                    <w:tr2bl w:val="nil"/>
                  </w:tcBorders>
                  <w:noWrap w:val="0"/>
                  <w:vAlign w:val="center"/>
                </w:tcPr>
                <w:p w14:paraId="3CE20B6B">
                  <w:pPr>
                    <w:widowControl/>
                    <w:adjustRightInd/>
                    <w:snapToGrid/>
                    <w:ind w:firstLine="0" w:firstLineChars="0"/>
                    <w:jc w:val="center"/>
                    <w:rPr>
                      <w:rFonts w:hint="default" w:ascii="Times New Roman" w:hAnsi="Times New Roman" w:eastAsia="宋体" w:cs="Times New Roman"/>
                      <w:color w:val="auto"/>
                      <w:kern w:val="0"/>
                      <w:sz w:val="21"/>
                      <w:szCs w:val="21"/>
                      <w:u w:val="none"/>
                    </w:rPr>
                  </w:pPr>
                  <w:r>
                    <w:rPr>
                      <w:rFonts w:hint="eastAsia" w:cs="Times New Roman"/>
                      <w:color w:val="auto"/>
                      <w:kern w:val="0"/>
                      <w:sz w:val="21"/>
                      <w:szCs w:val="21"/>
                      <w:u w:val="none"/>
                      <w:lang w:eastAsia="zh-CN"/>
                    </w:rPr>
                    <w:t>利旧</w:t>
                  </w:r>
                </w:p>
              </w:tc>
            </w:tr>
            <w:tr w14:paraId="40640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13" w:type="pct"/>
                  <w:tcBorders>
                    <w:tl2br w:val="nil"/>
                    <w:tr2bl w:val="nil"/>
                  </w:tcBorders>
                  <w:shd w:val="clear" w:color="auto" w:fill="auto"/>
                  <w:noWrap w:val="0"/>
                  <w:vAlign w:val="center"/>
                </w:tcPr>
                <w:p w14:paraId="2A04BB8D">
                  <w:pPr>
                    <w:widowControl/>
                    <w:ind w:firstLine="0" w:firstLineChars="0"/>
                    <w:jc w:val="center"/>
                    <w:rPr>
                      <w:rFonts w:hint="default" w:ascii="Times New Roman" w:hAnsi="Times New Roman" w:eastAsia="宋体" w:cs="Times New Roman"/>
                      <w:color w:val="auto"/>
                      <w:kern w:val="0"/>
                      <w:sz w:val="21"/>
                      <w:szCs w:val="21"/>
                      <w:u w:val="none"/>
                      <w:lang w:val="en-US" w:eastAsia="zh-CN" w:bidi="zh-CN"/>
                    </w:rPr>
                  </w:pPr>
                  <w:r>
                    <w:rPr>
                      <w:rFonts w:hint="eastAsia" w:cs="Times New Roman"/>
                      <w:color w:val="auto"/>
                      <w:kern w:val="0"/>
                      <w:sz w:val="21"/>
                      <w:szCs w:val="21"/>
                      <w:u w:val="none"/>
                      <w:lang w:val="en-US" w:eastAsia="zh-CN"/>
                    </w:rPr>
                    <w:t>39</w:t>
                  </w:r>
                </w:p>
              </w:tc>
              <w:tc>
                <w:tcPr>
                  <w:tcW w:w="1044" w:type="pct"/>
                  <w:tcBorders>
                    <w:tl2br w:val="nil"/>
                    <w:tr2bl w:val="nil"/>
                  </w:tcBorders>
                  <w:noWrap w:val="0"/>
                  <w:vAlign w:val="center"/>
                </w:tcPr>
                <w:p w14:paraId="2AAE2A22">
                  <w:pPr>
                    <w:widowControl/>
                    <w:ind w:firstLine="0" w:firstLine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洗衣机</w:t>
                  </w:r>
                </w:p>
              </w:tc>
              <w:tc>
                <w:tcPr>
                  <w:tcW w:w="517" w:type="pct"/>
                  <w:tcBorders>
                    <w:tl2br w:val="nil"/>
                    <w:tr2bl w:val="nil"/>
                  </w:tcBorders>
                  <w:noWrap w:val="0"/>
                  <w:vAlign w:val="center"/>
                </w:tcPr>
                <w:p w14:paraId="4B19F98F">
                  <w:pPr>
                    <w:widowControl/>
                    <w:ind w:firstLine="0" w:firstLine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台</w:t>
                  </w:r>
                </w:p>
              </w:tc>
              <w:tc>
                <w:tcPr>
                  <w:tcW w:w="508" w:type="pct"/>
                  <w:tcBorders>
                    <w:tl2br w:val="nil"/>
                    <w:tr2bl w:val="nil"/>
                  </w:tcBorders>
                  <w:noWrap w:val="0"/>
                  <w:vAlign w:val="center"/>
                </w:tcPr>
                <w:p w14:paraId="622E445E">
                  <w:pPr>
                    <w:widowControl/>
                    <w:ind w:firstLine="0" w:firstLineChars="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5</w:t>
                  </w:r>
                </w:p>
              </w:tc>
              <w:tc>
                <w:tcPr>
                  <w:tcW w:w="1226" w:type="pct"/>
                  <w:tcBorders>
                    <w:tl2br w:val="nil"/>
                    <w:tr2bl w:val="nil"/>
                  </w:tcBorders>
                  <w:noWrap w:val="0"/>
                  <w:vAlign w:val="center"/>
                </w:tcPr>
                <w:p w14:paraId="754B5ADB">
                  <w:pPr>
                    <w:widowControl/>
                    <w:adjustRightInd/>
                    <w:snapToGrid/>
                    <w:ind w:firstLine="0" w:firstLineChars="0"/>
                    <w:jc w:val="center"/>
                    <w:rPr>
                      <w:rFonts w:hint="default" w:ascii="Times New Roman" w:hAnsi="Times New Roman" w:eastAsia="宋体" w:cs="Times New Roman"/>
                      <w:color w:val="auto"/>
                      <w:kern w:val="0"/>
                      <w:sz w:val="21"/>
                      <w:szCs w:val="21"/>
                      <w:u w:val="none"/>
                      <w:lang w:eastAsia="zh-CN"/>
                    </w:rPr>
                  </w:pPr>
                  <w:r>
                    <w:rPr>
                      <w:rFonts w:hint="default" w:ascii="Times New Roman" w:hAnsi="Times New Roman" w:eastAsia="宋体" w:cs="Times New Roman"/>
                      <w:color w:val="auto"/>
                      <w:kern w:val="0"/>
                      <w:sz w:val="21"/>
                      <w:szCs w:val="21"/>
                      <w:u w:val="none"/>
                      <w:lang w:eastAsia="zh-CN"/>
                    </w:rPr>
                    <w:t>洗衣房</w:t>
                  </w:r>
                </w:p>
              </w:tc>
              <w:tc>
                <w:tcPr>
                  <w:tcW w:w="1289" w:type="pct"/>
                  <w:tcBorders>
                    <w:tl2br w:val="nil"/>
                    <w:tr2bl w:val="nil"/>
                  </w:tcBorders>
                  <w:noWrap w:val="0"/>
                  <w:vAlign w:val="center"/>
                </w:tcPr>
                <w:p w14:paraId="1FD2C119">
                  <w:pPr>
                    <w:widowControl/>
                    <w:adjustRightInd/>
                    <w:snapToGrid/>
                    <w:ind w:firstLine="0" w:firstLineChars="0"/>
                    <w:jc w:val="center"/>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eastAsia="zh-CN"/>
                    </w:rPr>
                    <w:t>利旧</w:t>
                  </w:r>
                  <w:r>
                    <w:rPr>
                      <w:rFonts w:hint="eastAsia" w:cs="Times New Roman"/>
                      <w:color w:val="auto"/>
                      <w:kern w:val="0"/>
                      <w:sz w:val="21"/>
                      <w:szCs w:val="21"/>
                      <w:u w:val="none"/>
                      <w:lang w:val="en-US" w:eastAsia="zh-CN"/>
                    </w:rPr>
                    <w:t>1台，新增4台</w:t>
                  </w:r>
                </w:p>
              </w:tc>
            </w:tr>
          </w:tbl>
          <w:p w14:paraId="5533B12D">
            <w:pPr>
              <w:pStyle w:val="125"/>
              <w:spacing w:before="0" w:beforeLines="0" w:after="0" w:afterLines="0"/>
              <w:jc w:val="left"/>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eastAsia="zh-CN"/>
              </w:rPr>
              <w:t>注：本项目使用的设备不属于《产业结构调整指导目录》（</w:t>
            </w:r>
            <w:r>
              <w:rPr>
                <w:rFonts w:hint="eastAsia" w:cs="Times New Roman"/>
                <w:color w:val="auto"/>
                <w:sz w:val="21"/>
                <w:szCs w:val="21"/>
                <w:u w:val="single"/>
                <w:lang w:val="en-US" w:eastAsia="zh-CN"/>
              </w:rPr>
              <w:t>2024年本</w:t>
            </w:r>
            <w:r>
              <w:rPr>
                <w:rFonts w:hint="eastAsia" w:cs="Times New Roman"/>
                <w:color w:val="auto"/>
                <w:sz w:val="21"/>
                <w:szCs w:val="21"/>
                <w:u w:val="single"/>
                <w:lang w:eastAsia="zh-CN"/>
              </w:rPr>
              <w:t>）中的落后生产工艺设备和落后产品，</w:t>
            </w:r>
            <w:r>
              <w:rPr>
                <w:rFonts w:hint="eastAsia" w:cs="Times New Roman"/>
                <w:color w:val="auto"/>
                <w:sz w:val="21"/>
                <w:szCs w:val="21"/>
                <w:u w:val="single"/>
                <w:lang w:val="en-US" w:eastAsia="zh-CN"/>
              </w:rPr>
              <w:t>DR等辐射类设备环评不包含在本次环评内。</w:t>
            </w:r>
          </w:p>
          <w:p w14:paraId="6B93B8D2">
            <w:pPr>
              <w:pStyle w:val="125"/>
              <w:spacing w:before="0" w:beforeLines="0" w:after="0" w:afterLines="0"/>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表2-</w:t>
            </w:r>
            <w:r>
              <w:rPr>
                <w:rFonts w:hint="eastAsia" w:cs="Times New Roman"/>
                <w:color w:val="auto"/>
                <w:sz w:val="21"/>
                <w:szCs w:val="21"/>
                <w:u w:val="none"/>
                <w:lang w:val="en-US" w:eastAsia="zh-CN"/>
              </w:rPr>
              <w:t>5</w:t>
            </w:r>
            <w:r>
              <w:rPr>
                <w:rFonts w:hint="default" w:ascii="Times New Roman" w:hAnsi="Times New Roman" w:cs="Times New Roman"/>
                <w:color w:val="auto"/>
                <w:sz w:val="21"/>
                <w:szCs w:val="21"/>
                <w:u w:val="none"/>
              </w:rPr>
              <w:t xml:space="preserve">   主要原辅材料及能耗清单一览表</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1826"/>
              <w:gridCol w:w="1626"/>
              <w:gridCol w:w="1403"/>
              <w:gridCol w:w="1130"/>
              <w:gridCol w:w="1857"/>
            </w:tblGrid>
            <w:tr w14:paraId="7829B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dxa"/>
                  <w:noWrap w:val="0"/>
                  <w:vAlign w:val="center"/>
                </w:tcPr>
                <w:p w14:paraId="73DB8488">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序号</w:t>
                  </w:r>
                </w:p>
              </w:tc>
              <w:tc>
                <w:tcPr>
                  <w:tcW w:w="1823" w:type="dxa"/>
                  <w:noWrap w:val="0"/>
                  <w:vAlign w:val="center"/>
                </w:tcPr>
                <w:p w14:paraId="55FFA808">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名称</w:t>
                  </w:r>
                </w:p>
              </w:tc>
              <w:tc>
                <w:tcPr>
                  <w:tcW w:w="1624" w:type="dxa"/>
                  <w:noWrap w:val="0"/>
                  <w:vAlign w:val="center"/>
                </w:tcPr>
                <w:p w14:paraId="05BE8477">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规格形态</w:t>
                  </w:r>
                </w:p>
              </w:tc>
              <w:tc>
                <w:tcPr>
                  <w:tcW w:w="1401" w:type="dxa"/>
                  <w:noWrap w:val="0"/>
                  <w:vAlign w:val="center"/>
                </w:tcPr>
                <w:p w14:paraId="4C41A792">
                  <w:pPr>
                    <w:jc w:val="center"/>
                    <w:rPr>
                      <w:rFonts w:hint="eastAsia"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rPr>
                    <w:t>年耗量</w:t>
                  </w:r>
                </w:p>
              </w:tc>
              <w:tc>
                <w:tcPr>
                  <w:tcW w:w="1128" w:type="dxa"/>
                  <w:noWrap w:val="0"/>
                  <w:vAlign w:val="center"/>
                </w:tcPr>
                <w:p w14:paraId="593EF1D9">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最大</w:t>
                  </w:r>
                </w:p>
                <w:p w14:paraId="6D11B7F9">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储存量</w:t>
                  </w:r>
                </w:p>
              </w:tc>
              <w:tc>
                <w:tcPr>
                  <w:tcW w:w="1854" w:type="dxa"/>
                  <w:noWrap w:val="0"/>
                  <w:vAlign w:val="center"/>
                </w:tcPr>
                <w:p w14:paraId="6CFB816C">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储存地点</w:t>
                  </w:r>
                </w:p>
              </w:tc>
            </w:tr>
            <w:tr w14:paraId="1D123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724" w:type="dxa"/>
                  <w:noWrap w:val="0"/>
                  <w:vAlign w:val="center"/>
                </w:tcPr>
                <w:p w14:paraId="10A910B7">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w:t>
                  </w:r>
                </w:p>
              </w:tc>
              <w:tc>
                <w:tcPr>
                  <w:tcW w:w="1823" w:type="dxa"/>
                  <w:noWrap w:val="0"/>
                  <w:vAlign w:val="center"/>
                </w:tcPr>
                <w:p w14:paraId="48EB31D9">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口罩</w:t>
                  </w:r>
                </w:p>
              </w:tc>
              <w:tc>
                <w:tcPr>
                  <w:tcW w:w="1624" w:type="dxa"/>
                  <w:noWrap w:val="0"/>
                  <w:vAlign w:val="center"/>
                </w:tcPr>
                <w:p w14:paraId="359C82EF">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耳挂式</w:t>
                  </w:r>
                </w:p>
              </w:tc>
              <w:tc>
                <w:tcPr>
                  <w:tcW w:w="1401" w:type="dxa"/>
                  <w:noWrap w:val="0"/>
                  <w:vAlign w:val="center"/>
                </w:tcPr>
                <w:p w14:paraId="40487C63">
                  <w:pPr>
                    <w:jc w:val="center"/>
                    <w:rPr>
                      <w:rFonts w:hint="default" w:ascii="Times New Roman" w:hAnsi="Times New Roman" w:eastAsia="宋体" w:cs="Times New Roman"/>
                      <w:color w:val="auto"/>
                      <w:sz w:val="21"/>
                      <w:szCs w:val="21"/>
                      <w:u w:val="none"/>
                    </w:rPr>
                  </w:pPr>
                  <w:r>
                    <w:rPr>
                      <w:rFonts w:hint="eastAsia" w:ascii="Times New Roman" w:hAnsi="Times New Roman" w:eastAsia="宋体" w:cs="Times New Roman"/>
                      <w:color w:val="auto"/>
                      <w:sz w:val="21"/>
                      <w:szCs w:val="21"/>
                      <w:u w:val="none"/>
                      <w:lang w:val="en-US" w:eastAsia="zh-CN"/>
                    </w:rPr>
                    <w:t>20000个</w:t>
                  </w:r>
                </w:p>
              </w:tc>
              <w:tc>
                <w:tcPr>
                  <w:tcW w:w="1128" w:type="dxa"/>
                  <w:noWrap w:val="0"/>
                  <w:vAlign w:val="center"/>
                </w:tcPr>
                <w:p w14:paraId="10144091">
                  <w:pPr>
                    <w:jc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20000个</w:t>
                  </w:r>
                </w:p>
              </w:tc>
              <w:tc>
                <w:tcPr>
                  <w:tcW w:w="1854" w:type="dxa"/>
                  <w:vMerge w:val="restart"/>
                  <w:noWrap w:val="0"/>
                  <w:vAlign w:val="center"/>
                </w:tcPr>
                <w:p w14:paraId="2B238D18">
                  <w:pPr>
                    <w:jc w:val="center"/>
                    <w:rPr>
                      <w:rFonts w:hint="default" w:ascii="Times New Roman" w:hAnsi="Times New Roman" w:eastAsia="宋体" w:cs="Times New Roman"/>
                      <w:color w:val="auto"/>
                      <w:sz w:val="21"/>
                      <w:szCs w:val="21"/>
                      <w:u w:val="none"/>
                    </w:rPr>
                  </w:pPr>
                  <w:r>
                    <w:rPr>
                      <w:rFonts w:hint="eastAsia" w:cs="Times New Roman"/>
                      <w:color w:val="auto"/>
                      <w:sz w:val="21"/>
                      <w:szCs w:val="21"/>
                      <w:u w:val="none"/>
                      <w:lang w:eastAsia="zh-CN"/>
                    </w:rPr>
                    <w:t>库房</w:t>
                  </w:r>
                </w:p>
              </w:tc>
            </w:tr>
            <w:tr w14:paraId="5F1E7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dxa"/>
                  <w:noWrap w:val="0"/>
                  <w:vAlign w:val="center"/>
                </w:tcPr>
                <w:p w14:paraId="258805D9">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2</w:t>
                  </w:r>
                </w:p>
              </w:tc>
              <w:tc>
                <w:tcPr>
                  <w:tcW w:w="1823" w:type="dxa"/>
                  <w:noWrap w:val="0"/>
                  <w:vAlign w:val="center"/>
                </w:tcPr>
                <w:p w14:paraId="78F769EE">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 xml:space="preserve">碘伏消毒液 </w:t>
                  </w:r>
                </w:p>
              </w:tc>
              <w:tc>
                <w:tcPr>
                  <w:tcW w:w="1624" w:type="dxa"/>
                  <w:noWrap w:val="0"/>
                  <w:vAlign w:val="center"/>
                </w:tcPr>
                <w:p w14:paraId="2C0312B4">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500ml</w:t>
                  </w:r>
                </w:p>
              </w:tc>
              <w:tc>
                <w:tcPr>
                  <w:tcW w:w="1401" w:type="dxa"/>
                  <w:noWrap w:val="0"/>
                  <w:vAlign w:val="center"/>
                </w:tcPr>
                <w:p w14:paraId="10B903D7">
                  <w:pPr>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4000</w:t>
                  </w:r>
                  <w:r>
                    <w:rPr>
                      <w:rFonts w:hint="eastAsia" w:ascii="Times New Roman" w:hAnsi="Times New Roman" w:eastAsia="宋体" w:cs="Times New Roman"/>
                      <w:color w:val="auto"/>
                      <w:sz w:val="21"/>
                      <w:szCs w:val="21"/>
                      <w:u w:val="none"/>
                      <w:lang w:val="en-US" w:eastAsia="zh-CN"/>
                    </w:rPr>
                    <w:t>瓶</w:t>
                  </w:r>
                </w:p>
              </w:tc>
              <w:tc>
                <w:tcPr>
                  <w:tcW w:w="1128" w:type="dxa"/>
                  <w:noWrap w:val="0"/>
                  <w:vAlign w:val="center"/>
                </w:tcPr>
                <w:p w14:paraId="3308D6A6">
                  <w:pPr>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w:t>
                  </w:r>
                  <w:r>
                    <w:rPr>
                      <w:rFonts w:hint="eastAsia" w:ascii="Times New Roman" w:hAnsi="Times New Roman" w:eastAsia="宋体" w:cs="Times New Roman"/>
                      <w:color w:val="auto"/>
                      <w:sz w:val="21"/>
                      <w:szCs w:val="21"/>
                      <w:u w:val="none"/>
                      <w:lang w:val="en-US" w:eastAsia="zh-CN"/>
                    </w:rPr>
                    <w:t>00</w:t>
                  </w:r>
                  <w:r>
                    <w:rPr>
                      <w:rFonts w:hint="eastAsia" w:cs="Times New Roman"/>
                      <w:color w:val="auto"/>
                      <w:sz w:val="21"/>
                      <w:szCs w:val="21"/>
                      <w:u w:val="none"/>
                      <w:lang w:val="en-US" w:eastAsia="zh-CN"/>
                    </w:rPr>
                    <w:t>0</w:t>
                  </w:r>
                  <w:r>
                    <w:rPr>
                      <w:rFonts w:hint="eastAsia" w:ascii="Times New Roman" w:hAnsi="Times New Roman" w:eastAsia="宋体" w:cs="Times New Roman"/>
                      <w:color w:val="auto"/>
                      <w:sz w:val="21"/>
                      <w:szCs w:val="21"/>
                      <w:u w:val="none"/>
                      <w:lang w:val="en-US" w:eastAsia="zh-CN"/>
                    </w:rPr>
                    <w:t>瓶</w:t>
                  </w:r>
                </w:p>
              </w:tc>
              <w:tc>
                <w:tcPr>
                  <w:tcW w:w="1854" w:type="dxa"/>
                  <w:vMerge w:val="continue"/>
                  <w:noWrap w:val="0"/>
                  <w:vAlign w:val="center"/>
                </w:tcPr>
                <w:p w14:paraId="2D7901B6">
                  <w:pPr>
                    <w:jc w:val="center"/>
                    <w:rPr>
                      <w:rFonts w:hint="default" w:ascii="Times New Roman" w:hAnsi="Times New Roman" w:eastAsia="宋体" w:cs="Times New Roman"/>
                      <w:color w:val="auto"/>
                      <w:sz w:val="21"/>
                      <w:szCs w:val="21"/>
                      <w:u w:val="none"/>
                    </w:rPr>
                  </w:pPr>
                </w:p>
              </w:tc>
            </w:tr>
            <w:tr w14:paraId="130DF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noWrap w:val="0"/>
                  <w:vAlign w:val="center"/>
                </w:tcPr>
                <w:p w14:paraId="65D848D5">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3</w:t>
                  </w:r>
                </w:p>
              </w:tc>
              <w:tc>
                <w:tcPr>
                  <w:tcW w:w="1823" w:type="dxa"/>
                  <w:noWrap w:val="0"/>
                  <w:vAlign w:val="center"/>
                </w:tcPr>
                <w:p w14:paraId="260E06C9">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乙醇消毒液</w:t>
                  </w:r>
                </w:p>
              </w:tc>
              <w:tc>
                <w:tcPr>
                  <w:tcW w:w="1624" w:type="dxa"/>
                  <w:noWrap w:val="0"/>
                  <w:vAlign w:val="center"/>
                </w:tcPr>
                <w:p w14:paraId="7369F4DA">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500ml</w:t>
                  </w:r>
                </w:p>
              </w:tc>
              <w:tc>
                <w:tcPr>
                  <w:tcW w:w="1401" w:type="dxa"/>
                  <w:noWrap w:val="0"/>
                  <w:vAlign w:val="center"/>
                </w:tcPr>
                <w:p w14:paraId="0C2C903F">
                  <w:pPr>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5000</w:t>
                  </w:r>
                  <w:r>
                    <w:rPr>
                      <w:rFonts w:hint="eastAsia" w:ascii="Times New Roman" w:hAnsi="Times New Roman" w:eastAsia="宋体" w:cs="Times New Roman"/>
                      <w:color w:val="auto"/>
                      <w:sz w:val="21"/>
                      <w:szCs w:val="21"/>
                      <w:u w:val="none"/>
                      <w:lang w:val="en-US" w:eastAsia="zh-CN"/>
                    </w:rPr>
                    <w:t>瓶</w:t>
                  </w:r>
                </w:p>
              </w:tc>
              <w:tc>
                <w:tcPr>
                  <w:tcW w:w="1128" w:type="dxa"/>
                  <w:noWrap w:val="0"/>
                  <w:vAlign w:val="center"/>
                </w:tcPr>
                <w:p w14:paraId="2E9F65C0">
                  <w:pPr>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w:t>
                  </w:r>
                  <w:r>
                    <w:rPr>
                      <w:rFonts w:hint="eastAsia" w:ascii="Times New Roman" w:hAnsi="Times New Roman" w:eastAsia="宋体" w:cs="Times New Roman"/>
                      <w:color w:val="auto"/>
                      <w:sz w:val="21"/>
                      <w:szCs w:val="21"/>
                      <w:u w:val="none"/>
                      <w:lang w:val="en-US" w:eastAsia="zh-CN"/>
                    </w:rPr>
                    <w:t>00</w:t>
                  </w:r>
                  <w:r>
                    <w:rPr>
                      <w:rFonts w:hint="eastAsia" w:cs="Times New Roman"/>
                      <w:color w:val="auto"/>
                      <w:sz w:val="21"/>
                      <w:szCs w:val="21"/>
                      <w:u w:val="none"/>
                      <w:lang w:val="en-US" w:eastAsia="zh-CN"/>
                    </w:rPr>
                    <w:t>0</w:t>
                  </w:r>
                  <w:r>
                    <w:rPr>
                      <w:rFonts w:hint="eastAsia" w:ascii="Times New Roman" w:hAnsi="Times New Roman" w:eastAsia="宋体" w:cs="Times New Roman"/>
                      <w:color w:val="auto"/>
                      <w:sz w:val="21"/>
                      <w:szCs w:val="21"/>
                      <w:u w:val="none"/>
                      <w:lang w:val="en-US" w:eastAsia="zh-CN"/>
                    </w:rPr>
                    <w:t>瓶</w:t>
                  </w:r>
                </w:p>
              </w:tc>
              <w:tc>
                <w:tcPr>
                  <w:tcW w:w="1854" w:type="dxa"/>
                  <w:vMerge w:val="continue"/>
                  <w:noWrap w:val="0"/>
                  <w:vAlign w:val="center"/>
                </w:tcPr>
                <w:p w14:paraId="3450EDF4">
                  <w:pPr>
                    <w:jc w:val="center"/>
                    <w:rPr>
                      <w:rFonts w:hint="default" w:ascii="Times New Roman" w:hAnsi="Times New Roman" w:eastAsia="宋体" w:cs="Times New Roman"/>
                      <w:color w:val="auto"/>
                      <w:sz w:val="21"/>
                      <w:szCs w:val="21"/>
                      <w:u w:val="none"/>
                    </w:rPr>
                  </w:pPr>
                </w:p>
              </w:tc>
            </w:tr>
            <w:tr w14:paraId="78215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noWrap w:val="0"/>
                  <w:vAlign w:val="center"/>
                </w:tcPr>
                <w:p w14:paraId="1D36B4DE">
                  <w:pPr>
                    <w:jc w:val="center"/>
                    <w:rPr>
                      <w:rFonts w:hint="eastAsia"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4</w:t>
                  </w:r>
                </w:p>
              </w:tc>
              <w:tc>
                <w:tcPr>
                  <w:tcW w:w="1823" w:type="dxa"/>
                  <w:noWrap w:val="0"/>
                  <w:vAlign w:val="center"/>
                </w:tcPr>
                <w:p w14:paraId="54AE6A8B">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注射器</w:t>
                  </w:r>
                </w:p>
              </w:tc>
              <w:tc>
                <w:tcPr>
                  <w:tcW w:w="1624" w:type="dxa"/>
                  <w:noWrap w:val="0"/>
                  <w:vAlign w:val="center"/>
                </w:tcPr>
                <w:p w14:paraId="7B6278B9">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lang w:val="en-US" w:eastAsia="zh-CN"/>
                    </w:rPr>
                    <w:t>2.5ml</w:t>
                  </w:r>
                </w:p>
              </w:tc>
              <w:tc>
                <w:tcPr>
                  <w:tcW w:w="1401" w:type="dxa"/>
                  <w:noWrap w:val="0"/>
                  <w:vAlign w:val="center"/>
                </w:tcPr>
                <w:p w14:paraId="29FC6FBD">
                  <w:pPr>
                    <w:jc w:val="center"/>
                    <w:rPr>
                      <w:rFonts w:hint="default" w:ascii="Times New Roman" w:hAnsi="Times New Roman" w:eastAsia="宋体" w:cs="Times New Roman"/>
                      <w:color w:val="auto"/>
                      <w:sz w:val="21"/>
                      <w:szCs w:val="21"/>
                      <w:u w:val="none"/>
                      <w:lang w:val="en-US"/>
                    </w:rPr>
                  </w:pPr>
                  <w:r>
                    <w:rPr>
                      <w:rFonts w:hint="eastAsia" w:cs="Times New Roman"/>
                      <w:color w:val="auto"/>
                      <w:sz w:val="21"/>
                      <w:szCs w:val="21"/>
                      <w:u w:val="none"/>
                      <w:lang w:val="en-US" w:eastAsia="zh-CN"/>
                    </w:rPr>
                    <w:t>30000件</w:t>
                  </w:r>
                </w:p>
              </w:tc>
              <w:tc>
                <w:tcPr>
                  <w:tcW w:w="1128" w:type="dxa"/>
                  <w:noWrap w:val="0"/>
                  <w:vAlign w:val="center"/>
                </w:tcPr>
                <w:p w14:paraId="32DAE108">
                  <w:pPr>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3000件</w:t>
                  </w:r>
                </w:p>
              </w:tc>
              <w:tc>
                <w:tcPr>
                  <w:tcW w:w="1854" w:type="dxa"/>
                  <w:noWrap w:val="0"/>
                  <w:vAlign w:val="center"/>
                </w:tcPr>
                <w:p w14:paraId="5229974B">
                  <w:pPr>
                    <w:jc w:val="center"/>
                    <w:rPr>
                      <w:rFonts w:hint="eastAsia" w:ascii="Times New Roman" w:hAnsi="Times New Roman" w:eastAsia="宋体" w:cs="Times New Roman"/>
                      <w:color w:val="auto"/>
                      <w:sz w:val="21"/>
                      <w:szCs w:val="21"/>
                      <w:u w:val="none"/>
                      <w:lang w:eastAsia="zh-CN"/>
                    </w:rPr>
                  </w:pPr>
                  <w:r>
                    <w:rPr>
                      <w:rFonts w:hint="eastAsia" w:cs="Times New Roman"/>
                      <w:color w:val="auto"/>
                      <w:sz w:val="21"/>
                      <w:szCs w:val="21"/>
                      <w:u w:val="none"/>
                      <w:lang w:eastAsia="zh-CN"/>
                    </w:rPr>
                    <w:t>库房</w:t>
                  </w:r>
                </w:p>
              </w:tc>
            </w:tr>
            <w:tr w14:paraId="590FA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noWrap w:val="0"/>
                  <w:vAlign w:val="center"/>
                </w:tcPr>
                <w:p w14:paraId="4B64031B">
                  <w:pPr>
                    <w:jc w:val="center"/>
                    <w:rPr>
                      <w:rFonts w:hint="eastAsia"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5</w:t>
                  </w:r>
                </w:p>
              </w:tc>
              <w:tc>
                <w:tcPr>
                  <w:tcW w:w="1823" w:type="dxa"/>
                  <w:noWrap w:val="0"/>
                  <w:vAlign w:val="center"/>
                </w:tcPr>
                <w:p w14:paraId="2FD89005">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注射器</w:t>
                  </w:r>
                </w:p>
              </w:tc>
              <w:tc>
                <w:tcPr>
                  <w:tcW w:w="1624" w:type="dxa"/>
                  <w:noWrap w:val="0"/>
                  <w:vAlign w:val="center"/>
                </w:tcPr>
                <w:p w14:paraId="2E242D69">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lang w:val="en-US" w:eastAsia="zh-CN"/>
                    </w:rPr>
                    <w:t>20ML</w:t>
                  </w:r>
                </w:p>
              </w:tc>
              <w:tc>
                <w:tcPr>
                  <w:tcW w:w="1401" w:type="dxa"/>
                  <w:noWrap w:val="0"/>
                  <w:vAlign w:val="center"/>
                </w:tcPr>
                <w:p w14:paraId="4E0E048F">
                  <w:pPr>
                    <w:jc w:val="center"/>
                    <w:rPr>
                      <w:rFonts w:hint="default" w:ascii="Times New Roman" w:hAnsi="Times New Roman" w:eastAsia="宋体" w:cs="Times New Roman"/>
                      <w:color w:val="auto"/>
                      <w:sz w:val="21"/>
                      <w:szCs w:val="21"/>
                      <w:u w:val="none"/>
                    </w:rPr>
                  </w:pPr>
                  <w:r>
                    <w:rPr>
                      <w:rFonts w:hint="eastAsia" w:ascii="Times New Roman" w:hAnsi="Times New Roman" w:eastAsia="宋体" w:cs="Times New Roman"/>
                      <w:color w:val="auto"/>
                      <w:sz w:val="21"/>
                      <w:szCs w:val="21"/>
                      <w:u w:val="none"/>
                      <w:lang w:val="en-US" w:eastAsia="zh-CN"/>
                    </w:rPr>
                    <w:t>15000件</w:t>
                  </w:r>
                </w:p>
              </w:tc>
              <w:tc>
                <w:tcPr>
                  <w:tcW w:w="1128" w:type="dxa"/>
                  <w:noWrap w:val="0"/>
                  <w:vAlign w:val="center"/>
                </w:tcPr>
                <w:p w14:paraId="6BADF063">
                  <w:pPr>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1500件</w:t>
                  </w:r>
                </w:p>
              </w:tc>
              <w:tc>
                <w:tcPr>
                  <w:tcW w:w="1854" w:type="dxa"/>
                  <w:vMerge w:val="restart"/>
                  <w:noWrap w:val="0"/>
                  <w:vAlign w:val="center"/>
                </w:tcPr>
                <w:p w14:paraId="26AD6AF6">
                  <w:pPr>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eastAsia="zh-CN"/>
                    </w:rPr>
                    <w:t>库房</w:t>
                  </w:r>
                </w:p>
              </w:tc>
            </w:tr>
            <w:tr w14:paraId="1FF06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724" w:type="dxa"/>
                  <w:noWrap w:val="0"/>
                  <w:vAlign w:val="center"/>
                </w:tcPr>
                <w:p w14:paraId="175EBA75">
                  <w:pPr>
                    <w:jc w:val="center"/>
                    <w:rPr>
                      <w:rFonts w:hint="eastAsia"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6</w:t>
                  </w:r>
                </w:p>
              </w:tc>
              <w:tc>
                <w:tcPr>
                  <w:tcW w:w="1823" w:type="dxa"/>
                  <w:noWrap w:val="0"/>
                  <w:vAlign w:val="center"/>
                </w:tcPr>
                <w:p w14:paraId="6924F48B">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一次性吸氧管</w:t>
                  </w:r>
                </w:p>
              </w:tc>
              <w:tc>
                <w:tcPr>
                  <w:tcW w:w="1624" w:type="dxa"/>
                  <w:noWrap w:val="0"/>
                  <w:vAlign w:val="center"/>
                </w:tcPr>
                <w:p w14:paraId="3DF5550A">
                  <w:pPr>
                    <w:jc w:val="center"/>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w:t>
                  </w:r>
                </w:p>
              </w:tc>
              <w:tc>
                <w:tcPr>
                  <w:tcW w:w="1401" w:type="dxa"/>
                  <w:noWrap w:val="0"/>
                  <w:vAlign w:val="center"/>
                </w:tcPr>
                <w:p w14:paraId="5E5BD69B">
                  <w:pPr>
                    <w:jc w:val="center"/>
                    <w:rPr>
                      <w:rFonts w:hint="default" w:ascii="Times New Roman" w:hAnsi="Times New Roman" w:eastAsia="宋体" w:cs="Times New Roman"/>
                      <w:color w:val="auto"/>
                      <w:sz w:val="21"/>
                      <w:szCs w:val="21"/>
                      <w:u w:val="none"/>
                    </w:rPr>
                  </w:pPr>
                  <w:r>
                    <w:rPr>
                      <w:rFonts w:hint="eastAsia" w:ascii="Times New Roman" w:hAnsi="Times New Roman" w:eastAsia="宋体" w:cs="Times New Roman"/>
                      <w:color w:val="auto"/>
                      <w:sz w:val="21"/>
                      <w:szCs w:val="21"/>
                      <w:u w:val="none"/>
                      <w:lang w:val="en-US" w:eastAsia="zh-CN"/>
                    </w:rPr>
                    <w:t>500件</w:t>
                  </w:r>
                </w:p>
              </w:tc>
              <w:tc>
                <w:tcPr>
                  <w:tcW w:w="1128" w:type="dxa"/>
                  <w:noWrap w:val="0"/>
                  <w:vAlign w:val="center"/>
                </w:tcPr>
                <w:p w14:paraId="7176B887">
                  <w:pPr>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500件</w:t>
                  </w:r>
                </w:p>
              </w:tc>
              <w:tc>
                <w:tcPr>
                  <w:tcW w:w="1854" w:type="dxa"/>
                  <w:vMerge w:val="continue"/>
                  <w:noWrap w:val="0"/>
                  <w:vAlign w:val="center"/>
                </w:tcPr>
                <w:p w14:paraId="4AE43D69">
                  <w:pPr>
                    <w:jc w:val="center"/>
                    <w:rPr>
                      <w:rFonts w:hint="default" w:ascii="Times New Roman" w:hAnsi="Times New Roman" w:eastAsia="宋体" w:cs="Times New Roman"/>
                      <w:color w:val="auto"/>
                      <w:sz w:val="21"/>
                      <w:szCs w:val="21"/>
                      <w:u w:val="none"/>
                    </w:rPr>
                  </w:pPr>
                </w:p>
              </w:tc>
            </w:tr>
            <w:tr w14:paraId="5F3EA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noWrap w:val="0"/>
                  <w:vAlign w:val="center"/>
                </w:tcPr>
                <w:p w14:paraId="16361F76">
                  <w:pPr>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7</w:t>
                  </w:r>
                </w:p>
              </w:tc>
              <w:tc>
                <w:tcPr>
                  <w:tcW w:w="1823" w:type="dxa"/>
                  <w:noWrap w:val="0"/>
                  <w:vAlign w:val="center"/>
                </w:tcPr>
                <w:p w14:paraId="1D47E796">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lang w:val="en-US" w:eastAsia="zh-CN"/>
                    </w:rPr>
                    <w:t>84消毒液</w:t>
                  </w:r>
                </w:p>
              </w:tc>
              <w:tc>
                <w:tcPr>
                  <w:tcW w:w="1624" w:type="dxa"/>
                  <w:noWrap w:val="0"/>
                  <w:vAlign w:val="center"/>
                </w:tcPr>
                <w:p w14:paraId="10900857">
                  <w:pPr>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500ml</w:t>
                  </w:r>
                </w:p>
              </w:tc>
              <w:tc>
                <w:tcPr>
                  <w:tcW w:w="1401" w:type="dxa"/>
                  <w:noWrap w:val="0"/>
                  <w:vAlign w:val="center"/>
                </w:tcPr>
                <w:p w14:paraId="686307CA">
                  <w:pPr>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2000</w:t>
                  </w:r>
                  <w:r>
                    <w:rPr>
                      <w:rFonts w:hint="eastAsia" w:ascii="Times New Roman" w:hAnsi="Times New Roman" w:eastAsia="宋体" w:cs="Times New Roman"/>
                      <w:color w:val="auto"/>
                      <w:sz w:val="21"/>
                      <w:szCs w:val="21"/>
                      <w:u w:val="none"/>
                      <w:lang w:val="en-US" w:eastAsia="zh-CN"/>
                    </w:rPr>
                    <w:t>瓶</w:t>
                  </w:r>
                </w:p>
              </w:tc>
              <w:tc>
                <w:tcPr>
                  <w:tcW w:w="1128" w:type="dxa"/>
                  <w:noWrap w:val="0"/>
                  <w:vAlign w:val="center"/>
                </w:tcPr>
                <w:p w14:paraId="618FBE5E">
                  <w:pPr>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500</w:t>
                  </w:r>
                  <w:r>
                    <w:rPr>
                      <w:rFonts w:hint="eastAsia" w:ascii="Times New Roman" w:hAnsi="Times New Roman" w:eastAsia="宋体" w:cs="Times New Roman"/>
                      <w:color w:val="auto"/>
                      <w:sz w:val="21"/>
                      <w:szCs w:val="21"/>
                      <w:u w:val="none"/>
                      <w:lang w:val="en-US" w:eastAsia="zh-CN"/>
                    </w:rPr>
                    <w:t>瓶</w:t>
                  </w:r>
                </w:p>
              </w:tc>
              <w:tc>
                <w:tcPr>
                  <w:tcW w:w="1854" w:type="dxa"/>
                  <w:vMerge w:val="continue"/>
                  <w:noWrap w:val="0"/>
                  <w:vAlign w:val="center"/>
                </w:tcPr>
                <w:p w14:paraId="179BA8EC">
                  <w:pPr>
                    <w:jc w:val="center"/>
                    <w:rPr>
                      <w:rFonts w:hint="default" w:ascii="Times New Roman" w:hAnsi="Times New Roman" w:eastAsia="宋体" w:cs="Times New Roman"/>
                      <w:color w:val="auto"/>
                      <w:sz w:val="21"/>
                      <w:szCs w:val="21"/>
                      <w:u w:val="none"/>
                    </w:rPr>
                  </w:pPr>
                </w:p>
              </w:tc>
            </w:tr>
            <w:tr w14:paraId="266FB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724" w:type="dxa"/>
                  <w:noWrap w:val="0"/>
                  <w:vAlign w:val="center"/>
                </w:tcPr>
                <w:p w14:paraId="00302152">
                  <w:pPr>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8</w:t>
                  </w:r>
                </w:p>
              </w:tc>
              <w:tc>
                <w:tcPr>
                  <w:tcW w:w="1823" w:type="dxa"/>
                  <w:noWrap w:val="0"/>
                  <w:vAlign w:val="center"/>
                </w:tcPr>
                <w:p w14:paraId="6532C04D">
                  <w:pPr>
                    <w:jc w:val="center"/>
                    <w:rPr>
                      <w:rFonts w:hint="default" w:ascii="Times New Roman" w:hAnsi="Times New Roman" w:eastAsia="宋体" w:cs="Times New Roman"/>
                      <w:color w:val="auto"/>
                      <w:sz w:val="21"/>
                      <w:szCs w:val="21"/>
                      <w:u w:val="none"/>
                    </w:rPr>
                  </w:pPr>
                  <w:r>
                    <w:rPr>
                      <w:rFonts w:hint="eastAsia" w:ascii="Times New Roman" w:hAnsi="Times New Roman" w:eastAsia="宋体" w:cs="Times New Roman"/>
                      <w:color w:val="auto"/>
                      <w:sz w:val="21"/>
                      <w:szCs w:val="21"/>
                      <w:u w:val="none"/>
                      <w:lang w:val="en-US" w:eastAsia="zh-CN"/>
                    </w:rPr>
                    <w:t>中药药材</w:t>
                  </w:r>
                </w:p>
              </w:tc>
              <w:tc>
                <w:tcPr>
                  <w:tcW w:w="1624" w:type="dxa"/>
                  <w:noWrap w:val="0"/>
                  <w:vAlign w:val="center"/>
                </w:tcPr>
                <w:p w14:paraId="24382D4A">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lang w:val="en-US" w:eastAsia="zh-CN"/>
                    </w:rPr>
                    <w:t>/</w:t>
                  </w:r>
                </w:p>
              </w:tc>
              <w:tc>
                <w:tcPr>
                  <w:tcW w:w="1401" w:type="dxa"/>
                  <w:noWrap w:val="0"/>
                  <w:vAlign w:val="center"/>
                </w:tcPr>
                <w:p w14:paraId="04FE3055">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lang w:val="en-US" w:eastAsia="zh-CN"/>
                    </w:rPr>
                    <w:t>/</w:t>
                  </w:r>
                </w:p>
              </w:tc>
              <w:tc>
                <w:tcPr>
                  <w:tcW w:w="1128" w:type="dxa"/>
                  <w:noWrap w:val="0"/>
                  <w:vAlign w:val="center"/>
                </w:tcPr>
                <w:p w14:paraId="25B03865">
                  <w:pPr>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290种</w:t>
                  </w:r>
                </w:p>
              </w:tc>
              <w:tc>
                <w:tcPr>
                  <w:tcW w:w="1854" w:type="dxa"/>
                  <w:vMerge w:val="restart"/>
                  <w:noWrap w:val="0"/>
                  <w:vAlign w:val="center"/>
                </w:tcPr>
                <w:p w14:paraId="2856E617">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药房，基本为常见中</w:t>
                  </w:r>
                  <w:r>
                    <w:rPr>
                      <w:rFonts w:hint="eastAsia" w:ascii="Times New Roman" w:hAnsi="Times New Roman" w:eastAsia="宋体" w:cs="Times New Roman"/>
                      <w:color w:val="auto"/>
                      <w:sz w:val="21"/>
                      <w:szCs w:val="21"/>
                      <w:u w:val="none"/>
                      <w:lang w:eastAsia="zh-CN"/>
                    </w:rPr>
                    <w:t>、</w:t>
                  </w:r>
                  <w:r>
                    <w:rPr>
                      <w:rFonts w:hint="eastAsia" w:ascii="Times New Roman" w:hAnsi="Times New Roman" w:eastAsia="宋体" w:cs="Times New Roman"/>
                      <w:color w:val="auto"/>
                      <w:sz w:val="21"/>
                      <w:szCs w:val="21"/>
                      <w:u w:val="none"/>
                      <w:lang w:val="en-US" w:eastAsia="zh-CN"/>
                    </w:rPr>
                    <w:t>西药</w:t>
                  </w:r>
                  <w:r>
                    <w:rPr>
                      <w:rFonts w:hint="default" w:ascii="Times New Roman" w:hAnsi="Times New Roman" w:eastAsia="宋体" w:cs="Times New Roman"/>
                      <w:color w:val="auto"/>
                      <w:sz w:val="21"/>
                      <w:szCs w:val="21"/>
                      <w:u w:val="none"/>
                    </w:rPr>
                    <w:t>，不涉及毒害、挥发性强</w:t>
                  </w:r>
                </w:p>
                <w:p w14:paraId="69279EC1">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的物质</w:t>
                  </w:r>
                </w:p>
              </w:tc>
            </w:tr>
            <w:tr w14:paraId="76B6F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noWrap w:val="0"/>
                  <w:vAlign w:val="center"/>
                </w:tcPr>
                <w:p w14:paraId="3A68091F">
                  <w:pPr>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9</w:t>
                  </w:r>
                </w:p>
              </w:tc>
              <w:tc>
                <w:tcPr>
                  <w:tcW w:w="1823" w:type="dxa"/>
                  <w:noWrap w:val="0"/>
                  <w:vAlign w:val="center"/>
                </w:tcPr>
                <w:p w14:paraId="4B0A86AC">
                  <w:pPr>
                    <w:jc w:val="center"/>
                    <w:rPr>
                      <w:rFonts w:hint="eastAsia"/>
                      <w:color w:val="auto"/>
                      <w:u w:val="none"/>
                    </w:rPr>
                  </w:pPr>
                  <w:r>
                    <w:rPr>
                      <w:rFonts w:hint="eastAsia" w:ascii="Times New Roman" w:hAnsi="Times New Roman" w:eastAsia="宋体" w:cs="Times New Roman"/>
                      <w:color w:val="auto"/>
                      <w:sz w:val="21"/>
                      <w:szCs w:val="21"/>
                      <w:u w:val="none"/>
                      <w:lang w:val="en-US" w:eastAsia="zh-CN"/>
                    </w:rPr>
                    <w:t>西药产品</w:t>
                  </w:r>
                </w:p>
              </w:tc>
              <w:tc>
                <w:tcPr>
                  <w:tcW w:w="1624" w:type="dxa"/>
                  <w:noWrap w:val="0"/>
                  <w:vAlign w:val="center"/>
                </w:tcPr>
                <w:p w14:paraId="59C0F44F">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lang w:val="en-US" w:eastAsia="zh-CN"/>
                    </w:rPr>
                    <w:t>/</w:t>
                  </w:r>
                </w:p>
              </w:tc>
              <w:tc>
                <w:tcPr>
                  <w:tcW w:w="1401" w:type="dxa"/>
                  <w:noWrap w:val="0"/>
                  <w:vAlign w:val="center"/>
                </w:tcPr>
                <w:p w14:paraId="2C5C9380">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lang w:val="en-US" w:eastAsia="zh-CN"/>
                    </w:rPr>
                    <w:t>/</w:t>
                  </w:r>
                </w:p>
              </w:tc>
              <w:tc>
                <w:tcPr>
                  <w:tcW w:w="1128" w:type="dxa"/>
                  <w:noWrap w:val="0"/>
                  <w:vAlign w:val="center"/>
                </w:tcPr>
                <w:p w14:paraId="747E234E">
                  <w:pPr>
                    <w:jc w:val="center"/>
                    <w:rPr>
                      <w:rFonts w:hint="default" w:ascii="Times New Roman" w:hAnsi="Times New Roman" w:eastAsia="宋体" w:cs="Times New Roman"/>
                      <w:color w:val="auto"/>
                      <w:sz w:val="21"/>
                      <w:szCs w:val="21"/>
                      <w:u w:val="none"/>
                    </w:rPr>
                  </w:pPr>
                  <w:r>
                    <w:rPr>
                      <w:rFonts w:hint="eastAsia" w:cs="Times New Roman"/>
                      <w:color w:val="auto"/>
                      <w:sz w:val="21"/>
                      <w:szCs w:val="21"/>
                      <w:u w:val="none"/>
                      <w:lang w:val="en-US" w:eastAsia="zh-CN"/>
                    </w:rPr>
                    <w:t>320</w:t>
                  </w:r>
                  <w:r>
                    <w:rPr>
                      <w:rFonts w:hint="eastAsia" w:ascii="Times New Roman" w:hAnsi="Times New Roman" w:eastAsia="宋体" w:cs="Times New Roman"/>
                      <w:color w:val="auto"/>
                      <w:sz w:val="21"/>
                      <w:szCs w:val="21"/>
                      <w:u w:val="none"/>
                      <w:lang w:val="en-US" w:eastAsia="zh-CN"/>
                    </w:rPr>
                    <w:t>种</w:t>
                  </w:r>
                </w:p>
              </w:tc>
              <w:tc>
                <w:tcPr>
                  <w:tcW w:w="1854" w:type="dxa"/>
                  <w:vMerge w:val="continue"/>
                  <w:noWrap w:val="0"/>
                  <w:vAlign w:val="center"/>
                </w:tcPr>
                <w:p w14:paraId="60E93DF5">
                  <w:pPr>
                    <w:jc w:val="center"/>
                    <w:rPr>
                      <w:rFonts w:hint="default" w:ascii="Times New Roman" w:hAnsi="Times New Roman" w:eastAsia="宋体" w:cs="Times New Roman"/>
                      <w:color w:val="auto"/>
                      <w:sz w:val="21"/>
                      <w:szCs w:val="21"/>
                      <w:u w:val="none"/>
                    </w:rPr>
                  </w:pPr>
                </w:p>
              </w:tc>
            </w:tr>
            <w:tr w14:paraId="7802D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noWrap w:val="0"/>
                  <w:vAlign w:val="center"/>
                </w:tcPr>
                <w:p w14:paraId="74F05289">
                  <w:pPr>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10</w:t>
                  </w:r>
                </w:p>
              </w:tc>
              <w:tc>
                <w:tcPr>
                  <w:tcW w:w="1823" w:type="dxa"/>
                  <w:noWrap w:val="0"/>
                  <w:vAlign w:val="center"/>
                </w:tcPr>
                <w:p w14:paraId="00FD7733">
                  <w:pPr>
                    <w:jc w:val="center"/>
                    <w:rPr>
                      <w:rFonts w:hint="eastAsia"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柴油</w:t>
                  </w:r>
                </w:p>
              </w:tc>
              <w:tc>
                <w:tcPr>
                  <w:tcW w:w="1624" w:type="dxa"/>
                  <w:noWrap w:val="0"/>
                  <w:vAlign w:val="center"/>
                </w:tcPr>
                <w:p w14:paraId="20C4FE00">
                  <w:pPr>
                    <w:jc w:val="center"/>
                    <w:rPr>
                      <w:rFonts w:hint="eastAsia"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w:t>
                  </w:r>
                </w:p>
              </w:tc>
              <w:tc>
                <w:tcPr>
                  <w:tcW w:w="1401" w:type="dxa"/>
                  <w:noWrap w:val="0"/>
                  <w:vAlign w:val="center"/>
                </w:tcPr>
                <w:p w14:paraId="7BC07ECF">
                  <w:pPr>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30kg</w:t>
                  </w:r>
                </w:p>
              </w:tc>
              <w:tc>
                <w:tcPr>
                  <w:tcW w:w="1128" w:type="dxa"/>
                  <w:noWrap w:val="0"/>
                  <w:vAlign w:val="center"/>
                </w:tcPr>
                <w:p w14:paraId="23754821">
                  <w:pPr>
                    <w:jc w:val="center"/>
                    <w:rPr>
                      <w:rFonts w:hint="eastAsia"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w:t>
                  </w:r>
                </w:p>
              </w:tc>
              <w:tc>
                <w:tcPr>
                  <w:tcW w:w="1854" w:type="dxa"/>
                  <w:noWrap w:val="0"/>
                  <w:vAlign w:val="top"/>
                </w:tcPr>
                <w:p w14:paraId="5DF484CF">
                  <w:pPr>
                    <w:jc w:val="center"/>
                    <w:rPr>
                      <w:rFonts w:hint="default" w:ascii="Times New Roman" w:hAnsi="Times New Roman" w:eastAsia="宋体" w:cs="Times New Roman"/>
                      <w:color w:val="auto"/>
                      <w:sz w:val="21"/>
                      <w:szCs w:val="21"/>
                      <w:u w:val="none"/>
                    </w:rPr>
                  </w:pPr>
                  <w:r>
                    <w:rPr>
                      <w:rFonts w:hint="eastAsia" w:ascii="Times New Roman" w:hAnsi="Times New Roman" w:eastAsia="宋体" w:cs="Times New Roman"/>
                      <w:color w:val="auto"/>
                      <w:sz w:val="21"/>
                      <w:szCs w:val="21"/>
                      <w:u w:val="none"/>
                      <w:lang w:val="en-US" w:eastAsia="zh-CN"/>
                    </w:rPr>
                    <w:t>备用柴油发电机使用，储存</w:t>
                  </w:r>
                  <w:r>
                    <w:rPr>
                      <w:rFonts w:hint="eastAsia" w:cs="Times New Roman"/>
                      <w:color w:val="auto"/>
                      <w:sz w:val="21"/>
                      <w:szCs w:val="21"/>
                      <w:u w:val="none"/>
                      <w:lang w:val="en-US" w:eastAsia="zh-CN"/>
                    </w:rPr>
                    <w:t>于发电机房</w:t>
                  </w:r>
                </w:p>
              </w:tc>
            </w:tr>
            <w:tr w14:paraId="6C3CA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noWrap w:val="0"/>
                  <w:vAlign w:val="center"/>
                </w:tcPr>
                <w:p w14:paraId="42BB915B">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11</w:t>
                  </w:r>
                </w:p>
              </w:tc>
              <w:tc>
                <w:tcPr>
                  <w:tcW w:w="1823" w:type="dxa"/>
                  <w:noWrap w:val="0"/>
                  <w:vAlign w:val="center"/>
                </w:tcPr>
                <w:p w14:paraId="364A575A">
                  <w:pPr>
                    <w:jc w:val="center"/>
                    <w:rPr>
                      <w:rFonts w:hint="eastAsia" w:ascii="Times New Roman" w:hAnsi="Times New Roman" w:eastAsia="宋体" w:cs="Times New Roman"/>
                      <w:color w:val="auto"/>
                      <w:sz w:val="21"/>
                      <w:szCs w:val="21"/>
                      <w:lang w:val="en-US" w:bidi="ar-SA"/>
                    </w:rPr>
                  </w:pPr>
                  <w:r>
                    <w:rPr>
                      <w:rFonts w:hint="eastAsia" w:ascii="Times New Roman" w:hAnsi="Times New Roman" w:eastAsia="宋体" w:cs="Times New Roman"/>
                      <w:color w:val="auto"/>
                      <w:sz w:val="21"/>
                      <w:szCs w:val="21"/>
                      <w:lang w:val="en-US" w:bidi="ar-SA"/>
                    </w:rPr>
                    <w:t>肺炎支原体IgM,IgG抗体检测</w:t>
                  </w:r>
                </w:p>
              </w:tc>
              <w:tc>
                <w:tcPr>
                  <w:tcW w:w="1624" w:type="dxa"/>
                  <w:noWrap w:val="0"/>
                  <w:vAlign w:val="center"/>
                </w:tcPr>
                <w:p w14:paraId="2C472AD6">
                  <w:pPr>
                    <w:jc w:val="center"/>
                    <w:rPr>
                      <w:color w:val="auto"/>
                      <w:szCs w:val="21"/>
                    </w:rPr>
                  </w:pPr>
                  <w:r>
                    <w:rPr>
                      <w:color w:val="auto"/>
                      <w:szCs w:val="21"/>
                    </w:rPr>
                    <w:t>/</w:t>
                  </w:r>
                </w:p>
              </w:tc>
              <w:tc>
                <w:tcPr>
                  <w:tcW w:w="1401" w:type="dxa"/>
                  <w:noWrap w:val="0"/>
                  <w:vAlign w:val="center"/>
                </w:tcPr>
                <w:p w14:paraId="2BE8B2B4">
                  <w:pPr>
                    <w:pStyle w:val="44"/>
                    <w:spacing w:before="31" w:after="31"/>
                    <w:jc w:val="both"/>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30</w:t>
                  </w:r>
                  <w:r>
                    <w:rPr>
                      <w:rFonts w:hint="eastAsia" w:ascii="Times New Roman" w:hAnsi="Times New Roman" w:eastAsia="宋体" w:cs="Times New Roman"/>
                      <w:color w:val="auto"/>
                      <w:szCs w:val="21"/>
                    </w:rPr>
                    <w:t>盒</w:t>
                  </w:r>
                </w:p>
              </w:tc>
              <w:tc>
                <w:tcPr>
                  <w:tcW w:w="1128" w:type="dxa"/>
                  <w:noWrap w:val="0"/>
                  <w:vAlign w:val="center"/>
                </w:tcPr>
                <w:p w14:paraId="199C0304">
                  <w:pPr>
                    <w:pStyle w:val="44"/>
                    <w:spacing w:before="31" w:after="31"/>
                    <w:jc w:val="both"/>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30</w:t>
                  </w:r>
                  <w:r>
                    <w:rPr>
                      <w:rFonts w:hint="eastAsia" w:ascii="Times New Roman" w:hAnsi="Times New Roman" w:eastAsia="宋体" w:cs="Times New Roman"/>
                      <w:color w:val="auto"/>
                      <w:szCs w:val="21"/>
                    </w:rPr>
                    <w:t>盒</w:t>
                  </w:r>
                </w:p>
              </w:tc>
              <w:tc>
                <w:tcPr>
                  <w:tcW w:w="1854" w:type="dxa"/>
                  <w:vMerge w:val="restart"/>
                  <w:noWrap w:val="0"/>
                  <w:vAlign w:val="top"/>
                </w:tcPr>
                <w:p w14:paraId="6F520431">
                  <w:pPr>
                    <w:jc w:val="center"/>
                    <w:rPr>
                      <w:color w:val="auto"/>
                      <w:szCs w:val="21"/>
                    </w:rPr>
                  </w:pPr>
                  <w:r>
                    <w:rPr>
                      <w:rFonts w:hint="eastAsia" w:ascii="Times New Roman" w:hAnsi="Times New Roman" w:eastAsia="宋体" w:cs="Times New Roman"/>
                      <w:color w:val="auto"/>
                      <w:sz w:val="21"/>
                      <w:szCs w:val="21"/>
                      <w:u w:val="none"/>
                      <w:lang w:val="en-US" w:eastAsia="zh-CN"/>
                    </w:rPr>
                    <w:t>检验科</w:t>
                  </w:r>
                </w:p>
              </w:tc>
            </w:tr>
            <w:tr w14:paraId="6B40A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shd w:val="clear" w:color="auto" w:fill="auto"/>
                  <w:noWrap w:val="0"/>
                  <w:vAlign w:val="center"/>
                </w:tcPr>
                <w:p w14:paraId="63897371">
                  <w:pPr>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12</w:t>
                  </w:r>
                </w:p>
              </w:tc>
              <w:tc>
                <w:tcPr>
                  <w:tcW w:w="1823" w:type="dxa"/>
                  <w:noWrap w:val="0"/>
                  <w:vAlign w:val="center"/>
                </w:tcPr>
                <w:p w14:paraId="3C52205D">
                  <w:pPr>
                    <w:jc w:val="center"/>
                    <w:rPr>
                      <w:rFonts w:hint="eastAsia" w:ascii="Times New Roman" w:hAnsi="Times New Roman" w:eastAsia="宋体" w:cs="Times New Roman"/>
                      <w:color w:val="auto"/>
                      <w:sz w:val="21"/>
                      <w:szCs w:val="21"/>
                      <w:lang w:val="en-US" w:bidi="ar-SA"/>
                    </w:rPr>
                  </w:pPr>
                  <w:r>
                    <w:rPr>
                      <w:rFonts w:hint="eastAsia" w:ascii="Times New Roman" w:hAnsi="Times New Roman" w:eastAsia="宋体" w:cs="Times New Roman"/>
                      <w:color w:val="auto"/>
                      <w:sz w:val="21"/>
                      <w:szCs w:val="21"/>
                      <w:lang w:val="en-US" w:bidi="ar-SA"/>
                    </w:rPr>
                    <w:t>谷丙转氨酶</w:t>
                  </w:r>
                </w:p>
              </w:tc>
              <w:tc>
                <w:tcPr>
                  <w:tcW w:w="1624" w:type="dxa"/>
                  <w:noWrap w:val="0"/>
                  <w:vAlign w:val="center"/>
                </w:tcPr>
                <w:p w14:paraId="2E718F70">
                  <w:pPr>
                    <w:jc w:val="center"/>
                    <w:rPr>
                      <w:color w:val="auto"/>
                      <w:szCs w:val="21"/>
                    </w:rPr>
                  </w:pPr>
                  <w:r>
                    <w:rPr>
                      <w:color w:val="auto"/>
                      <w:szCs w:val="21"/>
                    </w:rPr>
                    <w:t>/</w:t>
                  </w:r>
                </w:p>
              </w:tc>
              <w:tc>
                <w:tcPr>
                  <w:tcW w:w="1401" w:type="dxa"/>
                  <w:noWrap w:val="0"/>
                  <w:vAlign w:val="center"/>
                </w:tcPr>
                <w:p w14:paraId="0C1B20D3">
                  <w:pPr>
                    <w:pStyle w:val="44"/>
                    <w:spacing w:before="31" w:after="31"/>
                    <w:jc w:val="both"/>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20</w:t>
                  </w:r>
                  <w:r>
                    <w:rPr>
                      <w:rFonts w:hint="eastAsia" w:ascii="Times New Roman" w:hAnsi="Times New Roman" w:eastAsia="宋体" w:cs="Times New Roman"/>
                      <w:color w:val="auto"/>
                      <w:szCs w:val="21"/>
                    </w:rPr>
                    <w:t>盒</w:t>
                  </w:r>
                </w:p>
              </w:tc>
              <w:tc>
                <w:tcPr>
                  <w:tcW w:w="1128" w:type="dxa"/>
                  <w:noWrap w:val="0"/>
                  <w:vAlign w:val="center"/>
                </w:tcPr>
                <w:p w14:paraId="52B6C3A3">
                  <w:pPr>
                    <w:pStyle w:val="44"/>
                    <w:spacing w:before="31" w:after="31"/>
                    <w:jc w:val="both"/>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20</w:t>
                  </w:r>
                  <w:r>
                    <w:rPr>
                      <w:rFonts w:hint="eastAsia" w:ascii="Times New Roman" w:hAnsi="Times New Roman" w:eastAsia="宋体" w:cs="Times New Roman"/>
                      <w:color w:val="auto"/>
                      <w:szCs w:val="21"/>
                    </w:rPr>
                    <w:t>盒</w:t>
                  </w:r>
                </w:p>
              </w:tc>
              <w:tc>
                <w:tcPr>
                  <w:tcW w:w="1854" w:type="dxa"/>
                  <w:vMerge w:val="continue"/>
                  <w:noWrap w:val="0"/>
                  <w:vAlign w:val="top"/>
                </w:tcPr>
                <w:p w14:paraId="0F8053D2">
                  <w:pPr>
                    <w:jc w:val="center"/>
                    <w:rPr>
                      <w:color w:val="auto"/>
                      <w:szCs w:val="21"/>
                    </w:rPr>
                  </w:pPr>
                </w:p>
              </w:tc>
            </w:tr>
            <w:tr w14:paraId="7D450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shd w:val="clear" w:color="auto" w:fill="auto"/>
                  <w:noWrap w:val="0"/>
                  <w:vAlign w:val="center"/>
                </w:tcPr>
                <w:p w14:paraId="24F6EFE0">
                  <w:pPr>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13</w:t>
                  </w:r>
                </w:p>
              </w:tc>
              <w:tc>
                <w:tcPr>
                  <w:tcW w:w="1823" w:type="dxa"/>
                  <w:noWrap w:val="0"/>
                  <w:vAlign w:val="center"/>
                </w:tcPr>
                <w:p w14:paraId="6E75F036">
                  <w:pPr>
                    <w:jc w:val="center"/>
                    <w:rPr>
                      <w:rFonts w:hint="eastAsia" w:ascii="Times New Roman" w:hAnsi="Times New Roman" w:eastAsia="宋体" w:cs="Times New Roman"/>
                      <w:color w:val="auto"/>
                      <w:sz w:val="21"/>
                      <w:szCs w:val="21"/>
                      <w:lang w:val="en-US" w:bidi="ar-SA"/>
                    </w:rPr>
                  </w:pPr>
                  <w:r>
                    <w:rPr>
                      <w:rFonts w:hint="eastAsia" w:ascii="Times New Roman" w:hAnsi="Times New Roman" w:eastAsia="宋体" w:cs="Times New Roman"/>
                      <w:color w:val="auto"/>
                      <w:sz w:val="21"/>
                      <w:szCs w:val="21"/>
                      <w:lang w:val="en-US" w:bidi="ar-SA"/>
                    </w:rPr>
                    <w:t>谷草转氨酶</w:t>
                  </w:r>
                </w:p>
              </w:tc>
              <w:tc>
                <w:tcPr>
                  <w:tcW w:w="1624" w:type="dxa"/>
                  <w:noWrap w:val="0"/>
                  <w:vAlign w:val="center"/>
                </w:tcPr>
                <w:p w14:paraId="64E697B0">
                  <w:pPr>
                    <w:jc w:val="center"/>
                    <w:rPr>
                      <w:color w:val="auto"/>
                      <w:szCs w:val="21"/>
                    </w:rPr>
                  </w:pPr>
                  <w:r>
                    <w:rPr>
                      <w:color w:val="auto"/>
                      <w:szCs w:val="21"/>
                    </w:rPr>
                    <w:t>/</w:t>
                  </w:r>
                </w:p>
              </w:tc>
              <w:tc>
                <w:tcPr>
                  <w:tcW w:w="1401" w:type="dxa"/>
                  <w:noWrap w:val="0"/>
                  <w:vAlign w:val="center"/>
                </w:tcPr>
                <w:p w14:paraId="0ACD9E8B">
                  <w:pPr>
                    <w:pStyle w:val="44"/>
                    <w:spacing w:before="31" w:after="31"/>
                    <w:jc w:val="both"/>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30</w:t>
                  </w:r>
                  <w:r>
                    <w:rPr>
                      <w:rFonts w:hint="eastAsia" w:ascii="Times New Roman" w:hAnsi="Times New Roman" w:eastAsia="宋体" w:cs="Times New Roman"/>
                      <w:color w:val="auto"/>
                      <w:szCs w:val="21"/>
                    </w:rPr>
                    <w:t>盒</w:t>
                  </w:r>
                </w:p>
              </w:tc>
              <w:tc>
                <w:tcPr>
                  <w:tcW w:w="1128" w:type="dxa"/>
                  <w:noWrap w:val="0"/>
                  <w:vAlign w:val="center"/>
                </w:tcPr>
                <w:p w14:paraId="013D1416">
                  <w:pPr>
                    <w:pStyle w:val="44"/>
                    <w:spacing w:before="31" w:after="31"/>
                    <w:jc w:val="both"/>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30</w:t>
                  </w:r>
                  <w:r>
                    <w:rPr>
                      <w:rFonts w:hint="eastAsia" w:ascii="Times New Roman" w:hAnsi="Times New Roman" w:eastAsia="宋体" w:cs="Times New Roman"/>
                      <w:color w:val="auto"/>
                      <w:szCs w:val="21"/>
                    </w:rPr>
                    <w:t>盒</w:t>
                  </w:r>
                </w:p>
              </w:tc>
              <w:tc>
                <w:tcPr>
                  <w:tcW w:w="1854" w:type="dxa"/>
                  <w:vMerge w:val="continue"/>
                  <w:noWrap w:val="0"/>
                  <w:vAlign w:val="top"/>
                </w:tcPr>
                <w:p w14:paraId="28519967">
                  <w:pPr>
                    <w:jc w:val="center"/>
                    <w:rPr>
                      <w:color w:val="auto"/>
                      <w:szCs w:val="21"/>
                    </w:rPr>
                  </w:pPr>
                </w:p>
              </w:tc>
            </w:tr>
            <w:tr w14:paraId="736C0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shd w:val="clear" w:color="auto" w:fill="auto"/>
                  <w:noWrap w:val="0"/>
                  <w:vAlign w:val="center"/>
                </w:tcPr>
                <w:p w14:paraId="5A1201C5">
                  <w:pPr>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14</w:t>
                  </w:r>
                </w:p>
              </w:tc>
              <w:tc>
                <w:tcPr>
                  <w:tcW w:w="1823" w:type="dxa"/>
                  <w:noWrap w:val="0"/>
                  <w:vAlign w:val="center"/>
                </w:tcPr>
                <w:p w14:paraId="20C09D09">
                  <w:pPr>
                    <w:jc w:val="center"/>
                    <w:rPr>
                      <w:rFonts w:hint="eastAsia" w:ascii="Times New Roman" w:hAnsi="Times New Roman" w:eastAsia="宋体" w:cs="Times New Roman"/>
                      <w:color w:val="auto"/>
                      <w:sz w:val="21"/>
                      <w:szCs w:val="21"/>
                      <w:lang w:val="en-US" w:bidi="ar-SA"/>
                    </w:rPr>
                  </w:pPr>
                  <w:r>
                    <w:rPr>
                      <w:rFonts w:hint="eastAsia" w:ascii="Times New Roman" w:hAnsi="Times New Roman" w:eastAsia="宋体" w:cs="Times New Roman"/>
                      <w:color w:val="auto"/>
                      <w:sz w:val="21"/>
                      <w:szCs w:val="21"/>
                      <w:lang w:val="en-US" w:bidi="ar-SA"/>
                    </w:rPr>
                    <w:t>总蛋白</w:t>
                  </w:r>
                </w:p>
              </w:tc>
              <w:tc>
                <w:tcPr>
                  <w:tcW w:w="1624" w:type="dxa"/>
                  <w:noWrap w:val="0"/>
                  <w:vAlign w:val="center"/>
                </w:tcPr>
                <w:p w14:paraId="33221964">
                  <w:pPr>
                    <w:jc w:val="center"/>
                    <w:rPr>
                      <w:color w:val="auto"/>
                      <w:szCs w:val="21"/>
                    </w:rPr>
                  </w:pPr>
                  <w:r>
                    <w:rPr>
                      <w:color w:val="auto"/>
                      <w:szCs w:val="21"/>
                    </w:rPr>
                    <w:t>/</w:t>
                  </w:r>
                </w:p>
              </w:tc>
              <w:tc>
                <w:tcPr>
                  <w:tcW w:w="1401" w:type="dxa"/>
                  <w:noWrap w:val="0"/>
                  <w:vAlign w:val="center"/>
                </w:tcPr>
                <w:p w14:paraId="23BF710D">
                  <w:pPr>
                    <w:pStyle w:val="44"/>
                    <w:spacing w:before="31" w:after="31"/>
                    <w:jc w:val="both"/>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30</w:t>
                  </w:r>
                  <w:r>
                    <w:rPr>
                      <w:rFonts w:hint="eastAsia" w:ascii="Times New Roman" w:hAnsi="Times New Roman" w:eastAsia="宋体" w:cs="Times New Roman"/>
                      <w:color w:val="auto"/>
                      <w:szCs w:val="21"/>
                    </w:rPr>
                    <w:t>盒</w:t>
                  </w:r>
                </w:p>
              </w:tc>
              <w:tc>
                <w:tcPr>
                  <w:tcW w:w="1128" w:type="dxa"/>
                  <w:noWrap w:val="0"/>
                  <w:vAlign w:val="center"/>
                </w:tcPr>
                <w:p w14:paraId="23133CF4">
                  <w:pPr>
                    <w:pStyle w:val="44"/>
                    <w:spacing w:before="31" w:after="31"/>
                    <w:jc w:val="both"/>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30</w:t>
                  </w:r>
                  <w:r>
                    <w:rPr>
                      <w:rFonts w:hint="eastAsia" w:ascii="Times New Roman" w:hAnsi="Times New Roman" w:eastAsia="宋体" w:cs="Times New Roman"/>
                      <w:color w:val="auto"/>
                      <w:szCs w:val="21"/>
                    </w:rPr>
                    <w:t>盒</w:t>
                  </w:r>
                </w:p>
              </w:tc>
              <w:tc>
                <w:tcPr>
                  <w:tcW w:w="1854" w:type="dxa"/>
                  <w:vMerge w:val="continue"/>
                  <w:noWrap w:val="0"/>
                  <w:vAlign w:val="top"/>
                </w:tcPr>
                <w:p w14:paraId="0C6042E9">
                  <w:pPr>
                    <w:jc w:val="center"/>
                    <w:rPr>
                      <w:color w:val="auto"/>
                      <w:szCs w:val="21"/>
                    </w:rPr>
                  </w:pPr>
                </w:p>
              </w:tc>
            </w:tr>
            <w:tr w14:paraId="2EEDC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shd w:val="clear" w:color="auto" w:fill="auto"/>
                  <w:noWrap w:val="0"/>
                  <w:vAlign w:val="center"/>
                </w:tcPr>
                <w:p w14:paraId="40CAF0CE">
                  <w:pPr>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15</w:t>
                  </w:r>
                </w:p>
              </w:tc>
              <w:tc>
                <w:tcPr>
                  <w:tcW w:w="1823" w:type="dxa"/>
                  <w:noWrap w:val="0"/>
                  <w:vAlign w:val="center"/>
                </w:tcPr>
                <w:p w14:paraId="5DE05F9F">
                  <w:pPr>
                    <w:jc w:val="center"/>
                    <w:rPr>
                      <w:rFonts w:hint="eastAsia" w:ascii="Times New Roman" w:hAnsi="Times New Roman" w:eastAsia="宋体" w:cs="Times New Roman"/>
                      <w:color w:val="auto"/>
                      <w:sz w:val="21"/>
                      <w:szCs w:val="21"/>
                      <w:lang w:val="en-US" w:bidi="ar-SA"/>
                    </w:rPr>
                  </w:pPr>
                  <w:r>
                    <w:rPr>
                      <w:rFonts w:hint="eastAsia" w:ascii="Times New Roman" w:hAnsi="Times New Roman" w:eastAsia="宋体" w:cs="Times New Roman"/>
                      <w:color w:val="auto"/>
                      <w:sz w:val="21"/>
                      <w:szCs w:val="21"/>
                      <w:lang w:val="en-US" w:bidi="ar-SA"/>
                    </w:rPr>
                    <w:t>高密度脂蛋白</w:t>
                  </w:r>
                </w:p>
              </w:tc>
              <w:tc>
                <w:tcPr>
                  <w:tcW w:w="1624" w:type="dxa"/>
                  <w:noWrap w:val="0"/>
                  <w:vAlign w:val="center"/>
                </w:tcPr>
                <w:p w14:paraId="0D45C738">
                  <w:pPr>
                    <w:jc w:val="center"/>
                    <w:rPr>
                      <w:color w:val="auto"/>
                      <w:szCs w:val="21"/>
                    </w:rPr>
                  </w:pPr>
                  <w:r>
                    <w:rPr>
                      <w:color w:val="auto"/>
                      <w:szCs w:val="21"/>
                    </w:rPr>
                    <w:t>/</w:t>
                  </w:r>
                </w:p>
              </w:tc>
              <w:tc>
                <w:tcPr>
                  <w:tcW w:w="1401" w:type="dxa"/>
                  <w:noWrap w:val="0"/>
                  <w:vAlign w:val="center"/>
                </w:tcPr>
                <w:p w14:paraId="49071A98">
                  <w:pPr>
                    <w:pStyle w:val="44"/>
                    <w:spacing w:before="31" w:after="31"/>
                    <w:jc w:val="both"/>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20</w:t>
                  </w:r>
                  <w:r>
                    <w:rPr>
                      <w:rFonts w:hint="eastAsia" w:ascii="Times New Roman" w:hAnsi="Times New Roman" w:eastAsia="宋体" w:cs="Times New Roman"/>
                      <w:color w:val="auto"/>
                      <w:szCs w:val="21"/>
                    </w:rPr>
                    <w:t>盒</w:t>
                  </w:r>
                </w:p>
              </w:tc>
              <w:tc>
                <w:tcPr>
                  <w:tcW w:w="1128" w:type="dxa"/>
                  <w:noWrap w:val="0"/>
                  <w:vAlign w:val="center"/>
                </w:tcPr>
                <w:p w14:paraId="47CBB382">
                  <w:pPr>
                    <w:pStyle w:val="44"/>
                    <w:spacing w:before="31" w:after="31"/>
                    <w:jc w:val="both"/>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20</w:t>
                  </w:r>
                  <w:r>
                    <w:rPr>
                      <w:rFonts w:hint="eastAsia" w:ascii="Times New Roman" w:hAnsi="Times New Roman" w:eastAsia="宋体" w:cs="Times New Roman"/>
                      <w:color w:val="auto"/>
                      <w:szCs w:val="21"/>
                    </w:rPr>
                    <w:t>盒</w:t>
                  </w:r>
                </w:p>
              </w:tc>
              <w:tc>
                <w:tcPr>
                  <w:tcW w:w="1854" w:type="dxa"/>
                  <w:vMerge w:val="continue"/>
                  <w:noWrap w:val="0"/>
                  <w:vAlign w:val="top"/>
                </w:tcPr>
                <w:p w14:paraId="056F5C0D">
                  <w:pPr>
                    <w:jc w:val="center"/>
                    <w:rPr>
                      <w:color w:val="auto"/>
                      <w:szCs w:val="21"/>
                    </w:rPr>
                  </w:pPr>
                </w:p>
              </w:tc>
            </w:tr>
            <w:tr w14:paraId="6A2E7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shd w:val="clear" w:color="auto" w:fill="auto"/>
                  <w:noWrap w:val="0"/>
                  <w:vAlign w:val="center"/>
                </w:tcPr>
                <w:p w14:paraId="39B3EC70">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16</w:t>
                  </w:r>
                </w:p>
              </w:tc>
              <w:tc>
                <w:tcPr>
                  <w:tcW w:w="1823" w:type="dxa"/>
                  <w:noWrap w:val="0"/>
                  <w:vAlign w:val="center"/>
                </w:tcPr>
                <w:p w14:paraId="66DBD883">
                  <w:pPr>
                    <w:pStyle w:val="44"/>
                    <w:spacing w:before="31" w:after="31"/>
                    <w:ind w:firstLine="0" w:firstLineChars="0"/>
                    <w:jc w:val="center"/>
                    <w:rPr>
                      <w:rFonts w:ascii="Times New Roman"/>
                      <w:color w:val="auto"/>
                      <w:szCs w:val="21"/>
                    </w:rPr>
                  </w:pPr>
                  <w:r>
                    <w:rPr>
                      <w:rFonts w:hint="eastAsia" w:ascii="Times New Roman"/>
                      <w:color w:val="auto"/>
                      <w:szCs w:val="21"/>
                    </w:rPr>
                    <w:t>肌酸激酶测定试剂盒-CK</w:t>
                  </w:r>
                </w:p>
              </w:tc>
              <w:tc>
                <w:tcPr>
                  <w:tcW w:w="1624" w:type="dxa"/>
                  <w:noWrap w:val="0"/>
                  <w:vAlign w:val="center"/>
                </w:tcPr>
                <w:p w14:paraId="27D5FD62">
                  <w:pPr>
                    <w:pStyle w:val="44"/>
                    <w:spacing w:before="31" w:after="31"/>
                    <w:ind w:firstLine="0" w:firstLineChars="0"/>
                    <w:jc w:val="center"/>
                    <w:rPr>
                      <w:rFonts w:ascii="Times New Roman"/>
                      <w:color w:val="auto"/>
                      <w:szCs w:val="21"/>
                    </w:rPr>
                  </w:pPr>
                  <w:r>
                    <w:rPr>
                      <w:rFonts w:ascii="Times New Roman"/>
                      <w:color w:val="auto"/>
                      <w:szCs w:val="21"/>
                    </w:rPr>
                    <w:t>40ml*1/10ml*1</w:t>
                  </w:r>
                </w:p>
              </w:tc>
              <w:tc>
                <w:tcPr>
                  <w:tcW w:w="1401" w:type="dxa"/>
                  <w:noWrap w:val="0"/>
                  <w:vAlign w:val="center"/>
                </w:tcPr>
                <w:p w14:paraId="2BBD3993">
                  <w:pPr>
                    <w:pStyle w:val="44"/>
                    <w:spacing w:before="31" w:after="31"/>
                    <w:ind w:firstLine="0" w:firstLineChars="0"/>
                    <w:jc w:val="center"/>
                    <w:rPr>
                      <w:rFonts w:ascii="Times New Roman"/>
                      <w:color w:val="auto"/>
                      <w:szCs w:val="21"/>
                    </w:rPr>
                  </w:pPr>
                  <w:r>
                    <w:rPr>
                      <w:rFonts w:hint="eastAsia" w:ascii="Times New Roman"/>
                      <w:color w:val="auto"/>
                      <w:szCs w:val="21"/>
                      <w:lang w:val="en-US" w:eastAsia="zh-CN"/>
                    </w:rPr>
                    <w:t>40</w:t>
                  </w:r>
                  <w:r>
                    <w:rPr>
                      <w:rFonts w:hint="eastAsia" w:ascii="Times New Roman"/>
                      <w:color w:val="auto"/>
                      <w:szCs w:val="21"/>
                    </w:rPr>
                    <w:t>盒</w:t>
                  </w:r>
                </w:p>
              </w:tc>
              <w:tc>
                <w:tcPr>
                  <w:tcW w:w="1128" w:type="dxa"/>
                  <w:noWrap w:val="0"/>
                  <w:vAlign w:val="center"/>
                </w:tcPr>
                <w:p w14:paraId="573DCB2D">
                  <w:pPr>
                    <w:pStyle w:val="44"/>
                    <w:spacing w:before="31" w:after="31"/>
                    <w:ind w:firstLine="0" w:firstLineChars="0"/>
                    <w:jc w:val="center"/>
                    <w:rPr>
                      <w:rFonts w:ascii="Times New Roman"/>
                      <w:color w:val="auto"/>
                      <w:szCs w:val="21"/>
                    </w:rPr>
                  </w:pPr>
                  <w:r>
                    <w:rPr>
                      <w:rFonts w:hint="eastAsia" w:ascii="Times New Roman"/>
                      <w:color w:val="auto"/>
                      <w:szCs w:val="21"/>
                      <w:lang w:val="en-US" w:eastAsia="zh-CN"/>
                    </w:rPr>
                    <w:t>40</w:t>
                  </w:r>
                  <w:r>
                    <w:rPr>
                      <w:rFonts w:hint="eastAsia" w:ascii="Times New Roman"/>
                      <w:color w:val="auto"/>
                      <w:szCs w:val="21"/>
                    </w:rPr>
                    <w:t>盒</w:t>
                  </w:r>
                </w:p>
              </w:tc>
              <w:tc>
                <w:tcPr>
                  <w:tcW w:w="1854" w:type="dxa"/>
                  <w:vMerge w:val="continue"/>
                  <w:noWrap w:val="0"/>
                  <w:vAlign w:val="top"/>
                </w:tcPr>
                <w:p w14:paraId="423A6A96">
                  <w:pPr>
                    <w:jc w:val="center"/>
                    <w:rPr>
                      <w:color w:val="auto"/>
                      <w:szCs w:val="21"/>
                    </w:rPr>
                  </w:pPr>
                </w:p>
              </w:tc>
            </w:tr>
            <w:tr w14:paraId="396CD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shd w:val="clear" w:color="auto" w:fill="auto"/>
                  <w:noWrap w:val="0"/>
                  <w:vAlign w:val="center"/>
                </w:tcPr>
                <w:p w14:paraId="11E4D4E8">
                  <w:pPr>
                    <w:jc w:val="center"/>
                    <w:rPr>
                      <w:rFonts w:hint="default" w:ascii="Times New Roman" w:hAnsi="Times New Roman" w:eastAsia="宋体" w:cs="宋体"/>
                      <w:color w:val="auto"/>
                      <w:sz w:val="21"/>
                      <w:szCs w:val="21"/>
                      <w:lang w:val="en-US" w:eastAsia="zh-CN" w:bidi="zh-CN"/>
                    </w:rPr>
                  </w:pPr>
                  <w:r>
                    <w:rPr>
                      <w:rFonts w:hint="eastAsia" w:eastAsia="宋体"/>
                      <w:color w:val="auto"/>
                      <w:sz w:val="21"/>
                      <w:szCs w:val="21"/>
                      <w:lang w:val="en-US" w:eastAsia="zh-CN"/>
                    </w:rPr>
                    <w:t>17</w:t>
                  </w:r>
                </w:p>
              </w:tc>
              <w:tc>
                <w:tcPr>
                  <w:tcW w:w="1823" w:type="dxa"/>
                  <w:noWrap w:val="0"/>
                  <w:vAlign w:val="center"/>
                </w:tcPr>
                <w:p w14:paraId="47A1403F">
                  <w:pPr>
                    <w:pStyle w:val="44"/>
                    <w:spacing w:before="31" w:after="31"/>
                    <w:ind w:firstLine="0" w:firstLineChars="0"/>
                    <w:jc w:val="center"/>
                    <w:rPr>
                      <w:rFonts w:ascii="Times New Roman"/>
                      <w:color w:val="auto"/>
                      <w:szCs w:val="21"/>
                    </w:rPr>
                  </w:pPr>
                  <w:r>
                    <w:rPr>
                      <w:rFonts w:hint="eastAsia" w:ascii="Times New Roman"/>
                      <w:color w:val="auto"/>
                      <w:szCs w:val="21"/>
                    </w:rPr>
                    <w:t>肌酸激酶同工酶测定试剂盒-CK-MB</w:t>
                  </w:r>
                </w:p>
              </w:tc>
              <w:tc>
                <w:tcPr>
                  <w:tcW w:w="1624" w:type="dxa"/>
                  <w:noWrap w:val="0"/>
                  <w:vAlign w:val="center"/>
                </w:tcPr>
                <w:p w14:paraId="1FA2CEEF">
                  <w:pPr>
                    <w:pStyle w:val="44"/>
                    <w:spacing w:before="31" w:after="31"/>
                    <w:ind w:firstLine="0" w:firstLineChars="0"/>
                    <w:jc w:val="center"/>
                    <w:rPr>
                      <w:rFonts w:ascii="Times New Roman"/>
                      <w:color w:val="auto"/>
                      <w:szCs w:val="21"/>
                    </w:rPr>
                  </w:pPr>
                  <w:r>
                    <w:rPr>
                      <w:rFonts w:ascii="Times New Roman"/>
                      <w:color w:val="auto"/>
                      <w:szCs w:val="21"/>
                    </w:rPr>
                    <w:t>40ml*1/10ml*1</w:t>
                  </w:r>
                </w:p>
              </w:tc>
              <w:tc>
                <w:tcPr>
                  <w:tcW w:w="1401" w:type="dxa"/>
                  <w:noWrap w:val="0"/>
                  <w:vAlign w:val="center"/>
                </w:tcPr>
                <w:p w14:paraId="49308950">
                  <w:pPr>
                    <w:pStyle w:val="44"/>
                    <w:spacing w:before="31" w:after="31"/>
                    <w:ind w:firstLine="0" w:firstLineChars="0"/>
                    <w:jc w:val="center"/>
                    <w:rPr>
                      <w:rFonts w:ascii="Times New Roman"/>
                      <w:color w:val="auto"/>
                      <w:szCs w:val="21"/>
                    </w:rPr>
                  </w:pPr>
                  <w:r>
                    <w:rPr>
                      <w:rFonts w:hint="eastAsia" w:ascii="Times New Roman"/>
                      <w:color w:val="auto"/>
                      <w:szCs w:val="21"/>
                      <w:lang w:val="en-US" w:eastAsia="zh-CN"/>
                    </w:rPr>
                    <w:t>30</w:t>
                  </w:r>
                  <w:r>
                    <w:rPr>
                      <w:rFonts w:hint="eastAsia" w:ascii="Times New Roman"/>
                      <w:color w:val="auto"/>
                      <w:szCs w:val="21"/>
                    </w:rPr>
                    <w:t>盒</w:t>
                  </w:r>
                </w:p>
              </w:tc>
              <w:tc>
                <w:tcPr>
                  <w:tcW w:w="1128" w:type="dxa"/>
                  <w:noWrap w:val="0"/>
                  <w:vAlign w:val="center"/>
                </w:tcPr>
                <w:p w14:paraId="419C1102">
                  <w:pPr>
                    <w:pStyle w:val="44"/>
                    <w:spacing w:before="31" w:after="31"/>
                    <w:ind w:firstLine="0" w:firstLineChars="0"/>
                    <w:jc w:val="center"/>
                    <w:rPr>
                      <w:rFonts w:ascii="Times New Roman"/>
                      <w:color w:val="auto"/>
                      <w:szCs w:val="21"/>
                    </w:rPr>
                  </w:pPr>
                  <w:r>
                    <w:rPr>
                      <w:rFonts w:hint="eastAsia" w:ascii="Times New Roman"/>
                      <w:color w:val="auto"/>
                      <w:szCs w:val="21"/>
                      <w:lang w:val="en-US" w:eastAsia="zh-CN"/>
                    </w:rPr>
                    <w:t>30</w:t>
                  </w:r>
                  <w:r>
                    <w:rPr>
                      <w:rFonts w:hint="eastAsia" w:ascii="Times New Roman"/>
                      <w:color w:val="auto"/>
                      <w:szCs w:val="21"/>
                    </w:rPr>
                    <w:t>盒</w:t>
                  </w:r>
                </w:p>
              </w:tc>
              <w:tc>
                <w:tcPr>
                  <w:tcW w:w="1854" w:type="dxa"/>
                  <w:vMerge w:val="continue"/>
                  <w:noWrap w:val="0"/>
                  <w:vAlign w:val="top"/>
                </w:tcPr>
                <w:p w14:paraId="6833E3D1">
                  <w:pPr>
                    <w:jc w:val="center"/>
                    <w:rPr>
                      <w:color w:val="auto"/>
                      <w:szCs w:val="21"/>
                    </w:rPr>
                  </w:pPr>
                </w:p>
              </w:tc>
            </w:tr>
            <w:tr w14:paraId="3E4A6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shd w:val="clear" w:color="auto" w:fill="auto"/>
                  <w:noWrap w:val="0"/>
                  <w:vAlign w:val="center"/>
                </w:tcPr>
                <w:p w14:paraId="5585BAD5">
                  <w:pPr>
                    <w:jc w:val="center"/>
                    <w:rPr>
                      <w:rFonts w:hint="default" w:ascii="Times New Roman" w:hAnsi="Times New Roman" w:eastAsia="宋体" w:cs="宋体"/>
                      <w:color w:val="auto"/>
                      <w:sz w:val="21"/>
                      <w:szCs w:val="21"/>
                      <w:lang w:val="en-US" w:eastAsia="zh-CN" w:bidi="zh-CN"/>
                    </w:rPr>
                  </w:pPr>
                  <w:r>
                    <w:rPr>
                      <w:rFonts w:hint="eastAsia" w:eastAsia="宋体"/>
                      <w:color w:val="auto"/>
                      <w:sz w:val="21"/>
                      <w:szCs w:val="21"/>
                      <w:lang w:val="en-US" w:eastAsia="zh-CN"/>
                    </w:rPr>
                    <w:t>18</w:t>
                  </w:r>
                </w:p>
              </w:tc>
              <w:tc>
                <w:tcPr>
                  <w:tcW w:w="1823" w:type="dxa"/>
                  <w:noWrap w:val="0"/>
                  <w:vAlign w:val="center"/>
                </w:tcPr>
                <w:p w14:paraId="5A3A288A">
                  <w:pPr>
                    <w:pStyle w:val="44"/>
                    <w:spacing w:before="31" w:after="31"/>
                    <w:ind w:firstLine="0" w:firstLineChars="0"/>
                    <w:jc w:val="center"/>
                    <w:rPr>
                      <w:rFonts w:ascii="Times New Roman"/>
                      <w:color w:val="auto"/>
                      <w:szCs w:val="21"/>
                    </w:rPr>
                  </w:pPr>
                  <w:r>
                    <w:rPr>
                      <w:rFonts w:hint="eastAsia" w:ascii="Times New Roman"/>
                      <w:color w:val="auto"/>
                      <w:szCs w:val="21"/>
                    </w:rPr>
                    <w:t>乳酸脱氢酶测定试剂盒-LDH</w:t>
                  </w:r>
                </w:p>
              </w:tc>
              <w:tc>
                <w:tcPr>
                  <w:tcW w:w="1624" w:type="dxa"/>
                  <w:noWrap w:val="0"/>
                  <w:vAlign w:val="center"/>
                </w:tcPr>
                <w:p w14:paraId="59A1D236">
                  <w:pPr>
                    <w:pStyle w:val="44"/>
                    <w:spacing w:before="31" w:after="31"/>
                    <w:ind w:firstLine="0" w:firstLineChars="0"/>
                    <w:jc w:val="center"/>
                    <w:rPr>
                      <w:rFonts w:ascii="Times New Roman"/>
                      <w:color w:val="auto"/>
                      <w:szCs w:val="21"/>
                    </w:rPr>
                  </w:pPr>
                  <w:r>
                    <w:rPr>
                      <w:rFonts w:ascii="Times New Roman"/>
                      <w:color w:val="auto"/>
                      <w:szCs w:val="21"/>
                    </w:rPr>
                    <w:t>40ml*1/10ml*</w:t>
                  </w:r>
                </w:p>
              </w:tc>
              <w:tc>
                <w:tcPr>
                  <w:tcW w:w="1401" w:type="dxa"/>
                  <w:noWrap w:val="0"/>
                  <w:vAlign w:val="center"/>
                </w:tcPr>
                <w:p w14:paraId="577DECFA">
                  <w:pPr>
                    <w:pStyle w:val="44"/>
                    <w:spacing w:before="31" w:after="31"/>
                    <w:ind w:firstLine="0" w:firstLineChars="0"/>
                    <w:jc w:val="center"/>
                    <w:rPr>
                      <w:rFonts w:ascii="Times New Roman"/>
                      <w:color w:val="auto"/>
                      <w:szCs w:val="21"/>
                    </w:rPr>
                  </w:pPr>
                  <w:r>
                    <w:rPr>
                      <w:rFonts w:hint="eastAsia" w:ascii="Times New Roman"/>
                      <w:color w:val="auto"/>
                      <w:szCs w:val="21"/>
                      <w:lang w:val="en-US" w:eastAsia="zh-CN"/>
                    </w:rPr>
                    <w:t>40</w:t>
                  </w:r>
                  <w:r>
                    <w:rPr>
                      <w:rFonts w:hint="eastAsia" w:ascii="Times New Roman"/>
                      <w:color w:val="auto"/>
                      <w:szCs w:val="21"/>
                    </w:rPr>
                    <w:t>盒</w:t>
                  </w:r>
                </w:p>
              </w:tc>
              <w:tc>
                <w:tcPr>
                  <w:tcW w:w="1128" w:type="dxa"/>
                  <w:noWrap w:val="0"/>
                  <w:vAlign w:val="center"/>
                </w:tcPr>
                <w:p w14:paraId="066F77FD">
                  <w:pPr>
                    <w:pStyle w:val="44"/>
                    <w:spacing w:before="31" w:after="31"/>
                    <w:ind w:firstLine="0" w:firstLineChars="0"/>
                    <w:jc w:val="center"/>
                    <w:rPr>
                      <w:rFonts w:ascii="Times New Roman"/>
                      <w:color w:val="auto"/>
                      <w:szCs w:val="21"/>
                    </w:rPr>
                  </w:pPr>
                  <w:r>
                    <w:rPr>
                      <w:rFonts w:hint="eastAsia" w:ascii="Times New Roman"/>
                      <w:color w:val="auto"/>
                      <w:szCs w:val="21"/>
                      <w:lang w:val="en-US" w:eastAsia="zh-CN"/>
                    </w:rPr>
                    <w:t>40</w:t>
                  </w:r>
                  <w:r>
                    <w:rPr>
                      <w:rFonts w:hint="eastAsia" w:ascii="Times New Roman"/>
                      <w:color w:val="auto"/>
                      <w:szCs w:val="21"/>
                    </w:rPr>
                    <w:t>盒</w:t>
                  </w:r>
                </w:p>
              </w:tc>
              <w:tc>
                <w:tcPr>
                  <w:tcW w:w="1854" w:type="dxa"/>
                  <w:vMerge w:val="continue"/>
                  <w:noWrap w:val="0"/>
                  <w:vAlign w:val="top"/>
                </w:tcPr>
                <w:p w14:paraId="6ED2CC5C">
                  <w:pPr>
                    <w:jc w:val="center"/>
                    <w:rPr>
                      <w:color w:val="auto"/>
                      <w:szCs w:val="21"/>
                    </w:rPr>
                  </w:pPr>
                </w:p>
              </w:tc>
            </w:tr>
            <w:tr w14:paraId="69C42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shd w:val="clear" w:color="auto" w:fill="auto"/>
                  <w:noWrap w:val="0"/>
                  <w:vAlign w:val="center"/>
                </w:tcPr>
                <w:p w14:paraId="3924D546">
                  <w:pPr>
                    <w:jc w:val="center"/>
                    <w:rPr>
                      <w:rFonts w:hint="default" w:ascii="Times New Roman" w:hAnsi="Times New Roman" w:eastAsia="宋体" w:cs="宋体"/>
                      <w:color w:val="auto"/>
                      <w:sz w:val="21"/>
                      <w:szCs w:val="21"/>
                      <w:lang w:val="en-US" w:eastAsia="zh-CN" w:bidi="zh-CN"/>
                    </w:rPr>
                  </w:pPr>
                  <w:r>
                    <w:rPr>
                      <w:rFonts w:hint="eastAsia" w:eastAsia="宋体"/>
                      <w:color w:val="auto"/>
                      <w:sz w:val="21"/>
                      <w:szCs w:val="21"/>
                      <w:lang w:val="en-US" w:eastAsia="zh-CN"/>
                    </w:rPr>
                    <w:t>19</w:t>
                  </w:r>
                </w:p>
              </w:tc>
              <w:tc>
                <w:tcPr>
                  <w:tcW w:w="1823" w:type="dxa"/>
                  <w:noWrap w:val="0"/>
                  <w:vAlign w:val="center"/>
                </w:tcPr>
                <w:p w14:paraId="7DCC1E13">
                  <w:pPr>
                    <w:pStyle w:val="44"/>
                    <w:spacing w:before="31" w:after="31"/>
                    <w:ind w:firstLine="0" w:firstLineChars="0"/>
                    <w:jc w:val="center"/>
                    <w:rPr>
                      <w:rFonts w:ascii="Times New Roman"/>
                      <w:color w:val="auto"/>
                      <w:szCs w:val="21"/>
                    </w:rPr>
                  </w:pPr>
                  <w:r>
                    <w:rPr>
                      <w:rFonts w:hint="eastAsia" w:ascii="Times New Roman"/>
                      <w:color w:val="auto"/>
                      <w:szCs w:val="21"/>
                    </w:rPr>
                    <w:t>常规生化复合校准品</w:t>
                  </w:r>
                </w:p>
              </w:tc>
              <w:tc>
                <w:tcPr>
                  <w:tcW w:w="1624" w:type="dxa"/>
                  <w:noWrap w:val="0"/>
                  <w:vAlign w:val="center"/>
                </w:tcPr>
                <w:p w14:paraId="2E1AE428">
                  <w:pPr>
                    <w:pStyle w:val="44"/>
                    <w:spacing w:before="31" w:after="31"/>
                    <w:ind w:firstLine="0" w:firstLineChars="0"/>
                    <w:jc w:val="center"/>
                    <w:rPr>
                      <w:rFonts w:ascii="Times New Roman"/>
                      <w:color w:val="auto"/>
                      <w:szCs w:val="21"/>
                    </w:rPr>
                  </w:pPr>
                  <w:r>
                    <w:rPr>
                      <w:rFonts w:ascii="Times New Roman"/>
                      <w:color w:val="auto"/>
                      <w:szCs w:val="21"/>
                    </w:rPr>
                    <w:t>3ml</w:t>
                  </w:r>
                </w:p>
              </w:tc>
              <w:tc>
                <w:tcPr>
                  <w:tcW w:w="1401" w:type="dxa"/>
                  <w:noWrap w:val="0"/>
                  <w:vAlign w:val="center"/>
                </w:tcPr>
                <w:p w14:paraId="6AAABA79">
                  <w:pPr>
                    <w:pStyle w:val="44"/>
                    <w:spacing w:before="31" w:after="31"/>
                    <w:ind w:firstLine="0" w:firstLineChars="0"/>
                    <w:jc w:val="center"/>
                    <w:rPr>
                      <w:rFonts w:ascii="Times New Roman"/>
                      <w:color w:val="auto"/>
                      <w:szCs w:val="21"/>
                    </w:rPr>
                  </w:pPr>
                  <w:r>
                    <w:rPr>
                      <w:rFonts w:hint="eastAsia" w:ascii="Times New Roman"/>
                      <w:color w:val="auto"/>
                      <w:szCs w:val="21"/>
                      <w:lang w:val="en-US" w:eastAsia="zh-CN"/>
                    </w:rPr>
                    <w:t>50</w:t>
                  </w:r>
                  <w:r>
                    <w:rPr>
                      <w:rFonts w:hint="eastAsia" w:ascii="Times New Roman"/>
                      <w:color w:val="auto"/>
                      <w:szCs w:val="21"/>
                    </w:rPr>
                    <w:t>盒</w:t>
                  </w:r>
                </w:p>
              </w:tc>
              <w:tc>
                <w:tcPr>
                  <w:tcW w:w="1128" w:type="dxa"/>
                  <w:noWrap w:val="0"/>
                  <w:vAlign w:val="center"/>
                </w:tcPr>
                <w:p w14:paraId="2E028295">
                  <w:pPr>
                    <w:pStyle w:val="44"/>
                    <w:spacing w:before="31" w:after="31"/>
                    <w:ind w:firstLine="0" w:firstLineChars="0"/>
                    <w:jc w:val="center"/>
                    <w:rPr>
                      <w:rFonts w:ascii="Times New Roman"/>
                      <w:color w:val="auto"/>
                      <w:szCs w:val="21"/>
                    </w:rPr>
                  </w:pPr>
                  <w:r>
                    <w:rPr>
                      <w:rFonts w:hint="eastAsia" w:ascii="Times New Roman"/>
                      <w:color w:val="auto"/>
                      <w:szCs w:val="21"/>
                      <w:lang w:val="en-US" w:eastAsia="zh-CN"/>
                    </w:rPr>
                    <w:t>50</w:t>
                  </w:r>
                  <w:r>
                    <w:rPr>
                      <w:rFonts w:hint="eastAsia" w:ascii="Times New Roman"/>
                      <w:color w:val="auto"/>
                      <w:szCs w:val="21"/>
                    </w:rPr>
                    <w:t>盒</w:t>
                  </w:r>
                </w:p>
              </w:tc>
              <w:tc>
                <w:tcPr>
                  <w:tcW w:w="1854" w:type="dxa"/>
                  <w:vMerge w:val="continue"/>
                  <w:noWrap w:val="0"/>
                  <w:vAlign w:val="top"/>
                </w:tcPr>
                <w:p w14:paraId="1E503B53">
                  <w:pPr>
                    <w:jc w:val="center"/>
                    <w:rPr>
                      <w:color w:val="auto"/>
                      <w:szCs w:val="21"/>
                    </w:rPr>
                  </w:pPr>
                </w:p>
              </w:tc>
            </w:tr>
            <w:tr w14:paraId="637F9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shd w:val="clear" w:color="auto" w:fill="auto"/>
                  <w:noWrap w:val="0"/>
                  <w:vAlign w:val="center"/>
                </w:tcPr>
                <w:p w14:paraId="2FD2DC89">
                  <w:pPr>
                    <w:jc w:val="center"/>
                    <w:rPr>
                      <w:rFonts w:hint="default" w:ascii="Times New Roman" w:hAnsi="Times New Roman" w:eastAsia="宋体" w:cs="宋体"/>
                      <w:color w:val="auto"/>
                      <w:sz w:val="21"/>
                      <w:szCs w:val="21"/>
                      <w:lang w:val="en-US" w:eastAsia="zh-CN" w:bidi="zh-CN"/>
                    </w:rPr>
                  </w:pPr>
                  <w:r>
                    <w:rPr>
                      <w:rFonts w:hint="eastAsia" w:eastAsia="宋体"/>
                      <w:color w:val="auto"/>
                      <w:sz w:val="21"/>
                      <w:szCs w:val="21"/>
                      <w:lang w:val="en-US" w:eastAsia="zh-CN"/>
                    </w:rPr>
                    <w:t>20</w:t>
                  </w:r>
                </w:p>
              </w:tc>
              <w:tc>
                <w:tcPr>
                  <w:tcW w:w="1823" w:type="dxa"/>
                  <w:noWrap w:val="0"/>
                  <w:vAlign w:val="center"/>
                </w:tcPr>
                <w:p w14:paraId="4AE35E1E">
                  <w:pPr>
                    <w:pStyle w:val="44"/>
                    <w:spacing w:before="31" w:after="31"/>
                    <w:ind w:firstLine="0" w:firstLineChars="0"/>
                    <w:jc w:val="center"/>
                    <w:rPr>
                      <w:rFonts w:ascii="Times New Roman"/>
                      <w:color w:val="auto"/>
                      <w:szCs w:val="21"/>
                    </w:rPr>
                  </w:pPr>
                  <w:r>
                    <w:rPr>
                      <w:rFonts w:hint="eastAsia" w:ascii="Times New Roman"/>
                      <w:color w:val="auto"/>
                      <w:szCs w:val="21"/>
                    </w:rPr>
                    <w:t>生化复合定值质控品（水平1）</w:t>
                  </w:r>
                </w:p>
              </w:tc>
              <w:tc>
                <w:tcPr>
                  <w:tcW w:w="1624" w:type="dxa"/>
                  <w:noWrap w:val="0"/>
                  <w:vAlign w:val="center"/>
                </w:tcPr>
                <w:p w14:paraId="2CB2BDB0">
                  <w:pPr>
                    <w:pStyle w:val="44"/>
                    <w:spacing w:before="31" w:after="31"/>
                    <w:ind w:firstLine="0" w:firstLineChars="0"/>
                    <w:jc w:val="center"/>
                    <w:rPr>
                      <w:rFonts w:ascii="Times New Roman"/>
                      <w:color w:val="auto"/>
                      <w:szCs w:val="21"/>
                    </w:rPr>
                  </w:pPr>
                  <w:r>
                    <w:rPr>
                      <w:rFonts w:ascii="Times New Roman"/>
                      <w:color w:val="auto"/>
                      <w:szCs w:val="21"/>
                    </w:rPr>
                    <w:t>5ml</w:t>
                  </w:r>
                </w:p>
              </w:tc>
              <w:tc>
                <w:tcPr>
                  <w:tcW w:w="1401" w:type="dxa"/>
                  <w:noWrap w:val="0"/>
                  <w:vAlign w:val="center"/>
                </w:tcPr>
                <w:p w14:paraId="1F25C905">
                  <w:pPr>
                    <w:pStyle w:val="44"/>
                    <w:spacing w:before="31" w:after="31"/>
                    <w:ind w:firstLine="0" w:firstLineChars="0"/>
                    <w:jc w:val="center"/>
                    <w:rPr>
                      <w:rFonts w:ascii="Times New Roman"/>
                      <w:color w:val="auto"/>
                      <w:szCs w:val="21"/>
                    </w:rPr>
                  </w:pPr>
                  <w:r>
                    <w:rPr>
                      <w:rFonts w:hint="eastAsia" w:ascii="Times New Roman"/>
                      <w:color w:val="auto"/>
                      <w:szCs w:val="21"/>
                      <w:lang w:val="en-US" w:eastAsia="zh-CN"/>
                    </w:rPr>
                    <w:t>20</w:t>
                  </w:r>
                  <w:r>
                    <w:rPr>
                      <w:rFonts w:hint="eastAsia" w:ascii="Times New Roman"/>
                      <w:color w:val="auto"/>
                      <w:szCs w:val="21"/>
                    </w:rPr>
                    <w:t>盒</w:t>
                  </w:r>
                </w:p>
              </w:tc>
              <w:tc>
                <w:tcPr>
                  <w:tcW w:w="1128" w:type="dxa"/>
                  <w:noWrap w:val="0"/>
                  <w:vAlign w:val="center"/>
                </w:tcPr>
                <w:p w14:paraId="607340C0">
                  <w:pPr>
                    <w:pStyle w:val="44"/>
                    <w:spacing w:before="31" w:after="31"/>
                    <w:ind w:firstLine="0" w:firstLineChars="0"/>
                    <w:jc w:val="center"/>
                    <w:rPr>
                      <w:rFonts w:ascii="Times New Roman"/>
                      <w:color w:val="auto"/>
                      <w:szCs w:val="21"/>
                    </w:rPr>
                  </w:pPr>
                  <w:r>
                    <w:rPr>
                      <w:rFonts w:hint="eastAsia" w:ascii="Times New Roman"/>
                      <w:color w:val="auto"/>
                      <w:szCs w:val="21"/>
                      <w:lang w:val="en-US" w:eastAsia="zh-CN"/>
                    </w:rPr>
                    <w:t>20</w:t>
                  </w:r>
                  <w:r>
                    <w:rPr>
                      <w:rFonts w:hint="eastAsia" w:ascii="Times New Roman"/>
                      <w:color w:val="auto"/>
                      <w:szCs w:val="21"/>
                    </w:rPr>
                    <w:t>盒</w:t>
                  </w:r>
                </w:p>
              </w:tc>
              <w:tc>
                <w:tcPr>
                  <w:tcW w:w="1854" w:type="dxa"/>
                  <w:vMerge w:val="continue"/>
                  <w:noWrap w:val="0"/>
                  <w:vAlign w:val="top"/>
                </w:tcPr>
                <w:p w14:paraId="75A37F9E">
                  <w:pPr>
                    <w:jc w:val="center"/>
                    <w:rPr>
                      <w:color w:val="auto"/>
                      <w:szCs w:val="21"/>
                    </w:rPr>
                  </w:pPr>
                </w:p>
              </w:tc>
            </w:tr>
            <w:tr w14:paraId="7DC57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shd w:val="clear" w:color="auto" w:fill="auto"/>
                  <w:noWrap w:val="0"/>
                  <w:vAlign w:val="center"/>
                </w:tcPr>
                <w:p w14:paraId="245E989F">
                  <w:pPr>
                    <w:jc w:val="center"/>
                    <w:rPr>
                      <w:rFonts w:hint="default" w:ascii="Times New Roman" w:hAnsi="Times New Roman" w:eastAsia="宋体" w:cs="宋体"/>
                      <w:color w:val="auto"/>
                      <w:sz w:val="21"/>
                      <w:szCs w:val="21"/>
                      <w:lang w:val="en-US" w:eastAsia="zh-CN" w:bidi="zh-CN"/>
                    </w:rPr>
                  </w:pPr>
                  <w:r>
                    <w:rPr>
                      <w:rFonts w:hint="eastAsia" w:eastAsia="宋体"/>
                      <w:color w:val="auto"/>
                      <w:sz w:val="21"/>
                      <w:szCs w:val="21"/>
                      <w:lang w:val="en-US" w:eastAsia="zh-CN"/>
                    </w:rPr>
                    <w:t>21</w:t>
                  </w:r>
                </w:p>
              </w:tc>
              <w:tc>
                <w:tcPr>
                  <w:tcW w:w="1823" w:type="dxa"/>
                  <w:noWrap w:val="0"/>
                  <w:vAlign w:val="center"/>
                </w:tcPr>
                <w:p w14:paraId="3B5FD95D">
                  <w:pPr>
                    <w:pStyle w:val="44"/>
                    <w:spacing w:before="31" w:after="31"/>
                    <w:ind w:firstLine="0" w:firstLineChars="0"/>
                    <w:jc w:val="center"/>
                    <w:rPr>
                      <w:rFonts w:ascii="Times New Roman"/>
                      <w:color w:val="auto"/>
                      <w:szCs w:val="21"/>
                    </w:rPr>
                  </w:pPr>
                  <w:r>
                    <w:rPr>
                      <w:rFonts w:hint="eastAsia" w:ascii="Times New Roman"/>
                      <w:color w:val="auto"/>
                      <w:szCs w:val="21"/>
                    </w:rPr>
                    <w:t>脂类校准品</w:t>
                  </w:r>
                </w:p>
              </w:tc>
              <w:tc>
                <w:tcPr>
                  <w:tcW w:w="1624" w:type="dxa"/>
                  <w:noWrap w:val="0"/>
                  <w:vAlign w:val="center"/>
                </w:tcPr>
                <w:p w14:paraId="1C91876F">
                  <w:pPr>
                    <w:pStyle w:val="44"/>
                    <w:spacing w:before="31" w:after="31"/>
                    <w:ind w:firstLine="0" w:firstLineChars="0"/>
                    <w:jc w:val="center"/>
                    <w:rPr>
                      <w:rFonts w:ascii="Times New Roman"/>
                      <w:color w:val="auto"/>
                      <w:szCs w:val="21"/>
                    </w:rPr>
                  </w:pPr>
                  <w:r>
                    <w:rPr>
                      <w:rFonts w:ascii="Times New Roman"/>
                      <w:color w:val="auto"/>
                      <w:szCs w:val="21"/>
                    </w:rPr>
                    <w:t>1mL</w:t>
                  </w:r>
                </w:p>
              </w:tc>
              <w:tc>
                <w:tcPr>
                  <w:tcW w:w="1401" w:type="dxa"/>
                  <w:noWrap w:val="0"/>
                  <w:vAlign w:val="center"/>
                </w:tcPr>
                <w:p w14:paraId="566DFE24">
                  <w:pPr>
                    <w:pStyle w:val="44"/>
                    <w:spacing w:before="31" w:after="31"/>
                    <w:ind w:firstLine="0" w:firstLineChars="0"/>
                    <w:jc w:val="center"/>
                    <w:rPr>
                      <w:rFonts w:ascii="Times New Roman"/>
                      <w:color w:val="auto"/>
                      <w:szCs w:val="21"/>
                    </w:rPr>
                  </w:pPr>
                  <w:r>
                    <w:rPr>
                      <w:rFonts w:hint="eastAsia" w:ascii="Times New Roman"/>
                      <w:color w:val="auto"/>
                      <w:szCs w:val="21"/>
                      <w:lang w:val="en-US" w:eastAsia="zh-CN"/>
                    </w:rPr>
                    <w:t>10</w:t>
                  </w:r>
                  <w:r>
                    <w:rPr>
                      <w:rFonts w:hint="eastAsia" w:ascii="Times New Roman"/>
                      <w:color w:val="auto"/>
                      <w:szCs w:val="21"/>
                    </w:rPr>
                    <w:t>盒</w:t>
                  </w:r>
                </w:p>
              </w:tc>
              <w:tc>
                <w:tcPr>
                  <w:tcW w:w="1128" w:type="dxa"/>
                  <w:noWrap w:val="0"/>
                  <w:vAlign w:val="center"/>
                </w:tcPr>
                <w:p w14:paraId="40D3BEDE">
                  <w:pPr>
                    <w:pStyle w:val="44"/>
                    <w:spacing w:before="31" w:after="31"/>
                    <w:ind w:firstLine="0" w:firstLineChars="0"/>
                    <w:jc w:val="center"/>
                    <w:rPr>
                      <w:rFonts w:ascii="Times New Roman"/>
                      <w:color w:val="auto"/>
                      <w:szCs w:val="21"/>
                    </w:rPr>
                  </w:pPr>
                  <w:r>
                    <w:rPr>
                      <w:rFonts w:hint="eastAsia" w:ascii="Times New Roman"/>
                      <w:color w:val="auto"/>
                      <w:szCs w:val="21"/>
                      <w:lang w:val="en-US" w:eastAsia="zh-CN"/>
                    </w:rPr>
                    <w:t>10</w:t>
                  </w:r>
                  <w:r>
                    <w:rPr>
                      <w:rFonts w:hint="eastAsia" w:ascii="Times New Roman"/>
                      <w:color w:val="auto"/>
                      <w:szCs w:val="21"/>
                    </w:rPr>
                    <w:t>盒</w:t>
                  </w:r>
                </w:p>
              </w:tc>
              <w:tc>
                <w:tcPr>
                  <w:tcW w:w="1854" w:type="dxa"/>
                  <w:vMerge w:val="continue"/>
                  <w:noWrap w:val="0"/>
                  <w:vAlign w:val="top"/>
                </w:tcPr>
                <w:p w14:paraId="64EDD19E">
                  <w:pPr>
                    <w:jc w:val="center"/>
                    <w:rPr>
                      <w:color w:val="auto"/>
                      <w:szCs w:val="21"/>
                    </w:rPr>
                  </w:pPr>
                </w:p>
              </w:tc>
            </w:tr>
            <w:tr w14:paraId="27480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shd w:val="clear" w:color="auto" w:fill="auto"/>
                  <w:noWrap w:val="0"/>
                  <w:vAlign w:val="center"/>
                </w:tcPr>
                <w:p w14:paraId="41CB699F">
                  <w:pPr>
                    <w:jc w:val="center"/>
                    <w:rPr>
                      <w:rFonts w:hint="default" w:ascii="Times New Roman" w:hAnsi="Times New Roman" w:eastAsia="宋体" w:cs="宋体"/>
                      <w:color w:val="auto"/>
                      <w:sz w:val="21"/>
                      <w:szCs w:val="21"/>
                      <w:lang w:val="en-US" w:eastAsia="zh-CN" w:bidi="zh-CN"/>
                    </w:rPr>
                  </w:pPr>
                  <w:r>
                    <w:rPr>
                      <w:rFonts w:hint="eastAsia" w:eastAsia="宋体"/>
                      <w:color w:val="auto"/>
                      <w:sz w:val="21"/>
                      <w:szCs w:val="21"/>
                      <w:lang w:val="en-US" w:eastAsia="zh-CN"/>
                    </w:rPr>
                    <w:t>22</w:t>
                  </w:r>
                </w:p>
              </w:tc>
              <w:tc>
                <w:tcPr>
                  <w:tcW w:w="1823" w:type="dxa"/>
                  <w:noWrap w:val="0"/>
                  <w:vAlign w:val="center"/>
                </w:tcPr>
                <w:p w14:paraId="0571CD1A">
                  <w:pPr>
                    <w:pStyle w:val="44"/>
                    <w:spacing w:before="31" w:after="31"/>
                    <w:ind w:firstLine="0" w:firstLineChars="0"/>
                    <w:jc w:val="center"/>
                    <w:rPr>
                      <w:rFonts w:ascii="Times New Roman"/>
                      <w:color w:val="auto"/>
                      <w:szCs w:val="21"/>
                    </w:rPr>
                  </w:pPr>
                  <w:r>
                    <w:rPr>
                      <w:rFonts w:hint="eastAsia" w:ascii="Times New Roman"/>
                      <w:color w:val="auto"/>
                      <w:szCs w:val="21"/>
                    </w:rPr>
                    <w:t>生化分析仪用清洗液C液</w:t>
                  </w:r>
                </w:p>
              </w:tc>
              <w:tc>
                <w:tcPr>
                  <w:tcW w:w="1624" w:type="dxa"/>
                  <w:noWrap w:val="0"/>
                  <w:vAlign w:val="center"/>
                </w:tcPr>
                <w:p w14:paraId="21B8AC60">
                  <w:pPr>
                    <w:pStyle w:val="44"/>
                    <w:spacing w:before="31" w:after="31"/>
                    <w:ind w:firstLine="0" w:firstLineChars="0"/>
                    <w:jc w:val="center"/>
                    <w:rPr>
                      <w:rFonts w:ascii="Times New Roman"/>
                      <w:color w:val="auto"/>
                      <w:szCs w:val="21"/>
                    </w:rPr>
                  </w:pPr>
                  <w:r>
                    <w:rPr>
                      <w:rFonts w:ascii="Times New Roman"/>
                      <w:color w:val="auto"/>
                      <w:szCs w:val="21"/>
                    </w:rPr>
                    <w:t>60ml</w:t>
                  </w:r>
                </w:p>
              </w:tc>
              <w:tc>
                <w:tcPr>
                  <w:tcW w:w="1401" w:type="dxa"/>
                  <w:noWrap w:val="0"/>
                  <w:vAlign w:val="center"/>
                </w:tcPr>
                <w:p w14:paraId="57DF2E49">
                  <w:pPr>
                    <w:pStyle w:val="44"/>
                    <w:spacing w:before="31" w:after="31"/>
                    <w:ind w:firstLine="0" w:firstLineChars="0"/>
                    <w:jc w:val="center"/>
                    <w:rPr>
                      <w:rFonts w:ascii="Times New Roman"/>
                      <w:color w:val="auto"/>
                      <w:szCs w:val="21"/>
                    </w:rPr>
                  </w:pPr>
                  <w:r>
                    <w:rPr>
                      <w:rFonts w:hint="eastAsia" w:ascii="Times New Roman"/>
                      <w:color w:val="auto"/>
                      <w:szCs w:val="21"/>
                    </w:rPr>
                    <w:t>20盒</w:t>
                  </w:r>
                </w:p>
              </w:tc>
              <w:tc>
                <w:tcPr>
                  <w:tcW w:w="1128" w:type="dxa"/>
                  <w:noWrap w:val="0"/>
                  <w:vAlign w:val="center"/>
                </w:tcPr>
                <w:p w14:paraId="73E72D5F">
                  <w:pPr>
                    <w:pStyle w:val="44"/>
                    <w:spacing w:before="31" w:after="31"/>
                    <w:ind w:firstLine="0" w:firstLineChars="0"/>
                    <w:jc w:val="center"/>
                    <w:rPr>
                      <w:rFonts w:ascii="Times New Roman"/>
                      <w:color w:val="auto"/>
                      <w:szCs w:val="21"/>
                    </w:rPr>
                  </w:pPr>
                  <w:r>
                    <w:rPr>
                      <w:rFonts w:hint="eastAsia" w:ascii="Times New Roman"/>
                      <w:color w:val="auto"/>
                      <w:szCs w:val="21"/>
                    </w:rPr>
                    <w:t>20盒</w:t>
                  </w:r>
                </w:p>
              </w:tc>
              <w:tc>
                <w:tcPr>
                  <w:tcW w:w="1854" w:type="dxa"/>
                  <w:vMerge w:val="continue"/>
                  <w:noWrap w:val="0"/>
                  <w:vAlign w:val="top"/>
                </w:tcPr>
                <w:p w14:paraId="1FD99C26">
                  <w:pPr>
                    <w:jc w:val="center"/>
                    <w:rPr>
                      <w:color w:val="auto"/>
                      <w:szCs w:val="21"/>
                    </w:rPr>
                  </w:pPr>
                </w:p>
              </w:tc>
            </w:tr>
            <w:tr w14:paraId="41874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shd w:val="clear" w:color="auto" w:fill="auto"/>
                  <w:noWrap w:val="0"/>
                  <w:vAlign w:val="center"/>
                </w:tcPr>
                <w:p w14:paraId="45969E84">
                  <w:pPr>
                    <w:jc w:val="center"/>
                    <w:rPr>
                      <w:rFonts w:hint="default" w:ascii="Times New Roman" w:hAnsi="Times New Roman" w:eastAsia="宋体" w:cs="宋体"/>
                      <w:color w:val="auto"/>
                      <w:sz w:val="21"/>
                      <w:szCs w:val="21"/>
                      <w:lang w:val="en-US" w:eastAsia="zh-CN" w:bidi="zh-CN"/>
                    </w:rPr>
                  </w:pPr>
                  <w:r>
                    <w:rPr>
                      <w:rFonts w:hint="eastAsia" w:eastAsia="宋体"/>
                      <w:color w:val="auto"/>
                      <w:sz w:val="21"/>
                      <w:szCs w:val="21"/>
                      <w:lang w:val="en-US" w:eastAsia="zh-CN"/>
                    </w:rPr>
                    <w:t>23</w:t>
                  </w:r>
                </w:p>
              </w:tc>
              <w:tc>
                <w:tcPr>
                  <w:tcW w:w="1823" w:type="dxa"/>
                  <w:noWrap w:val="0"/>
                  <w:vAlign w:val="center"/>
                </w:tcPr>
                <w:p w14:paraId="402EB8D9">
                  <w:pPr>
                    <w:pStyle w:val="44"/>
                    <w:spacing w:before="31" w:after="31"/>
                    <w:ind w:firstLine="0" w:firstLineChars="0"/>
                    <w:jc w:val="center"/>
                    <w:rPr>
                      <w:rFonts w:ascii="Times New Roman"/>
                      <w:color w:val="auto"/>
                      <w:szCs w:val="21"/>
                    </w:rPr>
                  </w:pPr>
                  <w:r>
                    <w:rPr>
                      <w:rFonts w:hint="eastAsia" w:ascii="Times New Roman"/>
                      <w:color w:val="auto"/>
                      <w:szCs w:val="21"/>
                    </w:rPr>
                    <w:t>丙氨酸氨基转移酶(ALT)测定试剂盒（IFCC法）</w:t>
                  </w:r>
                </w:p>
              </w:tc>
              <w:tc>
                <w:tcPr>
                  <w:tcW w:w="1624" w:type="dxa"/>
                  <w:noWrap w:val="0"/>
                  <w:vAlign w:val="center"/>
                </w:tcPr>
                <w:p w14:paraId="50727CEA">
                  <w:pPr>
                    <w:pStyle w:val="44"/>
                    <w:spacing w:before="31" w:after="31"/>
                    <w:ind w:firstLine="0" w:firstLineChars="0"/>
                    <w:jc w:val="center"/>
                    <w:rPr>
                      <w:rFonts w:ascii="Times New Roman"/>
                      <w:color w:val="auto"/>
                      <w:szCs w:val="21"/>
                    </w:rPr>
                  </w:pPr>
                  <w:r>
                    <w:rPr>
                      <w:rFonts w:ascii="Times New Roman"/>
                      <w:color w:val="auto"/>
                      <w:szCs w:val="21"/>
                    </w:rPr>
                    <w:t>40ml*1/10ml*1</w:t>
                  </w:r>
                </w:p>
              </w:tc>
              <w:tc>
                <w:tcPr>
                  <w:tcW w:w="1401" w:type="dxa"/>
                  <w:noWrap w:val="0"/>
                  <w:vAlign w:val="center"/>
                </w:tcPr>
                <w:p w14:paraId="0F906C99">
                  <w:pPr>
                    <w:pStyle w:val="44"/>
                    <w:spacing w:before="31" w:after="31"/>
                    <w:ind w:firstLine="0" w:firstLineChars="0"/>
                    <w:jc w:val="center"/>
                    <w:rPr>
                      <w:rFonts w:ascii="Times New Roman"/>
                      <w:color w:val="auto"/>
                      <w:szCs w:val="21"/>
                    </w:rPr>
                  </w:pPr>
                  <w:r>
                    <w:rPr>
                      <w:rFonts w:hint="eastAsia" w:ascii="Times New Roman"/>
                      <w:color w:val="auto"/>
                      <w:szCs w:val="21"/>
                      <w:lang w:val="en-US" w:eastAsia="zh-CN"/>
                    </w:rPr>
                    <w:t>25</w:t>
                  </w:r>
                  <w:r>
                    <w:rPr>
                      <w:rFonts w:hint="eastAsia" w:ascii="Times New Roman"/>
                      <w:color w:val="auto"/>
                      <w:szCs w:val="21"/>
                    </w:rPr>
                    <w:t>盒</w:t>
                  </w:r>
                </w:p>
              </w:tc>
              <w:tc>
                <w:tcPr>
                  <w:tcW w:w="1128" w:type="dxa"/>
                  <w:noWrap w:val="0"/>
                  <w:vAlign w:val="center"/>
                </w:tcPr>
                <w:p w14:paraId="15E2B1F8">
                  <w:pPr>
                    <w:pStyle w:val="44"/>
                    <w:spacing w:before="31" w:after="31"/>
                    <w:ind w:firstLine="0" w:firstLineChars="0"/>
                    <w:jc w:val="center"/>
                    <w:rPr>
                      <w:rFonts w:ascii="Times New Roman"/>
                      <w:color w:val="auto"/>
                      <w:szCs w:val="21"/>
                    </w:rPr>
                  </w:pPr>
                  <w:r>
                    <w:rPr>
                      <w:rFonts w:hint="eastAsia" w:ascii="Times New Roman"/>
                      <w:color w:val="auto"/>
                      <w:szCs w:val="21"/>
                      <w:lang w:val="en-US" w:eastAsia="zh-CN"/>
                    </w:rPr>
                    <w:t>25</w:t>
                  </w:r>
                  <w:r>
                    <w:rPr>
                      <w:rFonts w:hint="eastAsia" w:ascii="Times New Roman"/>
                      <w:color w:val="auto"/>
                      <w:szCs w:val="21"/>
                    </w:rPr>
                    <w:t>盒</w:t>
                  </w:r>
                </w:p>
              </w:tc>
              <w:tc>
                <w:tcPr>
                  <w:tcW w:w="1854" w:type="dxa"/>
                  <w:vMerge w:val="continue"/>
                  <w:noWrap w:val="0"/>
                  <w:vAlign w:val="top"/>
                </w:tcPr>
                <w:p w14:paraId="6C83CB34">
                  <w:pPr>
                    <w:jc w:val="center"/>
                    <w:rPr>
                      <w:color w:val="auto"/>
                      <w:szCs w:val="21"/>
                    </w:rPr>
                  </w:pPr>
                </w:p>
              </w:tc>
            </w:tr>
            <w:tr w14:paraId="1237D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shd w:val="clear" w:color="auto" w:fill="auto"/>
                  <w:noWrap w:val="0"/>
                  <w:vAlign w:val="center"/>
                </w:tcPr>
                <w:p w14:paraId="6417E3E6">
                  <w:pPr>
                    <w:jc w:val="center"/>
                    <w:rPr>
                      <w:rFonts w:hint="default" w:ascii="Times New Roman" w:hAnsi="Times New Roman" w:eastAsia="宋体" w:cs="宋体"/>
                      <w:color w:val="auto"/>
                      <w:sz w:val="21"/>
                      <w:szCs w:val="21"/>
                      <w:lang w:val="en-US" w:eastAsia="zh-CN" w:bidi="zh-CN"/>
                    </w:rPr>
                  </w:pPr>
                  <w:r>
                    <w:rPr>
                      <w:rFonts w:hint="eastAsia" w:eastAsia="宋体"/>
                      <w:color w:val="auto"/>
                      <w:sz w:val="21"/>
                      <w:szCs w:val="21"/>
                      <w:lang w:val="en-US" w:eastAsia="zh-CN"/>
                    </w:rPr>
                    <w:t>24</w:t>
                  </w:r>
                </w:p>
              </w:tc>
              <w:tc>
                <w:tcPr>
                  <w:tcW w:w="1823" w:type="dxa"/>
                  <w:noWrap w:val="0"/>
                  <w:vAlign w:val="center"/>
                </w:tcPr>
                <w:p w14:paraId="256F83C1">
                  <w:pPr>
                    <w:pStyle w:val="44"/>
                    <w:spacing w:before="31" w:after="31"/>
                    <w:ind w:firstLine="0" w:firstLineChars="0"/>
                    <w:jc w:val="center"/>
                    <w:rPr>
                      <w:rFonts w:ascii="Times New Roman"/>
                      <w:color w:val="auto"/>
                      <w:szCs w:val="21"/>
                    </w:rPr>
                  </w:pPr>
                  <w:r>
                    <w:rPr>
                      <w:rFonts w:hint="eastAsia" w:ascii="Times New Roman"/>
                      <w:color w:val="auto"/>
                      <w:szCs w:val="21"/>
                    </w:rPr>
                    <w:t>天门冬氨酸氨基转移酶(AST)测定试剂盒(IFCC法)</w:t>
                  </w:r>
                </w:p>
              </w:tc>
              <w:tc>
                <w:tcPr>
                  <w:tcW w:w="1624" w:type="dxa"/>
                  <w:noWrap w:val="0"/>
                  <w:vAlign w:val="center"/>
                </w:tcPr>
                <w:p w14:paraId="65EF1F78">
                  <w:pPr>
                    <w:pStyle w:val="44"/>
                    <w:spacing w:before="31" w:after="31"/>
                    <w:ind w:firstLine="0" w:firstLineChars="0"/>
                    <w:jc w:val="center"/>
                    <w:rPr>
                      <w:rFonts w:ascii="Times New Roman"/>
                      <w:color w:val="auto"/>
                      <w:szCs w:val="21"/>
                    </w:rPr>
                  </w:pPr>
                  <w:r>
                    <w:rPr>
                      <w:rFonts w:ascii="Times New Roman"/>
                      <w:color w:val="auto"/>
                      <w:szCs w:val="21"/>
                    </w:rPr>
                    <w:t>40ml*1/10ml*1</w:t>
                  </w:r>
                </w:p>
              </w:tc>
              <w:tc>
                <w:tcPr>
                  <w:tcW w:w="1401" w:type="dxa"/>
                  <w:noWrap w:val="0"/>
                  <w:vAlign w:val="center"/>
                </w:tcPr>
                <w:p w14:paraId="0CBF2350">
                  <w:pPr>
                    <w:pStyle w:val="44"/>
                    <w:spacing w:before="31" w:after="31"/>
                    <w:ind w:firstLine="0" w:firstLineChars="0"/>
                    <w:jc w:val="center"/>
                    <w:rPr>
                      <w:rFonts w:ascii="Times New Roman"/>
                      <w:color w:val="auto"/>
                      <w:szCs w:val="21"/>
                    </w:rPr>
                  </w:pPr>
                  <w:r>
                    <w:rPr>
                      <w:rFonts w:hint="eastAsia" w:ascii="Times New Roman"/>
                      <w:color w:val="auto"/>
                      <w:szCs w:val="21"/>
                      <w:lang w:val="en-US" w:eastAsia="zh-CN"/>
                    </w:rPr>
                    <w:t>25</w:t>
                  </w:r>
                  <w:r>
                    <w:rPr>
                      <w:rFonts w:hint="eastAsia" w:ascii="Times New Roman"/>
                      <w:color w:val="auto"/>
                      <w:szCs w:val="21"/>
                    </w:rPr>
                    <w:t>盒</w:t>
                  </w:r>
                </w:p>
              </w:tc>
              <w:tc>
                <w:tcPr>
                  <w:tcW w:w="1128" w:type="dxa"/>
                  <w:noWrap w:val="0"/>
                  <w:vAlign w:val="center"/>
                </w:tcPr>
                <w:p w14:paraId="45D2BC3A">
                  <w:pPr>
                    <w:pStyle w:val="44"/>
                    <w:spacing w:before="31" w:after="31"/>
                    <w:ind w:firstLine="0" w:firstLineChars="0"/>
                    <w:jc w:val="center"/>
                    <w:rPr>
                      <w:rFonts w:ascii="Times New Roman"/>
                      <w:color w:val="auto"/>
                      <w:szCs w:val="21"/>
                    </w:rPr>
                  </w:pPr>
                  <w:r>
                    <w:rPr>
                      <w:rFonts w:hint="eastAsia" w:ascii="Times New Roman"/>
                      <w:color w:val="auto"/>
                      <w:szCs w:val="21"/>
                      <w:lang w:val="en-US" w:eastAsia="zh-CN"/>
                    </w:rPr>
                    <w:t>25</w:t>
                  </w:r>
                  <w:r>
                    <w:rPr>
                      <w:rFonts w:hint="eastAsia" w:ascii="Times New Roman"/>
                      <w:color w:val="auto"/>
                      <w:szCs w:val="21"/>
                    </w:rPr>
                    <w:t>盒</w:t>
                  </w:r>
                </w:p>
              </w:tc>
              <w:tc>
                <w:tcPr>
                  <w:tcW w:w="1854" w:type="dxa"/>
                  <w:vMerge w:val="continue"/>
                  <w:noWrap w:val="0"/>
                  <w:vAlign w:val="top"/>
                </w:tcPr>
                <w:p w14:paraId="78A07BC3">
                  <w:pPr>
                    <w:jc w:val="center"/>
                    <w:rPr>
                      <w:color w:val="auto"/>
                      <w:szCs w:val="21"/>
                    </w:rPr>
                  </w:pPr>
                </w:p>
              </w:tc>
            </w:tr>
            <w:tr w14:paraId="408D6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shd w:val="clear" w:color="auto" w:fill="auto"/>
                  <w:noWrap w:val="0"/>
                  <w:vAlign w:val="center"/>
                </w:tcPr>
                <w:p w14:paraId="5E0F20B0">
                  <w:pPr>
                    <w:jc w:val="center"/>
                    <w:rPr>
                      <w:rFonts w:hint="default" w:ascii="Times New Roman" w:hAnsi="Times New Roman" w:eastAsia="宋体" w:cs="宋体"/>
                      <w:color w:val="auto"/>
                      <w:sz w:val="21"/>
                      <w:szCs w:val="21"/>
                      <w:lang w:val="en-US" w:eastAsia="zh-CN" w:bidi="zh-CN"/>
                    </w:rPr>
                  </w:pPr>
                  <w:r>
                    <w:rPr>
                      <w:rFonts w:hint="eastAsia" w:eastAsia="宋体"/>
                      <w:color w:val="auto"/>
                      <w:sz w:val="21"/>
                      <w:szCs w:val="21"/>
                      <w:lang w:val="en-US" w:eastAsia="zh-CN"/>
                    </w:rPr>
                    <w:t>25</w:t>
                  </w:r>
                </w:p>
              </w:tc>
              <w:tc>
                <w:tcPr>
                  <w:tcW w:w="1823" w:type="dxa"/>
                  <w:noWrap w:val="0"/>
                  <w:vAlign w:val="center"/>
                </w:tcPr>
                <w:p w14:paraId="60E405B3">
                  <w:pPr>
                    <w:pStyle w:val="44"/>
                    <w:spacing w:before="31" w:after="31"/>
                    <w:ind w:firstLine="0" w:firstLineChars="0"/>
                    <w:jc w:val="center"/>
                    <w:rPr>
                      <w:rFonts w:ascii="Times New Roman"/>
                      <w:color w:val="auto"/>
                      <w:szCs w:val="21"/>
                    </w:rPr>
                  </w:pPr>
                  <w:r>
                    <w:rPr>
                      <w:rFonts w:hint="eastAsia" w:ascii="Times New Roman"/>
                      <w:color w:val="auto"/>
                      <w:szCs w:val="21"/>
                    </w:rPr>
                    <w:t>甘油三酯(TRIG)测定试剂盒(甘油磷酸氧化酶法)</w:t>
                  </w:r>
                </w:p>
              </w:tc>
              <w:tc>
                <w:tcPr>
                  <w:tcW w:w="1624" w:type="dxa"/>
                  <w:noWrap w:val="0"/>
                  <w:vAlign w:val="center"/>
                </w:tcPr>
                <w:p w14:paraId="32132A83">
                  <w:pPr>
                    <w:pStyle w:val="44"/>
                    <w:spacing w:before="31" w:after="31"/>
                    <w:ind w:firstLine="0" w:firstLineChars="0"/>
                    <w:jc w:val="center"/>
                    <w:rPr>
                      <w:rFonts w:ascii="Times New Roman"/>
                      <w:color w:val="auto"/>
                      <w:szCs w:val="21"/>
                    </w:rPr>
                  </w:pPr>
                  <w:r>
                    <w:rPr>
                      <w:rFonts w:ascii="Times New Roman"/>
                      <w:color w:val="auto"/>
                      <w:szCs w:val="21"/>
                    </w:rPr>
                    <w:t>40ml*1/10ml*1</w:t>
                  </w:r>
                </w:p>
              </w:tc>
              <w:tc>
                <w:tcPr>
                  <w:tcW w:w="1401" w:type="dxa"/>
                  <w:noWrap w:val="0"/>
                  <w:vAlign w:val="center"/>
                </w:tcPr>
                <w:p w14:paraId="2D588AA4">
                  <w:pPr>
                    <w:pStyle w:val="44"/>
                    <w:spacing w:before="31" w:after="31"/>
                    <w:ind w:firstLine="0" w:firstLineChars="0"/>
                    <w:jc w:val="center"/>
                    <w:rPr>
                      <w:rFonts w:ascii="Times New Roman"/>
                      <w:color w:val="auto"/>
                      <w:szCs w:val="21"/>
                    </w:rPr>
                  </w:pPr>
                  <w:r>
                    <w:rPr>
                      <w:rFonts w:hint="eastAsia" w:ascii="Times New Roman"/>
                      <w:color w:val="auto"/>
                      <w:szCs w:val="21"/>
                      <w:lang w:val="en-US" w:eastAsia="zh-CN"/>
                    </w:rPr>
                    <w:t>20</w:t>
                  </w:r>
                  <w:r>
                    <w:rPr>
                      <w:rFonts w:hint="eastAsia" w:ascii="Times New Roman"/>
                      <w:color w:val="auto"/>
                      <w:szCs w:val="21"/>
                    </w:rPr>
                    <w:t>盒</w:t>
                  </w:r>
                </w:p>
              </w:tc>
              <w:tc>
                <w:tcPr>
                  <w:tcW w:w="1128" w:type="dxa"/>
                  <w:noWrap w:val="0"/>
                  <w:vAlign w:val="center"/>
                </w:tcPr>
                <w:p w14:paraId="23B571F9">
                  <w:pPr>
                    <w:pStyle w:val="44"/>
                    <w:spacing w:before="31" w:after="31"/>
                    <w:ind w:firstLine="0" w:firstLineChars="0"/>
                    <w:jc w:val="center"/>
                    <w:rPr>
                      <w:rFonts w:ascii="Times New Roman"/>
                      <w:color w:val="auto"/>
                      <w:szCs w:val="21"/>
                    </w:rPr>
                  </w:pPr>
                  <w:r>
                    <w:rPr>
                      <w:rFonts w:hint="eastAsia" w:ascii="Times New Roman"/>
                      <w:color w:val="auto"/>
                      <w:szCs w:val="21"/>
                      <w:lang w:val="en-US" w:eastAsia="zh-CN"/>
                    </w:rPr>
                    <w:t>20</w:t>
                  </w:r>
                  <w:r>
                    <w:rPr>
                      <w:rFonts w:hint="eastAsia" w:ascii="Times New Roman"/>
                      <w:color w:val="auto"/>
                      <w:szCs w:val="21"/>
                    </w:rPr>
                    <w:t>盒</w:t>
                  </w:r>
                </w:p>
              </w:tc>
              <w:tc>
                <w:tcPr>
                  <w:tcW w:w="1854" w:type="dxa"/>
                  <w:vMerge w:val="continue"/>
                  <w:noWrap w:val="0"/>
                  <w:vAlign w:val="top"/>
                </w:tcPr>
                <w:p w14:paraId="199F0D30">
                  <w:pPr>
                    <w:jc w:val="center"/>
                    <w:rPr>
                      <w:color w:val="auto"/>
                      <w:szCs w:val="21"/>
                    </w:rPr>
                  </w:pPr>
                </w:p>
              </w:tc>
            </w:tr>
            <w:tr w14:paraId="09EE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shd w:val="clear" w:color="auto" w:fill="auto"/>
                  <w:noWrap w:val="0"/>
                  <w:vAlign w:val="center"/>
                </w:tcPr>
                <w:p w14:paraId="6F5A2E48">
                  <w:pPr>
                    <w:jc w:val="center"/>
                    <w:rPr>
                      <w:rFonts w:hint="default" w:ascii="Times New Roman" w:hAnsi="Times New Roman" w:eastAsia="宋体" w:cs="宋体"/>
                      <w:color w:val="auto"/>
                      <w:sz w:val="21"/>
                      <w:szCs w:val="21"/>
                      <w:lang w:val="en-US" w:eastAsia="zh-CN" w:bidi="zh-CN"/>
                    </w:rPr>
                  </w:pPr>
                  <w:r>
                    <w:rPr>
                      <w:rFonts w:hint="eastAsia" w:eastAsia="宋体"/>
                      <w:color w:val="auto"/>
                      <w:sz w:val="21"/>
                      <w:szCs w:val="21"/>
                      <w:lang w:val="en-US" w:eastAsia="zh-CN"/>
                    </w:rPr>
                    <w:t>26</w:t>
                  </w:r>
                </w:p>
              </w:tc>
              <w:tc>
                <w:tcPr>
                  <w:tcW w:w="1823" w:type="dxa"/>
                  <w:noWrap w:val="0"/>
                  <w:vAlign w:val="center"/>
                </w:tcPr>
                <w:p w14:paraId="78C55594">
                  <w:pPr>
                    <w:pStyle w:val="44"/>
                    <w:spacing w:before="31" w:after="31"/>
                    <w:ind w:firstLine="0" w:firstLineChars="0"/>
                    <w:jc w:val="center"/>
                    <w:rPr>
                      <w:rFonts w:ascii="Times New Roman"/>
                      <w:color w:val="auto"/>
                      <w:szCs w:val="21"/>
                    </w:rPr>
                  </w:pPr>
                  <w:r>
                    <w:rPr>
                      <w:rFonts w:hint="eastAsia" w:ascii="Times New Roman"/>
                      <w:color w:val="auto"/>
                      <w:szCs w:val="21"/>
                    </w:rPr>
                    <w:t>总胆红素测定试剂盒（钒酸盐氧化法）（TB-VA）</w:t>
                  </w:r>
                </w:p>
              </w:tc>
              <w:tc>
                <w:tcPr>
                  <w:tcW w:w="1624" w:type="dxa"/>
                  <w:noWrap w:val="0"/>
                  <w:vAlign w:val="center"/>
                </w:tcPr>
                <w:p w14:paraId="17085944">
                  <w:pPr>
                    <w:pStyle w:val="44"/>
                    <w:spacing w:before="31" w:after="31"/>
                    <w:ind w:firstLine="0" w:firstLineChars="0"/>
                    <w:jc w:val="center"/>
                    <w:rPr>
                      <w:rFonts w:ascii="Times New Roman"/>
                      <w:color w:val="auto"/>
                      <w:szCs w:val="21"/>
                    </w:rPr>
                  </w:pPr>
                  <w:r>
                    <w:rPr>
                      <w:rFonts w:ascii="Times New Roman"/>
                      <w:color w:val="auto"/>
                      <w:szCs w:val="21"/>
                    </w:rPr>
                    <w:t>40ml*1/10ml*1</w:t>
                  </w:r>
                </w:p>
              </w:tc>
              <w:tc>
                <w:tcPr>
                  <w:tcW w:w="1401" w:type="dxa"/>
                  <w:noWrap w:val="0"/>
                  <w:vAlign w:val="center"/>
                </w:tcPr>
                <w:p w14:paraId="26C0E5C2">
                  <w:pPr>
                    <w:pStyle w:val="44"/>
                    <w:spacing w:before="31" w:after="31"/>
                    <w:ind w:firstLine="0" w:firstLineChars="0"/>
                    <w:jc w:val="center"/>
                    <w:rPr>
                      <w:rFonts w:ascii="Times New Roman"/>
                      <w:color w:val="auto"/>
                      <w:szCs w:val="21"/>
                    </w:rPr>
                  </w:pPr>
                  <w:r>
                    <w:rPr>
                      <w:rFonts w:hint="eastAsia" w:ascii="Times New Roman"/>
                      <w:color w:val="auto"/>
                      <w:szCs w:val="21"/>
                      <w:lang w:val="en-US" w:eastAsia="zh-CN"/>
                    </w:rPr>
                    <w:t>20</w:t>
                  </w:r>
                  <w:r>
                    <w:rPr>
                      <w:rFonts w:hint="eastAsia" w:ascii="Times New Roman"/>
                      <w:color w:val="auto"/>
                      <w:szCs w:val="21"/>
                    </w:rPr>
                    <w:t>盒</w:t>
                  </w:r>
                </w:p>
              </w:tc>
              <w:tc>
                <w:tcPr>
                  <w:tcW w:w="1128" w:type="dxa"/>
                  <w:noWrap w:val="0"/>
                  <w:vAlign w:val="center"/>
                </w:tcPr>
                <w:p w14:paraId="7C3938E5">
                  <w:pPr>
                    <w:pStyle w:val="44"/>
                    <w:spacing w:before="31" w:after="31"/>
                    <w:ind w:firstLine="0" w:firstLineChars="0"/>
                    <w:jc w:val="center"/>
                    <w:rPr>
                      <w:rFonts w:ascii="Times New Roman"/>
                      <w:color w:val="auto"/>
                      <w:szCs w:val="21"/>
                    </w:rPr>
                  </w:pPr>
                  <w:r>
                    <w:rPr>
                      <w:rFonts w:hint="eastAsia" w:ascii="Times New Roman"/>
                      <w:color w:val="auto"/>
                      <w:szCs w:val="21"/>
                      <w:lang w:val="en-US" w:eastAsia="zh-CN"/>
                    </w:rPr>
                    <w:t>20</w:t>
                  </w:r>
                  <w:r>
                    <w:rPr>
                      <w:rFonts w:hint="eastAsia" w:ascii="Times New Roman"/>
                      <w:color w:val="auto"/>
                      <w:szCs w:val="21"/>
                    </w:rPr>
                    <w:t>盒</w:t>
                  </w:r>
                </w:p>
              </w:tc>
              <w:tc>
                <w:tcPr>
                  <w:tcW w:w="1854" w:type="dxa"/>
                  <w:vMerge w:val="continue"/>
                  <w:noWrap w:val="0"/>
                  <w:vAlign w:val="top"/>
                </w:tcPr>
                <w:p w14:paraId="24DC274E">
                  <w:pPr>
                    <w:jc w:val="center"/>
                    <w:rPr>
                      <w:color w:val="auto"/>
                      <w:szCs w:val="21"/>
                    </w:rPr>
                  </w:pPr>
                </w:p>
              </w:tc>
            </w:tr>
            <w:tr w14:paraId="24DE1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shd w:val="clear" w:color="auto" w:fill="auto"/>
                  <w:noWrap w:val="0"/>
                  <w:vAlign w:val="center"/>
                </w:tcPr>
                <w:p w14:paraId="566CB123">
                  <w:pPr>
                    <w:jc w:val="center"/>
                    <w:rPr>
                      <w:rFonts w:hint="default" w:ascii="Times New Roman" w:hAnsi="Times New Roman" w:eastAsia="宋体" w:cs="宋体"/>
                      <w:color w:val="auto"/>
                      <w:sz w:val="21"/>
                      <w:szCs w:val="21"/>
                      <w:lang w:val="en-US" w:eastAsia="zh-CN" w:bidi="zh-CN"/>
                    </w:rPr>
                  </w:pPr>
                  <w:r>
                    <w:rPr>
                      <w:rFonts w:hint="eastAsia" w:eastAsia="宋体"/>
                      <w:color w:val="auto"/>
                      <w:sz w:val="21"/>
                      <w:szCs w:val="21"/>
                      <w:lang w:val="en-US" w:eastAsia="zh-CN"/>
                    </w:rPr>
                    <w:t>27</w:t>
                  </w:r>
                </w:p>
              </w:tc>
              <w:tc>
                <w:tcPr>
                  <w:tcW w:w="1823" w:type="dxa"/>
                  <w:noWrap w:val="0"/>
                  <w:vAlign w:val="center"/>
                </w:tcPr>
                <w:p w14:paraId="368C391D">
                  <w:pPr>
                    <w:pStyle w:val="44"/>
                    <w:spacing w:before="31" w:after="31"/>
                    <w:ind w:firstLine="0" w:firstLineChars="0"/>
                    <w:jc w:val="center"/>
                    <w:rPr>
                      <w:rFonts w:ascii="Times New Roman"/>
                      <w:color w:val="auto"/>
                      <w:szCs w:val="21"/>
                    </w:rPr>
                  </w:pPr>
                  <w:r>
                    <w:rPr>
                      <w:rFonts w:hint="eastAsia" w:ascii="Times New Roman"/>
                      <w:color w:val="auto"/>
                      <w:szCs w:val="21"/>
                    </w:rPr>
                    <w:t>肌酐(CREA)测定试剂盒(酶法)</w:t>
                  </w:r>
                </w:p>
              </w:tc>
              <w:tc>
                <w:tcPr>
                  <w:tcW w:w="1624" w:type="dxa"/>
                  <w:noWrap w:val="0"/>
                  <w:vAlign w:val="center"/>
                </w:tcPr>
                <w:p w14:paraId="7999FF04">
                  <w:pPr>
                    <w:pStyle w:val="44"/>
                    <w:spacing w:before="31" w:after="31"/>
                    <w:ind w:firstLine="0" w:firstLineChars="0"/>
                    <w:jc w:val="center"/>
                    <w:rPr>
                      <w:rFonts w:ascii="Times New Roman"/>
                      <w:color w:val="auto"/>
                      <w:szCs w:val="21"/>
                    </w:rPr>
                  </w:pPr>
                  <w:r>
                    <w:rPr>
                      <w:rFonts w:ascii="Times New Roman"/>
                      <w:color w:val="auto"/>
                      <w:szCs w:val="21"/>
                    </w:rPr>
                    <w:t>30ml*1/10ml*</w:t>
                  </w:r>
                </w:p>
              </w:tc>
              <w:tc>
                <w:tcPr>
                  <w:tcW w:w="1401" w:type="dxa"/>
                  <w:noWrap w:val="0"/>
                  <w:vAlign w:val="center"/>
                </w:tcPr>
                <w:p w14:paraId="245C7FC3">
                  <w:pPr>
                    <w:pStyle w:val="44"/>
                    <w:spacing w:before="31" w:after="31"/>
                    <w:ind w:firstLine="0" w:firstLineChars="0"/>
                    <w:jc w:val="center"/>
                    <w:rPr>
                      <w:rFonts w:ascii="Times New Roman"/>
                      <w:color w:val="auto"/>
                      <w:szCs w:val="21"/>
                    </w:rPr>
                  </w:pPr>
                  <w:r>
                    <w:rPr>
                      <w:rFonts w:hint="eastAsia" w:ascii="Times New Roman"/>
                      <w:color w:val="auto"/>
                      <w:szCs w:val="21"/>
                      <w:lang w:val="en-US" w:eastAsia="zh-CN"/>
                    </w:rPr>
                    <w:t>20</w:t>
                  </w:r>
                  <w:r>
                    <w:rPr>
                      <w:rFonts w:hint="eastAsia" w:ascii="Times New Roman"/>
                      <w:color w:val="auto"/>
                      <w:szCs w:val="21"/>
                    </w:rPr>
                    <w:t>盒</w:t>
                  </w:r>
                </w:p>
              </w:tc>
              <w:tc>
                <w:tcPr>
                  <w:tcW w:w="1128" w:type="dxa"/>
                  <w:noWrap w:val="0"/>
                  <w:vAlign w:val="center"/>
                </w:tcPr>
                <w:p w14:paraId="5336ACD3">
                  <w:pPr>
                    <w:pStyle w:val="44"/>
                    <w:spacing w:before="31" w:after="31"/>
                    <w:ind w:firstLine="0" w:firstLineChars="0"/>
                    <w:jc w:val="center"/>
                    <w:rPr>
                      <w:rFonts w:ascii="Times New Roman"/>
                      <w:color w:val="auto"/>
                      <w:szCs w:val="21"/>
                    </w:rPr>
                  </w:pPr>
                  <w:r>
                    <w:rPr>
                      <w:rFonts w:hint="eastAsia" w:ascii="Times New Roman"/>
                      <w:color w:val="auto"/>
                      <w:szCs w:val="21"/>
                      <w:lang w:val="en-US" w:eastAsia="zh-CN"/>
                    </w:rPr>
                    <w:t>20</w:t>
                  </w:r>
                  <w:r>
                    <w:rPr>
                      <w:rFonts w:hint="eastAsia" w:ascii="Times New Roman"/>
                      <w:color w:val="auto"/>
                      <w:szCs w:val="21"/>
                    </w:rPr>
                    <w:t>盒</w:t>
                  </w:r>
                </w:p>
              </w:tc>
              <w:tc>
                <w:tcPr>
                  <w:tcW w:w="1854" w:type="dxa"/>
                  <w:vMerge w:val="continue"/>
                  <w:noWrap w:val="0"/>
                  <w:vAlign w:val="top"/>
                </w:tcPr>
                <w:p w14:paraId="4E69334C">
                  <w:pPr>
                    <w:jc w:val="center"/>
                    <w:rPr>
                      <w:color w:val="auto"/>
                      <w:szCs w:val="21"/>
                    </w:rPr>
                  </w:pPr>
                </w:p>
              </w:tc>
            </w:tr>
            <w:tr w14:paraId="0A642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shd w:val="clear" w:color="auto" w:fill="auto"/>
                  <w:noWrap w:val="0"/>
                  <w:vAlign w:val="center"/>
                </w:tcPr>
                <w:p w14:paraId="1FCAA5FC">
                  <w:pPr>
                    <w:jc w:val="center"/>
                    <w:rPr>
                      <w:rFonts w:hint="default" w:ascii="Times New Roman" w:hAnsi="Times New Roman" w:eastAsia="宋体" w:cs="宋体"/>
                      <w:color w:val="auto"/>
                      <w:sz w:val="21"/>
                      <w:szCs w:val="21"/>
                      <w:lang w:val="en-US" w:eastAsia="zh-CN" w:bidi="zh-CN"/>
                    </w:rPr>
                  </w:pPr>
                  <w:r>
                    <w:rPr>
                      <w:rFonts w:hint="eastAsia" w:eastAsia="宋体"/>
                      <w:color w:val="auto"/>
                      <w:sz w:val="21"/>
                      <w:szCs w:val="21"/>
                      <w:lang w:val="en-US" w:eastAsia="zh-CN"/>
                    </w:rPr>
                    <w:t>28</w:t>
                  </w:r>
                </w:p>
              </w:tc>
              <w:tc>
                <w:tcPr>
                  <w:tcW w:w="1823" w:type="dxa"/>
                  <w:noWrap w:val="0"/>
                  <w:vAlign w:val="center"/>
                </w:tcPr>
                <w:p w14:paraId="513EEEB9">
                  <w:pPr>
                    <w:pStyle w:val="44"/>
                    <w:spacing w:before="31" w:after="31"/>
                    <w:ind w:firstLine="0" w:firstLineChars="0"/>
                    <w:jc w:val="center"/>
                    <w:rPr>
                      <w:rFonts w:ascii="Times New Roman"/>
                      <w:color w:val="auto"/>
                      <w:szCs w:val="21"/>
                    </w:rPr>
                  </w:pPr>
                  <w:r>
                    <w:rPr>
                      <w:rFonts w:hint="eastAsia" w:ascii="Times New Roman"/>
                      <w:color w:val="auto"/>
                      <w:szCs w:val="21"/>
                    </w:rPr>
                    <w:t>总胆固醇(CHOL)测定试剂盒(CE-CO-POD酶法)</w:t>
                  </w:r>
                </w:p>
              </w:tc>
              <w:tc>
                <w:tcPr>
                  <w:tcW w:w="1624" w:type="dxa"/>
                  <w:noWrap w:val="0"/>
                  <w:vAlign w:val="center"/>
                </w:tcPr>
                <w:p w14:paraId="5B95DAA6">
                  <w:pPr>
                    <w:pStyle w:val="44"/>
                    <w:spacing w:before="31" w:after="31"/>
                    <w:ind w:firstLine="0" w:firstLineChars="0"/>
                    <w:jc w:val="center"/>
                    <w:rPr>
                      <w:rFonts w:ascii="Times New Roman"/>
                      <w:color w:val="auto"/>
                      <w:szCs w:val="21"/>
                    </w:rPr>
                  </w:pPr>
                  <w:r>
                    <w:rPr>
                      <w:rFonts w:ascii="Times New Roman"/>
                      <w:color w:val="auto"/>
                      <w:szCs w:val="21"/>
                    </w:rPr>
                    <w:t>40ml*1/10ml*</w:t>
                  </w:r>
                </w:p>
              </w:tc>
              <w:tc>
                <w:tcPr>
                  <w:tcW w:w="1401" w:type="dxa"/>
                  <w:noWrap w:val="0"/>
                  <w:vAlign w:val="center"/>
                </w:tcPr>
                <w:p w14:paraId="4ED92B3A">
                  <w:pPr>
                    <w:pStyle w:val="44"/>
                    <w:spacing w:before="31" w:after="31"/>
                    <w:ind w:firstLine="0" w:firstLineChars="0"/>
                    <w:jc w:val="center"/>
                    <w:rPr>
                      <w:rFonts w:ascii="Times New Roman"/>
                      <w:color w:val="auto"/>
                      <w:szCs w:val="21"/>
                    </w:rPr>
                  </w:pPr>
                  <w:r>
                    <w:rPr>
                      <w:rFonts w:hint="eastAsia" w:ascii="Times New Roman"/>
                      <w:color w:val="auto"/>
                      <w:szCs w:val="21"/>
                      <w:lang w:val="en-US" w:eastAsia="zh-CN"/>
                    </w:rPr>
                    <w:t>20</w:t>
                  </w:r>
                  <w:r>
                    <w:rPr>
                      <w:rFonts w:hint="eastAsia" w:ascii="Times New Roman"/>
                      <w:color w:val="auto"/>
                      <w:szCs w:val="21"/>
                    </w:rPr>
                    <w:t>盒</w:t>
                  </w:r>
                </w:p>
              </w:tc>
              <w:tc>
                <w:tcPr>
                  <w:tcW w:w="1128" w:type="dxa"/>
                  <w:noWrap w:val="0"/>
                  <w:vAlign w:val="center"/>
                </w:tcPr>
                <w:p w14:paraId="641BD6F7">
                  <w:pPr>
                    <w:pStyle w:val="44"/>
                    <w:spacing w:before="31" w:after="31"/>
                    <w:ind w:firstLine="0" w:firstLineChars="0"/>
                    <w:jc w:val="center"/>
                    <w:rPr>
                      <w:rFonts w:ascii="Times New Roman"/>
                      <w:color w:val="auto"/>
                      <w:szCs w:val="21"/>
                    </w:rPr>
                  </w:pPr>
                  <w:r>
                    <w:rPr>
                      <w:rFonts w:hint="eastAsia" w:ascii="Times New Roman"/>
                      <w:color w:val="auto"/>
                      <w:szCs w:val="21"/>
                      <w:lang w:val="en-US" w:eastAsia="zh-CN"/>
                    </w:rPr>
                    <w:t>20</w:t>
                  </w:r>
                  <w:r>
                    <w:rPr>
                      <w:rFonts w:hint="eastAsia" w:ascii="Times New Roman"/>
                      <w:color w:val="auto"/>
                      <w:szCs w:val="21"/>
                    </w:rPr>
                    <w:t>盒</w:t>
                  </w:r>
                </w:p>
              </w:tc>
              <w:tc>
                <w:tcPr>
                  <w:tcW w:w="1854" w:type="dxa"/>
                  <w:vMerge w:val="continue"/>
                  <w:noWrap w:val="0"/>
                  <w:vAlign w:val="top"/>
                </w:tcPr>
                <w:p w14:paraId="3A391100">
                  <w:pPr>
                    <w:jc w:val="center"/>
                    <w:rPr>
                      <w:color w:val="auto"/>
                      <w:szCs w:val="21"/>
                    </w:rPr>
                  </w:pPr>
                </w:p>
              </w:tc>
            </w:tr>
            <w:tr w14:paraId="44E8B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24" w:type="dxa"/>
                  <w:shd w:val="clear" w:color="auto" w:fill="auto"/>
                  <w:noWrap w:val="0"/>
                  <w:vAlign w:val="center"/>
                </w:tcPr>
                <w:p w14:paraId="2400CFBD">
                  <w:pPr>
                    <w:jc w:val="center"/>
                    <w:rPr>
                      <w:rFonts w:hint="default" w:ascii="Times New Roman" w:hAnsi="Times New Roman" w:eastAsia="宋体" w:cs="宋体"/>
                      <w:color w:val="auto"/>
                      <w:sz w:val="21"/>
                      <w:szCs w:val="21"/>
                      <w:lang w:val="en-US" w:eastAsia="zh-CN" w:bidi="zh-CN"/>
                    </w:rPr>
                  </w:pPr>
                  <w:r>
                    <w:rPr>
                      <w:rFonts w:hint="eastAsia" w:eastAsia="宋体"/>
                      <w:color w:val="auto"/>
                      <w:sz w:val="21"/>
                      <w:szCs w:val="21"/>
                      <w:lang w:val="en-US" w:eastAsia="zh-CN"/>
                    </w:rPr>
                    <w:t>29</w:t>
                  </w:r>
                </w:p>
              </w:tc>
              <w:tc>
                <w:tcPr>
                  <w:tcW w:w="1823" w:type="dxa"/>
                  <w:noWrap w:val="0"/>
                  <w:vAlign w:val="center"/>
                </w:tcPr>
                <w:p w14:paraId="1D58D6A3">
                  <w:pPr>
                    <w:pStyle w:val="44"/>
                    <w:spacing w:before="31" w:after="31"/>
                    <w:ind w:firstLine="0" w:firstLineChars="0"/>
                    <w:jc w:val="center"/>
                    <w:rPr>
                      <w:rFonts w:ascii="Times New Roman"/>
                      <w:color w:val="auto"/>
                      <w:szCs w:val="21"/>
                    </w:rPr>
                  </w:pPr>
                  <w:r>
                    <w:rPr>
                      <w:rFonts w:hint="eastAsia" w:ascii="Times New Roman"/>
                      <w:color w:val="auto"/>
                      <w:szCs w:val="21"/>
                    </w:rPr>
                    <w:t>高密度脂蛋白胆固醇(HDL-C)测定试剂盒(化学消除法)</w:t>
                  </w:r>
                </w:p>
              </w:tc>
              <w:tc>
                <w:tcPr>
                  <w:tcW w:w="1624" w:type="dxa"/>
                  <w:noWrap w:val="0"/>
                  <w:vAlign w:val="center"/>
                </w:tcPr>
                <w:p w14:paraId="15986214">
                  <w:pPr>
                    <w:pStyle w:val="44"/>
                    <w:spacing w:before="31" w:after="31"/>
                    <w:ind w:firstLine="0" w:firstLineChars="0"/>
                    <w:jc w:val="center"/>
                    <w:rPr>
                      <w:rFonts w:ascii="Times New Roman"/>
                      <w:color w:val="auto"/>
                      <w:szCs w:val="21"/>
                    </w:rPr>
                  </w:pPr>
                  <w:r>
                    <w:rPr>
                      <w:rFonts w:hint="eastAsia" w:ascii="Times New Roman"/>
                      <w:color w:val="auto"/>
                      <w:szCs w:val="21"/>
                      <w:lang w:val="en-US" w:eastAsia="zh-CN"/>
                    </w:rPr>
                    <w:t>4</w:t>
                  </w:r>
                  <w:r>
                    <w:rPr>
                      <w:rFonts w:ascii="Times New Roman"/>
                      <w:color w:val="auto"/>
                      <w:szCs w:val="21"/>
                    </w:rPr>
                    <w:t>0ml*1/10ml*</w:t>
                  </w:r>
                </w:p>
              </w:tc>
              <w:tc>
                <w:tcPr>
                  <w:tcW w:w="1401" w:type="dxa"/>
                  <w:noWrap w:val="0"/>
                  <w:vAlign w:val="center"/>
                </w:tcPr>
                <w:p w14:paraId="1CF35EA7">
                  <w:pPr>
                    <w:pStyle w:val="44"/>
                    <w:spacing w:before="31" w:after="31"/>
                    <w:ind w:firstLine="0" w:firstLineChars="0"/>
                    <w:jc w:val="center"/>
                    <w:rPr>
                      <w:rFonts w:ascii="Times New Roman"/>
                      <w:color w:val="auto"/>
                      <w:szCs w:val="21"/>
                    </w:rPr>
                  </w:pPr>
                  <w:r>
                    <w:rPr>
                      <w:rFonts w:hint="eastAsia" w:ascii="Times New Roman"/>
                      <w:color w:val="auto"/>
                      <w:szCs w:val="21"/>
                      <w:lang w:val="en-US" w:eastAsia="zh-CN"/>
                    </w:rPr>
                    <w:t>20</w:t>
                  </w:r>
                  <w:r>
                    <w:rPr>
                      <w:rFonts w:hint="eastAsia" w:ascii="Times New Roman"/>
                      <w:color w:val="auto"/>
                      <w:szCs w:val="21"/>
                    </w:rPr>
                    <w:t>盒</w:t>
                  </w:r>
                </w:p>
              </w:tc>
              <w:tc>
                <w:tcPr>
                  <w:tcW w:w="1128" w:type="dxa"/>
                  <w:noWrap w:val="0"/>
                  <w:vAlign w:val="center"/>
                </w:tcPr>
                <w:p w14:paraId="1E534DC1">
                  <w:pPr>
                    <w:pStyle w:val="44"/>
                    <w:spacing w:before="31" w:after="31"/>
                    <w:ind w:firstLine="0" w:firstLineChars="0"/>
                    <w:jc w:val="center"/>
                    <w:rPr>
                      <w:rFonts w:ascii="Times New Roman"/>
                      <w:color w:val="auto"/>
                      <w:szCs w:val="21"/>
                    </w:rPr>
                  </w:pPr>
                  <w:r>
                    <w:rPr>
                      <w:rFonts w:hint="eastAsia" w:ascii="Times New Roman"/>
                      <w:color w:val="auto"/>
                      <w:szCs w:val="21"/>
                      <w:lang w:val="en-US" w:eastAsia="zh-CN"/>
                    </w:rPr>
                    <w:t>20</w:t>
                  </w:r>
                  <w:r>
                    <w:rPr>
                      <w:rFonts w:hint="eastAsia" w:ascii="Times New Roman"/>
                      <w:color w:val="auto"/>
                      <w:szCs w:val="21"/>
                    </w:rPr>
                    <w:t>盒</w:t>
                  </w:r>
                </w:p>
              </w:tc>
              <w:tc>
                <w:tcPr>
                  <w:tcW w:w="1854" w:type="dxa"/>
                  <w:vMerge w:val="continue"/>
                  <w:noWrap w:val="0"/>
                  <w:vAlign w:val="top"/>
                </w:tcPr>
                <w:p w14:paraId="549DD442">
                  <w:pPr>
                    <w:jc w:val="center"/>
                    <w:rPr>
                      <w:color w:val="auto"/>
                      <w:szCs w:val="21"/>
                    </w:rPr>
                  </w:pPr>
                </w:p>
              </w:tc>
            </w:tr>
            <w:tr w14:paraId="37CEE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shd w:val="clear" w:color="auto" w:fill="auto"/>
                  <w:noWrap w:val="0"/>
                  <w:vAlign w:val="center"/>
                </w:tcPr>
                <w:p w14:paraId="7F59F8D9">
                  <w:pPr>
                    <w:jc w:val="center"/>
                    <w:rPr>
                      <w:rFonts w:hint="default" w:ascii="Times New Roman" w:hAnsi="Times New Roman" w:eastAsia="宋体" w:cs="宋体"/>
                      <w:color w:val="auto"/>
                      <w:sz w:val="21"/>
                      <w:szCs w:val="21"/>
                      <w:lang w:val="en-US" w:eastAsia="zh-CN" w:bidi="zh-CN"/>
                    </w:rPr>
                  </w:pPr>
                  <w:r>
                    <w:rPr>
                      <w:rFonts w:hint="eastAsia" w:eastAsia="宋体"/>
                      <w:color w:val="auto"/>
                      <w:sz w:val="21"/>
                      <w:szCs w:val="21"/>
                      <w:lang w:val="en-US" w:eastAsia="zh-CN"/>
                    </w:rPr>
                    <w:t>30</w:t>
                  </w:r>
                </w:p>
              </w:tc>
              <w:tc>
                <w:tcPr>
                  <w:tcW w:w="1823" w:type="dxa"/>
                  <w:noWrap w:val="0"/>
                  <w:vAlign w:val="center"/>
                </w:tcPr>
                <w:p w14:paraId="316B0355">
                  <w:pPr>
                    <w:pStyle w:val="44"/>
                    <w:spacing w:before="31" w:after="31"/>
                    <w:ind w:firstLine="0" w:firstLineChars="0"/>
                    <w:jc w:val="center"/>
                    <w:rPr>
                      <w:rFonts w:ascii="Times New Roman"/>
                      <w:color w:val="auto"/>
                      <w:szCs w:val="21"/>
                    </w:rPr>
                  </w:pPr>
                  <w:r>
                    <w:rPr>
                      <w:rFonts w:hint="eastAsia" w:ascii="Times New Roman"/>
                      <w:color w:val="auto"/>
                      <w:szCs w:val="21"/>
                    </w:rPr>
                    <w:t>尿素(UREA/BUN)测定试剂盒(脲酶速率法)</w:t>
                  </w:r>
                </w:p>
              </w:tc>
              <w:tc>
                <w:tcPr>
                  <w:tcW w:w="1624" w:type="dxa"/>
                  <w:noWrap w:val="0"/>
                  <w:vAlign w:val="center"/>
                </w:tcPr>
                <w:p w14:paraId="1D6CC727">
                  <w:pPr>
                    <w:pStyle w:val="44"/>
                    <w:spacing w:before="31" w:after="31"/>
                    <w:ind w:firstLine="0" w:firstLineChars="0"/>
                    <w:jc w:val="center"/>
                    <w:rPr>
                      <w:rFonts w:ascii="Times New Roman"/>
                      <w:color w:val="auto"/>
                      <w:szCs w:val="21"/>
                    </w:rPr>
                  </w:pPr>
                  <w:r>
                    <w:rPr>
                      <w:rFonts w:ascii="Times New Roman"/>
                      <w:color w:val="auto"/>
                      <w:szCs w:val="21"/>
                    </w:rPr>
                    <w:t>40ml*1/10ml*1</w:t>
                  </w:r>
                </w:p>
              </w:tc>
              <w:tc>
                <w:tcPr>
                  <w:tcW w:w="1401" w:type="dxa"/>
                  <w:noWrap w:val="0"/>
                  <w:vAlign w:val="center"/>
                </w:tcPr>
                <w:p w14:paraId="305D74A1">
                  <w:pPr>
                    <w:pStyle w:val="44"/>
                    <w:spacing w:before="31" w:after="31"/>
                    <w:ind w:firstLine="0" w:firstLineChars="0"/>
                    <w:jc w:val="center"/>
                    <w:rPr>
                      <w:rFonts w:ascii="Times New Roman"/>
                      <w:color w:val="auto"/>
                      <w:szCs w:val="21"/>
                    </w:rPr>
                  </w:pPr>
                  <w:r>
                    <w:rPr>
                      <w:rFonts w:hint="eastAsia" w:ascii="Times New Roman"/>
                      <w:color w:val="auto"/>
                      <w:szCs w:val="21"/>
                      <w:lang w:val="en-US" w:eastAsia="zh-CN"/>
                    </w:rPr>
                    <w:t>20</w:t>
                  </w:r>
                  <w:r>
                    <w:rPr>
                      <w:rFonts w:hint="eastAsia" w:ascii="Times New Roman"/>
                      <w:color w:val="auto"/>
                      <w:szCs w:val="21"/>
                    </w:rPr>
                    <w:t>盒</w:t>
                  </w:r>
                </w:p>
              </w:tc>
              <w:tc>
                <w:tcPr>
                  <w:tcW w:w="1128" w:type="dxa"/>
                  <w:noWrap w:val="0"/>
                  <w:vAlign w:val="center"/>
                </w:tcPr>
                <w:p w14:paraId="4B87F5B3">
                  <w:pPr>
                    <w:pStyle w:val="44"/>
                    <w:spacing w:before="31" w:after="31"/>
                    <w:ind w:firstLine="0" w:firstLineChars="0"/>
                    <w:jc w:val="center"/>
                    <w:rPr>
                      <w:rFonts w:ascii="Times New Roman"/>
                      <w:color w:val="auto"/>
                      <w:szCs w:val="21"/>
                    </w:rPr>
                  </w:pPr>
                  <w:r>
                    <w:rPr>
                      <w:rFonts w:hint="eastAsia" w:ascii="Times New Roman"/>
                      <w:color w:val="auto"/>
                      <w:szCs w:val="21"/>
                      <w:lang w:val="en-US" w:eastAsia="zh-CN"/>
                    </w:rPr>
                    <w:t>20</w:t>
                  </w:r>
                  <w:r>
                    <w:rPr>
                      <w:rFonts w:hint="eastAsia" w:ascii="Times New Roman"/>
                      <w:color w:val="auto"/>
                      <w:szCs w:val="21"/>
                    </w:rPr>
                    <w:t>盒</w:t>
                  </w:r>
                </w:p>
              </w:tc>
              <w:tc>
                <w:tcPr>
                  <w:tcW w:w="1854" w:type="dxa"/>
                  <w:vMerge w:val="continue"/>
                  <w:noWrap w:val="0"/>
                  <w:vAlign w:val="top"/>
                </w:tcPr>
                <w:p w14:paraId="4DC43280">
                  <w:pPr>
                    <w:jc w:val="center"/>
                    <w:rPr>
                      <w:color w:val="auto"/>
                      <w:szCs w:val="21"/>
                    </w:rPr>
                  </w:pPr>
                </w:p>
              </w:tc>
            </w:tr>
            <w:tr w14:paraId="7ECE6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shd w:val="clear" w:color="auto" w:fill="auto"/>
                  <w:noWrap w:val="0"/>
                  <w:vAlign w:val="center"/>
                </w:tcPr>
                <w:p w14:paraId="3098CE9C">
                  <w:pPr>
                    <w:jc w:val="center"/>
                    <w:rPr>
                      <w:rFonts w:hint="default" w:ascii="Times New Roman" w:hAnsi="Times New Roman" w:eastAsia="宋体" w:cs="宋体"/>
                      <w:color w:val="auto"/>
                      <w:sz w:val="21"/>
                      <w:szCs w:val="21"/>
                      <w:lang w:val="en-US" w:eastAsia="zh-CN" w:bidi="zh-CN"/>
                    </w:rPr>
                  </w:pPr>
                  <w:r>
                    <w:rPr>
                      <w:rFonts w:hint="eastAsia" w:eastAsia="宋体"/>
                      <w:color w:val="auto"/>
                      <w:sz w:val="21"/>
                      <w:szCs w:val="21"/>
                      <w:lang w:val="en-US" w:eastAsia="zh-CN"/>
                    </w:rPr>
                    <w:t>31</w:t>
                  </w:r>
                </w:p>
              </w:tc>
              <w:tc>
                <w:tcPr>
                  <w:tcW w:w="1823" w:type="dxa"/>
                  <w:noWrap w:val="0"/>
                  <w:vAlign w:val="center"/>
                </w:tcPr>
                <w:p w14:paraId="4013AF8E">
                  <w:pPr>
                    <w:pStyle w:val="44"/>
                    <w:spacing w:before="31" w:after="31"/>
                    <w:ind w:firstLine="0" w:firstLineChars="0"/>
                    <w:jc w:val="center"/>
                    <w:rPr>
                      <w:rFonts w:ascii="Times New Roman"/>
                      <w:color w:val="auto"/>
                      <w:szCs w:val="21"/>
                    </w:rPr>
                  </w:pPr>
                  <w:r>
                    <w:rPr>
                      <w:rFonts w:hint="eastAsia" w:ascii="Times New Roman"/>
                      <w:color w:val="auto"/>
                      <w:szCs w:val="21"/>
                    </w:rPr>
                    <w:t>直接胆红素(DBiL)测定试剂盒(钒酸盐氧化法)</w:t>
                  </w:r>
                </w:p>
              </w:tc>
              <w:tc>
                <w:tcPr>
                  <w:tcW w:w="1624" w:type="dxa"/>
                  <w:noWrap w:val="0"/>
                  <w:vAlign w:val="center"/>
                </w:tcPr>
                <w:p w14:paraId="40321BEC">
                  <w:pPr>
                    <w:pStyle w:val="44"/>
                    <w:spacing w:before="31" w:after="31"/>
                    <w:ind w:firstLine="0" w:firstLineChars="0"/>
                    <w:jc w:val="center"/>
                    <w:rPr>
                      <w:rFonts w:ascii="Times New Roman"/>
                      <w:color w:val="auto"/>
                      <w:szCs w:val="21"/>
                    </w:rPr>
                  </w:pPr>
                  <w:r>
                    <w:rPr>
                      <w:rFonts w:ascii="Times New Roman"/>
                      <w:color w:val="auto"/>
                      <w:szCs w:val="21"/>
                    </w:rPr>
                    <w:t>40ml*1/10ml*</w:t>
                  </w:r>
                </w:p>
              </w:tc>
              <w:tc>
                <w:tcPr>
                  <w:tcW w:w="1401" w:type="dxa"/>
                  <w:noWrap w:val="0"/>
                  <w:vAlign w:val="center"/>
                </w:tcPr>
                <w:p w14:paraId="1C9F7117">
                  <w:pPr>
                    <w:pStyle w:val="44"/>
                    <w:spacing w:before="31" w:after="31"/>
                    <w:ind w:firstLine="0" w:firstLineChars="0"/>
                    <w:jc w:val="center"/>
                    <w:rPr>
                      <w:rFonts w:ascii="Times New Roman"/>
                      <w:color w:val="auto"/>
                      <w:szCs w:val="21"/>
                    </w:rPr>
                  </w:pPr>
                  <w:r>
                    <w:rPr>
                      <w:rFonts w:hint="eastAsia" w:ascii="Times New Roman"/>
                      <w:color w:val="auto"/>
                      <w:szCs w:val="21"/>
                      <w:lang w:val="en-US" w:eastAsia="zh-CN"/>
                    </w:rPr>
                    <w:t>20</w:t>
                  </w:r>
                  <w:r>
                    <w:rPr>
                      <w:rFonts w:hint="eastAsia" w:ascii="Times New Roman"/>
                      <w:color w:val="auto"/>
                      <w:szCs w:val="21"/>
                    </w:rPr>
                    <w:t>盒</w:t>
                  </w:r>
                </w:p>
              </w:tc>
              <w:tc>
                <w:tcPr>
                  <w:tcW w:w="1128" w:type="dxa"/>
                  <w:noWrap w:val="0"/>
                  <w:vAlign w:val="center"/>
                </w:tcPr>
                <w:p w14:paraId="3E09694C">
                  <w:pPr>
                    <w:pStyle w:val="44"/>
                    <w:spacing w:before="31" w:after="31"/>
                    <w:ind w:firstLine="0" w:firstLineChars="0"/>
                    <w:jc w:val="center"/>
                    <w:rPr>
                      <w:rFonts w:ascii="Times New Roman"/>
                      <w:color w:val="auto"/>
                      <w:szCs w:val="21"/>
                    </w:rPr>
                  </w:pPr>
                  <w:r>
                    <w:rPr>
                      <w:rFonts w:hint="eastAsia" w:ascii="Times New Roman"/>
                      <w:color w:val="auto"/>
                      <w:szCs w:val="21"/>
                      <w:lang w:val="en-US" w:eastAsia="zh-CN"/>
                    </w:rPr>
                    <w:t>20</w:t>
                  </w:r>
                  <w:r>
                    <w:rPr>
                      <w:rFonts w:hint="eastAsia" w:ascii="Times New Roman"/>
                      <w:color w:val="auto"/>
                      <w:szCs w:val="21"/>
                    </w:rPr>
                    <w:t>盒</w:t>
                  </w:r>
                </w:p>
              </w:tc>
              <w:tc>
                <w:tcPr>
                  <w:tcW w:w="1854" w:type="dxa"/>
                  <w:vMerge w:val="continue"/>
                  <w:noWrap w:val="0"/>
                  <w:vAlign w:val="top"/>
                </w:tcPr>
                <w:p w14:paraId="7E28BBA1">
                  <w:pPr>
                    <w:jc w:val="center"/>
                    <w:rPr>
                      <w:color w:val="auto"/>
                      <w:szCs w:val="21"/>
                    </w:rPr>
                  </w:pPr>
                </w:p>
              </w:tc>
            </w:tr>
            <w:tr w14:paraId="7ED31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shd w:val="clear" w:color="auto" w:fill="auto"/>
                  <w:noWrap w:val="0"/>
                  <w:vAlign w:val="center"/>
                </w:tcPr>
                <w:p w14:paraId="2E7BA6F3">
                  <w:pPr>
                    <w:jc w:val="center"/>
                    <w:rPr>
                      <w:rFonts w:hint="default" w:ascii="Times New Roman" w:hAnsi="Times New Roman" w:eastAsia="宋体" w:cs="宋体"/>
                      <w:color w:val="auto"/>
                      <w:sz w:val="21"/>
                      <w:szCs w:val="21"/>
                      <w:lang w:val="en-US" w:eastAsia="zh-CN" w:bidi="zh-CN"/>
                    </w:rPr>
                  </w:pPr>
                  <w:r>
                    <w:rPr>
                      <w:rFonts w:hint="eastAsia" w:eastAsia="宋体"/>
                      <w:color w:val="auto"/>
                      <w:sz w:val="21"/>
                      <w:szCs w:val="21"/>
                      <w:lang w:val="en-US" w:eastAsia="zh-CN"/>
                    </w:rPr>
                    <w:t>32</w:t>
                  </w:r>
                </w:p>
              </w:tc>
              <w:tc>
                <w:tcPr>
                  <w:tcW w:w="1823" w:type="dxa"/>
                  <w:noWrap w:val="0"/>
                  <w:vAlign w:val="center"/>
                </w:tcPr>
                <w:p w14:paraId="2F8FAF0F">
                  <w:pPr>
                    <w:pStyle w:val="44"/>
                    <w:spacing w:before="31" w:after="31"/>
                    <w:ind w:firstLine="0" w:firstLineChars="0"/>
                    <w:jc w:val="center"/>
                    <w:rPr>
                      <w:rFonts w:ascii="Times New Roman"/>
                      <w:color w:val="auto"/>
                      <w:szCs w:val="21"/>
                    </w:rPr>
                  </w:pPr>
                  <w:r>
                    <w:rPr>
                      <w:rFonts w:hint="eastAsia" w:ascii="Times New Roman"/>
                      <w:color w:val="auto"/>
                      <w:szCs w:val="21"/>
                    </w:rPr>
                    <w:t>总蛋白（TP）测定试剂盒（双缩脲法）</w:t>
                  </w:r>
                </w:p>
              </w:tc>
              <w:tc>
                <w:tcPr>
                  <w:tcW w:w="1624" w:type="dxa"/>
                  <w:noWrap w:val="0"/>
                  <w:vAlign w:val="center"/>
                </w:tcPr>
                <w:p w14:paraId="32A5D436">
                  <w:pPr>
                    <w:pStyle w:val="44"/>
                    <w:spacing w:before="31" w:after="31"/>
                    <w:rPr>
                      <w:rFonts w:ascii="Times New Roman"/>
                      <w:color w:val="auto"/>
                      <w:szCs w:val="21"/>
                    </w:rPr>
                  </w:pPr>
                  <w:r>
                    <w:rPr>
                      <w:rFonts w:ascii="Times New Roman"/>
                      <w:color w:val="auto"/>
                      <w:szCs w:val="21"/>
                    </w:rPr>
                    <w:t>50ml*1</w:t>
                  </w:r>
                </w:p>
              </w:tc>
              <w:tc>
                <w:tcPr>
                  <w:tcW w:w="1401" w:type="dxa"/>
                  <w:noWrap w:val="0"/>
                  <w:vAlign w:val="center"/>
                </w:tcPr>
                <w:p w14:paraId="4A2DBD6A">
                  <w:pPr>
                    <w:pStyle w:val="44"/>
                    <w:spacing w:before="31" w:after="31"/>
                    <w:ind w:firstLine="0" w:firstLineChars="0"/>
                    <w:jc w:val="center"/>
                    <w:rPr>
                      <w:rFonts w:ascii="Times New Roman"/>
                      <w:color w:val="auto"/>
                      <w:szCs w:val="21"/>
                    </w:rPr>
                  </w:pPr>
                  <w:r>
                    <w:rPr>
                      <w:rFonts w:hint="eastAsia" w:ascii="Times New Roman"/>
                      <w:color w:val="auto"/>
                      <w:szCs w:val="21"/>
                      <w:lang w:val="en-US" w:eastAsia="zh-CN"/>
                    </w:rPr>
                    <w:t>20</w:t>
                  </w:r>
                  <w:r>
                    <w:rPr>
                      <w:rFonts w:hint="eastAsia" w:ascii="Times New Roman"/>
                      <w:color w:val="auto"/>
                      <w:szCs w:val="21"/>
                    </w:rPr>
                    <w:t>盒</w:t>
                  </w:r>
                </w:p>
              </w:tc>
              <w:tc>
                <w:tcPr>
                  <w:tcW w:w="1128" w:type="dxa"/>
                  <w:noWrap w:val="0"/>
                  <w:vAlign w:val="center"/>
                </w:tcPr>
                <w:p w14:paraId="2EAFC6BB">
                  <w:pPr>
                    <w:pStyle w:val="44"/>
                    <w:spacing w:before="31" w:after="31"/>
                    <w:ind w:firstLine="0" w:firstLineChars="0"/>
                    <w:jc w:val="center"/>
                    <w:rPr>
                      <w:rFonts w:ascii="Times New Roman"/>
                      <w:color w:val="auto"/>
                      <w:szCs w:val="21"/>
                    </w:rPr>
                  </w:pPr>
                  <w:r>
                    <w:rPr>
                      <w:rFonts w:hint="eastAsia" w:ascii="Times New Roman"/>
                      <w:color w:val="auto"/>
                      <w:szCs w:val="21"/>
                      <w:lang w:val="en-US" w:eastAsia="zh-CN"/>
                    </w:rPr>
                    <w:t>20</w:t>
                  </w:r>
                  <w:r>
                    <w:rPr>
                      <w:rFonts w:hint="eastAsia" w:ascii="Times New Roman"/>
                      <w:color w:val="auto"/>
                      <w:szCs w:val="21"/>
                    </w:rPr>
                    <w:t>盒</w:t>
                  </w:r>
                </w:p>
              </w:tc>
              <w:tc>
                <w:tcPr>
                  <w:tcW w:w="1854" w:type="dxa"/>
                  <w:vMerge w:val="continue"/>
                  <w:noWrap w:val="0"/>
                  <w:vAlign w:val="top"/>
                </w:tcPr>
                <w:p w14:paraId="4777084A">
                  <w:pPr>
                    <w:jc w:val="center"/>
                    <w:rPr>
                      <w:color w:val="auto"/>
                      <w:szCs w:val="21"/>
                    </w:rPr>
                  </w:pPr>
                </w:p>
              </w:tc>
            </w:tr>
            <w:tr w14:paraId="0F1E1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shd w:val="clear" w:color="auto" w:fill="auto"/>
                  <w:noWrap w:val="0"/>
                  <w:vAlign w:val="center"/>
                </w:tcPr>
                <w:p w14:paraId="2DF51313">
                  <w:pPr>
                    <w:jc w:val="center"/>
                    <w:rPr>
                      <w:rFonts w:hint="default" w:ascii="Times New Roman" w:hAnsi="Times New Roman" w:eastAsia="宋体" w:cs="宋体"/>
                      <w:color w:val="auto"/>
                      <w:sz w:val="21"/>
                      <w:szCs w:val="21"/>
                      <w:lang w:val="en-US" w:eastAsia="zh-CN" w:bidi="zh-CN"/>
                    </w:rPr>
                  </w:pPr>
                  <w:r>
                    <w:rPr>
                      <w:rFonts w:hint="eastAsia" w:eastAsia="宋体"/>
                      <w:color w:val="auto"/>
                      <w:sz w:val="21"/>
                      <w:szCs w:val="21"/>
                      <w:lang w:val="en-US" w:eastAsia="zh-CN"/>
                    </w:rPr>
                    <w:t>33</w:t>
                  </w:r>
                </w:p>
              </w:tc>
              <w:tc>
                <w:tcPr>
                  <w:tcW w:w="1823" w:type="dxa"/>
                  <w:noWrap w:val="0"/>
                  <w:vAlign w:val="center"/>
                </w:tcPr>
                <w:p w14:paraId="0FC6761B">
                  <w:pPr>
                    <w:pStyle w:val="44"/>
                    <w:spacing w:before="31" w:after="31"/>
                    <w:ind w:firstLine="0" w:firstLineChars="0"/>
                    <w:jc w:val="center"/>
                    <w:rPr>
                      <w:rFonts w:ascii="Times New Roman"/>
                      <w:color w:val="auto"/>
                      <w:szCs w:val="21"/>
                    </w:rPr>
                  </w:pPr>
                  <w:r>
                    <w:rPr>
                      <w:rFonts w:hint="eastAsia" w:ascii="Times New Roman"/>
                      <w:color w:val="auto"/>
                      <w:szCs w:val="21"/>
                    </w:rPr>
                    <w:t>大便隐血（FOB)检测试剂</w:t>
                  </w:r>
                </w:p>
              </w:tc>
              <w:tc>
                <w:tcPr>
                  <w:tcW w:w="1624" w:type="dxa"/>
                  <w:noWrap w:val="0"/>
                  <w:vAlign w:val="center"/>
                </w:tcPr>
                <w:p w14:paraId="0768B24B">
                  <w:pPr>
                    <w:pStyle w:val="44"/>
                    <w:spacing w:before="31" w:after="31"/>
                    <w:ind w:firstLine="0" w:firstLineChars="0"/>
                    <w:jc w:val="center"/>
                    <w:rPr>
                      <w:rFonts w:ascii="Times New Roman"/>
                      <w:color w:val="auto"/>
                      <w:szCs w:val="21"/>
                    </w:rPr>
                  </w:pPr>
                  <w:r>
                    <w:rPr>
                      <w:rFonts w:ascii="Times New Roman"/>
                      <w:color w:val="auto"/>
                      <w:szCs w:val="21"/>
                    </w:rPr>
                    <w:t>50人份/盒</w:t>
                  </w:r>
                </w:p>
              </w:tc>
              <w:tc>
                <w:tcPr>
                  <w:tcW w:w="1401" w:type="dxa"/>
                  <w:noWrap w:val="0"/>
                  <w:vAlign w:val="center"/>
                </w:tcPr>
                <w:p w14:paraId="2EC60C1F">
                  <w:pPr>
                    <w:pStyle w:val="44"/>
                    <w:spacing w:before="31" w:after="31"/>
                    <w:ind w:firstLine="0" w:firstLineChars="0"/>
                    <w:jc w:val="center"/>
                    <w:rPr>
                      <w:rFonts w:ascii="Times New Roman"/>
                      <w:color w:val="auto"/>
                      <w:szCs w:val="21"/>
                    </w:rPr>
                  </w:pPr>
                  <w:r>
                    <w:rPr>
                      <w:rFonts w:hint="eastAsia" w:ascii="Times New Roman"/>
                      <w:color w:val="auto"/>
                      <w:szCs w:val="21"/>
                      <w:lang w:val="en-US" w:eastAsia="zh-CN"/>
                    </w:rPr>
                    <w:t>10</w:t>
                  </w:r>
                  <w:r>
                    <w:rPr>
                      <w:rFonts w:hint="eastAsia" w:ascii="Times New Roman"/>
                      <w:color w:val="auto"/>
                      <w:szCs w:val="21"/>
                    </w:rPr>
                    <w:t>盒</w:t>
                  </w:r>
                </w:p>
              </w:tc>
              <w:tc>
                <w:tcPr>
                  <w:tcW w:w="1128" w:type="dxa"/>
                  <w:noWrap w:val="0"/>
                  <w:vAlign w:val="center"/>
                </w:tcPr>
                <w:p w14:paraId="3CE4B41A">
                  <w:pPr>
                    <w:pStyle w:val="44"/>
                    <w:spacing w:before="31" w:after="31"/>
                    <w:ind w:firstLine="0" w:firstLineChars="0"/>
                    <w:jc w:val="center"/>
                    <w:rPr>
                      <w:rFonts w:ascii="Times New Roman"/>
                      <w:color w:val="auto"/>
                      <w:szCs w:val="21"/>
                    </w:rPr>
                  </w:pPr>
                  <w:r>
                    <w:rPr>
                      <w:rFonts w:hint="eastAsia" w:ascii="Times New Roman"/>
                      <w:color w:val="auto"/>
                      <w:szCs w:val="21"/>
                      <w:lang w:val="en-US" w:eastAsia="zh-CN"/>
                    </w:rPr>
                    <w:t>10</w:t>
                  </w:r>
                  <w:r>
                    <w:rPr>
                      <w:rFonts w:hint="eastAsia" w:ascii="Times New Roman"/>
                      <w:color w:val="auto"/>
                      <w:szCs w:val="21"/>
                    </w:rPr>
                    <w:t>盒</w:t>
                  </w:r>
                </w:p>
              </w:tc>
              <w:tc>
                <w:tcPr>
                  <w:tcW w:w="1854" w:type="dxa"/>
                  <w:vMerge w:val="continue"/>
                  <w:noWrap w:val="0"/>
                  <w:vAlign w:val="top"/>
                </w:tcPr>
                <w:p w14:paraId="4F85F043">
                  <w:pPr>
                    <w:jc w:val="center"/>
                    <w:rPr>
                      <w:color w:val="auto"/>
                      <w:szCs w:val="21"/>
                    </w:rPr>
                  </w:pPr>
                </w:p>
              </w:tc>
            </w:tr>
            <w:tr w14:paraId="51B54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shd w:val="clear" w:color="auto" w:fill="auto"/>
                  <w:noWrap w:val="0"/>
                  <w:vAlign w:val="center"/>
                </w:tcPr>
                <w:p w14:paraId="762E3ACF">
                  <w:pPr>
                    <w:jc w:val="center"/>
                    <w:rPr>
                      <w:rFonts w:hint="default" w:ascii="Times New Roman" w:hAnsi="Times New Roman" w:eastAsia="宋体" w:cs="宋体"/>
                      <w:color w:val="auto"/>
                      <w:sz w:val="21"/>
                      <w:szCs w:val="21"/>
                      <w:lang w:val="en-US" w:eastAsia="zh-CN" w:bidi="zh-CN"/>
                    </w:rPr>
                  </w:pPr>
                  <w:r>
                    <w:rPr>
                      <w:rFonts w:hint="eastAsia" w:eastAsia="宋体"/>
                      <w:color w:val="auto"/>
                      <w:sz w:val="21"/>
                      <w:szCs w:val="21"/>
                      <w:lang w:val="en-US" w:eastAsia="zh-CN"/>
                    </w:rPr>
                    <w:t>34</w:t>
                  </w:r>
                </w:p>
              </w:tc>
              <w:tc>
                <w:tcPr>
                  <w:tcW w:w="1823" w:type="dxa"/>
                  <w:noWrap w:val="0"/>
                  <w:vAlign w:val="center"/>
                </w:tcPr>
                <w:p w14:paraId="002B2873">
                  <w:pPr>
                    <w:pStyle w:val="44"/>
                    <w:spacing w:before="31" w:after="31"/>
                    <w:ind w:firstLine="0" w:firstLineChars="0"/>
                    <w:jc w:val="center"/>
                    <w:rPr>
                      <w:rFonts w:ascii="Times New Roman"/>
                      <w:color w:val="auto"/>
                      <w:szCs w:val="21"/>
                    </w:rPr>
                  </w:pPr>
                  <w:r>
                    <w:rPr>
                      <w:rFonts w:hint="eastAsia" w:ascii="Times New Roman"/>
                      <w:color w:val="auto"/>
                      <w:szCs w:val="21"/>
                    </w:rPr>
                    <w:t>丙型肝炎病毒抗体检测试剂</w:t>
                  </w:r>
                </w:p>
              </w:tc>
              <w:tc>
                <w:tcPr>
                  <w:tcW w:w="1624" w:type="dxa"/>
                  <w:noWrap w:val="0"/>
                  <w:vAlign w:val="center"/>
                </w:tcPr>
                <w:p w14:paraId="553F9413">
                  <w:pPr>
                    <w:pStyle w:val="44"/>
                    <w:spacing w:before="31" w:after="31"/>
                    <w:ind w:firstLine="0" w:firstLineChars="0"/>
                    <w:jc w:val="center"/>
                    <w:rPr>
                      <w:rFonts w:ascii="Times New Roman"/>
                      <w:color w:val="auto"/>
                      <w:szCs w:val="21"/>
                    </w:rPr>
                  </w:pPr>
                  <w:r>
                    <w:rPr>
                      <w:rFonts w:ascii="Times New Roman"/>
                      <w:color w:val="auto"/>
                      <w:szCs w:val="21"/>
                    </w:rPr>
                    <w:t>50人份/盒</w:t>
                  </w:r>
                </w:p>
              </w:tc>
              <w:tc>
                <w:tcPr>
                  <w:tcW w:w="1401" w:type="dxa"/>
                  <w:noWrap w:val="0"/>
                  <w:vAlign w:val="center"/>
                </w:tcPr>
                <w:p w14:paraId="28E032FA">
                  <w:pPr>
                    <w:pStyle w:val="44"/>
                    <w:spacing w:before="31" w:after="31"/>
                    <w:ind w:firstLine="0" w:firstLineChars="0"/>
                    <w:jc w:val="center"/>
                    <w:rPr>
                      <w:rFonts w:ascii="Times New Roman"/>
                      <w:color w:val="auto"/>
                      <w:szCs w:val="21"/>
                    </w:rPr>
                  </w:pPr>
                  <w:r>
                    <w:rPr>
                      <w:rFonts w:hint="eastAsia" w:ascii="Times New Roman"/>
                      <w:color w:val="auto"/>
                      <w:szCs w:val="21"/>
                      <w:lang w:val="en-US" w:eastAsia="zh-CN"/>
                    </w:rPr>
                    <w:t>100</w:t>
                  </w:r>
                  <w:r>
                    <w:rPr>
                      <w:rFonts w:hint="eastAsia" w:ascii="Times New Roman"/>
                      <w:color w:val="auto"/>
                      <w:szCs w:val="21"/>
                    </w:rPr>
                    <w:t>盒</w:t>
                  </w:r>
                </w:p>
              </w:tc>
              <w:tc>
                <w:tcPr>
                  <w:tcW w:w="1128" w:type="dxa"/>
                  <w:noWrap w:val="0"/>
                  <w:vAlign w:val="center"/>
                </w:tcPr>
                <w:p w14:paraId="0BA50EF2">
                  <w:pPr>
                    <w:pStyle w:val="44"/>
                    <w:spacing w:before="31" w:after="31"/>
                    <w:ind w:firstLine="0" w:firstLineChars="0"/>
                    <w:jc w:val="center"/>
                    <w:rPr>
                      <w:rFonts w:ascii="Times New Roman"/>
                      <w:color w:val="auto"/>
                      <w:szCs w:val="21"/>
                    </w:rPr>
                  </w:pPr>
                  <w:r>
                    <w:rPr>
                      <w:rFonts w:hint="eastAsia" w:ascii="Times New Roman"/>
                      <w:color w:val="auto"/>
                      <w:szCs w:val="21"/>
                      <w:lang w:val="en-US" w:eastAsia="zh-CN"/>
                    </w:rPr>
                    <w:t>100</w:t>
                  </w:r>
                  <w:r>
                    <w:rPr>
                      <w:rFonts w:hint="eastAsia" w:ascii="Times New Roman"/>
                      <w:color w:val="auto"/>
                      <w:szCs w:val="21"/>
                    </w:rPr>
                    <w:t>盒</w:t>
                  </w:r>
                </w:p>
              </w:tc>
              <w:tc>
                <w:tcPr>
                  <w:tcW w:w="1854" w:type="dxa"/>
                  <w:vMerge w:val="continue"/>
                  <w:noWrap w:val="0"/>
                  <w:vAlign w:val="top"/>
                </w:tcPr>
                <w:p w14:paraId="389A86AA">
                  <w:pPr>
                    <w:jc w:val="center"/>
                    <w:rPr>
                      <w:color w:val="auto"/>
                      <w:szCs w:val="21"/>
                    </w:rPr>
                  </w:pPr>
                </w:p>
              </w:tc>
            </w:tr>
            <w:tr w14:paraId="71E06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shd w:val="clear" w:color="auto" w:fill="auto"/>
                  <w:noWrap w:val="0"/>
                  <w:vAlign w:val="center"/>
                </w:tcPr>
                <w:p w14:paraId="78C0B76E">
                  <w:pPr>
                    <w:jc w:val="center"/>
                    <w:rPr>
                      <w:rFonts w:hint="default" w:ascii="Times New Roman" w:hAnsi="Times New Roman" w:eastAsia="宋体" w:cs="宋体"/>
                      <w:color w:val="auto"/>
                      <w:sz w:val="21"/>
                      <w:szCs w:val="21"/>
                      <w:lang w:val="en-US" w:eastAsia="zh-CN" w:bidi="zh-CN"/>
                    </w:rPr>
                  </w:pPr>
                  <w:r>
                    <w:rPr>
                      <w:rFonts w:hint="eastAsia" w:eastAsia="宋体"/>
                      <w:color w:val="auto"/>
                      <w:sz w:val="21"/>
                      <w:szCs w:val="21"/>
                      <w:lang w:val="en-US" w:eastAsia="zh-CN"/>
                    </w:rPr>
                    <w:t>35</w:t>
                  </w:r>
                </w:p>
              </w:tc>
              <w:tc>
                <w:tcPr>
                  <w:tcW w:w="1823" w:type="dxa"/>
                  <w:noWrap w:val="0"/>
                  <w:vAlign w:val="center"/>
                </w:tcPr>
                <w:p w14:paraId="281B7250">
                  <w:pPr>
                    <w:pStyle w:val="44"/>
                    <w:spacing w:before="31" w:after="31"/>
                    <w:ind w:firstLine="0" w:firstLineChars="0"/>
                    <w:jc w:val="center"/>
                    <w:rPr>
                      <w:rFonts w:ascii="Times New Roman"/>
                      <w:color w:val="auto"/>
                      <w:szCs w:val="21"/>
                    </w:rPr>
                  </w:pPr>
                  <w:r>
                    <w:rPr>
                      <w:rFonts w:hint="eastAsia" w:ascii="Times New Roman"/>
                      <w:color w:val="auto"/>
                      <w:szCs w:val="21"/>
                    </w:rPr>
                    <w:t>乙型肝炎病毒表面抗原、表面抗体、e抗原、e抗体、核心抗体</w:t>
                  </w:r>
                </w:p>
              </w:tc>
              <w:tc>
                <w:tcPr>
                  <w:tcW w:w="1624" w:type="dxa"/>
                  <w:noWrap w:val="0"/>
                  <w:vAlign w:val="center"/>
                </w:tcPr>
                <w:p w14:paraId="75109352">
                  <w:pPr>
                    <w:pStyle w:val="44"/>
                    <w:spacing w:before="31" w:after="31"/>
                    <w:ind w:firstLine="0" w:firstLineChars="0"/>
                    <w:jc w:val="center"/>
                    <w:rPr>
                      <w:rFonts w:ascii="Times New Roman"/>
                      <w:color w:val="auto"/>
                      <w:szCs w:val="21"/>
                    </w:rPr>
                  </w:pPr>
                  <w:r>
                    <w:rPr>
                      <w:rFonts w:ascii="Times New Roman"/>
                      <w:color w:val="auto"/>
                      <w:szCs w:val="21"/>
                    </w:rPr>
                    <w:t>25</w:t>
                  </w:r>
                  <w:r>
                    <w:rPr>
                      <w:rFonts w:hint="eastAsia" w:ascii="Times New Roman"/>
                      <w:color w:val="auto"/>
                      <w:szCs w:val="21"/>
                    </w:rPr>
                    <w:t>人份</w:t>
                  </w:r>
                  <w:r>
                    <w:rPr>
                      <w:rFonts w:ascii="Times New Roman"/>
                      <w:color w:val="auto"/>
                      <w:szCs w:val="21"/>
                    </w:rPr>
                    <w:t>/</w:t>
                  </w:r>
                  <w:r>
                    <w:rPr>
                      <w:rFonts w:hint="eastAsia" w:ascii="Times New Roman"/>
                      <w:color w:val="auto"/>
                      <w:szCs w:val="21"/>
                    </w:rPr>
                    <w:t>盒</w:t>
                  </w:r>
                </w:p>
              </w:tc>
              <w:tc>
                <w:tcPr>
                  <w:tcW w:w="1401" w:type="dxa"/>
                  <w:noWrap w:val="0"/>
                  <w:vAlign w:val="center"/>
                </w:tcPr>
                <w:p w14:paraId="1587AF54">
                  <w:pPr>
                    <w:pStyle w:val="44"/>
                    <w:spacing w:before="31" w:after="31"/>
                    <w:ind w:firstLine="0" w:firstLineChars="0"/>
                    <w:jc w:val="center"/>
                    <w:rPr>
                      <w:rFonts w:ascii="Times New Roman"/>
                      <w:color w:val="auto"/>
                      <w:szCs w:val="21"/>
                    </w:rPr>
                  </w:pPr>
                  <w:r>
                    <w:rPr>
                      <w:rFonts w:hint="eastAsia" w:ascii="Times New Roman"/>
                      <w:color w:val="auto"/>
                      <w:szCs w:val="21"/>
                      <w:lang w:val="en-US" w:eastAsia="zh-CN"/>
                    </w:rPr>
                    <w:t>500</w:t>
                  </w:r>
                  <w:r>
                    <w:rPr>
                      <w:rFonts w:hint="eastAsia" w:ascii="Times New Roman"/>
                      <w:color w:val="auto"/>
                      <w:szCs w:val="21"/>
                    </w:rPr>
                    <w:t>盒</w:t>
                  </w:r>
                </w:p>
              </w:tc>
              <w:tc>
                <w:tcPr>
                  <w:tcW w:w="1128" w:type="dxa"/>
                  <w:noWrap w:val="0"/>
                  <w:vAlign w:val="center"/>
                </w:tcPr>
                <w:p w14:paraId="6F306697">
                  <w:pPr>
                    <w:pStyle w:val="44"/>
                    <w:spacing w:before="31" w:after="31"/>
                    <w:ind w:firstLine="0" w:firstLineChars="0"/>
                    <w:jc w:val="center"/>
                    <w:rPr>
                      <w:rFonts w:ascii="Times New Roman"/>
                      <w:color w:val="auto"/>
                      <w:szCs w:val="21"/>
                    </w:rPr>
                  </w:pPr>
                  <w:r>
                    <w:rPr>
                      <w:rFonts w:hint="eastAsia" w:ascii="Times New Roman"/>
                      <w:color w:val="auto"/>
                      <w:szCs w:val="21"/>
                      <w:lang w:val="en-US" w:eastAsia="zh-CN"/>
                    </w:rPr>
                    <w:t>500</w:t>
                  </w:r>
                  <w:r>
                    <w:rPr>
                      <w:rFonts w:hint="eastAsia" w:ascii="Times New Roman"/>
                      <w:color w:val="auto"/>
                      <w:szCs w:val="21"/>
                    </w:rPr>
                    <w:t>盒</w:t>
                  </w:r>
                </w:p>
              </w:tc>
              <w:tc>
                <w:tcPr>
                  <w:tcW w:w="1854" w:type="dxa"/>
                  <w:vMerge w:val="continue"/>
                  <w:noWrap w:val="0"/>
                  <w:vAlign w:val="top"/>
                </w:tcPr>
                <w:p w14:paraId="4C428EBB">
                  <w:pPr>
                    <w:jc w:val="center"/>
                    <w:rPr>
                      <w:color w:val="auto"/>
                      <w:szCs w:val="21"/>
                    </w:rPr>
                  </w:pPr>
                </w:p>
              </w:tc>
            </w:tr>
            <w:tr w14:paraId="46B29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shd w:val="clear" w:color="auto" w:fill="auto"/>
                  <w:noWrap w:val="0"/>
                  <w:vAlign w:val="center"/>
                </w:tcPr>
                <w:p w14:paraId="3D0FEE3C">
                  <w:pPr>
                    <w:jc w:val="center"/>
                    <w:rPr>
                      <w:rFonts w:hint="default" w:ascii="Times New Roman" w:hAnsi="Times New Roman" w:eastAsia="宋体" w:cs="宋体"/>
                      <w:color w:val="auto"/>
                      <w:sz w:val="21"/>
                      <w:szCs w:val="21"/>
                      <w:lang w:val="en-US" w:eastAsia="zh-CN" w:bidi="zh-CN"/>
                    </w:rPr>
                  </w:pPr>
                  <w:r>
                    <w:rPr>
                      <w:rFonts w:hint="eastAsia" w:eastAsia="宋体"/>
                      <w:color w:val="auto"/>
                      <w:sz w:val="21"/>
                      <w:szCs w:val="21"/>
                      <w:lang w:val="en-US" w:eastAsia="zh-CN"/>
                    </w:rPr>
                    <w:t>36</w:t>
                  </w:r>
                </w:p>
              </w:tc>
              <w:tc>
                <w:tcPr>
                  <w:tcW w:w="1823" w:type="dxa"/>
                  <w:noWrap w:val="0"/>
                  <w:vAlign w:val="center"/>
                </w:tcPr>
                <w:p w14:paraId="5A0205D9">
                  <w:pPr>
                    <w:pStyle w:val="44"/>
                    <w:spacing w:before="31" w:after="31"/>
                    <w:ind w:firstLine="0" w:firstLineChars="0"/>
                    <w:jc w:val="center"/>
                    <w:rPr>
                      <w:rFonts w:ascii="Times New Roman"/>
                      <w:color w:val="auto"/>
                      <w:szCs w:val="21"/>
                    </w:rPr>
                  </w:pPr>
                  <w:r>
                    <w:rPr>
                      <w:rFonts w:hint="eastAsia" w:ascii="Times New Roman"/>
                      <w:color w:val="auto"/>
                      <w:szCs w:val="21"/>
                    </w:rPr>
                    <w:t>人绒毛膜促性腺激素（HCG）检测试剂（胶体金法）</w:t>
                  </w:r>
                </w:p>
              </w:tc>
              <w:tc>
                <w:tcPr>
                  <w:tcW w:w="1624" w:type="dxa"/>
                  <w:noWrap w:val="0"/>
                  <w:vAlign w:val="center"/>
                </w:tcPr>
                <w:p w14:paraId="2AE07B05">
                  <w:pPr>
                    <w:pStyle w:val="44"/>
                    <w:spacing w:before="31" w:after="31"/>
                    <w:ind w:firstLine="0" w:firstLineChars="0"/>
                    <w:jc w:val="center"/>
                    <w:rPr>
                      <w:rFonts w:ascii="Times New Roman"/>
                      <w:color w:val="auto"/>
                      <w:szCs w:val="21"/>
                    </w:rPr>
                  </w:pPr>
                  <w:r>
                    <w:rPr>
                      <w:rFonts w:ascii="Times New Roman"/>
                      <w:color w:val="auto"/>
                      <w:szCs w:val="21"/>
                    </w:rPr>
                    <w:t>100人份/盒</w:t>
                  </w:r>
                </w:p>
              </w:tc>
              <w:tc>
                <w:tcPr>
                  <w:tcW w:w="1401" w:type="dxa"/>
                  <w:noWrap w:val="0"/>
                  <w:vAlign w:val="center"/>
                </w:tcPr>
                <w:p w14:paraId="76252FF5">
                  <w:pPr>
                    <w:pStyle w:val="44"/>
                    <w:spacing w:before="31" w:after="31"/>
                    <w:ind w:firstLine="0" w:firstLineChars="0"/>
                    <w:jc w:val="center"/>
                    <w:rPr>
                      <w:rFonts w:ascii="Times New Roman"/>
                      <w:color w:val="auto"/>
                      <w:szCs w:val="21"/>
                    </w:rPr>
                  </w:pPr>
                  <w:r>
                    <w:rPr>
                      <w:rFonts w:hint="eastAsia" w:ascii="Times New Roman"/>
                      <w:color w:val="auto"/>
                      <w:szCs w:val="21"/>
                    </w:rPr>
                    <w:t>1</w:t>
                  </w:r>
                  <w:r>
                    <w:rPr>
                      <w:rFonts w:hint="eastAsia" w:ascii="Times New Roman"/>
                      <w:color w:val="auto"/>
                      <w:szCs w:val="21"/>
                      <w:lang w:val="en-US" w:eastAsia="zh-CN"/>
                    </w:rPr>
                    <w:t>00</w:t>
                  </w:r>
                  <w:r>
                    <w:rPr>
                      <w:rFonts w:hint="eastAsia" w:ascii="Times New Roman"/>
                      <w:color w:val="auto"/>
                      <w:szCs w:val="21"/>
                    </w:rPr>
                    <w:t>盒</w:t>
                  </w:r>
                </w:p>
              </w:tc>
              <w:tc>
                <w:tcPr>
                  <w:tcW w:w="1128" w:type="dxa"/>
                  <w:noWrap w:val="0"/>
                  <w:vAlign w:val="center"/>
                </w:tcPr>
                <w:p w14:paraId="7D497C88">
                  <w:pPr>
                    <w:pStyle w:val="44"/>
                    <w:spacing w:before="31" w:after="31"/>
                    <w:ind w:firstLine="0" w:firstLineChars="0"/>
                    <w:jc w:val="center"/>
                    <w:rPr>
                      <w:rFonts w:ascii="Times New Roman"/>
                      <w:color w:val="auto"/>
                      <w:szCs w:val="21"/>
                    </w:rPr>
                  </w:pPr>
                  <w:r>
                    <w:rPr>
                      <w:rFonts w:hint="eastAsia" w:ascii="Times New Roman"/>
                      <w:color w:val="auto"/>
                      <w:szCs w:val="21"/>
                    </w:rPr>
                    <w:t>1</w:t>
                  </w:r>
                  <w:r>
                    <w:rPr>
                      <w:rFonts w:hint="eastAsia" w:ascii="Times New Roman"/>
                      <w:color w:val="auto"/>
                      <w:szCs w:val="21"/>
                      <w:lang w:val="en-US" w:eastAsia="zh-CN"/>
                    </w:rPr>
                    <w:t>00</w:t>
                  </w:r>
                  <w:r>
                    <w:rPr>
                      <w:rFonts w:hint="eastAsia" w:ascii="Times New Roman"/>
                      <w:color w:val="auto"/>
                      <w:szCs w:val="21"/>
                    </w:rPr>
                    <w:t>盒</w:t>
                  </w:r>
                </w:p>
              </w:tc>
              <w:tc>
                <w:tcPr>
                  <w:tcW w:w="1854" w:type="dxa"/>
                  <w:vMerge w:val="continue"/>
                  <w:noWrap w:val="0"/>
                  <w:vAlign w:val="top"/>
                </w:tcPr>
                <w:p w14:paraId="04FEF00C">
                  <w:pPr>
                    <w:jc w:val="center"/>
                    <w:rPr>
                      <w:color w:val="auto"/>
                      <w:szCs w:val="21"/>
                    </w:rPr>
                  </w:pPr>
                </w:p>
              </w:tc>
            </w:tr>
            <w:tr w14:paraId="2BF58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shd w:val="clear" w:color="auto" w:fill="auto"/>
                  <w:noWrap w:val="0"/>
                  <w:vAlign w:val="center"/>
                </w:tcPr>
                <w:p w14:paraId="194906EF">
                  <w:pPr>
                    <w:jc w:val="center"/>
                    <w:rPr>
                      <w:rFonts w:hint="default" w:ascii="Times New Roman" w:hAnsi="Times New Roman" w:eastAsia="宋体" w:cs="宋体"/>
                      <w:color w:val="auto"/>
                      <w:sz w:val="21"/>
                      <w:szCs w:val="21"/>
                      <w:lang w:val="en-US" w:eastAsia="zh-CN" w:bidi="zh-CN"/>
                    </w:rPr>
                  </w:pPr>
                  <w:r>
                    <w:rPr>
                      <w:rFonts w:hint="eastAsia" w:eastAsia="宋体"/>
                      <w:color w:val="auto"/>
                      <w:sz w:val="21"/>
                      <w:szCs w:val="21"/>
                      <w:lang w:val="en-US" w:eastAsia="zh-CN"/>
                    </w:rPr>
                    <w:t>37</w:t>
                  </w:r>
                </w:p>
              </w:tc>
              <w:tc>
                <w:tcPr>
                  <w:tcW w:w="1823" w:type="dxa"/>
                  <w:noWrap w:val="0"/>
                  <w:vAlign w:val="center"/>
                </w:tcPr>
                <w:p w14:paraId="61A04B74">
                  <w:pPr>
                    <w:pStyle w:val="44"/>
                    <w:spacing w:before="31" w:after="31"/>
                    <w:ind w:firstLine="0" w:firstLineChars="0"/>
                    <w:jc w:val="center"/>
                    <w:rPr>
                      <w:rFonts w:ascii="Times New Roman"/>
                      <w:color w:val="auto"/>
                      <w:szCs w:val="21"/>
                    </w:rPr>
                  </w:pPr>
                  <w:r>
                    <w:rPr>
                      <w:rFonts w:hint="eastAsia" w:ascii="Times New Roman"/>
                      <w:color w:val="auto"/>
                      <w:szCs w:val="21"/>
                    </w:rPr>
                    <w:t>尿试纸条11A</w:t>
                  </w:r>
                </w:p>
              </w:tc>
              <w:tc>
                <w:tcPr>
                  <w:tcW w:w="1624" w:type="dxa"/>
                  <w:noWrap w:val="0"/>
                  <w:vAlign w:val="center"/>
                </w:tcPr>
                <w:p w14:paraId="69E2DD14">
                  <w:pPr>
                    <w:pStyle w:val="44"/>
                    <w:spacing w:before="31" w:after="31"/>
                    <w:ind w:firstLine="0" w:firstLineChars="0"/>
                    <w:jc w:val="center"/>
                    <w:rPr>
                      <w:rFonts w:ascii="Times New Roman"/>
                      <w:color w:val="auto"/>
                      <w:szCs w:val="21"/>
                    </w:rPr>
                  </w:pPr>
                  <w:r>
                    <w:rPr>
                      <w:rFonts w:ascii="Times New Roman"/>
                      <w:color w:val="auto"/>
                      <w:szCs w:val="21"/>
                    </w:rPr>
                    <w:t>100</w:t>
                  </w:r>
                  <w:r>
                    <w:rPr>
                      <w:rFonts w:hint="eastAsia" w:ascii="Times New Roman"/>
                      <w:color w:val="auto"/>
                      <w:szCs w:val="21"/>
                    </w:rPr>
                    <w:t>条</w:t>
                  </w:r>
                  <w:r>
                    <w:rPr>
                      <w:rFonts w:ascii="Times New Roman"/>
                      <w:color w:val="auto"/>
                      <w:szCs w:val="21"/>
                    </w:rPr>
                    <w:t>/</w:t>
                  </w:r>
                  <w:r>
                    <w:rPr>
                      <w:rFonts w:hint="eastAsia" w:ascii="Times New Roman"/>
                      <w:color w:val="auto"/>
                      <w:szCs w:val="21"/>
                    </w:rPr>
                    <w:t>筒</w:t>
                  </w:r>
                </w:p>
              </w:tc>
              <w:tc>
                <w:tcPr>
                  <w:tcW w:w="1401" w:type="dxa"/>
                  <w:noWrap w:val="0"/>
                  <w:vAlign w:val="center"/>
                </w:tcPr>
                <w:p w14:paraId="3D7B731E">
                  <w:pPr>
                    <w:pStyle w:val="44"/>
                    <w:spacing w:before="31" w:after="31"/>
                    <w:ind w:firstLine="0" w:firstLineChars="0"/>
                    <w:jc w:val="center"/>
                    <w:rPr>
                      <w:rFonts w:ascii="Times New Roman"/>
                      <w:color w:val="auto"/>
                      <w:szCs w:val="21"/>
                    </w:rPr>
                  </w:pPr>
                  <w:r>
                    <w:rPr>
                      <w:rFonts w:hint="eastAsia" w:ascii="Times New Roman"/>
                      <w:color w:val="auto"/>
                      <w:szCs w:val="21"/>
                      <w:lang w:val="en-US" w:eastAsia="zh-CN"/>
                    </w:rPr>
                    <w:t>100</w:t>
                  </w:r>
                  <w:r>
                    <w:rPr>
                      <w:rFonts w:hint="eastAsia" w:ascii="Times New Roman"/>
                      <w:color w:val="auto"/>
                      <w:szCs w:val="21"/>
                    </w:rPr>
                    <w:t>盒</w:t>
                  </w:r>
                </w:p>
              </w:tc>
              <w:tc>
                <w:tcPr>
                  <w:tcW w:w="1128" w:type="dxa"/>
                  <w:noWrap w:val="0"/>
                  <w:vAlign w:val="center"/>
                </w:tcPr>
                <w:p w14:paraId="5C2F8D5B">
                  <w:pPr>
                    <w:pStyle w:val="44"/>
                    <w:spacing w:before="31" w:after="31"/>
                    <w:ind w:firstLine="0" w:firstLineChars="0"/>
                    <w:jc w:val="center"/>
                    <w:rPr>
                      <w:rFonts w:ascii="Times New Roman"/>
                      <w:color w:val="auto"/>
                      <w:szCs w:val="21"/>
                    </w:rPr>
                  </w:pPr>
                  <w:r>
                    <w:rPr>
                      <w:rFonts w:hint="eastAsia" w:ascii="Times New Roman"/>
                      <w:color w:val="auto"/>
                      <w:szCs w:val="21"/>
                      <w:lang w:val="en-US" w:eastAsia="zh-CN"/>
                    </w:rPr>
                    <w:t>100</w:t>
                  </w:r>
                  <w:r>
                    <w:rPr>
                      <w:rFonts w:hint="eastAsia" w:ascii="Times New Roman"/>
                      <w:color w:val="auto"/>
                      <w:szCs w:val="21"/>
                    </w:rPr>
                    <w:t>盒</w:t>
                  </w:r>
                </w:p>
              </w:tc>
              <w:tc>
                <w:tcPr>
                  <w:tcW w:w="1854" w:type="dxa"/>
                  <w:vMerge w:val="continue"/>
                  <w:noWrap w:val="0"/>
                  <w:vAlign w:val="top"/>
                </w:tcPr>
                <w:p w14:paraId="1486F338">
                  <w:pPr>
                    <w:jc w:val="center"/>
                    <w:rPr>
                      <w:color w:val="auto"/>
                      <w:szCs w:val="21"/>
                    </w:rPr>
                  </w:pPr>
                </w:p>
              </w:tc>
            </w:tr>
            <w:tr w14:paraId="2F478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shd w:val="clear" w:color="auto" w:fill="auto"/>
                  <w:noWrap w:val="0"/>
                  <w:vAlign w:val="center"/>
                </w:tcPr>
                <w:p w14:paraId="5B44C790">
                  <w:pPr>
                    <w:jc w:val="center"/>
                    <w:rPr>
                      <w:rFonts w:hint="default" w:ascii="Times New Roman" w:hAnsi="Times New Roman" w:eastAsia="宋体" w:cs="宋体"/>
                      <w:color w:val="auto"/>
                      <w:sz w:val="21"/>
                      <w:szCs w:val="21"/>
                      <w:lang w:val="en-US" w:eastAsia="zh-CN" w:bidi="zh-CN"/>
                    </w:rPr>
                  </w:pPr>
                  <w:r>
                    <w:rPr>
                      <w:rFonts w:hint="eastAsia" w:eastAsia="宋体"/>
                      <w:color w:val="auto"/>
                      <w:sz w:val="21"/>
                      <w:szCs w:val="21"/>
                      <w:lang w:val="en-US" w:eastAsia="zh-CN"/>
                    </w:rPr>
                    <w:t>38</w:t>
                  </w:r>
                </w:p>
              </w:tc>
              <w:tc>
                <w:tcPr>
                  <w:tcW w:w="1823" w:type="dxa"/>
                  <w:noWrap w:val="0"/>
                  <w:vAlign w:val="center"/>
                </w:tcPr>
                <w:p w14:paraId="6C0B81D9">
                  <w:pPr>
                    <w:pStyle w:val="44"/>
                    <w:spacing w:before="31" w:after="31"/>
                    <w:ind w:firstLine="0" w:firstLineChars="0"/>
                    <w:jc w:val="center"/>
                    <w:rPr>
                      <w:rFonts w:ascii="Times New Roman"/>
                      <w:color w:val="auto"/>
                      <w:szCs w:val="21"/>
                    </w:rPr>
                  </w:pPr>
                  <w:r>
                    <w:rPr>
                      <w:rFonts w:hint="eastAsia" w:ascii="Times New Roman"/>
                      <w:color w:val="auto"/>
                      <w:szCs w:val="21"/>
                    </w:rPr>
                    <w:t>梅毒螺旋体抗体检测试剂盒（乳胶法）</w:t>
                  </w:r>
                </w:p>
              </w:tc>
              <w:tc>
                <w:tcPr>
                  <w:tcW w:w="1624" w:type="dxa"/>
                  <w:noWrap w:val="0"/>
                  <w:vAlign w:val="center"/>
                </w:tcPr>
                <w:p w14:paraId="179A632F">
                  <w:pPr>
                    <w:pStyle w:val="44"/>
                    <w:spacing w:before="31" w:after="31"/>
                    <w:ind w:firstLine="0" w:firstLineChars="0"/>
                    <w:jc w:val="center"/>
                    <w:rPr>
                      <w:rFonts w:ascii="Times New Roman"/>
                      <w:color w:val="auto"/>
                      <w:szCs w:val="21"/>
                    </w:rPr>
                  </w:pPr>
                  <w:r>
                    <w:rPr>
                      <w:rFonts w:ascii="Times New Roman"/>
                      <w:color w:val="auto"/>
                      <w:szCs w:val="21"/>
                    </w:rPr>
                    <w:t>100人份/盒</w:t>
                  </w:r>
                </w:p>
              </w:tc>
              <w:tc>
                <w:tcPr>
                  <w:tcW w:w="1401" w:type="dxa"/>
                  <w:noWrap w:val="0"/>
                  <w:vAlign w:val="center"/>
                </w:tcPr>
                <w:p w14:paraId="2D50AAAC">
                  <w:pPr>
                    <w:pStyle w:val="44"/>
                    <w:spacing w:before="31" w:after="31"/>
                    <w:ind w:firstLine="0" w:firstLineChars="0"/>
                    <w:jc w:val="center"/>
                    <w:rPr>
                      <w:rFonts w:ascii="Times New Roman"/>
                      <w:color w:val="auto"/>
                      <w:szCs w:val="21"/>
                    </w:rPr>
                  </w:pPr>
                  <w:r>
                    <w:rPr>
                      <w:rFonts w:hint="eastAsia" w:ascii="Times New Roman"/>
                      <w:color w:val="auto"/>
                      <w:szCs w:val="21"/>
                      <w:lang w:val="en-US" w:eastAsia="zh-CN"/>
                    </w:rPr>
                    <w:t>10</w:t>
                  </w:r>
                  <w:r>
                    <w:rPr>
                      <w:rFonts w:hint="eastAsia" w:ascii="Times New Roman"/>
                      <w:color w:val="auto"/>
                      <w:szCs w:val="21"/>
                    </w:rPr>
                    <w:t>盒</w:t>
                  </w:r>
                </w:p>
              </w:tc>
              <w:tc>
                <w:tcPr>
                  <w:tcW w:w="1128" w:type="dxa"/>
                  <w:noWrap w:val="0"/>
                  <w:vAlign w:val="center"/>
                </w:tcPr>
                <w:p w14:paraId="6319B64D">
                  <w:pPr>
                    <w:pStyle w:val="44"/>
                    <w:spacing w:before="31" w:after="31"/>
                    <w:ind w:firstLine="0" w:firstLineChars="0"/>
                    <w:jc w:val="center"/>
                    <w:rPr>
                      <w:rFonts w:ascii="Times New Roman"/>
                      <w:color w:val="auto"/>
                      <w:szCs w:val="21"/>
                    </w:rPr>
                  </w:pPr>
                  <w:r>
                    <w:rPr>
                      <w:rFonts w:hint="eastAsia" w:ascii="Times New Roman"/>
                      <w:color w:val="auto"/>
                      <w:szCs w:val="21"/>
                      <w:lang w:val="en-US" w:eastAsia="zh-CN"/>
                    </w:rPr>
                    <w:t>10</w:t>
                  </w:r>
                  <w:r>
                    <w:rPr>
                      <w:rFonts w:hint="eastAsia" w:ascii="Times New Roman"/>
                      <w:color w:val="auto"/>
                      <w:szCs w:val="21"/>
                    </w:rPr>
                    <w:t>盒</w:t>
                  </w:r>
                </w:p>
              </w:tc>
              <w:tc>
                <w:tcPr>
                  <w:tcW w:w="1854" w:type="dxa"/>
                  <w:vMerge w:val="continue"/>
                  <w:noWrap w:val="0"/>
                  <w:vAlign w:val="top"/>
                </w:tcPr>
                <w:p w14:paraId="054DF44D">
                  <w:pPr>
                    <w:jc w:val="center"/>
                    <w:rPr>
                      <w:color w:val="auto"/>
                      <w:szCs w:val="21"/>
                    </w:rPr>
                  </w:pPr>
                </w:p>
              </w:tc>
            </w:tr>
            <w:tr w14:paraId="5CF66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shd w:val="clear" w:color="auto" w:fill="auto"/>
                  <w:noWrap w:val="0"/>
                  <w:vAlign w:val="center"/>
                </w:tcPr>
                <w:p w14:paraId="2A9D539C">
                  <w:pPr>
                    <w:jc w:val="center"/>
                    <w:rPr>
                      <w:rFonts w:hint="default" w:eastAsia="宋体"/>
                      <w:color w:val="auto"/>
                      <w:sz w:val="21"/>
                      <w:szCs w:val="21"/>
                      <w:u w:val="single"/>
                      <w:lang w:val="en-US" w:eastAsia="zh-CN"/>
                    </w:rPr>
                  </w:pPr>
                  <w:r>
                    <w:rPr>
                      <w:rFonts w:hint="eastAsia" w:eastAsia="宋体"/>
                      <w:color w:val="auto"/>
                      <w:sz w:val="21"/>
                      <w:szCs w:val="21"/>
                      <w:u w:val="single"/>
                      <w:lang w:val="en-US" w:eastAsia="zh-CN"/>
                    </w:rPr>
                    <w:t>39</w:t>
                  </w:r>
                </w:p>
              </w:tc>
              <w:tc>
                <w:tcPr>
                  <w:tcW w:w="1823" w:type="dxa"/>
                  <w:noWrap w:val="0"/>
                  <w:vAlign w:val="center"/>
                </w:tcPr>
                <w:p w14:paraId="2BF72EB0">
                  <w:pPr>
                    <w:pStyle w:val="44"/>
                    <w:spacing w:before="31" w:after="31"/>
                    <w:ind w:firstLine="0" w:firstLineChars="0"/>
                    <w:jc w:val="center"/>
                    <w:rPr>
                      <w:rFonts w:hint="default" w:ascii="Times New Roman" w:eastAsia="宋体"/>
                      <w:color w:val="auto"/>
                      <w:szCs w:val="21"/>
                      <w:u w:val="single"/>
                      <w:lang w:val="en-US" w:eastAsia="zh-CN"/>
                    </w:rPr>
                  </w:pPr>
                  <w:r>
                    <w:rPr>
                      <w:rFonts w:hint="eastAsia" w:cs="Times New Roman"/>
                      <w:color w:val="auto"/>
                      <w:sz w:val="21"/>
                      <w:szCs w:val="21"/>
                      <w:u w:val="single"/>
                      <w:lang w:val="en-US" w:eastAsia="zh-CN"/>
                    </w:rPr>
                    <w:t>活性氧消毒粉</w:t>
                  </w:r>
                </w:p>
              </w:tc>
              <w:tc>
                <w:tcPr>
                  <w:tcW w:w="1624" w:type="dxa"/>
                  <w:noWrap w:val="0"/>
                  <w:vAlign w:val="center"/>
                </w:tcPr>
                <w:p w14:paraId="41471E9D">
                  <w:pPr>
                    <w:pStyle w:val="44"/>
                    <w:bidi w:val="0"/>
                    <w:ind w:right="113" w:rightChars="0" w:firstLine="0" w:firstLineChars="0"/>
                    <w:rPr>
                      <w:rFonts w:ascii="Times New Roman"/>
                      <w:color w:val="auto"/>
                      <w:szCs w:val="21"/>
                      <w:u w:val="single"/>
                    </w:rPr>
                  </w:pPr>
                  <w:r>
                    <w:rPr>
                      <w:rFonts w:hint="eastAsia" w:ascii="Times New Roman" w:cs="Times New Roman"/>
                      <w:color w:val="auto"/>
                      <w:sz w:val="21"/>
                      <w:szCs w:val="21"/>
                      <w:highlight w:val="none"/>
                      <w:u w:val="single"/>
                      <w:lang w:val="en-US" w:eastAsia="zh-CN"/>
                    </w:rPr>
                    <w:t>25</w:t>
                  </w:r>
                  <w:r>
                    <w:rPr>
                      <w:rFonts w:hint="eastAsia" w:ascii="Times New Roman" w:hAnsi="Times New Roman" w:eastAsia="宋体" w:cs="Times New Roman"/>
                      <w:color w:val="auto"/>
                      <w:sz w:val="21"/>
                      <w:szCs w:val="21"/>
                      <w:highlight w:val="none"/>
                      <w:u w:val="single"/>
                      <w:lang w:val="en-US" w:eastAsia="zh-CN"/>
                    </w:rPr>
                    <w:t>kg/</w:t>
                  </w:r>
                  <w:r>
                    <w:rPr>
                      <w:rFonts w:hint="eastAsia" w:ascii="Times New Roman" w:cs="Times New Roman"/>
                      <w:color w:val="auto"/>
                      <w:sz w:val="21"/>
                      <w:szCs w:val="21"/>
                      <w:highlight w:val="none"/>
                      <w:u w:val="single"/>
                      <w:lang w:val="en-US" w:eastAsia="zh-CN"/>
                    </w:rPr>
                    <w:t>桶</w:t>
                  </w:r>
                </w:p>
              </w:tc>
              <w:tc>
                <w:tcPr>
                  <w:tcW w:w="1401" w:type="dxa"/>
                  <w:noWrap w:val="0"/>
                  <w:vAlign w:val="center"/>
                </w:tcPr>
                <w:p w14:paraId="6ECFE597">
                  <w:pPr>
                    <w:pStyle w:val="44"/>
                    <w:bidi w:val="0"/>
                    <w:ind w:right="113" w:rightChars="0" w:firstLine="0" w:firstLineChars="0"/>
                    <w:rPr>
                      <w:rFonts w:hint="eastAsia" w:ascii="Times New Roman"/>
                      <w:color w:val="auto"/>
                      <w:szCs w:val="21"/>
                      <w:u w:val="single"/>
                    </w:rPr>
                  </w:pPr>
                  <w:r>
                    <w:rPr>
                      <w:rFonts w:hint="eastAsia" w:ascii="Times New Roman" w:cs="Times New Roman"/>
                      <w:color w:val="auto"/>
                      <w:sz w:val="21"/>
                      <w:szCs w:val="21"/>
                      <w:highlight w:val="none"/>
                      <w:u w:val="single"/>
                      <w:lang w:val="en-US" w:eastAsia="zh-CN"/>
                    </w:rPr>
                    <w:t>2t</w:t>
                  </w:r>
                </w:p>
              </w:tc>
              <w:tc>
                <w:tcPr>
                  <w:tcW w:w="1128" w:type="dxa"/>
                  <w:noWrap w:val="0"/>
                  <w:vAlign w:val="center"/>
                </w:tcPr>
                <w:p w14:paraId="52844CC3">
                  <w:pPr>
                    <w:pStyle w:val="44"/>
                    <w:bidi w:val="0"/>
                    <w:ind w:right="113" w:rightChars="0" w:firstLine="0" w:firstLineChars="0"/>
                    <w:rPr>
                      <w:rFonts w:hint="eastAsia" w:ascii="Times New Roman"/>
                      <w:color w:val="auto"/>
                      <w:szCs w:val="21"/>
                      <w:u w:val="single"/>
                    </w:rPr>
                  </w:pPr>
                  <w:r>
                    <w:rPr>
                      <w:rFonts w:hint="eastAsia" w:ascii="Times New Roman" w:cs="Times New Roman"/>
                      <w:color w:val="auto"/>
                      <w:sz w:val="21"/>
                      <w:szCs w:val="21"/>
                      <w:highlight w:val="none"/>
                      <w:u w:val="single"/>
                      <w:lang w:val="en-US" w:eastAsia="zh-CN"/>
                    </w:rPr>
                    <w:t>0.5t</w:t>
                  </w:r>
                </w:p>
              </w:tc>
              <w:tc>
                <w:tcPr>
                  <w:tcW w:w="1854" w:type="dxa"/>
                  <w:noWrap w:val="0"/>
                  <w:vAlign w:val="top"/>
                </w:tcPr>
                <w:p w14:paraId="25F53D4B">
                  <w:pPr>
                    <w:jc w:val="center"/>
                    <w:rPr>
                      <w:color w:val="auto"/>
                      <w:szCs w:val="21"/>
                      <w:u w:val="single"/>
                    </w:rPr>
                  </w:pPr>
                  <w:r>
                    <w:rPr>
                      <w:rFonts w:hint="eastAsia" w:ascii="Times New Roman" w:hAnsi="Times New Roman" w:eastAsia="宋体" w:cs="Times New Roman"/>
                      <w:color w:val="auto"/>
                      <w:sz w:val="21"/>
                      <w:szCs w:val="21"/>
                      <w:u w:val="single"/>
                      <w:lang w:val="en-US" w:eastAsia="zh-CN"/>
                    </w:rPr>
                    <w:t>专用于医疗废水消毒</w:t>
                  </w:r>
                </w:p>
              </w:tc>
            </w:tr>
            <w:tr w14:paraId="540C4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shd w:val="clear" w:color="auto" w:fill="auto"/>
                  <w:noWrap w:val="0"/>
                  <w:vAlign w:val="center"/>
                </w:tcPr>
                <w:p w14:paraId="3ED37E6B">
                  <w:pPr>
                    <w:jc w:val="center"/>
                    <w:rPr>
                      <w:rFonts w:hint="default" w:eastAsia="宋体"/>
                      <w:color w:val="auto"/>
                      <w:sz w:val="21"/>
                      <w:szCs w:val="21"/>
                      <w:u w:val="single"/>
                      <w:lang w:val="en-US" w:eastAsia="zh-CN"/>
                    </w:rPr>
                  </w:pPr>
                  <w:r>
                    <w:rPr>
                      <w:rFonts w:hint="eastAsia"/>
                      <w:color w:val="auto"/>
                      <w:sz w:val="21"/>
                      <w:szCs w:val="21"/>
                      <w:u w:val="single"/>
                      <w:lang w:val="en-US" w:eastAsia="zh-CN"/>
                    </w:rPr>
                    <w:t>40</w:t>
                  </w:r>
                </w:p>
              </w:tc>
              <w:tc>
                <w:tcPr>
                  <w:tcW w:w="1823" w:type="dxa"/>
                  <w:noWrap w:val="0"/>
                  <w:vAlign w:val="center"/>
                </w:tcPr>
                <w:p w14:paraId="5489124E">
                  <w:pPr>
                    <w:pStyle w:val="44"/>
                    <w:spacing w:before="31" w:after="31"/>
                    <w:ind w:firstLine="0" w:firstLineChars="0"/>
                    <w:jc w:val="center"/>
                    <w:rPr>
                      <w:rFonts w:hint="eastAsia" w:cs="Times New Roman"/>
                      <w:color w:val="auto"/>
                      <w:sz w:val="21"/>
                      <w:szCs w:val="21"/>
                      <w:u w:val="single"/>
                      <w:lang w:val="en-US" w:eastAsia="zh-CN"/>
                    </w:rPr>
                  </w:pPr>
                  <w:r>
                    <w:rPr>
                      <w:rFonts w:hint="eastAsia" w:cs="Times New Roman"/>
                      <w:color w:val="auto"/>
                      <w:sz w:val="21"/>
                      <w:szCs w:val="21"/>
                      <w:u w:val="single"/>
                      <w:lang w:val="en-US" w:eastAsia="zh-CN"/>
                    </w:rPr>
                    <w:t>无磷洗衣液</w:t>
                  </w:r>
                </w:p>
              </w:tc>
              <w:tc>
                <w:tcPr>
                  <w:tcW w:w="1624" w:type="dxa"/>
                  <w:noWrap w:val="0"/>
                  <w:vAlign w:val="center"/>
                </w:tcPr>
                <w:p w14:paraId="78E9CDDC">
                  <w:pPr>
                    <w:pStyle w:val="44"/>
                    <w:bidi w:val="0"/>
                    <w:ind w:right="113" w:rightChars="0" w:firstLine="0" w:firstLineChars="0"/>
                    <w:rPr>
                      <w:rFonts w:hint="default" w:ascii="Times New Roman" w:cs="Times New Roman"/>
                      <w:color w:val="auto"/>
                      <w:sz w:val="21"/>
                      <w:szCs w:val="21"/>
                      <w:highlight w:val="none"/>
                      <w:u w:val="single"/>
                      <w:lang w:val="en-US" w:eastAsia="zh-CN"/>
                    </w:rPr>
                  </w:pPr>
                  <w:r>
                    <w:rPr>
                      <w:rFonts w:hint="eastAsia" w:ascii="Times New Roman" w:cs="Times New Roman"/>
                      <w:color w:val="auto"/>
                      <w:sz w:val="21"/>
                      <w:szCs w:val="21"/>
                      <w:highlight w:val="none"/>
                      <w:u w:val="single"/>
                      <w:lang w:val="en-US" w:eastAsia="zh-CN"/>
                    </w:rPr>
                    <w:t>50</w:t>
                  </w:r>
                  <w:r>
                    <w:rPr>
                      <w:rFonts w:hint="eastAsia" w:ascii="Times New Roman" w:hAnsi="Times New Roman" w:eastAsia="宋体" w:cs="Times New Roman"/>
                      <w:color w:val="auto"/>
                      <w:sz w:val="21"/>
                      <w:szCs w:val="21"/>
                      <w:highlight w:val="none"/>
                      <w:u w:val="single"/>
                      <w:lang w:val="en-US" w:eastAsia="zh-CN"/>
                    </w:rPr>
                    <w:t>kg/</w:t>
                  </w:r>
                  <w:r>
                    <w:rPr>
                      <w:rFonts w:hint="eastAsia" w:ascii="Times New Roman" w:cs="Times New Roman"/>
                      <w:color w:val="auto"/>
                      <w:sz w:val="21"/>
                      <w:szCs w:val="21"/>
                      <w:highlight w:val="none"/>
                      <w:u w:val="single"/>
                      <w:lang w:val="en-US" w:eastAsia="zh-CN"/>
                    </w:rPr>
                    <w:t>桶</w:t>
                  </w:r>
                </w:p>
              </w:tc>
              <w:tc>
                <w:tcPr>
                  <w:tcW w:w="1401" w:type="dxa"/>
                  <w:noWrap w:val="0"/>
                  <w:vAlign w:val="center"/>
                </w:tcPr>
                <w:p w14:paraId="4D11851E">
                  <w:pPr>
                    <w:pStyle w:val="44"/>
                    <w:bidi w:val="0"/>
                    <w:ind w:right="113" w:rightChars="0" w:firstLine="0" w:firstLineChars="0"/>
                    <w:rPr>
                      <w:rFonts w:hint="default" w:ascii="Times New Roman" w:cs="Times New Roman"/>
                      <w:color w:val="auto"/>
                      <w:sz w:val="21"/>
                      <w:szCs w:val="21"/>
                      <w:highlight w:val="none"/>
                      <w:u w:val="single"/>
                      <w:lang w:val="en-US" w:eastAsia="zh-CN"/>
                    </w:rPr>
                  </w:pPr>
                  <w:r>
                    <w:rPr>
                      <w:rFonts w:hint="eastAsia" w:ascii="Times New Roman" w:cs="Times New Roman"/>
                      <w:color w:val="auto"/>
                      <w:sz w:val="21"/>
                      <w:szCs w:val="21"/>
                      <w:highlight w:val="none"/>
                      <w:u w:val="single"/>
                      <w:lang w:val="en-US" w:eastAsia="zh-CN"/>
                    </w:rPr>
                    <w:t>0.7t</w:t>
                  </w:r>
                </w:p>
              </w:tc>
              <w:tc>
                <w:tcPr>
                  <w:tcW w:w="1128" w:type="dxa"/>
                  <w:noWrap w:val="0"/>
                  <w:vAlign w:val="center"/>
                </w:tcPr>
                <w:p w14:paraId="246AD8E9">
                  <w:pPr>
                    <w:pStyle w:val="44"/>
                    <w:bidi w:val="0"/>
                    <w:ind w:right="113" w:rightChars="0" w:firstLine="0" w:firstLineChars="0"/>
                    <w:rPr>
                      <w:rFonts w:hint="default" w:ascii="Times New Roman" w:cs="Times New Roman"/>
                      <w:color w:val="auto"/>
                      <w:sz w:val="21"/>
                      <w:szCs w:val="21"/>
                      <w:highlight w:val="none"/>
                      <w:u w:val="single"/>
                      <w:lang w:val="en-US" w:eastAsia="zh-CN"/>
                    </w:rPr>
                  </w:pPr>
                  <w:r>
                    <w:rPr>
                      <w:rFonts w:hint="eastAsia" w:ascii="Times New Roman" w:cs="Times New Roman"/>
                      <w:color w:val="auto"/>
                      <w:sz w:val="21"/>
                      <w:szCs w:val="21"/>
                      <w:highlight w:val="none"/>
                      <w:u w:val="single"/>
                      <w:lang w:val="en-US" w:eastAsia="zh-CN"/>
                    </w:rPr>
                    <w:t>0.1t</w:t>
                  </w:r>
                </w:p>
              </w:tc>
              <w:tc>
                <w:tcPr>
                  <w:tcW w:w="1854" w:type="dxa"/>
                  <w:noWrap w:val="0"/>
                  <w:vAlign w:val="top"/>
                </w:tcPr>
                <w:p w14:paraId="6445AC5C">
                  <w:pPr>
                    <w:jc w:val="center"/>
                    <w:rPr>
                      <w:rFonts w:hint="eastAsia"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衣被洗涤</w:t>
                  </w:r>
                </w:p>
              </w:tc>
            </w:tr>
            <w:tr w14:paraId="667B6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shd w:val="clear" w:color="auto" w:fill="auto"/>
                  <w:noWrap w:val="0"/>
                  <w:vAlign w:val="center"/>
                </w:tcPr>
                <w:p w14:paraId="17CE9C15">
                  <w:pPr>
                    <w:jc w:val="center"/>
                    <w:rPr>
                      <w:rFonts w:hint="default" w:ascii="Times New Roman" w:hAnsi="Times New Roman" w:eastAsia="宋体" w:cs="宋体"/>
                      <w:color w:val="auto"/>
                      <w:sz w:val="21"/>
                      <w:szCs w:val="21"/>
                      <w:u w:val="none"/>
                      <w:lang w:val="en-US" w:eastAsia="zh-CN" w:bidi="zh-CN"/>
                    </w:rPr>
                  </w:pPr>
                  <w:r>
                    <w:rPr>
                      <w:rFonts w:hint="eastAsia"/>
                      <w:color w:val="auto"/>
                      <w:sz w:val="21"/>
                      <w:szCs w:val="21"/>
                      <w:u w:val="none"/>
                      <w:lang w:val="en-US" w:eastAsia="zh-CN"/>
                    </w:rPr>
                    <w:t>41</w:t>
                  </w:r>
                </w:p>
              </w:tc>
              <w:tc>
                <w:tcPr>
                  <w:tcW w:w="1823" w:type="dxa"/>
                  <w:noWrap w:val="0"/>
                  <w:vAlign w:val="center"/>
                </w:tcPr>
                <w:p w14:paraId="4C66A7FC">
                  <w:pPr>
                    <w:jc w:val="center"/>
                    <w:rPr>
                      <w:color w:val="auto"/>
                      <w:sz w:val="21"/>
                      <w:szCs w:val="21"/>
                    </w:rPr>
                  </w:pPr>
                  <w:r>
                    <w:rPr>
                      <w:color w:val="auto"/>
                      <w:sz w:val="21"/>
                      <w:szCs w:val="21"/>
                    </w:rPr>
                    <w:t>水</w:t>
                  </w:r>
                </w:p>
              </w:tc>
              <w:tc>
                <w:tcPr>
                  <w:tcW w:w="1624" w:type="dxa"/>
                  <w:noWrap w:val="0"/>
                  <w:vAlign w:val="center"/>
                </w:tcPr>
                <w:p w14:paraId="4DDCA8FF">
                  <w:pPr>
                    <w:jc w:val="center"/>
                    <w:rPr>
                      <w:color w:val="auto"/>
                      <w:sz w:val="21"/>
                      <w:szCs w:val="21"/>
                    </w:rPr>
                  </w:pPr>
                  <w:r>
                    <w:rPr>
                      <w:color w:val="auto"/>
                      <w:sz w:val="21"/>
                      <w:szCs w:val="21"/>
                    </w:rPr>
                    <w:t>自来水</w:t>
                  </w:r>
                </w:p>
              </w:tc>
              <w:tc>
                <w:tcPr>
                  <w:tcW w:w="1401" w:type="dxa"/>
                  <w:noWrap w:val="0"/>
                  <w:vAlign w:val="center"/>
                </w:tcPr>
                <w:p w14:paraId="1BB93628">
                  <w:pPr>
                    <w:jc w:val="center"/>
                    <w:rPr>
                      <w:color w:val="auto"/>
                      <w:sz w:val="21"/>
                      <w:szCs w:val="21"/>
                    </w:rPr>
                  </w:pPr>
                  <w:r>
                    <w:rPr>
                      <w:rFonts w:hint="eastAsia"/>
                      <w:color w:val="auto"/>
                      <w:sz w:val="21"/>
                      <w:szCs w:val="21"/>
                      <w:lang w:val="en-US" w:eastAsia="zh-CN"/>
                    </w:rPr>
                    <w:t>56119</w:t>
                  </w:r>
                  <w:r>
                    <w:rPr>
                      <w:rFonts w:hint="eastAsia"/>
                      <w:color w:val="auto"/>
                      <w:sz w:val="21"/>
                      <w:szCs w:val="21"/>
                    </w:rPr>
                    <w:t>m</w:t>
                  </w:r>
                  <w:r>
                    <w:rPr>
                      <w:rFonts w:hint="eastAsia"/>
                      <w:color w:val="auto"/>
                      <w:sz w:val="21"/>
                      <w:szCs w:val="21"/>
                      <w:vertAlign w:val="superscript"/>
                    </w:rPr>
                    <w:t>3</w:t>
                  </w:r>
                </w:p>
              </w:tc>
              <w:tc>
                <w:tcPr>
                  <w:tcW w:w="1128" w:type="dxa"/>
                  <w:noWrap w:val="0"/>
                  <w:vAlign w:val="center"/>
                </w:tcPr>
                <w:p w14:paraId="4DCA171B">
                  <w:pPr>
                    <w:jc w:val="center"/>
                    <w:rPr>
                      <w:color w:val="auto"/>
                      <w:szCs w:val="21"/>
                    </w:rPr>
                  </w:pPr>
                  <w:r>
                    <w:rPr>
                      <w:rFonts w:hint="eastAsia"/>
                      <w:color w:val="auto"/>
                      <w:szCs w:val="21"/>
                    </w:rPr>
                    <w:t>/</w:t>
                  </w:r>
                </w:p>
              </w:tc>
              <w:tc>
                <w:tcPr>
                  <w:tcW w:w="1854" w:type="dxa"/>
                  <w:noWrap w:val="0"/>
                  <w:vAlign w:val="center"/>
                </w:tcPr>
                <w:p w14:paraId="59E16974">
                  <w:pPr>
                    <w:jc w:val="center"/>
                    <w:rPr>
                      <w:rFonts w:hint="eastAsia" w:eastAsia="宋体"/>
                      <w:color w:val="auto"/>
                      <w:sz w:val="21"/>
                      <w:szCs w:val="21"/>
                      <w:lang w:eastAsia="zh-CN"/>
                    </w:rPr>
                  </w:pPr>
                  <w:r>
                    <w:rPr>
                      <w:rFonts w:hint="eastAsia"/>
                      <w:color w:val="auto"/>
                      <w:sz w:val="21"/>
                      <w:szCs w:val="21"/>
                      <w:lang w:eastAsia="zh-CN"/>
                    </w:rPr>
                    <w:t>市政供水</w:t>
                  </w:r>
                </w:p>
              </w:tc>
            </w:tr>
            <w:tr w14:paraId="3B3AA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shd w:val="clear" w:color="auto" w:fill="auto"/>
                  <w:noWrap w:val="0"/>
                  <w:vAlign w:val="center"/>
                </w:tcPr>
                <w:p w14:paraId="3FA0B11F">
                  <w:pPr>
                    <w:jc w:val="center"/>
                    <w:rPr>
                      <w:rFonts w:hint="default" w:ascii="Times New Roman" w:hAnsi="Times New Roman" w:eastAsia="宋体" w:cs="宋体"/>
                      <w:color w:val="auto"/>
                      <w:sz w:val="21"/>
                      <w:szCs w:val="21"/>
                      <w:lang w:val="en-US" w:eastAsia="zh-CN" w:bidi="zh-CN"/>
                    </w:rPr>
                  </w:pPr>
                  <w:r>
                    <w:rPr>
                      <w:rFonts w:hint="eastAsia" w:eastAsia="宋体"/>
                      <w:color w:val="auto"/>
                      <w:sz w:val="21"/>
                      <w:szCs w:val="21"/>
                      <w:lang w:val="en-US" w:eastAsia="zh-CN"/>
                    </w:rPr>
                    <w:t>4</w:t>
                  </w:r>
                  <w:r>
                    <w:rPr>
                      <w:rFonts w:hint="eastAsia"/>
                      <w:color w:val="auto"/>
                      <w:sz w:val="21"/>
                      <w:szCs w:val="21"/>
                      <w:lang w:val="en-US" w:eastAsia="zh-CN"/>
                    </w:rPr>
                    <w:t>2</w:t>
                  </w:r>
                </w:p>
              </w:tc>
              <w:tc>
                <w:tcPr>
                  <w:tcW w:w="1823" w:type="dxa"/>
                  <w:noWrap w:val="0"/>
                  <w:vAlign w:val="center"/>
                </w:tcPr>
                <w:p w14:paraId="2A6CACFF">
                  <w:pPr>
                    <w:jc w:val="center"/>
                    <w:rPr>
                      <w:color w:val="auto"/>
                      <w:sz w:val="21"/>
                      <w:szCs w:val="21"/>
                    </w:rPr>
                  </w:pPr>
                  <w:r>
                    <w:rPr>
                      <w:color w:val="auto"/>
                      <w:sz w:val="21"/>
                      <w:szCs w:val="21"/>
                    </w:rPr>
                    <w:t>电</w:t>
                  </w:r>
                </w:p>
              </w:tc>
              <w:tc>
                <w:tcPr>
                  <w:tcW w:w="1624" w:type="dxa"/>
                  <w:noWrap w:val="0"/>
                  <w:vAlign w:val="center"/>
                </w:tcPr>
                <w:p w14:paraId="2A2B924A">
                  <w:pPr>
                    <w:jc w:val="center"/>
                    <w:rPr>
                      <w:color w:val="auto"/>
                      <w:sz w:val="21"/>
                      <w:szCs w:val="21"/>
                    </w:rPr>
                  </w:pPr>
                  <w:r>
                    <w:rPr>
                      <w:color w:val="auto"/>
                      <w:sz w:val="21"/>
                      <w:szCs w:val="21"/>
                    </w:rPr>
                    <w:t>电网</w:t>
                  </w:r>
                </w:p>
              </w:tc>
              <w:tc>
                <w:tcPr>
                  <w:tcW w:w="1401" w:type="dxa"/>
                  <w:noWrap w:val="0"/>
                  <w:vAlign w:val="center"/>
                </w:tcPr>
                <w:p w14:paraId="67C49959">
                  <w:pPr>
                    <w:jc w:val="center"/>
                    <w:rPr>
                      <w:color w:val="auto"/>
                      <w:sz w:val="21"/>
                      <w:szCs w:val="21"/>
                    </w:rPr>
                  </w:pPr>
                  <w:r>
                    <w:rPr>
                      <w:rFonts w:hint="eastAsia"/>
                      <w:color w:val="auto"/>
                      <w:sz w:val="21"/>
                      <w:szCs w:val="21"/>
                      <w:lang w:val="en-US" w:eastAsia="zh-CN"/>
                    </w:rPr>
                    <w:t>20万</w:t>
                  </w:r>
                  <w:r>
                    <w:rPr>
                      <w:rFonts w:hint="eastAsia"/>
                      <w:color w:val="auto"/>
                      <w:sz w:val="21"/>
                      <w:szCs w:val="21"/>
                    </w:rPr>
                    <w:t>度</w:t>
                  </w:r>
                </w:p>
              </w:tc>
              <w:tc>
                <w:tcPr>
                  <w:tcW w:w="1128" w:type="dxa"/>
                  <w:noWrap w:val="0"/>
                  <w:vAlign w:val="center"/>
                </w:tcPr>
                <w:p w14:paraId="5DF8DB02">
                  <w:pPr>
                    <w:jc w:val="center"/>
                    <w:rPr>
                      <w:color w:val="auto"/>
                      <w:szCs w:val="21"/>
                    </w:rPr>
                  </w:pPr>
                  <w:r>
                    <w:rPr>
                      <w:rFonts w:hint="eastAsia"/>
                      <w:color w:val="auto"/>
                      <w:szCs w:val="21"/>
                    </w:rPr>
                    <w:t>/</w:t>
                  </w:r>
                </w:p>
              </w:tc>
              <w:tc>
                <w:tcPr>
                  <w:tcW w:w="1854" w:type="dxa"/>
                  <w:noWrap w:val="0"/>
                  <w:vAlign w:val="center"/>
                </w:tcPr>
                <w:p w14:paraId="0C20156A">
                  <w:pPr>
                    <w:jc w:val="center"/>
                    <w:rPr>
                      <w:rFonts w:hint="eastAsia" w:eastAsia="宋体"/>
                      <w:color w:val="auto"/>
                      <w:sz w:val="21"/>
                      <w:szCs w:val="21"/>
                      <w:lang w:eastAsia="zh-CN"/>
                    </w:rPr>
                  </w:pPr>
                  <w:r>
                    <w:rPr>
                      <w:rFonts w:hint="eastAsia"/>
                      <w:color w:val="auto"/>
                      <w:sz w:val="21"/>
                      <w:szCs w:val="21"/>
                      <w:lang w:eastAsia="zh-CN"/>
                    </w:rPr>
                    <w:t>市政供电</w:t>
                  </w:r>
                </w:p>
              </w:tc>
            </w:tr>
          </w:tbl>
          <w:p w14:paraId="4D71F9AB">
            <w:pPr>
              <w:keepNext w:val="0"/>
              <w:keepLines w:val="0"/>
              <w:widowControl/>
              <w:spacing w:before="120"/>
              <w:ind w:firstLine="480" w:firstLineChars="200"/>
              <w:jc w:val="left"/>
              <w:outlineLvl w:val="1"/>
              <w:rPr>
                <w:rFonts w:hint="eastAsia"/>
                <w:b w:val="0"/>
                <w:bCs w:val="0"/>
                <w:color w:val="0000FF"/>
                <w:highlight w:val="none"/>
                <w:u w:val="single"/>
                <w:lang w:val="en-US" w:eastAsia="zh-CN"/>
              </w:rPr>
            </w:pPr>
            <w:r>
              <w:rPr>
                <w:rFonts w:hint="eastAsia"/>
                <w:b w:val="0"/>
                <w:bCs w:val="0"/>
                <w:color w:val="0000FF"/>
                <w:highlight w:val="none"/>
                <w:u w:val="single"/>
                <w:lang w:val="en-US" w:eastAsia="zh-CN"/>
              </w:rPr>
              <w:t>活性氧消毒粉:单过硫酸氢钾复合粉(Oxone，2KHSO</w:t>
            </w:r>
            <w:r>
              <w:rPr>
                <w:rFonts w:hint="eastAsia"/>
                <w:b w:val="0"/>
                <w:bCs w:val="0"/>
                <w:color w:val="0000FF"/>
                <w:highlight w:val="none"/>
                <w:u w:val="single"/>
                <w:vertAlign w:val="subscript"/>
                <w:lang w:val="en-US" w:eastAsia="zh-CN"/>
              </w:rPr>
              <w:t>5</w:t>
            </w:r>
            <w:r>
              <w:rPr>
                <w:rFonts w:hint="eastAsia"/>
                <w:b w:val="0"/>
                <w:bCs w:val="0"/>
                <w:color w:val="0000FF"/>
                <w:highlight w:val="none"/>
                <w:u w:val="single"/>
                <w:lang w:val="en-US" w:eastAsia="zh-CN"/>
              </w:rPr>
              <w:t>·KHSO</w:t>
            </w:r>
            <w:r>
              <w:rPr>
                <w:rFonts w:hint="eastAsia"/>
                <w:b w:val="0"/>
                <w:bCs w:val="0"/>
                <w:color w:val="0000FF"/>
                <w:highlight w:val="none"/>
                <w:u w:val="single"/>
                <w:vertAlign w:val="subscript"/>
                <w:lang w:val="en-US" w:eastAsia="zh-CN"/>
              </w:rPr>
              <w:t>4</w:t>
            </w:r>
            <w:r>
              <w:rPr>
                <w:rFonts w:hint="eastAsia"/>
                <w:b w:val="0"/>
                <w:bCs w:val="0"/>
                <w:color w:val="0000FF"/>
                <w:highlight w:val="none"/>
                <w:u w:val="single"/>
                <w:lang w:val="en-US" w:eastAsia="zh-CN"/>
              </w:rPr>
              <w:t>·K</w:t>
            </w:r>
            <w:r>
              <w:rPr>
                <w:rFonts w:hint="eastAsia"/>
                <w:b w:val="0"/>
                <w:bCs w:val="0"/>
                <w:color w:val="0000FF"/>
                <w:highlight w:val="none"/>
                <w:u w:val="single"/>
                <w:vertAlign w:val="subscript"/>
                <w:lang w:val="en-US" w:eastAsia="zh-CN"/>
              </w:rPr>
              <w:t>2</w:t>
            </w:r>
            <w:r>
              <w:rPr>
                <w:rFonts w:hint="eastAsia"/>
                <w:b w:val="0"/>
                <w:bCs w:val="0"/>
                <w:color w:val="0000FF"/>
                <w:highlight w:val="none"/>
                <w:u w:val="single"/>
                <w:lang w:val="en-US" w:eastAsia="zh-CN"/>
              </w:rPr>
              <w:t>SO</w:t>
            </w:r>
            <w:r>
              <w:rPr>
                <w:rFonts w:hint="eastAsia"/>
                <w:b w:val="0"/>
                <w:bCs w:val="0"/>
                <w:color w:val="0000FF"/>
                <w:highlight w:val="none"/>
                <w:u w:val="single"/>
                <w:vertAlign w:val="subscript"/>
                <w:lang w:val="en-US" w:eastAsia="zh-CN"/>
              </w:rPr>
              <w:t>4</w:t>
            </w:r>
            <w:r>
              <w:rPr>
                <w:rFonts w:hint="eastAsia"/>
                <w:b w:val="0"/>
                <w:bCs w:val="0"/>
                <w:color w:val="0000FF"/>
                <w:highlight w:val="none"/>
                <w:u w:val="single"/>
                <w:lang w:val="en-US" w:eastAsia="zh-CN"/>
              </w:rPr>
              <w:t>)是一种新型消毒剂，KHSOs，Peroxymonosulfate，简称PMS)是复合粉的活性成分和氧化势能的来源。单过硫酸氢钾复合粉在水种释放多种高能量、高活性的小分子自由基、新生态氧和活性氧等过氧化氢衍生物，并可形成微量次氯酸，对多种致病微生物具有杀灭作用。单过硫酸氢钾复合粉在常温下为白色粉末状物质，容易储存和运输、具有高稳定性、高水溶性和价格相对低廉有优势;不燃不爆，从生产运输及储存使用等多个环节克服了其他消毒剂的泄漏、倾覆、爆炸、腐蚀等安全隐患;常温可以保存两年。</w:t>
            </w:r>
          </w:p>
          <w:p w14:paraId="532A560F">
            <w:pPr>
              <w:keepNext w:val="0"/>
              <w:keepLines w:val="0"/>
              <w:widowControl/>
              <w:spacing w:before="120"/>
              <w:jc w:val="left"/>
              <w:outlineLvl w:val="1"/>
              <w:rPr>
                <w:rFonts w:hint="default" w:ascii="Times New Roman" w:hAnsi="Times New Roman"/>
                <w:b/>
                <w:bCs/>
                <w:color w:val="auto"/>
                <w:highlight w:val="none"/>
                <w:u w:val="none"/>
              </w:rPr>
            </w:pPr>
            <w:r>
              <w:rPr>
                <w:rFonts w:hint="eastAsia"/>
                <w:b/>
                <w:bCs/>
                <w:color w:val="auto"/>
                <w:highlight w:val="none"/>
                <w:u w:val="none"/>
                <w:lang w:val="en-US" w:eastAsia="zh-CN"/>
              </w:rPr>
              <w:t>2.4</w:t>
            </w:r>
            <w:r>
              <w:rPr>
                <w:rFonts w:hint="default" w:ascii="Times New Roman" w:hAnsi="Times New Roman"/>
                <w:b/>
                <w:bCs/>
                <w:color w:val="auto"/>
                <w:highlight w:val="none"/>
                <w:u w:val="none"/>
              </w:rPr>
              <w:t>公用工程</w:t>
            </w:r>
          </w:p>
          <w:p w14:paraId="2C4DA107">
            <w:pPr>
              <w:widowControl/>
              <w:jc w:val="both"/>
              <w:rPr>
                <w:rFonts w:hint="eastAsia"/>
                <w:b/>
                <w:bCs/>
                <w:color w:val="auto"/>
                <w:highlight w:val="none"/>
                <w:u w:val="none"/>
              </w:rPr>
            </w:pPr>
            <w:r>
              <w:rPr>
                <w:rFonts w:hint="eastAsia" w:cstheme="minorBidi"/>
                <w:b/>
                <w:bCs/>
                <w:color w:val="auto"/>
                <w:sz w:val="24"/>
                <w:szCs w:val="24"/>
                <w:highlight w:val="none"/>
                <w:u w:val="none"/>
                <w:lang w:val="en-US" w:eastAsia="zh-CN" w:bidi="ar-SA"/>
              </w:rPr>
              <w:t>2.4.1</w:t>
            </w:r>
            <w:r>
              <w:rPr>
                <w:rFonts w:hint="default" w:ascii="Times New Roman" w:hAnsi="Times New Roman" w:eastAsia="宋体" w:cstheme="minorBidi"/>
                <w:b/>
                <w:bCs/>
                <w:color w:val="auto"/>
                <w:sz w:val="24"/>
                <w:szCs w:val="24"/>
                <w:highlight w:val="none"/>
                <w:u w:val="none"/>
                <w:lang w:val="en-US" w:eastAsia="zh-CN" w:bidi="ar-SA"/>
              </w:rPr>
              <w:t>给</w:t>
            </w:r>
            <w:r>
              <w:rPr>
                <w:b/>
                <w:bCs/>
                <w:color w:val="auto"/>
                <w:highlight w:val="none"/>
                <w:u w:val="none"/>
              </w:rPr>
              <w:t>水</w:t>
            </w:r>
          </w:p>
          <w:p w14:paraId="568A8EA2">
            <w:pPr>
              <w:spacing w:line="360" w:lineRule="auto"/>
              <w:ind w:firstLine="480" w:firstLineChars="200"/>
              <w:jc w:val="both"/>
              <w:rPr>
                <w:color w:val="auto"/>
                <w:sz w:val="24"/>
              </w:rPr>
            </w:pPr>
            <w:r>
              <w:rPr>
                <w:rFonts w:hint="eastAsia"/>
                <w:color w:val="auto"/>
                <w:sz w:val="24"/>
              </w:rPr>
              <w:t>本项目</w:t>
            </w:r>
            <w:r>
              <w:rPr>
                <w:color w:val="auto"/>
                <w:sz w:val="24"/>
              </w:rPr>
              <w:t>主要用水为门诊用水</w:t>
            </w:r>
            <w:r>
              <w:rPr>
                <w:rFonts w:hint="eastAsia"/>
                <w:color w:val="auto"/>
                <w:sz w:val="24"/>
              </w:rPr>
              <w:t>、</w:t>
            </w:r>
            <w:r>
              <w:rPr>
                <w:rFonts w:hint="eastAsia"/>
                <w:color w:val="auto"/>
                <w:sz w:val="24"/>
                <w:lang w:eastAsia="zh-CN"/>
              </w:rPr>
              <w:t>病房</w:t>
            </w:r>
            <w:r>
              <w:rPr>
                <w:color w:val="auto"/>
                <w:sz w:val="24"/>
              </w:rPr>
              <w:t>用水、医</w:t>
            </w:r>
            <w:r>
              <w:rPr>
                <w:rFonts w:hint="eastAsia"/>
                <w:color w:val="auto"/>
                <w:sz w:val="24"/>
              </w:rPr>
              <w:t>务</w:t>
            </w:r>
            <w:r>
              <w:rPr>
                <w:color w:val="auto"/>
                <w:sz w:val="24"/>
              </w:rPr>
              <w:t>人员用水、保洁用水、洗衣房用水、</w:t>
            </w:r>
            <w:r>
              <w:rPr>
                <w:rFonts w:hint="eastAsia"/>
                <w:color w:val="auto"/>
                <w:sz w:val="24"/>
              </w:rPr>
              <w:t>食堂用水</w:t>
            </w:r>
            <w:r>
              <w:rPr>
                <w:color w:val="auto"/>
                <w:sz w:val="24"/>
              </w:rPr>
              <w:t>等。</w:t>
            </w:r>
          </w:p>
          <w:p w14:paraId="71C45187">
            <w:pPr>
              <w:autoSpaceDE w:val="0"/>
              <w:autoSpaceDN w:val="0"/>
              <w:adjustRightInd w:val="0"/>
              <w:snapToGrid w:val="0"/>
              <w:spacing w:line="360" w:lineRule="auto"/>
              <w:ind w:firstLine="480" w:firstLineChars="200"/>
              <w:jc w:val="both"/>
              <w:rPr>
                <w:color w:val="auto"/>
                <w:kern w:val="0"/>
                <w:sz w:val="24"/>
              </w:rPr>
            </w:pPr>
            <w:r>
              <w:rPr>
                <w:color w:val="auto"/>
                <w:kern w:val="0"/>
                <w:sz w:val="24"/>
              </w:rPr>
              <w:fldChar w:fldCharType="begin"/>
            </w:r>
            <w:r>
              <w:rPr>
                <w:color w:val="auto"/>
                <w:kern w:val="0"/>
                <w:sz w:val="24"/>
              </w:rPr>
              <w:instrText xml:space="preserve">= 1 \* GB3</w:instrText>
            </w:r>
            <w:r>
              <w:rPr>
                <w:color w:val="auto"/>
                <w:kern w:val="0"/>
                <w:sz w:val="24"/>
              </w:rPr>
              <w:fldChar w:fldCharType="separate"/>
            </w:r>
            <w:r>
              <w:rPr>
                <w:color w:val="auto"/>
                <w:kern w:val="0"/>
                <w:sz w:val="24"/>
              </w:rPr>
              <w:t>①</w:t>
            </w:r>
            <w:r>
              <w:rPr>
                <w:color w:val="auto"/>
                <w:kern w:val="0"/>
                <w:sz w:val="24"/>
              </w:rPr>
              <w:fldChar w:fldCharType="end"/>
            </w:r>
            <w:r>
              <w:rPr>
                <w:color w:val="auto"/>
                <w:kern w:val="0"/>
                <w:sz w:val="24"/>
              </w:rPr>
              <w:t>门诊</w:t>
            </w:r>
            <w:r>
              <w:rPr>
                <w:rFonts w:hint="eastAsia"/>
                <w:color w:val="auto"/>
                <w:kern w:val="0"/>
                <w:sz w:val="24"/>
              </w:rPr>
              <w:t>用</w:t>
            </w:r>
            <w:r>
              <w:rPr>
                <w:color w:val="auto"/>
                <w:kern w:val="0"/>
                <w:sz w:val="24"/>
              </w:rPr>
              <w:t>水</w:t>
            </w:r>
          </w:p>
          <w:p w14:paraId="640BF3F4">
            <w:pPr>
              <w:tabs>
                <w:tab w:val="center" w:pos="4804"/>
              </w:tabs>
              <w:adjustRightInd w:val="0"/>
              <w:snapToGrid w:val="0"/>
              <w:spacing w:line="360" w:lineRule="auto"/>
              <w:ind w:firstLine="480" w:firstLineChars="200"/>
              <w:jc w:val="both"/>
              <w:rPr>
                <w:rFonts w:hint="eastAsia"/>
                <w:color w:val="auto"/>
                <w:kern w:val="0"/>
                <w:sz w:val="24"/>
                <w:u w:val="none"/>
              </w:rPr>
            </w:pPr>
            <w:r>
              <w:rPr>
                <w:rFonts w:hint="eastAsia"/>
                <w:color w:val="auto"/>
                <w:kern w:val="0"/>
                <w:sz w:val="24"/>
                <w:u w:val="none"/>
              </w:rPr>
              <w:t>门诊量约为</w:t>
            </w:r>
            <w:r>
              <w:rPr>
                <w:rFonts w:hint="eastAsia"/>
                <w:color w:val="auto"/>
                <w:kern w:val="0"/>
                <w:sz w:val="24"/>
                <w:u w:val="none"/>
                <w:lang w:val="en-US" w:eastAsia="zh-CN"/>
              </w:rPr>
              <w:t>300</w:t>
            </w:r>
            <w:r>
              <w:rPr>
                <w:rFonts w:hint="eastAsia"/>
                <w:color w:val="auto"/>
                <w:kern w:val="0"/>
                <w:sz w:val="24"/>
                <w:u w:val="none"/>
              </w:rPr>
              <w:t>人·次/d</w:t>
            </w:r>
            <w:r>
              <w:rPr>
                <w:rFonts w:hint="eastAsia"/>
                <w:color w:val="auto"/>
                <w:kern w:val="0"/>
                <w:sz w:val="24"/>
                <w:u w:val="none"/>
                <w:lang w:eastAsia="zh-CN"/>
              </w:rPr>
              <w:t>，</w:t>
            </w:r>
            <w:r>
              <w:rPr>
                <w:rFonts w:hint="eastAsia"/>
                <w:color w:val="auto"/>
                <w:kern w:val="0"/>
                <w:sz w:val="24"/>
                <w:u w:val="none"/>
              </w:rPr>
              <w:t>门诊病人每人每次15L计，则普通门诊病人用水量约为</w:t>
            </w:r>
            <w:r>
              <w:rPr>
                <w:rFonts w:hint="eastAsia"/>
                <w:color w:val="auto"/>
                <w:kern w:val="0"/>
                <w:sz w:val="24"/>
                <w:u w:val="none"/>
                <w:lang w:val="en-US" w:eastAsia="zh-CN"/>
              </w:rPr>
              <w:t>4.5</w:t>
            </w:r>
            <w:r>
              <w:rPr>
                <w:rFonts w:hint="eastAsia"/>
                <w:color w:val="auto"/>
                <w:kern w:val="0"/>
                <w:sz w:val="24"/>
                <w:u w:val="none"/>
              </w:rPr>
              <w:t>t/d（</w:t>
            </w:r>
            <w:r>
              <w:rPr>
                <w:rFonts w:hint="eastAsia"/>
                <w:color w:val="auto"/>
                <w:kern w:val="0"/>
                <w:sz w:val="24"/>
                <w:u w:val="none"/>
                <w:lang w:val="en-US" w:eastAsia="zh-CN"/>
              </w:rPr>
              <w:t>1642.5</w:t>
            </w:r>
            <w:r>
              <w:rPr>
                <w:rFonts w:hint="eastAsia"/>
                <w:color w:val="auto"/>
                <w:kern w:val="0"/>
                <w:sz w:val="24"/>
                <w:u w:val="none"/>
              </w:rPr>
              <w:t>t/a），污水排放系数取0.</w:t>
            </w:r>
            <w:r>
              <w:rPr>
                <w:rFonts w:hint="eastAsia"/>
                <w:color w:val="auto"/>
                <w:kern w:val="0"/>
                <w:sz w:val="24"/>
                <w:u w:val="none"/>
                <w:lang w:val="en-US" w:eastAsia="zh-CN"/>
              </w:rPr>
              <w:t>9</w:t>
            </w:r>
            <w:r>
              <w:rPr>
                <w:rFonts w:hint="eastAsia"/>
                <w:color w:val="auto"/>
                <w:kern w:val="0"/>
                <w:sz w:val="24"/>
                <w:u w:val="none"/>
              </w:rPr>
              <w:t>计，则污水排放量约为</w:t>
            </w:r>
            <w:r>
              <w:rPr>
                <w:rFonts w:hint="eastAsia"/>
                <w:color w:val="auto"/>
                <w:kern w:val="0"/>
                <w:sz w:val="24"/>
                <w:u w:val="none"/>
                <w:lang w:val="en-US" w:eastAsia="zh-CN"/>
              </w:rPr>
              <w:t>4.05</w:t>
            </w:r>
            <w:r>
              <w:rPr>
                <w:rFonts w:hint="eastAsia"/>
                <w:color w:val="auto"/>
                <w:kern w:val="0"/>
                <w:sz w:val="24"/>
                <w:u w:val="none"/>
              </w:rPr>
              <w:t>t/d（</w:t>
            </w:r>
            <w:r>
              <w:rPr>
                <w:rFonts w:hint="eastAsia"/>
                <w:color w:val="auto"/>
                <w:kern w:val="0"/>
                <w:sz w:val="24"/>
                <w:u w:val="none"/>
                <w:lang w:val="en-US" w:eastAsia="zh-CN"/>
              </w:rPr>
              <w:t>1478.25</w:t>
            </w:r>
            <w:r>
              <w:rPr>
                <w:rFonts w:hint="eastAsia"/>
                <w:color w:val="auto"/>
                <w:kern w:val="0"/>
                <w:sz w:val="24"/>
                <w:u w:val="none"/>
              </w:rPr>
              <w:t>t/a）。</w:t>
            </w:r>
          </w:p>
          <w:p w14:paraId="12A0E7D8">
            <w:pPr>
              <w:tabs>
                <w:tab w:val="center" w:pos="4804"/>
              </w:tabs>
              <w:adjustRightInd w:val="0"/>
              <w:snapToGrid w:val="0"/>
              <w:spacing w:line="360" w:lineRule="auto"/>
              <w:ind w:firstLine="480"/>
              <w:jc w:val="both"/>
              <w:rPr>
                <w:color w:val="auto"/>
                <w:kern w:val="0"/>
                <w:sz w:val="24"/>
                <w:u w:val="none"/>
              </w:rPr>
            </w:pPr>
            <w:r>
              <w:rPr>
                <w:color w:val="auto"/>
                <w:kern w:val="0"/>
                <w:sz w:val="24"/>
                <w:u w:val="none"/>
              </w:rPr>
              <w:t>②住院病人用水</w:t>
            </w:r>
          </w:p>
          <w:p w14:paraId="47A3FA45">
            <w:pPr>
              <w:tabs>
                <w:tab w:val="center" w:pos="4804"/>
              </w:tabs>
              <w:adjustRightInd w:val="0"/>
              <w:snapToGrid w:val="0"/>
              <w:spacing w:line="360" w:lineRule="auto"/>
              <w:ind w:firstLine="480" w:firstLineChars="200"/>
              <w:jc w:val="both"/>
              <w:rPr>
                <w:rFonts w:hint="eastAsia"/>
                <w:color w:val="auto"/>
                <w:kern w:val="0"/>
                <w:sz w:val="24"/>
                <w:u w:val="none"/>
                <w:lang w:eastAsia="zh-CN"/>
              </w:rPr>
            </w:pPr>
            <w:r>
              <w:rPr>
                <w:color w:val="auto"/>
                <w:kern w:val="0"/>
                <w:sz w:val="24"/>
                <w:u w:val="none"/>
              </w:rPr>
              <w:t>本项目</w:t>
            </w:r>
            <w:r>
              <w:rPr>
                <w:rFonts w:hint="eastAsia"/>
                <w:color w:val="auto"/>
                <w:kern w:val="0"/>
                <w:sz w:val="24"/>
                <w:u w:val="none"/>
                <w:lang w:val="en-US" w:eastAsia="zh-CN"/>
              </w:rPr>
              <w:t>拟300</w:t>
            </w:r>
            <w:r>
              <w:rPr>
                <w:rFonts w:hint="eastAsia"/>
                <w:color w:val="auto"/>
                <w:kern w:val="0"/>
                <w:sz w:val="24"/>
                <w:u w:val="none"/>
              </w:rPr>
              <w:t>张</w:t>
            </w:r>
            <w:r>
              <w:rPr>
                <w:color w:val="auto"/>
                <w:kern w:val="0"/>
                <w:sz w:val="24"/>
                <w:u w:val="none"/>
              </w:rPr>
              <w:t>床位，病床每日用水系数取250L计算</w:t>
            </w:r>
            <w:r>
              <w:rPr>
                <w:rFonts w:hint="eastAsia"/>
                <w:color w:val="auto"/>
                <w:kern w:val="0"/>
                <w:sz w:val="24"/>
                <w:u w:val="none"/>
                <w:lang w:eastAsia="zh-CN"/>
              </w:rPr>
              <w:t>（主要是来自病人和医护、家属的冲厕、盥洗及清洗餐</w:t>
            </w:r>
          </w:p>
          <w:p w14:paraId="6853993B">
            <w:pPr>
              <w:tabs>
                <w:tab w:val="center" w:pos="4804"/>
              </w:tabs>
              <w:adjustRightInd w:val="0"/>
              <w:snapToGrid w:val="0"/>
              <w:spacing w:line="360" w:lineRule="auto"/>
              <w:ind w:firstLine="0" w:firstLineChars="0"/>
              <w:jc w:val="left"/>
              <w:rPr>
                <w:rFonts w:hint="eastAsia" w:eastAsia="宋体"/>
                <w:color w:val="auto"/>
                <w:kern w:val="0"/>
                <w:sz w:val="24"/>
                <w:u w:val="none"/>
                <w:lang w:val="en-US" w:eastAsia="zh-CN"/>
              </w:rPr>
            </w:pPr>
            <w:r>
              <w:rPr>
                <w:rFonts w:hint="eastAsia"/>
                <w:color w:val="auto"/>
                <w:kern w:val="0"/>
                <w:sz w:val="24"/>
                <w:u w:val="none"/>
                <w:lang w:eastAsia="zh-CN"/>
              </w:rPr>
              <w:t>具水果等的用水）</w:t>
            </w:r>
            <w:r>
              <w:rPr>
                <w:color w:val="auto"/>
                <w:kern w:val="0"/>
                <w:sz w:val="24"/>
                <w:u w:val="none"/>
              </w:rPr>
              <w:t>，则住院病人生活用水量约为</w:t>
            </w:r>
            <w:r>
              <w:rPr>
                <w:rFonts w:hint="eastAsia"/>
                <w:color w:val="auto"/>
                <w:kern w:val="0"/>
                <w:sz w:val="24"/>
                <w:u w:val="none"/>
                <w:lang w:val="en-US" w:eastAsia="zh-CN"/>
              </w:rPr>
              <w:t>75</w:t>
            </w:r>
            <w:r>
              <w:rPr>
                <w:color w:val="auto"/>
                <w:kern w:val="0"/>
                <w:sz w:val="24"/>
                <w:u w:val="none"/>
              </w:rPr>
              <w:t>t/d（</w:t>
            </w:r>
            <w:r>
              <w:rPr>
                <w:rFonts w:hint="eastAsia"/>
                <w:color w:val="auto"/>
                <w:kern w:val="0"/>
                <w:sz w:val="24"/>
                <w:u w:val="none"/>
                <w:lang w:val="en-US" w:eastAsia="zh-CN"/>
              </w:rPr>
              <w:t>27375</w:t>
            </w:r>
            <w:r>
              <w:rPr>
                <w:color w:val="auto"/>
                <w:kern w:val="0"/>
                <w:sz w:val="24"/>
                <w:u w:val="none"/>
              </w:rPr>
              <w:t>t/a），污水排放系数取0.</w:t>
            </w:r>
            <w:r>
              <w:rPr>
                <w:rFonts w:hint="eastAsia"/>
                <w:color w:val="auto"/>
                <w:kern w:val="0"/>
                <w:sz w:val="24"/>
                <w:u w:val="none"/>
                <w:lang w:val="en-US" w:eastAsia="zh-CN"/>
              </w:rPr>
              <w:t>9</w:t>
            </w:r>
            <w:r>
              <w:rPr>
                <w:color w:val="auto"/>
                <w:kern w:val="0"/>
                <w:sz w:val="24"/>
                <w:u w:val="none"/>
              </w:rPr>
              <w:t>计，则污水排放量约为</w:t>
            </w:r>
            <w:r>
              <w:rPr>
                <w:rFonts w:hint="eastAsia"/>
                <w:color w:val="auto"/>
                <w:kern w:val="0"/>
                <w:sz w:val="24"/>
                <w:u w:val="none"/>
                <w:lang w:val="en-US" w:eastAsia="zh-CN"/>
              </w:rPr>
              <w:t>67.5</w:t>
            </w:r>
            <w:r>
              <w:rPr>
                <w:color w:val="auto"/>
                <w:kern w:val="0"/>
                <w:sz w:val="24"/>
                <w:u w:val="none"/>
              </w:rPr>
              <w:t>t/d（</w:t>
            </w:r>
            <w:r>
              <w:rPr>
                <w:rFonts w:hint="eastAsia"/>
                <w:color w:val="auto"/>
                <w:kern w:val="0"/>
                <w:sz w:val="24"/>
                <w:u w:val="none"/>
                <w:lang w:val="en-US" w:eastAsia="zh-CN"/>
              </w:rPr>
              <w:t>24637.5</w:t>
            </w:r>
            <w:r>
              <w:rPr>
                <w:color w:val="auto"/>
                <w:kern w:val="0"/>
                <w:sz w:val="24"/>
                <w:u w:val="none"/>
              </w:rPr>
              <w:t>t/a）</w:t>
            </w:r>
            <w:r>
              <w:rPr>
                <w:rFonts w:hint="eastAsia"/>
                <w:color w:val="auto"/>
                <w:kern w:val="0"/>
                <w:sz w:val="24"/>
                <w:u w:val="none"/>
                <w:lang w:eastAsia="zh-CN"/>
              </w:rPr>
              <w:t>。</w:t>
            </w:r>
          </w:p>
          <w:p w14:paraId="58F6B605">
            <w:pPr>
              <w:tabs>
                <w:tab w:val="center" w:pos="4804"/>
              </w:tabs>
              <w:adjustRightInd w:val="0"/>
              <w:snapToGrid w:val="0"/>
              <w:spacing w:line="360" w:lineRule="auto"/>
              <w:ind w:firstLine="480" w:firstLineChars="200"/>
              <w:jc w:val="both"/>
              <w:rPr>
                <w:color w:val="FF0000"/>
                <w:kern w:val="0"/>
                <w:sz w:val="24"/>
                <w:u w:val="single"/>
              </w:rPr>
            </w:pPr>
            <w:r>
              <w:rPr>
                <w:color w:val="FF0000"/>
                <w:kern w:val="0"/>
                <w:sz w:val="24"/>
                <w:u w:val="single"/>
              </w:rPr>
              <w:t>③医务人员生活用水</w:t>
            </w:r>
          </w:p>
          <w:p w14:paraId="241C95E0">
            <w:pPr>
              <w:adjustRightInd w:val="0"/>
              <w:snapToGrid w:val="0"/>
              <w:spacing w:line="360" w:lineRule="auto"/>
              <w:ind w:firstLine="480" w:firstLineChars="200"/>
              <w:jc w:val="both"/>
              <w:rPr>
                <w:rFonts w:hint="default" w:eastAsia="宋体"/>
                <w:color w:val="FF0000"/>
                <w:sz w:val="24"/>
                <w:u w:val="single"/>
                <w:lang w:val="en-US" w:eastAsia="zh-CN"/>
              </w:rPr>
            </w:pPr>
            <w:r>
              <w:rPr>
                <w:rFonts w:hint="eastAsia"/>
                <w:color w:val="FF0000"/>
                <w:sz w:val="24"/>
                <w:u w:val="single"/>
                <w:lang w:val="en-US" w:eastAsia="zh-CN"/>
              </w:rPr>
              <w:t>项目</w:t>
            </w:r>
            <w:r>
              <w:rPr>
                <w:color w:val="FF0000"/>
                <w:sz w:val="24"/>
                <w:u w:val="single"/>
              </w:rPr>
              <w:t>职工</w:t>
            </w:r>
            <w:r>
              <w:rPr>
                <w:rFonts w:hint="eastAsia"/>
                <w:color w:val="FF0000"/>
                <w:sz w:val="24"/>
                <w:u w:val="single"/>
                <w:lang w:val="en-US" w:eastAsia="zh-CN"/>
              </w:rPr>
              <w:t>195</w:t>
            </w:r>
            <w:r>
              <w:rPr>
                <w:color w:val="FF0000"/>
                <w:sz w:val="24"/>
                <w:u w:val="single"/>
              </w:rPr>
              <w:t>人，，则用水量约为</w:t>
            </w:r>
            <w:r>
              <w:rPr>
                <w:rFonts w:hint="eastAsia"/>
                <w:color w:val="FF0000"/>
                <w:sz w:val="24"/>
                <w:u w:val="single"/>
                <w:lang w:val="en-US" w:eastAsia="zh-CN"/>
              </w:rPr>
              <w:t>29.5</w:t>
            </w:r>
            <w:r>
              <w:rPr>
                <w:color w:val="FF0000"/>
                <w:sz w:val="24"/>
                <w:u w:val="single"/>
              </w:rPr>
              <w:t>t/d（</w:t>
            </w:r>
            <w:r>
              <w:rPr>
                <w:rFonts w:hint="eastAsia"/>
                <w:color w:val="FF0000"/>
                <w:sz w:val="24"/>
                <w:u w:val="single"/>
                <w:lang w:val="en-US" w:eastAsia="zh-CN"/>
              </w:rPr>
              <w:t>10676.25</w:t>
            </w:r>
            <w:r>
              <w:rPr>
                <w:color w:val="FF0000"/>
                <w:sz w:val="24"/>
                <w:u w:val="single"/>
              </w:rPr>
              <w:t>t/a），污水排放系数取0.</w:t>
            </w:r>
            <w:r>
              <w:rPr>
                <w:rFonts w:hint="eastAsia"/>
                <w:color w:val="FF0000"/>
                <w:sz w:val="24"/>
                <w:u w:val="single"/>
                <w:lang w:val="en-US" w:eastAsia="zh-CN"/>
              </w:rPr>
              <w:t>9</w:t>
            </w:r>
            <w:r>
              <w:rPr>
                <w:color w:val="FF0000"/>
                <w:sz w:val="24"/>
                <w:u w:val="single"/>
              </w:rPr>
              <w:t>计，则污水排放量约为</w:t>
            </w:r>
            <w:r>
              <w:rPr>
                <w:rFonts w:hint="eastAsia"/>
                <w:color w:val="FF0000"/>
                <w:sz w:val="24"/>
                <w:u w:val="single"/>
                <w:lang w:val="en-US" w:eastAsia="zh-CN"/>
              </w:rPr>
              <w:t>26.325</w:t>
            </w:r>
            <w:r>
              <w:rPr>
                <w:color w:val="FF0000"/>
                <w:sz w:val="24"/>
                <w:u w:val="single"/>
              </w:rPr>
              <w:t>t/d（</w:t>
            </w:r>
            <w:r>
              <w:rPr>
                <w:rFonts w:hint="eastAsia"/>
                <w:color w:val="FF0000"/>
                <w:sz w:val="24"/>
                <w:u w:val="single"/>
                <w:lang w:val="en-US" w:eastAsia="zh-CN"/>
              </w:rPr>
              <w:t>9608.625</w:t>
            </w:r>
            <w:r>
              <w:rPr>
                <w:color w:val="FF0000"/>
                <w:sz w:val="24"/>
                <w:u w:val="single"/>
              </w:rPr>
              <w:t>t/a）。</w:t>
            </w:r>
          </w:p>
          <w:p w14:paraId="046E7146">
            <w:pPr>
              <w:adjustRightInd w:val="0"/>
              <w:snapToGrid w:val="0"/>
              <w:spacing w:line="360" w:lineRule="auto"/>
              <w:ind w:firstLine="480" w:firstLineChars="200"/>
              <w:jc w:val="both"/>
              <w:rPr>
                <w:color w:val="auto"/>
                <w:sz w:val="24"/>
                <w:u w:val="none"/>
              </w:rPr>
            </w:pPr>
            <w:r>
              <w:rPr>
                <w:color w:val="auto"/>
                <w:kern w:val="0"/>
                <w:sz w:val="24"/>
                <w:u w:val="none"/>
              </w:rPr>
              <w:t>④</w:t>
            </w:r>
            <w:r>
              <w:rPr>
                <w:color w:val="auto"/>
                <w:sz w:val="24"/>
                <w:u w:val="none"/>
              </w:rPr>
              <w:t>食堂废水</w:t>
            </w:r>
          </w:p>
          <w:p w14:paraId="27B69102">
            <w:pPr>
              <w:adjustRightInd w:val="0"/>
              <w:snapToGrid w:val="0"/>
              <w:spacing w:line="360" w:lineRule="auto"/>
              <w:ind w:firstLine="480" w:firstLineChars="200"/>
              <w:jc w:val="both"/>
              <w:rPr>
                <w:color w:val="auto"/>
                <w:sz w:val="24"/>
                <w:u w:val="none"/>
              </w:rPr>
            </w:pPr>
            <w:r>
              <w:rPr>
                <w:rFonts w:hint="eastAsia"/>
                <w:color w:val="auto"/>
                <w:sz w:val="24"/>
                <w:u w:val="none"/>
                <w:lang w:val="en-US" w:eastAsia="zh-CN"/>
              </w:rPr>
              <w:t>本医院设置食堂，食堂仅用于医院职工及患者就餐，不对外营业，</w:t>
            </w:r>
            <w:r>
              <w:rPr>
                <w:rFonts w:hint="eastAsia"/>
                <w:color w:val="auto"/>
                <w:sz w:val="24"/>
                <w:u w:val="none"/>
              </w:rPr>
              <w:t>就餐人数</w:t>
            </w:r>
            <w:r>
              <w:rPr>
                <w:rFonts w:hint="eastAsia"/>
                <w:color w:val="auto"/>
                <w:sz w:val="24"/>
                <w:u w:val="none"/>
                <w:lang w:val="en-US" w:eastAsia="zh-CN"/>
              </w:rPr>
              <w:t>按照800</w:t>
            </w:r>
            <w:r>
              <w:rPr>
                <w:rFonts w:hint="eastAsia"/>
                <w:color w:val="auto"/>
                <w:sz w:val="24"/>
                <w:u w:val="none"/>
              </w:rPr>
              <w:t>人</w:t>
            </w:r>
            <w:r>
              <w:rPr>
                <w:rFonts w:hint="eastAsia"/>
                <w:color w:val="auto"/>
                <w:sz w:val="24"/>
                <w:u w:val="none"/>
                <w:lang w:eastAsia="zh-CN"/>
              </w:rPr>
              <w:t>设计</w:t>
            </w:r>
            <w:r>
              <w:rPr>
                <w:rFonts w:hint="eastAsia"/>
                <w:color w:val="auto"/>
                <w:sz w:val="24"/>
                <w:u w:val="none"/>
              </w:rPr>
              <w:t>，</w:t>
            </w:r>
            <w:r>
              <w:rPr>
                <w:color w:val="auto"/>
                <w:sz w:val="24"/>
                <w:u w:val="none"/>
              </w:rPr>
              <w:t>每人每日用水</w:t>
            </w:r>
            <w:r>
              <w:rPr>
                <w:rFonts w:hint="eastAsia"/>
                <w:color w:val="auto"/>
                <w:sz w:val="24"/>
                <w:u w:val="none"/>
                <w:lang w:val="en-US" w:eastAsia="zh-CN"/>
              </w:rPr>
              <w:t>2</w:t>
            </w:r>
            <w:r>
              <w:rPr>
                <w:color w:val="auto"/>
                <w:sz w:val="24"/>
                <w:u w:val="none"/>
              </w:rPr>
              <w:t>0L/次计，则用水量约为</w:t>
            </w:r>
            <w:r>
              <w:rPr>
                <w:rFonts w:hint="eastAsia"/>
                <w:color w:val="auto"/>
                <w:sz w:val="24"/>
                <w:u w:val="none"/>
                <w:lang w:val="en-US" w:eastAsia="zh-CN"/>
              </w:rPr>
              <w:t>16</w:t>
            </w:r>
            <w:r>
              <w:rPr>
                <w:color w:val="auto"/>
                <w:sz w:val="24"/>
                <w:u w:val="none"/>
              </w:rPr>
              <w:t>t/d（</w:t>
            </w:r>
            <w:r>
              <w:rPr>
                <w:rFonts w:hint="eastAsia"/>
                <w:color w:val="auto"/>
                <w:sz w:val="24"/>
                <w:u w:val="none"/>
                <w:lang w:val="en-US" w:eastAsia="zh-CN"/>
              </w:rPr>
              <w:t>5840</w:t>
            </w:r>
            <w:r>
              <w:rPr>
                <w:color w:val="auto"/>
                <w:sz w:val="24"/>
                <w:u w:val="none"/>
              </w:rPr>
              <w:t>t/a），污水排放系数按0.8计，则食堂废水产生量约为</w:t>
            </w:r>
            <w:r>
              <w:rPr>
                <w:rFonts w:hint="eastAsia"/>
                <w:color w:val="auto"/>
                <w:sz w:val="24"/>
                <w:u w:val="none"/>
                <w:lang w:val="en-US" w:eastAsia="zh-CN"/>
              </w:rPr>
              <w:t>12.8</w:t>
            </w:r>
            <w:r>
              <w:rPr>
                <w:color w:val="auto"/>
                <w:sz w:val="24"/>
                <w:u w:val="none"/>
              </w:rPr>
              <w:t>t/d（</w:t>
            </w:r>
            <w:r>
              <w:rPr>
                <w:rFonts w:hint="eastAsia"/>
                <w:color w:val="auto"/>
                <w:sz w:val="24"/>
                <w:u w:val="none"/>
                <w:lang w:val="en-US" w:eastAsia="zh-CN"/>
              </w:rPr>
              <w:t>4672</w:t>
            </w:r>
            <w:r>
              <w:rPr>
                <w:color w:val="auto"/>
                <w:sz w:val="24"/>
                <w:u w:val="none"/>
              </w:rPr>
              <w:t>t/a）。</w:t>
            </w:r>
          </w:p>
          <w:p w14:paraId="405ED3A7">
            <w:pPr>
              <w:tabs>
                <w:tab w:val="center" w:pos="4804"/>
              </w:tabs>
              <w:adjustRightInd w:val="0"/>
              <w:snapToGrid w:val="0"/>
              <w:spacing w:line="360" w:lineRule="auto"/>
              <w:ind w:firstLine="480" w:firstLineChars="200"/>
              <w:jc w:val="both"/>
              <w:rPr>
                <w:color w:val="auto"/>
                <w:kern w:val="0"/>
                <w:sz w:val="24"/>
                <w:u w:val="none"/>
              </w:rPr>
            </w:pPr>
            <w:r>
              <w:rPr>
                <w:color w:val="auto"/>
                <w:sz w:val="24"/>
                <w:u w:val="none"/>
              </w:rPr>
              <w:t>⑤</w:t>
            </w:r>
            <w:r>
              <w:rPr>
                <w:color w:val="auto"/>
                <w:kern w:val="0"/>
                <w:sz w:val="24"/>
                <w:u w:val="none"/>
              </w:rPr>
              <w:t>地面保洁用水</w:t>
            </w:r>
          </w:p>
          <w:p w14:paraId="5A9134FD">
            <w:pPr>
              <w:adjustRightInd w:val="0"/>
              <w:snapToGrid w:val="0"/>
              <w:spacing w:line="360" w:lineRule="auto"/>
              <w:ind w:firstLine="480" w:firstLineChars="200"/>
              <w:jc w:val="both"/>
              <w:rPr>
                <w:rFonts w:hint="eastAsia" w:eastAsia="宋体"/>
                <w:color w:val="auto"/>
                <w:sz w:val="24"/>
                <w:lang w:val="en-US" w:eastAsia="zh-CN"/>
              </w:rPr>
            </w:pPr>
            <w:r>
              <w:rPr>
                <w:rFonts w:hint="eastAsia"/>
                <w:color w:val="auto"/>
                <w:sz w:val="24"/>
              </w:rPr>
              <w:t>院区</w:t>
            </w:r>
            <w:r>
              <w:rPr>
                <w:color w:val="auto"/>
                <w:sz w:val="24"/>
              </w:rPr>
              <w:t>建筑面积约为</w:t>
            </w:r>
            <w:r>
              <w:rPr>
                <w:rFonts w:hint="eastAsia"/>
                <w:color w:val="auto"/>
                <w:sz w:val="24"/>
                <w:lang w:val="en-US" w:eastAsia="zh-CN"/>
              </w:rPr>
              <w:t>20000</w:t>
            </w:r>
            <w:r>
              <w:rPr>
                <w:color w:val="auto"/>
                <w:sz w:val="24"/>
              </w:rPr>
              <w:t>m</w:t>
            </w:r>
            <w:r>
              <w:rPr>
                <w:color w:val="auto"/>
                <w:sz w:val="24"/>
                <w:vertAlign w:val="superscript"/>
              </w:rPr>
              <w:t>2</w:t>
            </w:r>
            <w:r>
              <w:rPr>
                <w:color w:val="auto"/>
                <w:sz w:val="24"/>
              </w:rPr>
              <w:t>，</w:t>
            </w:r>
            <w:r>
              <w:rPr>
                <w:rFonts w:hint="eastAsia"/>
                <w:color w:val="auto"/>
                <w:sz w:val="24"/>
                <w:lang w:eastAsia="zh-CN"/>
              </w:rPr>
              <w:t>采用洗地机和拖把等进行清洁，不采用冲洗方式，</w:t>
            </w:r>
            <w:r>
              <w:rPr>
                <w:color w:val="auto"/>
                <w:sz w:val="24"/>
              </w:rPr>
              <w:t>用水系数按照0.25L/m</w:t>
            </w:r>
            <w:r>
              <w:rPr>
                <w:color w:val="auto"/>
                <w:sz w:val="24"/>
                <w:vertAlign w:val="superscript"/>
              </w:rPr>
              <w:t>2</w:t>
            </w:r>
            <w:r>
              <w:rPr>
                <w:color w:val="auto"/>
                <w:sz w:val="24"/>
              </w:rPr>
              <w:t>·d，则地面保洁用水量约为</w:t>
            </w:r>
            <w:r>
              <w:rPr>
                <w:rFonts w:hint="eastAsia"/>
                <w:color w:val="auto"/>
                <w:sz w:val="24"/>
                <w:lang w:val="en-US" w:eastAsia="zh-CN"/>
              </w:rPr>
              <w:t>5</w:t>
            </w:r>
            <w:r>
              <w:rPr>
                <w:color w:val="auto"/>
                <w:sz w:val="24"/>
              </w:rPr>
              <w:t>t/d（</w:t>
            </w:r>
            <w:r>
              <w:rPr>
                <w:rFonts w:hint="eastAsia"/>
                <w:color w:val="auto"/>
                <w:sz w:val="24"/>
                <w:lang w:val="en-US" w:eastAsia="zh-CN"/>
              </w:rPr>
              <w:t>1825</w:t>
            </w:r>
            <w:r>
              <w:rPr>
                <w:color w:val="auto"/>
                <w:sz w:val="24"/>
              </w:rPr>
              <w:t>t/a），污水排放系数按照0.</w:t>
            </w:r>
            <w:r>
              <w:rPr>
                <w:rFonts w:hint="eastAsia"/>
                <w:color w:val="auto"/>
                <w:sz w:val="24"/>
                <w:lang w:val="en-US" w:eastAsia="zh-CN"/>
              </w:rPr>
              <w:t>8</w:t>
            </w:r>
            <w:r>
              <w:rPr>
                <w:color w:val="auto"/>
                <w:sz w:val="24"/>
              </w:rPr>
              <w:t>计算，则保洁废水产生量约为</w:t>
            </w:r>
            <w:r>
              <w:rPr>
                <w:rFonts w:hint="eastAsia"/>
                <w:color w:val="auto"/>
                <w:sz w:val="24"/>
                <w:lang w:val="en-US" w:eastAsia="zh-CN"/>
              </w:rPr>
              <w:t>4</w:t>
            </w:r>
            <w:r>
              <w:rPr>
                <w:color w:val="auto"/>
                <w:sz w:val="24"/>
              </w:rPr>
              <w:t>t/d（</w:t>
            </w:r>
            <w:r>
              <w:rPr>
                <w:rFonts w:hint="eastAsia"/>
                <w:color w:val="auto"/>
                <w:sz w:val="24"/>
                <w:lang w:val="en-US" w:eastAsia="zh-CN"/>
              </w:rPr>
              <w:t>1460</w:t>
            </w:r>
            <w:r>
              <w:rPr>
                <w:color w:val="auto"/>
                <w:sz w:val="24"/>
              </w:rPr>
              <w:t>t/a）。</w:t>
            </w:r>
          </w:p>
          <w:p w14:paraId="62620B17">
            <w:pPr>
              <w:tabs>
                <w:tab w:val="center" w:pos="4804"/>
              </w:tabs>
              <w:adjustRightInd w:val="0"/>
              <w:snapToGrid w:val="0"/>
              <w:spacing w:line="360" w:lineRule="auto"/>
              <w:ind w:firstLine="480"/>
              <w:jc w:val="both"/>
              <w:rPr>
                <w:rFonts w:hint="eastAsia" w:eastAsia="宋体"/>
                <w:color w:val="auto"/>
                <w:kern w:val="0"/>
                <w:sz w:val="24"/>
                <w:lang w:val="en-US" w:eastAsia="zh-CN"/>
              </w:rPr>
            </w:pPr>
            <w:r>
              <w:rPr>
                <w:color w:val="auto"/>
                <w:kern w:val="0"/>
                <w:sz w:val="24"/>
              </w:rPr>
              <w:t>⑥</w:t>
            </w:r>
            <w:r>
              <w:rPr>
                <w:rFonts w:hint="eastAsia"/>
                <w:color w:val="auto"/>
                <w:kern w:val="0"/>
                <w:sz w:val="24"/>
              </w:rPr>
              <w:t>洗衣房用水</w:t>
            </w:r>
          </w:p>
          <w:p w14:paraId="67DFC424">
            <w:pPr>
              <w:tabs>
                <w:tab w:val="center" w:pos="4804"/>
              </w:tabs>
              <w:adjustRightInd w:val="0"/>
              <w:snapToGrid w:val="0"/>
              <w:spacing w:line="360" w:lineRule="auto"/>
              <w:ind w:firstLine="480"/>
              <w:jc w:val="both"/>
              <w:rPr>
                <w:color w:val="auto"/>
                <w:kern w:val="0"/>
                <w:sz w:val="24"/>
              </w:rPr>
            </w:pPr>
            <w:r>
              <w:rPr>
                <w:color w:val="auto"/>
                <w:kern w:val="0"/>
                <w:sz w:val="24"/>
              </w:rPr>
              <w:t>洗衣用水量40-80L/kg干衣，本工程用水量按40L/kg干衣计，每张病床按2kg/d的干衣量进行计算，则医院床上用品清洗用水量为</w:t>
            </w:r>
            <w:r>
              <w:rPr>
                <w:rFonts w:hint="eastAsia"/>
                <w:color w:val="auto"/>
                <w:kern w:val="0"/>
                <w:sz w:val="24"/>
                <w:lang w:val="en-US" w:eastAsia="zh-CN"/>
              </w:rPr>
              <w:t>24t/d（8760</w:t>
            </w:r>
            <w:r>
              <w:rPr>
                <w:color w:val="auto"/>
                <w:kern w:val="0"/>
                <w:sz w:val="24"/>
              </w:rPr>
              <w:t>t/a</w:t>
            </w:r>
            <w:r>
              <w:rPr>
                <w:rFonts w:hint="eastAsia"/>
                <w:color w:val="auto"/>
                <w:kern w:val="0"/>
                <w:sz w:val="24"/>
                <w:lang w:val="en-US" w:eastAsia="zh-CN"/>
              </w:rPr>
              <w:t>）</w:t>
            </w:r>
            <w:r>
              <w:rPr>
                <w:color w:val="auto"/>
                <w:kern w:val="0"/>
                <w:sz w:val="24"/>
              </w:rPr>
              <w:t>，排污系数取0.8，</w:t>
            </w:r>
            <w:r>
              <w:rPr>
                <w:rFonts w:hint="eastAsia"/>
                <w:color w:val="auto"/>
                <w:kern w:val="0"/>
                <w:sz w:val="24"/>
                <w:lang w:eastAsia="zh-CN"/>
              </w:rPr>
              <w:t>洗衣房不得使用含磷洗涤剂，</w:t>
            </w:r>
            <w:r>
              <w:rPr>
                <w:color w:val="auto"/>
                <w:kern w:val="0"/>
                <w:sz w:val="24"/>
              </w:rPr>
              <w:t>则</w:t>
            </w:r>
            <w:r>
              <w:rPr>
                <w:rFonts w:hint="eastAsia"/>
                <w:color w:val="auto"/>
                <w:kern w:val="0"/>
                <w:sz w:val="24"/>
                <w:lang w:eastAsia="zh-CN"/>
              </w:rPr>
              <w:t>洗衣</w:t>
            </w:r>
            <w:r>
              <w:rPr>
                <w:color w:val="auto"/>
                <w:kern w:val="0"/>
                <w:sz w:val="24"/>
              </w:rPr>
              <w:t>废水排放量为</w:t>
            </w:r>
            <w:r>
              <w:rPr>
                <w:rFonts w:hint="eastAsia"/>
                <w:color w:val="auto"/>
                <w:kern w:val="0"/>
                <w:sz w:val="24"/>
                <w:lang w:val="en-US" w:eastAsia="zh-CN"/>
              </w:rPr>
              <w:t>19.2/d（7008</w:t>
            </w:r>
            <w:r>
              <w:rPr>
                <w:color w:val="auto"/>
                <w:kern w:val="0"/>
                <w:sz w:val="24"/>
              </w:rPr>
              <w:t>t/a</w:t>
            </w:r>
            <w:r>
              <w:rPr>
                <w:rFonts w:hint="eastAsia"/>
                <w:color w:val="auto"/>
                <w:kern w:val="0"/>
                <w:sz w:val="24"/>
                <w:lang w:val="en-US" w:eastAsia="zh-CN"/>
              </w:rPr>
              <w:t>）</w:t>
            </w:r>
            <w:r>
              <w:rPr>
                <w:rFonts w:hint="eastAsia"/>
                <w:color w:val="auto"/>
                <w:kern w:val="0"/>
                <w:sz w:val="24"/>
              </w:rPr>
              <w:t>。</w:t>
            </w:r>
          </w:p>
          <w:p w14:paraId="6F7DC6F7">
            <w:pPr>
              <w:tabs>
                <w:tab w:val="center" w:pos="4804"/>
              </w:tabs>
              <w:adjustRightInd w:val="0"/>
              <w:snapToGrid w:val="0"/>
              <w:spacing w:line="360" w:lineRule="auto"/>
              <w:ind w:firstLine="480"/>
              <w:jc w:val="both"/>
              <w:rPr>
                <w:color w:val="auto"/>
              </w:rPr>
            </w:pPr>
            <w:r>
              <w:rPr>
                <w:color w:val="auto"/>
                <w:kern w:val="0"/>
                <w:sz w:val="24"/>
              </w:rPr>
              <w:t>本项目用水一览表详见表</w:t>
            </w:r>
            <w:r>
              <w:rPr>
                <w:rFonts w:hint="eastAsia"/>
                <w:color w:val="auto"/>
                <w:kern w:val="0"/>
                <w:sz w:val="24"/>
              </w:rPr>
              <w:t>2-</w:t>
            </w:r>
            <w:r>
              <w:rPr>
                <w:rFonts w:hint="eastAsia"/>
                <w:color w:val="auto"/>
                <w:kern w:val="0"/>
                <w:sz w:val="24"/>
                <w:lang w:val="en-US" w:eastAsia="zh-CN"/>
              </w:rPr>
              <w:t>6</w:t>
            </w:r>
            <w:r>
              <w:rPr>
                <w:color w:val="auto"/>
                <w:kern w:val="0"/>
                <w:sz w:val="24"/>
              </w:rPr>
              <w:t>所示。</w:t>
            </w:r>
          </w:p>
          <w:p w14:paraId="56966042">
            <w:pPr>
              <w:adjustRightInd w:val="0"/>
              <w:snapToGrid w:val="0"/>
              <w:ind w:firstLine="482"/>
              <w:jc w:val="center"/>
              <w:rPr>
                <w:b/>
                <w:bCs/>
                <w:color w:val="auto"/>
                <w:sz w:val="21"/>
                <w:szCs w:val="21"/>
              </w:rPr>
            </w:pPr>
            <w:r>
              <w:rPr>
                <w:b/>
                <w:bCs/>
                <w:color w:val="auto"/>
                <w:sz w:val="21"/>
                <w:szCs w:val="21"/>
              </w:rPr>
              <w:t>表</w:t>
            </w:r>
            <w:r>
              <w:rPr>
                <w:rFonts w:hint="eastAsia"/>
                <w:b/>
                <w:bCs/>
                <w:color w:val="auto"/>
                <w:sz w:val="21"/>
                <w:szCs w:val="21"/>
              </w:rPr>
              <w:t>2-</w:t>
            </w:r>
            <w:r>
              <w:rPr>
                <w:rFonts w:hint="eastAsia"/>
                <w:b/>
                <w:bCs/>
                <w:color w:val="auto"/>
                <w:sz w:val="21"/>
                <w:szCs w:val="21"/>
                <w:lang w:val="en-US" w:eastAsia="zh-CN"/>
              </w:rPr>
              <w:t>6</w:t>
            </w:r>
            <w:r>
              <w:rPr>
                <w:b/>
                <w:bCs/>
                <w:color w:val="auto"/>
                <w:sz w:val="21"/>
                <w:szCs w:val="21"/>
              </w:rPr>
              <w:t xml:space="preserve"> 本工程用排水量一览表</w:t>
            </w:r>
          </w:p>
          <w:tbl>
            <w:tblPr>
              <w:tblStyle w:val="34"/>
              <w:tblW w:w="808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590"/>
              <w:gridCol w:w="1570"/>
              <w:gridCol w:w="1229"/>
              <w:gridCol w:w="1043"/>
              <w:gridCol w:w="1161"/>
              <w:gridCol w:w="1170"/>
              <w:gridCol w:w="1320"/>
            </w:tblGrid>
            <w:tr w14:paraId="4FD05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90" w:type="dxa"/>
                  <w:noWrap/>
                  <w:vAlign w:val="center"/>
                </w:tcPr>
                <w:p w14:paraId="6CB2D5BE">
                  <w:pPr>
                    <w:autoSpaceDE w:val="0"/>
                    <w:autoSpaceDN w:val="0"/>
                    <w:adjustRightInd w:val="0"/>
                    <w:snapToGrid w:val="0"/>
                    <w:jc w:val="center"/>
                    <w:rPr>
                      <w:color w:val="auto"/>
                      <w:kern w:val="0"/>
                      <w:sz w:val="21"/>
                      <w:szCs w:val="21"/>
                      <w:u w:val="none"/>
                    </w:rPr>
                  </w:pPr>
                  <w:r>
                    <w:rPr>
                      <w:color w:val="auto"/>
                      <w:kern w:val="0"/>
                      <w:sz w:val="21"/>
                      <w:szCs w:val="21"/>
                      <w:u w:val="none"/>
                    </w:rPr>
                    <w:t>序号</w:t>
                  </w:r>
                </w:p>
              </w:tc>
              <w:tc>
                <w:tcPr>
                  <w:tcW w:w="1570" w:type="dxa"/>
                  <w:noWrap/>
                  <w:vAlign w:val="center"/>
                </w:tcPr>
                <w:p w14:paraId="6DC1CF01">
                  <w:pPr>
                    <w:autoSpaceDE w:val="0"/>
                    <w:autoSpaceDN w:val="0"/>
                    <w:adjustRightInd w:val="0"/>
                    <w:snapToGrid w:val="0"/>
                    <w:jc w:val="center"/>
                    <w:rPr>
                      <w:color w:val="auto"/>
                      <w:kern w:val="0"/>
                      <w:sz w:val="21"/>
                      <w:szCs w:val="21"/>
                      <w:u w:val="none"/>
                    </w:rPr>
                  </w:pPr>
                  <w:r>
                    <w:rPr>
                      <w:color w:val="auto"/>
                      <w:kern w:val="0"/>
                      <w:sz w:val="21"/>
                      <w:szCs w:val="21"/>
                      <w:u w:val="none"/>
                    </w:rPr>
                    <w:t>用水项目</w:t>
                  </w:r>
                </w:p>
              </w:tc>
              <w:tc>
                <w:tcPr>
                  <w:tcW w:w="1229" w:type="dxa"/>
                  <w:noWrap/>
                  <w:vAlign w:val="center"/>
                </w:tcPr>
                <w:p w14:paraId="272C4A97">
                  <w:pPr>
                    <w:autoSpaceDE w:val="0"/>
                    <w:autoSpaceDN w:val="0"/>
                    <w:adjustRightInd w:val="0"/>
                    <w:snapToGrid w:val="0"/>
                    <w:jc w:val="center"/>
                    <w:rPr>
                      <w:color w:val="auto"/>
                      <w:kern w:val="0"/>
                      <w:sz w:val="21"/>
                      <w:szCs w:val="21"/>
                      <w:u w:val="none"/>
                    </w:rPr>
                  </w:pPr>
                  <w:r>
                    <w:rPr>
                      <w:color w:val="auto"/>
                      <w:kern w:val="0"/>
                      <w:sz w:val="21"/>
                      <w:szCs w:val="21"/>
                      <w:u w:val="none"/>
                    </w:rPr>
                    <w:t>用水规模</w:t>
                  </w:r>
                </w:p>
              </w:tc>
              <w:tc>
                <w:tcPr>
                  <w:tcW w:w="1043" w:type="dxa"/>
                  <w:noWrap/>
                  <w:vAlign w:val="center"/>
                </w:tcPr>
                <w:p w14:paraId="371FE63C">
                  <w:pPr>
                    <w:autoSpaceDE w:val="0"/>
                    <w:autoSpaceDN w:val="0"/>
                    <w:adjustRightInd w:val="0"/>
                    <w:snapToGrid w:val="0"/>
                    <w:jc w:val="center"/>
                    <w:rPr>
                      <w:color w:val="auto"/>
                      <w:kern w:val="0"/>
                      <w:sz w:val="21"/>
                      <w:szCs w:val="21"/>
                      <w:u w:val="none"/>
                    </w:rPr>
                  </w:pPr>
                  <w:r>
                    <w:rPr>
                      <w:color w:val="auto"/>
                      <w:kern w:val="0"/>
                      <w:sz w:val="21"/>
                      <w:szCs w:val="21"/>
                      <w:u w:val="none"/>
                    </w:rPr>
                    <w:t>数量</w:t>
                  </w:r>
                </w:p>
              </w:tc>
              <w:tc>
                <w:tcPr>
                  <w:tcW w:w="1161" w:type="dxa"/>
                  <w:noWrap/>
                  <w:vAlign w:val="center"/>
                </w:tcPr>
                <w:p w14:paraId="02C0D71C">
                  <w:pPr>
                    <w:autoSpaceDE w:val="0"/>
                    <w:autoSpaceDN w:val="0"/>
                    <w:adjustRightInd w:val="0"/>
                    <w:snapToGrid w:val="0"/>
                    <w:jc w:val="center"/>
                    <w:rPr>
                      <w:color w:val="auto"/>
                      <w:kern w:val="0"/>
                      <w:sz w:val="21"/>
                      <w:szCs w:val="21"/>
                      <w:u w:val="none"/>
                    </w:rPr>
                  </w:pPr>
                  <w:r>
                    <w:rPr>
                      <w:color w:val="auto"/>
                      <w:kern w:val="0"/>
                      <w:sz w:val="21"/>
                      <w:szCs w:val="21"/>
                      <w:u w:val="none"/>
                    </w:rPr>
                    <w:t>用水量（t/d）</w:t>
                  </w:r>
                </w:p>
              </w:tc>
              <w:tc>
                <w:tcPr>
                  <w:tcW w:w="1170" w:type="dxa"/>
                  <w:noWrap/>
                  <w:vAlign w:val="center"/>
                </w:tcPr>
                <w:p w14:paraId="6A19900B">
                  <w:pPr>
                    <w:autoSpaceDE w:val="0"/>
                    <w:autoSpaceDN w:val="0"/>
                    <w:adjustRightInd w:val="0"/>
                    <w:snapToGrid w:val="0"/>
                    <w:jc w:val="center"/>
                    <w:rPr>
                      <w:color w:val="auto"/>
                      <w:kern w:val="0"/>
                      <w:sz w:val="21"/>
                      <w:szCs w:val="21"/>
                      <w:u w:val="none"/>
                    </w:rPr>
                  </w:pPr>
                  <w:r>
                    <w:rPr>
                      <w:color w:val="auto"/>
                      <w:kern w:val="0"/>
                      <w:sz w:val="21"/>
                      <w:szCs w:val="21"/>
                      <w:u w:val="none"/>
                    </w:rPr>
                    <w:t>产污系数</w:t>
                  </w:r>
                </w:p>
              </w:tc>
              <w:tc>
                <w:tcPr>
                  <w:tcW w:w="1320" w:type="dxa"/>
                  <w:noWrap/>
                  <w:vAlign w:val="center"/>
                </w:tcPr>
                <w:p w14:paraId="781802EC">
                  <w:pPr>
                    <w:autoSpaceDE w:val="0"/>
                    <w:autoSpaceDN w:val="0"/>
                    <w:adjustRightInd w:val="0"/>
                    <w:snapToGrid w:val="0"/>
                    <w:jc w:val="center"/>
                    <w:rPr>
                      <w:color w:val="auto"/>
                      <w:kern w:val="0"/>
                      <w:sz w:val="21"/>
                      <w:szCs w:val="21"/>
                      <w:u w:val="none"/>
                    </w:rPr>
                  </w:pPr>
                  <w:r>
                    <w:rPr>
                      <w:color w:val="auto"/>
                      <w:kern w:val="0"/>
                      <w:sz w:val="21"/>
                      <w:szCs w:val="21"/>
                      <w:u w:val="none"/>
                    </w:rPr>
                    <w:t>废水量（t/d）</w:t>
                  </w:r>
                </w:p>
              </w:tc>
            </w:tr>
            <w:tr w14:paraId="17CFD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90" w:type="dxa"/>
                  <w:noWrap/>
                  <w:vAlign w:val="center"/>
                </w:tcPr>
                <w:p w14:paraId="68CD8FAD">
                  <w:pPr>
                    <w:autoSpaceDE w:val="0"/>
                    <w:autoSpaceDN w:val="0"/>
                    <w:adjustRightInd w:val="0"/>
                    <w:snapToGrid w:val="0"/>
                    <w:jc w:val="center"/>
                    <w:rPr>
                      <w:color w:val="auto"/>
                      <w:kern w:val="0"/>
                      <w:sz w:val="21"/>
                      <w:szCs w:val="21"/>
                      <w:u w:val="none"/>
                    </w:rPr>
                  </w:pPr>
                  <w:r>
                    <w:rPr>
                      <w:color w:val="auto"/>
                      <w:kern w:val="0"/>
                      <w:sz w:val="21"/>
                      <w:szCs w:val="21"/>
                      <w:u w:val="none"/>
                    </w:rPr>
                    <w:t>1</w:t>
                  </w:r>
                </w:p>
              </w:tc>
              <w:tc>
                <w:tcPr>
                  <w:tcW w:w="1570" w:type="dxa"/>
                  <w:noWrap/>
                  <w:vAlign w:val="center"/>
                </w:tcPr>
                <w:p w14:paraId="42438EEB">
                  <w:pPr>
                    <w:autoSpaceDE w:val="0"/>
                    <w:autoSpaceDN w:val="0"/>
                    <w:adjustRightInd w:val="0"/>
                    <w:snapToGrid w:val="0"/>
                    <w:jc w:val="center"/>
                    <w:rPr>
                      <w:color w:val="auto"/>
                      <w:kern w:val="0"/>
                      <w:sz w:val="21"/>
                      <w:szCs w:val="21"/>
                      <w:u w:val="none"/>
                    </w:rPr>
                  </w:pPr>
                  <w:r>
                    <w:rPr>
                      <w:color w:val="auto"/>
                      <w:kern w:val="0"/>
                      <w:sz w:val="21"/>
                      <w:szCs w:val="21"/>
                      <w:u w:val="none"/>
                    </w:rPr>
                    <w:t>门诊</w:t>
                  </w:r>
                  <w:r>
                    <w:rPr>
                      <w:rFonts w:hint="eastAsia"/>
                      <w:color w:val="auto"/>
                      <w:kern w:val="0"/>
                      <w:sz w:val="21"/>
                      <w:szCs w:val="21"/>
                      <w:u w:val="none"/>
                    </w:rPr>
                    <w:t>用</w:t>
                  </w:r>
                  <w:r>
                    <w:rPr>
                      <w:color w:val="auto"/>
                      <w:kern w:val="0"/>
                      <w:sz w:val="21"/>
                      <w:szCs w:val="21"/>
                      <w:u w:val="none"/>
                    </w:rPr>
                    <w:t>水</w:t>
                  </w:r>
                </w:p>
              </w:tc>
              <w:tc>
                <w:tcPr>
                  <w:tcW w:w="1229" w:type="dxa"/>
                  <w:noWrap/>
                  <w:vAlign w:val="center"/>
                </w:tcPr>
                <w:p w14:paraId="119AAAFB">
                  <w:pPr>
                    <w:autoSpaceDE w:val="0"/>
                    <w:autoSpaceDN w:val="0"/>
                    <w:adjustRightInd w:val="0"/>
                    <w:snapToGrid w:val="0"/>
                    <w:jc w:val="center"/>
                    <w:rPr>
                      <w:color w:val="auto"/>
                      <w:kern w:val="0"/>
                      <w:sz w:val="21"/>
                      <w:szCs w:val="21"/>
                      <w:u w:val="none"/>
                    </w:rPr>
                  </w:pPr>
                  <w:r>
                    <w:rPr>
                      <w:color w:val="auto"/>
                      <w:kern w:val="0"/>
                      <w:sz w:val="21"/>
                      <w:szCs w:val="21"/>
                      <w:u w:val="none"/>
                    </w:rPr>
                    <w:t>15L人·次·d</w:t>
                  </w:r>
                </w:p>
              </w:tc>
              <w:tc>
                <w:tcPr>
                  <w:tcW w:w="1043" w:type="dxa"/>
                  <w:noWrap/>
                  <w:vAlign w:val="center"/>
                </w:tcPr>
                <w:p w14:paraId="307FA11B">
                  <w:pPr>
                    <w:autoSpaceDE w:val="0"/>
                    <w:autoSpaceDN w:val="0"/>
                    <w:adjustRightInd w:val="0"/>
                    <w:snapToGrid w:val="0"/>
                    <w:jc w:val="center"/>
                    <w:rPr>
                      <w:color w:val="auto"/>
                      <w:kern w:val="0"/>
                      <w:sz w:val="21"/>
                      <w:szCs w:val="21"/>
                      <w:u w:val="none"/>
                    </w:rPr>
                  </w:pPr>
                  <w:r>
                    <w:rPr>
                      <w:rFonts w:hint="eastAsia"/>
                      <w:color w:val="auto"/>
                      <w:kern w:val="0"/>
                      <w:sz w:val="21"/>
                      <w:szCs w:val="21"/>
                      <w:u w:val="none"/>
                      <w:lang w:val="en-US" w:eastAsia="zh-CN"/>
                    </w:rPr>
                    <w:t>300</w:t>
                  </w:r>
                  <w:r>
                    <w:rPr>
                      <w:rFonts w:hint="eastAsia"/>
                      <w:color w:val="auto"/>
                      <w:kern w:val="0"/>
                      <w:sz w:val="21"/>
                      <w:szCs w:val="21"/>
                      <w:u w:val="none"/>
                    </w:rPr>
                    <w:t>人/d</w:t>
                  </w:r>
                </w:p>
              </w:tc>
              <w:tc>
                <w:tcPr>
                  <w:tcW w:w="1161" w:type="dxa"/>
                  <w:noWrap/>
                  <w:vAlign w:val="center"/>
                </w:tcPr>
                <w:p w14:paraId="0720D8B1">
                  <w:pPr>
                    <w:autoSpaceDE w:val="0"/>
                    <w:autoSpaceDN w:val="0"/>
                    <w:adjustRightInd w:val="0"/>
                    <w:snapToGrid w:val="0"/>
                    <w:jc w:val="center"/>
                    <w:rPr>
                      <w:rFonts w:hint="default" w:eastAsia="宋体"/>
                      <w:color w:val="auto"/>
                      <w:kern w:val="0"/>
                      <w:sz w:val="21"/>
                      <w:szCs w:val="21"/>
                      <w:u w:val="none"/>
                      <w:lang w:val="en-US" w:eastAsia="zh-CN"/>
                    </w:rPr>
                  </w:pPr>
                  <w:r>
                    <w:rPr>
                      <w:rFonts w:hint="eastAsia"/>
                      <w:color w:val="auto"/>
                      <w:kern w:val="0"/>
                      <w:sz w:val="21"/>
                      <w:szCs w:val="21"/>
                      <w:u w:val="none"/>
                      <w:lang w:val="en-US" w:eastAsia="zh-CN"/>
                    </w:rPr>
                    <w:t>4.5</w:t>
                  </w:r>
                </w:p>
              </w:tc>
              <w:tc>
                <w:tcPr>
                  <w:tcW w:w="1170" w:type="dxa"/>
                  <w:noWrap/>
                  <w:vAlign w:val="center"/>
                </w:tcPr>
                <w:p w14:paraId="3BC14D16">
                  <w:pPr>
                    <w:autoSpaceDE w:val="0"/>
                    <w:autoSpaceDN w:val="0"/>
                    <w:adjustRightInd w:val="0"/>
                    <w:snapToGrid w:val="0"/>
                    <w:jc w:val="center"/>
                    <w:rPr>
                      <w:rFonts w:hint="eastAsia"/>
                      <w:color w:val="auto"/>
                      <w:kern w:val="0"/>
                      <w:sz w:val="21"/>
                      <w:szCs w:val="21"/>
                      <w:u w:val="none"/>
                    </w:rPr>
                  </w:pPr>
                  <w:r>
                    <w:rPr>
                      <w:rFonts w:hint="eastAsia"/>
                      <w:color w:val="auto"/>
                      <w:kern w:val="0"/>
                      <w:sz w:val="21"/>
                      <w:szCs w:val="21"/>
                      <w:u w:val="none"/>
                      <w:lang w:val="en-US" w:eastAsia="zh-CN"/>
                    </w:rPr>
                    <w:t>0.9</w:t>
                  </w:r>
                </w:p>
              </w:tc>
              <w:tc>
                <w:tcPr>
                  <w:tcW w:w="1320" w:type="dxa"/>
                  <w:noWrap/>
                  <w:vAlign w:val="center"/>
                </w:tcPr>
                <w:p w14:paraId="7B7FD732">
                  <w:pPr>
                    <w:autoSpaceDE w:val="0"/>
                    <w:autoSpaceDN w:val="0"/>
                    <w:adjustRightInd w:val="0"/>
                    <w:snapToGrid w:val="0"/>
                    <w:jc w:val="center"/>
                    <w:rPr>
                      <w:rFonts w:hint="default" w:eastAsia="宋体"/>
                      <w:color w:val="auto"/>
                      <w:kern w:val="0"/>
                      <w:sz w:val="21"/>
                      <w:szCs w:val="21"/>
                      <w:u w:val="none"/>
                      <w:lang w:val="en-US" w:eastAsia="zh-CN"/>
                    </w:rPr>
                  </w:pPr>
                  <w:r>
                    <w:rPr>
                      <w:rFonts w:hint="eastAsia"/>
                      <w:color w:val="auto"/>
                      <w:kern w:val="0"/>
                      <w:sz w:val="21"/>
                      <w:szCs w:val="21"/>
                      <w:u w:val="none"/>
                      <w:lang w:val="en-US" w:eastAsia="zh-CN"/>
                    </w:rPr>
                    <w:t>4.05</w:t>
                  </w:r>
                </w:p>
              </w:tc>
            </w:tr>
            <w:tr w14:paraId="797DA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90" w:type="dxa"/>
                  <w:noWrap/>
                  <w:vAlign w:val="center"/>
                </w:tcPr>
                <w:p w14:paraId="62C7A04C">
                  <w:pPr>
                    <w:autoSpaceDE w:val="0"/>
                    <w:autoSpaceDN w:val="0"/>
                    <w:adjustRightInd w:val="0"/>
                    <w:snapToGrid w:val="0"/>
                    <w:jc w:val="center"/>
                    <w:rPr>
                      <w:color w:val="auto"/>
                      <w:kern w:val="0"/>
                      <w:sz w:val="21"/>
                      <w:szCs w:val="21"/>
                      <w:u w:val="none"/>
                    </w:rPr>
                  </w:pPr>
                  <w:r>
                    <w:rPr>
                      <w:color w:val="auto"/>
                      <w:kern w:val="0"/>
                      <w:sz w:val="21"/>
                      <w:szCs w:val="21"/>
                      <w:u w:val="none"/>
                    </w:rPr>
                    <w:t>2</w:t>
                  </w:r>
                </w:p>
              </w:tc>
              <w:tc>
                <w:tcPr>
                  <w:tcW w:w="1570" w:type="dxa"/>
                  <w:noWrap/>
                  <w:vAlign w:val="center"/>
                </w:tcPr>
                <w:p w14:paraId="65B3E3EC">
                  <w:pPr>
                    <w:autoSpaceDE w:val="0"/>
                    <w:autoSpaceDN w:val="0"/>
                    <w:adjustRightInd w:val="0"/>
                    <w:snapToGrid w:val="0"/>
                    <w:jc w:val="center"/>
                    <w:rPr>
                      <w:color w:val="auto"/>
                      <w:kern w:val="0"/>
                      <w:sz w:val="21"/>
                      <w:szCs w:val="21"/>
                      <w:u w:val="none"/>
                    </w:rPr>
                  </w:pPr>
                  <w:r>
                    <w:rPr>
                      <w:color w:val="auto"/>
                      <w:kern w:val="0"/>
                      <w:sz w:val="21"/>
                      <w:szCs w:val="21"/>
                      <w:u w:val="none"/>
                    </w:rPr>
                    <w:t>住院病人用水</w:t>
                  </w:r>
                </w:p>
              </w:tc>
              <w:tc>
                <w:tcPr>
                  <w:tcW w:w="1229" w:type="dxa"/>
                  <w:noWrap/>
                  <w:vAlign w:val="center"/>
                </w:tcPr>
                <w:p w14:paraId="6407F2AC">
                  <w:pPr>
                    <w:autoSpaceDE w:val="0"/>
                    <w:autoSpaceDN w:val="0"/>
                    <w:adjustRightInd w:val="0"/>
                    <w:snapToGrid w:val="0"/>
                    <w:jc w:val="center"/>
                    <w:rPr>
                      <w:color w:val="auto"/>
                      <w:kern w:val="0"/>
                      <w:sz w:val="21"/>
                      <w:szCs w:val="21"/>
                      <w:u w:val="none"/>
                    </w:rPr>
                  </w:pPr>
                  <w:r>
                    <w:rPr>
                      <w:color w:val="auto"/>
                      <w:kern w:val="0"/>
                      <w:sz w:val="21"/>
                      <w:szCs w:val="21"/>
                      <w:u w:val="none"/>
                    </w:rPr>
                    <w:t>250L/人·d</w:t>
                  </w:r>
                </w:p>
              </w:tc>
              <w:tc>
                <w:tcPr>
                  <w:tcW w:w="1043" w:type="dxa"/>
                  <w:noWrap/>
                  <w:vAlign w:val="center"/>
                </w:tcPr>
                <w:p w14:paraId="76FAC168">
                  <w:pPr>
                    <w:autoSpaceDE w:val="0"/>
                    <w:autoSpaceDN w:val="0"/>
                    <w:adjustRightInd w:val="0"/>
                    <w:snapToGrid w:val="0"/>
                    <w:jc w:val="center"/>
                    <w:rPr>
                      <w:color w:val="auto"/>
                      <w:kern w:val="0"/>
                      <w:sz w:val="21"/>
                      <w:szCs w:val="21"/>
                      <w:u w:val="none"/>
                    </w:rPr>
                  </w:pPr>
                  <w:r>
                    <w:rPr>
                      <w:rFonts w:hint="eastAsia"/>
                      <w:color w:val="auto"/>
                      <w:kern w:val="0"/>
                      <w:sz w:val="21"/>
                      <w:szCs w:val="21"/>
                      <w:u w:val="none"/>
                      <w:lang w:val="en-US" w:eastAsia="zh-CN"/>
                    </w:rPr>
                    <w:t>300</w:t>
                  </w:r>
                  <w:r>
                    <w:rPr>
                      <w:color w:val="auto"/>
                      <w:kern w:val="0"/>
                      <w:sz w:val="21"/>
                      <w:szCs w:val="21"/>
                      <w:u w:val="none"/>
                    </w:rPr>
                    <w:t>人</w:t>
                  </w:r>
                </w:p>
              </w:tc>
              <w:tc>
                <w:tcPr>
                  <w:tcW w:w="1161" w:type="dxa"/>
                  <w:noWrap/>
                  <w:vAlign w:val="center"/>
                </w:tcPr>
                <w:p w14:paraId="002BE942">
                  <w:pPr>
                    <w:autoSpaceDE w:val="0"/>
                    <w:autoSpaceDN w:val="0"/>
                    <w:adjustRightInd w:val="0"/>
                    <w:snapToGrid w:val="0"/>
                    <w:jc w:val="center"/>
                    <w:rPr>
                      <w:rFonts w:hint="default" w:eastAsia="宋体"/>
                      <w:color w:val="auto"/>
                      <w:kern w:val="0"/>
                      <w:sz w:val="21"/>
                      <w:szCs w:val="21"/>
                      <w:u w:val="none"/>
                      <w:lang w:val="en-US" w:eastAsia="zh-CN"/>
                    </w:rPr>
                  </w:pPr>
                  <w:r>
                    <w:rPr>
                      <w:rFonts w:hint="eastAsia"/>
                      <w:color w:val="auto"/>
                      <w:kern w:val="0"/>
                      <w:sz w:val="21"/>
                      <w:szCs w:val="21"/>
                      <w:u w:val="none"/>
                      <w:lang w:val="en-US" w:eastAsia="zh-CN"/>
                    </w:rPr>
                    <w:t>75</w:t>
                  </w:r>
                </w:p>
              </w:tc>
              <w:tc>
                <w:tcPr>
                  <w:tcW w:w="1170" w:type="dxa"/>
                  <w:noWrap/>
                  <w:vAlign w:val="center"/>
                </w:tcPr>
                <w:p w14:paraId="4231FA61">
                  <w:pPr>
                    <w:autoSpaceDE w:val="0"/>
                    <w:autoSpaceDN w:val="0"/>
                    <w:adjustRightInd w:val="0"/>
                    <w:snapToGrid w:val="0"/>
                    <w:jc w:val="center"/>
                    <w:rPr>
                      <w:color w:val="auto"/>
                      <w:kern w:val="0"/>
                      <w:sz w:val="21"/>
                      <w:szCs w:val="21"/>
                      <w:u w:val="none"/>
                    </w:rPr>
                  </w:pPr>
                  <w:r>
                    <w:rPr>
                      <w:rFonts w:hint="eastAsia"/>
                      <w:color w:val="auto"/>
                      <w:kern w:val="0"/>
                      <w:sz w:val="21"/>
                      <w:szCs w:val="21"/>
                      <w:u w:val="none"/>
                      <w:lang w:val="en-US" w:eastAsia="zh-CN"/>
                    </w:rPr>
                    <w:t>0.9</w:t>
                  </w:r>
                </w:p>
              </w:tc>
              <w:tc>
                <w:tcPr>
                  <w:tcW w:w="1320" w:type="dxa"/>
                  <w:noWrap/>
                  <w:vAlign w:val="center"/>
                </w:tcPr>
                <w:p w14:paraId="3E9B6015">
                  <w:pPr>
                    <w:autoSpaceDE w:val="0"/>
                    <w:autoSpaceDN w:val="0"/>
                    <w:adjustRightInd w:val="0"/>
                    <w:snapToGrid w:val="0"/>
                    <w:jc w:val="center"/>
                    <w:rPr>
                      <w:rFonts w:hint="default" w:eastAsia="宋体"/>
                      <w:color w:val="auto"/>
                      <w:kern w:val="0"/>
                      <w:sz w:val="21"/>
                      <w:szCs w:val="21"/>
                      <w:u w:val="none"/>
                      <w:lang w:val="en-US" w:eastAsia="zh-CN"/>
                    </w:rPr>
                  </w:pPr>
                  <w:r>
                    <w:rPr>
                      <w:rFonts w:hint="eastAsia"/>
                      <w:color w:val="auto"/>
                      <w:kern w:val="0"/>
                      <w:sz w:val="21"/>
                      <w:szCs w:val="21"/>
                      <w:u w:val="none"/>
                      <w:lang w:val="en-US" w:eastAsia="zh-CN"/>
                    </w:rPr>
                    <w:t>67.5</w:t>
                  </w:r>
                </w:p>
              </w:tc>
            </w:tr>
            <w:tr w14:paraId="60456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90" w:type="dxa"/>
                  <w:noWrap/>
                  <w:vAlign w:val="center"/>
                </w:tcPr>
                <w:p w14:paraId="2E312CC4">
                  <w:pPr>
                    <w:autoSpaceDE w:val="0"/>
                    <w:autoSpaceDN w:val="0"/>
                    <w:adjustRightInd w:val="0"/>
                    <w:snapToGrid w:val="0"/>
                    <w:jc w:val="center"/>
                    <w:rPr>
                      <w:rFonts w:hint="eastAsia" w:eastAsia="宋体"/>
                      <w:color w:val="auto"/>
                      <w:kern w:val="0"/>
                      <w:sz w:val="21"/>
                      <w:szCs w:val="21"/>
                      <w:u w:val="none"/>
                      <w:lang w:val="en-US" w:eastAsia="zh-CN"/>
                    </w:rPr>
                  </w:pPr>
                  <w:r>
                    <w:rPr>
                      <w:rFonts w:hint="eastAsia"/>
                      <w:color w:val="auto"/>
                      <w:kern w:val="0"/>
                      <w:sz w:val="21"/>
                      <w:szCs w:val="21"/>
                      <w:u w:val="none"/>
                      <w:lang w:val="en-US" w:eastAsia="zh-CN"/>
                    </w:rPr>
                    <w:t>3</w:t>
                  </w:r>
                </w:p>
              </w:tc>
              <w:tc>
                <w:tcPr>
                  <w:tcW w:w="1570" w:type="dxa"/>
                  <w:noWrap/>
                  <w:vAlign w:val="center"/>
                </w:tcPr>
                <w:p w14:paraId="47CD4A68">
                  <w:pPr>
                    <w:autoSpaceDE w:val="0"/>
                    <w:autoSpaceDN w:val="0"/>
                    <w:adjustRightInd w:val="0"/>
                    <w:snapToGrid w:val="0"/>
                    <w:jc w:val="center"/>
                    <w:rPr>
                      <w:color w:val="auto"/>
                      <w:kern w:val="0"/>
                      <w:sz w:val="21"/>
                      <w:szCs w:val="21"/>
                      <w:u w:val="none"/>
                    </w:rPr>
                  </w:pPr>
                  <w:r>
                    <w:rPr>
                      <w:color w:val="auto"/>
                      <w:kern w:val="0"/>
                      <w:sz w:val="21"/>
                      <w:szCs w:val="21"/>
                      <w:u w:val="none"/>
                    </w:rPr>
                    <w:t>医务人员用水</w:t>
                  </w:r>
                </w:p>
              </w:tc>
              <w:tc>
                <w:tcPr>
                  <w:tcW w:w="1229" w:type="dxa"/>
                  <w:noWrap/>
                  <w:vAlign w:val="center"/>
                </w:tcPr>
                <w:p w14:paraId="5DC091C7">
                  <w:pPr>
                    <w:autoSpaceDE w:val="0"/>
                    <w:autoSpaceDN w:val="0"/>
                    <w:adjustRightInd w:val="0"/>
                    <w:snapToGrid w:val="0"/>
                    <w:jc w:val="center"/>
                    <w:rPr>
                      <w:color w:val="auto"/>
                      <w:kern w:val="0"/>
                      <w:sz w:val="21"/>
                      <w:szCs w:val="21"/>
                      <w:u w:val="none"/>
                    </w:rPr>
                  </w:pPr>
                  <w:r>
                    <w:rPr>
                      <w:color w:val="auto"/>
                      <w:kern w:val="0"/>
                      <w:sz w:val="21"/>
                      <w:szCs w:val="21"/>
                      <w:u w:val="none"/>
                    </w:rPr>
                    <w:t>150L/人·d</w:t>
                  </w:r>
                </w:p>
              </w:tc>
              <w:tc>
                <w:tcPr>
                  <w:tcW w:w="1043" w:type="dxa"/>
                  <w:noWrap/>
                  <w:vAlign w:val="center"/>
                </w:tcPr>
                <w:p w14:paraId="746B8BDC">
                  <w:pPr>
                    <w:autoSpaceDE w:val="0"/>
                    <w:autoSpaceDN w:val="0"/>
                    <w:adjustRightInd w:val="0"/>
                    <w:snapToGrid w:val="0"/>
                    <w:jc w:val="center"/>
                    <w:rPr>
                      <w:color w:val="auto"/>
                      <w:kern w:val="0"/>
                      <w:sz w:val="21"/>
                      <w:szCs w:val="21"/>
                      <w:u w:val="none"/>
                    </w:rPr>
                  </w:pPr>
                  <w:r>
                    <w:rPr>
                      <w:rFonts w:hint="eastAsia"/>
                      <w:color w:val="auto"/>
                      <w:kern w:val="0"/>
                      <w:sz w:val="21"/>
                      <w:szCs w:val="21"/>
                      <w:u w:val="none"/>
                      <w:lang w:val="en-US" w:eastAsia="zh-CN"/>
                    </w:rPr>
                    <w:t>195</w:t>
                  </w:r>
                  <w:r>
                    <w:rPr>
                      <w:color w:val="auto"/>
                      <w:kern w:val="0"/>
                      <w:sz w:val="21"/>
                      <w:szCs w:val="21"/>
                      <w:u w:val="none"/>
                    </w:rPr>
                    <w:t>人</w:t>
                  </w:r>
                </w:p>
              </w:tc>
              <w:tc>
                <w:tcPr>
                  <w:tcW w:w="1161" w:type="dxa"/>
                  <w:noWrap/>
                  <w:vAlign w:val="center"/>
                </w:tcPr>
                <w:p w14:paraId="3571AE18">
                  <w:pPr>
                    <w:autoSpaceDE w:val="0"/>
                    <w:autoSpaceDN w:val="0"/>
                    <w:adjustRightInd w:val="0"/>
                    <w:snapToGrid w:val="0"/>
                    <w:jc w:val="center"/>
                    <w:rPr>
                      <w:rFonts w:hint="default" w:eastAsia="宋体"/>
                      <w:color w:val="auto"/>
                      <w:kern w:val="0"/>
                      <w:sz w:val="21"/>
                      <w:szCs w:val="21"/>
                      <w:u w:val="none"/>
                      <w:lang w:val="en-US" w:eastAsia="zh-CN"/>
                    </w:rPr>
                  </w:pPr>
                  <w:r>
                    <w:rPr>
                      <w:rFonts w:hint="eastAsia"/>
                      <w:color w:val="auto"/>
                      <w:kern w:val="0"/>
                      <w:sz w:val="21"/>
                      <w:szCs w:val="21"/>
                      <w:u w:val="none"/>
                      <w:lang w:val="en-US" w:eastAsia="zh-CN"/>
                    </w:rPr>
                    <w:t>29.25</w:t>
                  </w:r>
                </w:p>
              </w:tc>
              <w:tc>
                <w:tcPr>
                  <w:tcW w:w="1170" w:type="dxa"/>
                  <w:noWrap/>
                  <w:vAlign w:val="center"/>
                </w:tcPr>
                <w:p w14:paraId="63537305">
                  <w:pPr>
                    <w:autoSpaceDE w:val="0"/>
                    <w:autoSpaceDN w:val="0"/>
                    <w:adjustRightInd w:val="0"/>
                    <w:snapToGrid w:val="0"/>
                    <w:jc w:val="center"/>
                    <w:rPr>
                      <w:color w:val="auto"/>
                      <w:kern w:val="0"/>
                      <w:sz w:val="21"/>
                      <w:szCs w:val="21"/>
                      <w:u w:val="none"/>
                    </w:rPr>
                  </w:pPr>
                  <w:r>
                    <w:rPr>
                      <w:rFonts w:hint="eastAsia"/>
                      <w:color w:val="auto"/>
                      <w:kern w:val="0"/>
                      <w:sz w:val="21"/>
                      <w:szCs w:val="21"/>
                      <w:u w:val="none"/>
                      <w:lang w:val="en-US" w:eastAsia="zh-CN"/>
                    </w:rPr>
                    <w:t>0.9</w:t>
                  </w:r>
                </w:p>
              </w:tc>
              <w:tc>
                <w:tcPr>
                  <w:tcW w:w="1320" w:type="dxa"/>
                  <w:noWrap/>
                  <w:vAlign w:val="center"/>
                </w:tcPr>
                <w:p w14:paraId="46D174A7">
                  <w:pPr>
                    <w:autoSpaceDE w:val="0"/>
                    <w:autoSpaceDN w:val="0"/>
                    <w:adjustRightInd w:val="0"/>
                    <w:snapToGrid w:val="0"/>
                    <w:jc w:val="center"/>
                    <w:rPr>
                      <w:rFonts w:hint="default" w:eastAsia="宋体"/>
                      <w:color w:val="auto"/>
                      <w:kern w:val="0"/>
                      <w:sz w:val="21"/>
                      <w:szCs w:val="21"/>
                      <w:u w:val="none"/>
                      <w:lang w:val="en-US" w:eastAsia="zh-CN"/>
                    </w:rPr>
                  </w:pPr>
                  <w:r>
                    <w:rPr>
                      <w:rFonts w:hint="eastAsia"/>
                      <w:color w:val="auto"/>
                      <w:kern w:val="0"/>
                      <w:sz w:val="21"/>
                      <w:szCs w:val="21"/>
                      <w:u w:val="none"/>
                      <w:lang w:val="en-US" w:eastAsia="zh-CN"/>
                    </w:rPr>
                    <w:t>26.325</w:t>
                  </w:r>
                </w:p>
              </w:tc>
            </w:tr>
            <w:tr w14:paraId="796BC1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90" w:type="dxa"/>
                  <w:noWrap/>
                  <w:vAlign w:val="center"/>
                </w:tcPr>
                <w:p w14:paraId="6F0E640C">
                  <w:pPr>
                    <w:autoSpaceDE w:val="0"/>
                    <w:autoSpaceDN w:val="0"/>
                    <w:adjustRightInd w:val="0"/>
                    <w:snapToGrid w:val="0"/>
                    <w:jc w:val="center"/>
                    <w:rPr>
                      <w:rFonts w:hint="eastAsia" w:eastAsia="宋体"/>
                      <w:color w:val="auto"/>
                      <w:kern w:val="0"/>
                      <w:sz w:val="21"/>
                      <w:szCs w:val="21"/>
                      <w:u w:val="none"/>
                      <w:lang w:val="en-US" w:eastAsia="zh-CN"/>
                    </w:rPr>
                  </w:pPr>
                  <w:r>
                    <w:rPr>
                      <w:rFonts w:hint="eastAsia"/>
                      <w:color w:val="auto"/>
                      <w:kern w:val="0"/>
                      <w:sz w:val="21"/>
                      <w:szCs w:val="21"/>
                      <w:u w:val="none"/>
                      <w:lang w:val="en-US" w:eastAsia="zh-CN"/>
                    </w:rPr>
                    <w:t>4</w:t>
                  </w:r>
                </w:p>
              </w:tc>
              <w:tc>
                <w:tcPr>
                  <w:tcW w:w="1570" w:type="dxa"/>
                  <w:noWrap/>
                  <w:vAlign w:val="center"/>
                </w:tcPr>
                <w:p w14:paraId="2DC02EB3">
                  <w:pPr>
                    <w:autoSpaceDE w:val="0"/>
                    <w:autoSpaceDN w:val="0"/>
                    <w:adjustRightInd w:val="0"/>
                    <w:snapToGrid w:val="0"/>
                    <w:jc w:val="center"/>
                    <w:rPr>
                      <w:color w:val="auto"/>
                      <w:kern w:val="0"/>
                      <w:sz w:val="21"/>
                      <w:szCs w:val="21"/>
                      <w:u w:val="none"/>
                    </w:rPr>
                  </w:pPr>
                  <w:r>
                    <w:rPr>
                      <w:color w:val="auto"/>
                      <w:kern w:val="0"/>
                      <w:sz w:val="21"/>
                      <w:szCs w:val="21"/>
                      <w:u w:val="none"/>
                    </w:rPr>
                    <w:t>食堂</w:t>
                  </w:r>
                  <w:r>
                    <w:rPr>
                      <w:rFonts w:hint="eastAsia"/>
                      <w:color w:val="auto"/>
                      <w:kern w:val="0"/>
                      <w:sz w:val="21"/>
                      <w:szCs w:val="21"/>
                      <w:u w:val="none"/>
                    </w:rPr>
                    <w:t>用</w:t>
                  </w:r>
                  <w:r>
                    <w:rPr>
                      <w:color w:val="auto"/>
                      <w:kern w:val="0"/>
                      <w:sz w:val="21"/>
                      <w:szCs w:val="21"/>
                      <w:u w:val="none"/>
                    </w:rPr>
                    <w:t>水</w:t>
                  </w:r>
                </w:p>
              </w:tc>
              <w:tc>
                <w:tcPr>
                  <w:tcW w:w="1229" w:type="dxa"/>
                  <w:noWrap/>
                  <w:vAlign w:val="center"/>
                </w:tcPr>
                <w:p w14:paraId="2CC27016">
                  <w:pPr>
                    <w:autoSpaceDE w:val="0"/>
                    <w:autoSpaceDN w:val="0"/>
                    <w:adjustRightInd w:val="0"/>
                    <w:snapToGrid w:val="0"/>
                    <w:jc w:val="center"/>
                    <w:rPr>
                      <w:color w:val="auto"/>
                      <w:kern w:val="0"/>
                      <w:sz w:val="21"/>
                      <w:szCs w:val="21"/>
                      <w:u w:val="none"/>
                    </w:rPr>
                  </w:pPr>
                  <w:r>
                    <w:rPr>
                      <w:rFonts w:hint="eastAsia"/>
                      <w:color w:val="auto"/>
                      <w:kern w:val="0"/>
                      <w:sz w:val="21"/>
                      <w:szCs w:val="21"/>
                      <w:u w:val="none"/>
                      <w:lang w:val="en-US" w:eastAsia="zh-CN"/>
                    </w:rPr>
                    <w:t>2</w:t>
                  </w:r>
                  <w:r>
                    <w:rPr>
                      <w:color w:val="auto"/>
                      <w:kern w:val="0"/>
                      <w:sz w:val="21"/>
                      <w:szCs w:val="21"/>
                      <w:u w:val="none"/>
                    </w:rPr>
                    <w:t>0L/</w:t>
                  </w:r>
                  <w:r>
                    <w:rPr>
                      <w:rFonts w:hint="eastAsia"/>
                      <w:color w:val="auto"/>
                      <w:kern w:val="0"/>
                      <w:sz w:val="21"/>
                      <w:szCs w:val="21"/>
                      <w:u w:val="none"/>
                      <w:lang w:eastAsia="zh-CN"/>
                    </w:rPr>
                    <w:t>人</w:t>
                  </w:r>
                  <w:r>
                    <w:rPr>
                      <w:color w:val="auto"/>
                      <w:kern w:val="0"/>
                      <w:sz w:val="21"/>
                      <w:szCs w:val="21"/>
                      <w:u w:val="none"/>
                    </w:rPr>
                    <w:t>·d</w:t>
                  </w:r>
                </w:p>
              </w:tc>
              <w:tc>
                <w:tcPr>
                  <w:tcW w:w="1043" w:type="dxa"/>
                  <w:noWrap/>
                  <w:vAlign w:val="center"/>
                </w:tcPr>
                <w:p w14:paraId="3A7204DC">
                  <w:pPr>
                    <w:autoSpaceDE w:val="0"/>
                    <w:autoSpaceDN w:val="0"/>
                    <w:adjustRightInd w:val="0"/>
                    <w:snapToGrid w:val="0"/>
                    <w:jc w:val="center"/>
                    <w:rPr>
                      <w:color w:val="auto"/>
                      <w:kern w:val="0"/>
                      <w:sz w:val="21"/>
                      <w:szCs w:val="21"/>
                      <w:u w:val="none"/>
                    </w:rPr>
                  </w:pPr>
                  <w:r>
                    <w:rPr>
                      <w:rFonts w:hint="eastAsia"/>
                      <w:color w:val="auto"/>
                      <w:kern w:val="0"/>
                      <w:sz w:val="21"/>
                      <w:szCs w:val="21"/>
                      <w:u w:val="none"/>
                      <w:lang w:val="en-US" w:eastAsia="zh-CN"/>
                    </w:rPr>
                    <w:t>800</w:t>
                  </w:r>
                  <w:r>
                    <w:rPr>
                      <w:color w:val="auto"/>
                      <w:kern w:val="0"/>
                      <w:sz w:val="21"/>
                      <w:szCs w:val="21"/>
                      <w:u w:val="none"/>
                    </w:rPr>
                    <w:t>人</w:t>
                  </w:r>
                </w:p>
              </w:tc>
              <w:tc>
                <w:tcPr>
                  <w:tcW w:w="1161" w:type="dxa"/>
                  <w:noWrap/>
                  <w:vAlign w:val="center"/>
                </w:tcPr>
                <w:p w14:paraId="02859298">
                  <w:pPr>
                    <w:autoSpaceDE w:val="0"/>
                    <w:autoSpaceDN w:val="0"/>
                    <w:adjustRightInd w:val="0"/>
                    <w:snapToGrid w:val="0"/>
                    <w:jc w:val="center"/>
                    <w:rPr>
                      <w:rFonts w:hint="default" w:eastAsia="宋体"/>
                      <w:color w:val="auto"/>
                      <w:kern w:val="0"/>
                      <w:sz w:val="21"/>
                      <w:szCs w:val="21"/>
                      <w:u w:val="none"/>
                      <w:lang w:val="en-US" w:eastAsia="zh-CN"/>
                    </w:rPr>
                  </w:pPr>
                  <w:r>
                    <w:rPr>
                      <w:rFonts w:hint="eastAsia"/>
                      <w:color w:val="auto"/>
                      <w:kern w:val="0"/>
                      <w:sz w:val="21"/>
                      <w:szCs w:val="21"/>
                      <w:u w:val="none"/>
                      <w:lang w:val="en-US" w:eastAsia="zh-CN"/>
                    </w:rPr>
                    <w:t>16</w:t>
                  </w:r>
                </w:p>
              </w:tc>
              <w:tc>
                <w:tcPr>
                  <w:tcW w:w="1170" w:type="dxa"/>
                  <w:noWrap/>
                  <w:vAlign w:val="center"/>
                </w:tcPr>
                <w:p w14:paraId="190577FD">
                  <w:pPr>
                    <w:autoSpaceDE w:val="0"/>
                    <w:autoSpaceDN w:val="0"/>
                    <w:adjustRightInd w:val="0"/>
                    <w:snapToGrid w:val="0"/>
                    <w:jc w:val="center"/>
                    <w:rPr>
                      <w:color w:val="auto"/>
                      <w:kern w:val="0"/>
                      <w:sz w:val="21"/>
                      <w:szCs w:val="21"/>
                      <w:u w:val="none"/>
                    </w:rPr>
                  </w:pPr>
                  <w:r>
                    <w:rPr>
                      <w:rFonts w:hint="eastAsia"/>
                      <w:color w:val="auto"/>
                      <w:kern w:val="0"/>
                      <w:sz w:val="21"/>
                      <w:szCs w:val="21"/>
                      <w:u w:val="none"/>
                      <w:lang w:val="en-US" w:eastAsia="zh-CN"/>
                    </w:rPr>
                    <w:t>0.8</w:t>
                  </w:r>
                </w:p>
              </w:tc>
              <w:tc>
                <w:tcPr>
                  <w:tcW w:w="1320" w:type="dxa"/>
                  <w:noWrap/>
                  <w:vAlign w:val="center"/>
                </w:tcPr>
                <w:p w14:paraId="099464C2">
                  <w:pPr>
                    <w:autoSpaceDE w:val="0"/>
                    <w:autoSpaceDN w:val="0"/>
                    <w:adjustRightInd w:val="0"/>
                    <w:snapToGrid w:val="0"/>
                    <w:jc w:val="center"/>
                    <w:rPr>
                      <w:rFonts w:hint="default" w:eastAsia="宋体"/>
                      <w:color w:val="auto"/>
                      <w:kern w:val="0"/>
                      <w:sz w:val="21"/>
                      <w:szCs w:val="21"/>
                      <w:u w:val="none"/>
                      <w:lang w:val="en-US" w:eastAsia="zh-CN"/>
                    </w:rPr>
                  </w:pPr>
                  <w:r>
                    <w:rPr>
                      <w:rFonts w:hint="eastAsia"/>
                      <w:color w:val="auto"/>
                      <w:kern w:val="0"/>
                      <w:sz w:val="21"/>
                      <w:szCs w:val="21"/>
                      <w:u w:val="none"/>
                      <w:lang w:val="en-US" w:eastAsia="zh-CN"/>
                    </w:rPr>
                    <w:t>12.8</w:t>
                  </w:r>
                </w:p>
              </w:tc>
            </w:tr>
            <w:tr w14:paraId="1B0BE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90" w:type="dxa"/>
                  <w:noWrap/>
                  <w:vAlign w:val="center"/>
                </w:tcPr>
                <w:p w14:paraId="79DFBBC2">
                  <w:pPr>
                    <w:autoSpaceDE w:val="0"/>
                    <w:autoSpaceDN w:val="0"/>
                    <w:adjustRightInd w:val="0"/>
                    <w:snapToGrid w:val="0"/>
                    <w:jc w:val="center"/>
                    <w:rPr>
                      <w:rFonts w:hint="eastAsia" w:eastAsia="宋体"/>
                      <w:color w:val="auto"/>
                      <w:kern w:val="0"/>
                      <w:sz w:val="21"/>
                      <w:szCs w:val="21"/>
                      <w:u w:val="none"/>
                      <w:lang w:val="en-US" w:eastAsia="zh-CN"/>
                    </w:rPr>
                  </w:pPr>
                  <w:r>
                    <w:rPr>
                      <w:rFonts w:hint="eastAsia"/>
                      <w:color w:val="auto"/>
                      <w:kern w:val="0"/>
                      <w:sz w:val="21"/>
                      <w:szCs w:val="21"/>
                      <w:u w:val="none"/>
                      <w:lang w:val="en-US" w:eastAsia="zh-CN"/>
                    </w:rPr>
                    <w:t>5</w:t>
                  </w:r>
                </w:p>
              </w:tc>
              <w:tc>
                <w:tcPr>
                  <w:tcW w:w="1570" w:type="dxa"/>
                  <w:noWrap/>
                  <w:vAlign w:val="center"/>
                </w:tcPr>
                <w:p w14:paraId="1B6C60AA">
                  <w:pPr>
                    <w:autoSpaceDE w:val="0"/>
                    <w:autoSpaceDN w:val="0"/>
                    <w:adjustRightInd w:val="0"/>
                    <w:snapToGrid w:val="0"/>
                    <w:jc w:val="center"/>
                    <w:rPr>
                      <w:color w:val="auto"/>
                      <w:kern w:val="0"/>
                      <w:sz w:val="21"/>
                      <w:szCs w:val="21"/>
                      <w:u w:val="none"/>
                    </w:rPr>
                  </w:pPr>
                  <w:r>
                    <w:rPr>
                      <w:color w:val="auto"/>
                      <w:kern w:val="0"/>
                      <w:sz w:val="21"/>
                      <w:szCs w:val="21"/>
                      <w:u w:val="none"/>
                    </w:rPr>
                    <w:t>地面保洁用水</w:t>
                  </w:r>
                </w:p>
              </w:tc>
              <w:tc>
                <w:tcPr>
                  <w:tcW w:w="1229" w:type="dxa"/>
                  <w:noWrap/>
                  <w:vAlign w:val="center"/>
                </w:tcPr>
                <w:p w14:paraId="0F491A29">
                  <w:pPr>
                    <w:autoSpaceDE w:val="0"/>
                    <w:autoSpaceDN w:val="0"/>
                    <w:adjustRightInd w:val="0"/>
                    <w:snapToGrid w:val="0"/>
                    <w:jc w:val="center"/>
                    <w:rPr>
                      <w:color w:val="auto"/>
                      <w:kern w:val="0"/>
                      <w:sz w:val="21"/>
                      <w:szCs w:val="21"/>
                      <w:u w:val="none"/>
                    </w:rPr>
                  </w:pPr>
                  <w:r>
                    <w:rPr>
                      <w:color w:val="auto"/>
                      <w:kern w:val="0"/>
                      <w:sz w:val="21"/>
                      <w:szCs w:val="21"/>
                      <w:u w:val="none"/>
                    </w:rPr>
                    <w:t>0.25L/m</w:t>
                  </w:r>
                  <w:r>
                    <w:rPr>
                      <w:color w:val="auto"/>
                      <w:kern w:val="0"/>
                      <w:sz w:val="21"/>
                      <w:szCs w:val="21"/>
                      <w:u w:val="none"/>
                      <w:vertAlign w:val="superscript"/>
                    </w:rPr>
                    <w:t>2</w:t>
                  </w:r>
                  <w:r>
                    <w:rPr>
                      <w:color w:val="auto"/>
                      <w:kern w:val="0"/>
                      <w:sz w:val="21"/>
                      <w:szCs w:val="21"/>
                      <w:u w:val="none"/>
                    </w:rPr>
                    <w:t>·d</w:t>
                  </w:r>
                </w:p>
              </w:tc>
              <w:tc>
                <w:tcPr>
                  <w:tcW w:w="1043" w:type="dxa"/>
                  <w:noWrap/>
                  <w:vAlign w:val="center"/>
                </w:tcPr>
                <w:p w14:paraId="4B917DD5">
                  <w:pPr>
                    <w:autoSpaceDE w:val="0"/>
                    <w:autoSpaceDN w:val="0"/>
                    <w:adjustRightInd w:val="0"/>
                    <w:snapToGrid w:val="0"/>
                    <w:jc w:val="center"/>
                    <w:rPr>
                      <w:color w:val="auto"/>
                      <w:kern w:val="0"/>
                      <w:sz w:val="21"/>
                      <w:szCs w:val="21"/>
                      <w:u w:val="none"/>
                    </w:rPr>
                  </w:pPr>
                  <w:r>
                    <w:rPr>
                      <w:rFonts w:hint="eastAsia"/>
                      <w:color w:val="auto"/>
                      <w:kern w:val="0"/>
                      <w:sz w:val="21"/>
                      <w:szCs w:val="21"/>
                      <w:u w:val="none"/>
                      <w:lang w:val="en-US" w:eastAsia="zh-CN"/>
                    </w:rPr>
                    <w:t>20000</w:t>
                  </w:r>
                  <w:r>
                    <w:rPr>
                      <w:color w:val="auto"/>
                      <w:kern w:val="0"/>
                      <w:sz w:val="21"/>
                      <w:szCs w:val="21"/>
                      <w:u w:val="none"/>
                    </w:rPr>
                    <w:t>m</w:t>
                  </w:r>
                  <w:r>
                    <w:rPr>
                      <w:color w:val="auto"/>
                      <w:kern w:val="0"/>
                      <w:sz w:val="21"/>
                      <w:szCs w:val="21"/>
                      <w:u w:val="none"/>
                      <w:vertAlign w:val="superscript"/>
                    </w:rPr>
                    <w:t>2</w:t>
                  </w:r>
                </w:p>
              </w:tc>
              <w:tc>
                <w:tcPr>
                  <w:tcW w:w="1161" w:type="dxa"/>
                  <w:noWrap/>
                  <w:vAlign w:val="center"/>
                </w:tcPr>
                <w:p w14:paraId="7C31F0CB">
                  <w:pPr>
                    <w:autoSpaceDE w:val="0"/>
                    <w:autoSpaceDN w:val="0"/>
                    <w:adjustRightInd w:val="0"/>
                    <w:snapToGrid w:val="0"/>
                    <w:jc w:val="center"/>
                    <w:rPr>
                      <w:rFonts w:hint="default" w:eastAsia="宋体"/>
                      <w:color w:val="auto"/>
                      <w:kern w:val="0"/>
                      <w:sz w:val="21"/>
                      <w:szCs w:val="21"/>
                      <w:u w:val="none"/>
                      <w:lang w:val="en-US" w:eastAsia="zh-CN"/>
                    </w:rPr>
                  </w:pPr>
                  <w:r>
                    <w:rPr>
                      <w:rFonts w:hint="eastAsia"/>
                      <w:color w:val="auto"/>
                      <w:kern w:val="0"/>
                      <w:sz w:val="21"/>
                      <w:szCs w:val="21"/>
                      <w:u w:val="none"/>
                      <w:lang w:val="en-US" w:eastAsia="zh-CN"/>
                    </w:rPr>
                    <w:t>5</w:t>
                  </w:r>
                </w:p>
              </w:tc>
              <w:tc>
                <w:tcPr>
                  <w:tcW w:w="1170" w:type="dxa"/>
                  <w:noWrap/>
                  <w:vAlign w:val="center"/>
                </w:tcPr>
                <w:p w14:paraId="1F2993C9">
                  <w:pPr>
                    <w:autoSpaceDE w:val="0"/>
                    <w:autoSpaceDN w:val="0"/>
                    <w:adjustRightInd w:val="0"/>
                    <w:snapToGrid w:val="0"/>
                    <w:jc w:val="center"/>
                    <w:rPr>
                      <w:rFonts w:hint="eastAsia" w:eastAsia="宋体"/>
                      <w:color w:val="auto"/>
                      <w:kern w:val="0"/>
                      <w:sz w:val="21"/>
                      <w:szCs w:val="21"/>
                      <w:u w:val="none"/>
                      <w:lang w:eastAsia="zh-CN"/>
                    </w:rPr>
                  </w:pPr>
                  <w:r>
                    <w:rPr>
                      <w:rFonts w:hint="eastAsia"/>
                      <w:color w:val="auto"/>
                      <w:kern w:val="0"/>
                      <w:sz w:val="21"/>
                      <w:szCs w:val="21"/>
                      <w:u w:val="none"/>
                      <w:lang w:val="en-US" w:eastAsia="zh-CN"/>
                    </w:rPr>
                    <w:t>0.8</w:t>
                  </w:r>
                </w:p>
              </w:tc>
              <w:tc>
                <w:tcPr>
                  <w:tcW w:w="1320" w:type="dxa"/>
                  <w:noWrap/>
                  <w:vAlign w:val="center"/>
                </w:tcPr>
                <w:p w14:paraId="4BAF050F">
                  <w:pPr>
                    <w:autoSpaceDE w:val="0"/>
                    <w:autoSpaceDN w:val="0"/>
                    <w:adjustRightInd w:val="0"/>
                    <w:snapToGrid w:val="0"/>
                    <w:jc w:val="center"/>
                    <w:rPr>
                      <w:rFonts w:hint="default" w:eastAsia="宋体"/>
                      <w:color w:val="auto"/>
                      <w:kern w:val="0"/>
                      <w:sz w:val="21"/>
                      <w:szCs w:val="21"/>
                      <w:u w:val="none"/>
                      <w:lang w:val="en-US" w:eastAsia="zh-CN"/>
                    </w:rPr>
                  </w:pPr>
                  <w:r>
                    <w:rPr>
                      <w:rFonts w:hint="eastAsia"/>
                      <w:color w:val="auto"/>
                      <w:kern w:val="0"/>
                      <w:sz w:val="21"/>
                      <w:szCs w:val="21"/>
                      <w:u w:val="none"/>
                      <w:lang w:val="en-US" w:eastAsia="zh-CN"/>
                    </w:rPr>
                    <w:t>4</w:t>
                  </w:r>
                </w:p>
              </w:tc>
            </w:tr>
            <w:tr w14:paraId="11AA7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90" w:type="dxa"/>
                  <w:noWrap/>
                  <w:vAlign w:val="center"/>
                </w:tcPr>
                <w:p w14:paraId="7100C202">
                  <w:pPr>
                    <w:autoSpaceDE w:val="0"/>
                    <w:autoSpaceDN w:val="0"/>
                    <w:adjustRightInd w:val="0"/>
                    <w:snapToGrid w:val="0"/>
                    <w:jc w:val="center"/>
                    <w:rPr>
                      <w:rFonts w:hint="eastAsia" w:eastAsia="宋体"/>
                      <w:color w:val="auto"/>
                      <w:kern w:val="0"/>
                      <w:sz w:val="21"/>
                      <w:szCs w:val="21"/>
                      <w:u w:val="none"/>
                      <w:lang w:val="en-US" w:eastAsia="zh-CN"/>
                    </w:rPr>
                  </w:pPr>
                  <w:r>
                    <w:rPr>
                      <w:rFonts w:hint="eastAsia"/>
                      <w:color w:val="auto"/>
                      <w:kern w:val="0"/>
                      <w:sz w:val="21"/>
                      <w:szCs w:val="21"/>
                      <w:u w:val="none"/>
                      <w:lang w:val="en-US" w:eastAsia="zh-CN"/>
                    </w:rPr>
                    <w:t>6</w:t>
                  </w:r>
                </w:p>
              </w:tc>
              <w:tc>
                <w:tcPr>
                  <w:tcW w:w="1570" w:type="dxa"/>
                  <w:noWrap/>
                  <w:vAlign w:val="center"/>
                </w:tcPr>
                <w:p w14:paraId="34EFE3E0">
                  <w:pPr>
                    <w:autoSpaceDE w:val="0"/>
                    <w:autoSpaceDN w:val="0"/>
                    <w:adjustRightInd w:val="0"/>
                    <w:snapToGrid w:val="0"/>
                    <w:jc w:val="center"/>
                    <w:rPr>
                      <w:rFonts w:hint="eastAsia"/>
                      <w:color w:val="auto"/>
                      <w:kern w:val="0"/>
                      <w:sz w:val="21"/>
                      <w:szCs w:val="21"/>
                      <w:u w:val="none"/>
                    </w:rPr>
                  </w:pPr>
                  <w:r>
                    <w:rPr>
                      <w:rFonts w:hint="eastAsia"/>
                      <w:color w:val="auto"/>
                      <w:kern w:val="0"/>
                      <w:sz w:val="21"/>
                      <w:szCs w:val="21"/>
                      <w:u w:val="none"/>
                    </w:rPr>
                    <w:t>洗衣房用水</w:t>
                  </w:r>
                </w:p>
              </w:tc>
              <w:tc>
                <w:tcPr>
                  <w:tcW w:w="1229" w:type="dxa"/>
                  <w:noWrap/>
                  <w:vAlign w:val="center"/>
                </w:tcPr>
                <w:p w14:paraId="7C7AEE27">
                  <w:pPr>
                    <w:autoSpaceDE w:val="0"/>
                    <w:autoSpaceDN w:val="0"/>
                    <w:adjustRightInd w:val="0"/>
                    <w:snapToGrid w:val="0"/>
                    <w:jc w:val="center"/>
                    <w:rPr>
                      <w:color w:val="auto"/>
                      <w:kern w:val="0"/>
                      <w:sz w:val="21"/>
                      <w:szCs w:val="21"/>
                      <w:u w:val="none"/>
                    </w:rPr>
                  </w:pPr>
                  <w:r>
                    <w:rPr>
                      <w:color w:val="auto"/>
                      <w:kern w:val="0"/>
                      <w:sz w:val="21"/>
                      <w:szCs w:val="21"/>
                      <w:u w:val="none"/>
                    </w:rPr>
                    <w:t>40L/kg</w:t>
                  </w:r>
                </w:p>
              </w:tc>
              <w:tc>
                <w:tcPr>
                  <w:tcW w:w="1043" w:type="dxa"/>
                  <w:noWrap/>
                  <w:vAlign w:val="center"/>
                </w:tcPr>
                <w:p w14:paraId="69B9060B">
                  <w:pPr>
                    <w:autoSpaceDE w:val="0"/>
                    <w:autoSpaceDN w:val="0"/>
                    <w:adjustRightInd w:val="0"/>
                    <w:snapToGrid w:val="0"/>
                    <w:jc w:val="center"/>
                    <w:rPr>
                      <w:color w:val="auto"/>
                      <w:kern w:val="0"/>
                      <w:sz w:val="21"/>
                      <w:szCs w:val="21"/>
                      <w:u w:val="none"/>
                    </w:rPr>
                  </w:pPr>
                  <w:r>
                    <w:rPr>
                      <w:rFonts w:hint="eastAsia"/>
                      <w:color w:val="auto"/>
                      <w:kern w:val="0"/>
                      <w:sz w:val="21"/>
                      <w:szCs w:val="21"/>
                      <w:u w:val="none"/>
                      <w:lang w:val="en-US" w:eastAsia="zh-CN"/>
                    </w:rPr>
                    <w:t>600</w:t>
                  </w:r>
                  <w:r>
                    <w:rPr>
                      <w:rFonts w:hint="eastAsia"/>
                      <w:color w:val="auto"/>
                      <w:kern w:val="0"/>
                      <w:sz w:val="21"/>
                      <w:szCs w:val="21"/>
                      <w:u w:val="none"/>
                    </w:rPr>
                    <w:t>kg</w:t>
                  </w:r>
                </w:p>
              </w:tc>
              <w:tc>
                <w:tcPr>
                  <w:tcW w:w="1161" w:type="dxa"/>
                  <w:noWrap/>
                  <w:vAlign w:val="center"/>
                </w:tcPr>
                <w:p w14:paraId="48795F87">
                  <w:pPr>
                    <w:autoSpaceDE w:val="0"/>
                    <w:autoSpaceDN w:val="0"/>
                    <w:adjustRightInd w:val="0"/>
                    <w:snapToGrid w:val="0"/>
                    <w:jc w:val="center"/>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24</w:t>
                  </w:r>
                </w:p>
              </w:tc>
              <w:tc>
                <w:tcPr>
                  <w:tcW w:w="1170" w:type="dxa"/>
                  <w:noWrap/>
                  <w:vAlign w:val="center"/>
                </w:tcPr>
                <w:p w14:paraId="20BE3EB3">
                  <w:pPr>
                    <w:autoSpaceDE w:val="0"/>
                    <w:autoSpaceDN w:val="0"/>
                    <w:adjustRightInd w:val="0"/>
                    <w:snapToGrid w:val="0"/>
                    <w:jc w:val="center"/>
                    <w:rPr>
                      <w:rFonts w:hint="eastAsia"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0.8</w:t>
                  </w:r>
                </w:p>
              </w:tc>
              <w:tc>
                <w:tcPr>
                  <w:tcW w:w="1320" w:type="dxa"/>
                  <w:noWrap/>
                  <w:vAlign w:val="center"/>
                </w:tcPr>
                <w:p w14:paraId="5384E00E">
                  <w:pPr>
                    <w:autoSpaceDE w:val="0"/>
                    <w:autoSpaceDN w:val="0"/>
                    <w:adjustRightInd w:val="0"/>
                    <w:snapToGrid w:val="0"/>
                    <w:jc w:val="center"/>
                    <w:rPr>
                      <w:rFonts w:hint="eastAsia"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19.2</w:t>
                  </w:r>
                </w:p>
              </w:tc>
            </w:tr>
            <w:tr w14:paraId="1B533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60" w:type="dxa"/>
                  <w:gridSpan w:val="2"/>
                  <w:noWrap/>
                  <w:vAlign w:val="center"/>
                </w:tcPr>
                <w:p w14:paraId="1A88F2E1">
                  <w:pPr>
                    <w:autoSpaceDE w:val="0"/>
                    <w:autoSpaceDN w:val="0"/>
                    <w:adjustRightInd w:val="0"/>
                    <w:snapToGrid w:val="0"/>
                    <w:jc w:val="center"/>
                    <w:rPr>
                      <w:color w:val="auto"/>
                      <w:sz w:val="21"/>
                      <w:szCs w:val="21"/>
                      <w:u w:val="none"/>
                    </w:rPr>
                  </w:pPr>
                  <w:r>
                    <w:rPr>
                      <w:color w:val="auto"/>
                      <w:sz w:val="21"/>
                      <w:szCs w:val="21"/>
                      <w:u w:val="none"/>
                    </w:rPr>
                    <w:t>合计</w:t>
                  </w:r>
                </w:p>
              </w:tc>
              <w:tc>
                <w:tcPr>
                  <w:tcW w:w="1229" w:type="dxa"/>
                  <w:noWrap/>
                  <w:vAlign w:val="center"/>
                </w:tcPr>
                <w:p w14:paraId="0CBE166C">
                  <w:pPr>
                    <w:autoSpaceDE w:val="0"/>
                    <w:autoSpaceDN w:val="0"/>
                    <w:adjustRightInd w:val="0"/>
                    <w:snapToGrid w:val="0"/>
                    <w:jc w:val="center"/>
                    <w:rPr>
                      <w:rFonts w:hint="eastAsia"/>
                      <w:color w:val="auto"/>
                      <w:kern w:val="0"/>
                      <w:sz w:val="21"/>
                      <w:szCs w:val="21"/>
                      <w:u w:val="none"/>
                    </w:rPr>
                  </w:pPr>
                  <w:r>
                    <w:rPr>
                      <w:rFonts w:hint="eastAsia"/>
                      <w:color w:val="auto"/>
                      <w:kern w:val="0"/>
                      <w:sz w:val="21"/>
                      <w:szCs w:val="21"/>
                      <w:u w:val="none"/>
                      <w:lang w:val="en-US" w:eastAsia="zh-CN"/>
                    </w:rPr>
                    <w:t>/</w:t>
                  </w:r>
                </w:p>
              </w:tc>
              <w:tc>
                <w:tcPr>
                  <w:tcW w:w="1043" w:type="dxa"/>
                  <w:noWrap/>
                  <w:vAlign w:val="center"/>
                </w:tcPr>
                <w:p w14:paraId="4A2242EA">
                  <w:pPr>
                    <w:autoSpaceDE w:val="0"/>
                    <w:autoSpaceDN w:val="0"/>
                    <w:adjustRightInd w:val="0"/>
                    <w:snapToGrid w:val="0"/>
                    <w:jc w:val="center"/>
                    <w:rPr>
                      <w:rFonts w:hint="eastAsia"/>
                      <w:color w:val="auto"/>
                      <w:kern w:val="0"/>
                      <w:sz w:val="21"/>
                      <w:szCs w:val="21"/>
                      <w:u w:val="none"/>
                    </w:rPr>
                  </w:pPr>
                  <w:r>
                    <w:rPr>
                      <w:rFonts w:hint="eastAsia"/>
                      <w:color w:val="auto"/>
                      <w:kern w:val="0"/>
                      <w:sz w:val="21"/>
                      <w:szCs w:val="21"/>
                      <w:u w:val="none"/>
                      <w:lang w:val="en-US" w:eastAsia="zh-CN"/>
                    </w:rPr>
                    <w:t>/</w:t>
                  </w:r>
                </w:p>
              </w:tc>
              <w:tc>
                <w:tcPr>
                  <w:tcW w:w="1161" w:type="dxa"/>
                  <w:noWrap/>
                  <w:vAlign w:val="center"/>
                </w:tcPr>
                <w:p w14:paraId="68053CAD">
                  <w:pPr>
                    <w:autoSpaceDE w:val="0"/>
                    <w:autoSpaceDN w:val="0"/>
                    <w:adjustRightInd w:val="0"/>
                    <w:snapToGrid w:val="0"/>
                    <w:jc w:val="center"/>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153.75</w:t>
                  </w:r>
                </w:p>
              </w:tc>
              <w:tc>
                <w:tcPr>
                  <w:tcW w:w="1170" w:type="dxa"/>
                  <w:noWrap/>
                  <w:vAlign w:val="center"/>
                </w:tcPr>
                <w:p w14:paraId="75B11C59">
                  <w:pPr>
                    <w:autoSpaceDE w:val="0"/>
                    <w:autoSpaceDN w:val="0"/>
                    <w:adjustRightInd w:val="0"/>
                    <w:snapToGrid w:val="0"/>
                    <w:jc w:val="center"/>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w:t>
                  </w:r>
                </w:p>
              </w:tc>
              <w:tc>
                <w:tcPr>
                  <w:tcW w:w="1320" w:type="dxa"/>
                  <w:noWrap/>
                  <w:vAlign w:val="center"/>
                </w:tcPr>
                <w:p w14:paraId="5E724C2A">
                  <w:pPr>
                    <w:autoSpaceDE w:val="0"/>
                    <w:autoSpaceDN w:val="0"/>
                    <w:adjustRightInd w:val="0"/>
                    <w:snapToGrid w:val="0"/>
                    <w:jc w:val="center"/>
                    <w:rPr>
                      <w:rFonts w:hint="default" w:ascii="Times New Roman" w:hAnsi="Times New Roman"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133.875</w:t>
                  </w:r>
                </w:p>
              </w:tc>
            </w:tr>
          </w:tbl>
          <w:p w14:paraId="20D9E85F">
            <w:pPr>
              <w:adjustRightInd w:val="0"/>
              <w:snapToGrid w:val="0"/>
              <w:spacing w:line="360" w:lineRule="auto"/>
              <w:ind w:firstLine="482" w:firstLineChars="200"/>
              <w:jc w:val="both"/>
              <w:rPr>
                <w:rFonts w:hint="eastAsia" w:eastAsia="宋体"/>
                <w:b/>
                <w:bCs/>
                <w:color w:val="auto"/>
                <w:sz w:val="24"/>
                <w:lang w:val="en-US" w:eastAsia="zh-CN"/>
              </w:rPr>
            </w:pPr>
            <w:r>
              <w:rPr>
                <w:rFonts w:hint="eastAsia"/>
                <w:b/>
                <w:bCs/>
                <w:color w:val="auto"/>
                <w:sz w:val="24"/>
                <w:lang w:val="en-US" w:eastAsia="zh-CN"/>
              </w:rPr>
              <w:t>2.4.2</w:t>
            </w:r>
            <w:r>
              <w:rPr>
                <w:b/>
                <w:bCs/>
                <w:color w:val="auto"/>
                <w:sz w:val="24"/>
              </w:rPr>
              <w:t>排水</w:t>
            </w:r>
          </w:p>
          <w:p w14:paraId="4C9DB7ED">
            <w:pPr>
              <w:pStyle w:val="45"/>
              <w:spacing w:before="0" w:after="0" w:line="360" w:lineRule="auto"/>
              <w:ind w:right="0" w:firstLine="480" w:firstLineChars="200"/>
              <w:jc w:val="both"/>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项目区排水实行雨污分流方式，</w:t>
            </w:r>
            <w:r>
              <w:rPr>
                <w:rFonts w:hint="eastAsia" w:cs="Times New Roman"/>
                <w:color w:val="auto"/>
                <w:sz w:val="24"/>
                <w:szCs w:val="24"/>
                <w:u w:val="none" w:color="auto"/>
                <w:lang w:val="en-US" w:eastAsia="zh-CN"/>
              </w:rPr>
              <w:t>污污分流，</w:t>
            </w:r>
            <w:r>
              <w:rPr>
                <w:rFonts w:hint="eastAsia" w:ascii="Times New Roman" w:hAnsi="Times New Roman" w:eastAsia="宋体" w:cs="Times New Roman"/>
                <w:color w:val="auto"/>
                <w:sz w:val="24"/>
                <w:szCs w:val="24"/>
                <w:u w:val="none" w:color="auto"/>
                <w:lang w:val="en-US" w:eastAsia="zh-CN"/>
              </w:rPr>
              <w:t>雨水排入市政雨水管网。</w:t>
            </w:r>
            <w:r>
              <w:rPr>
                <w:rFonts w:hint="default" w:ascii="Times New Roman" w:hAnsi="Times New Roman" w:eastAsia="宋体" w:cs="Times New Roman"/>
                <w:color w:val="auto"/>
                <w:sz w:val="24"/>
                <w:szCs w:val="24"/>
                <w:u w:val="none" w:color="auto"/>
                <w:lang w:val="en-US" w:eastAsia="zh-CN"/>
              </w:rPr>
              <w:t>医院</w:t>
            </w:r>
            <w:r>
              <w:rPr>
                <w:rFonts w:hint="eastAsia" w:cs="Times New Roman"/>
                <w:color w:val="auto"/>
                <w:sz w:val="24"/>
                <w:szCs w:val="24"/>
                <w:u w:val="none" w:color="auto"/>
                <w:lang w:val="en-US" w:eastAsia="zh-CN"/>
              </w:rPr>
              <w:t>医疗废水经污水</w:t>
            </w:r>
            <w:r>
              <w:rPr>
                <w:rFonts w:hint="default" w:ascii="Times New Roman" w:hAnsi="Times New Roman" w:eastAsia="宋体" w:cs="Times New Roman"/>
                <w:color w:val="auto"/>
                <w:sz w:val="24"/>
                <w:szCs w:val="24"/>
                <w:u w:val="none" w:color="auto"/>
                <w:lang w:val="en-US" w:eastAsia="zh-CN"/>
              </w:rPr>
              <w:t>处理站采用“</w:t>
            </w:r>
            <w:r>
              <w:rPr>
                <w:rFonts w:hint="eastAsia" w:cs="Times New Roman"/>
                <w:color w:val="auto"/>
                <w:sz w:val="24"/>
                <w:szCs w:val="24"/>
                <w:u w:val="none" w:color="auto"/>
                <w:lang w:val="en-US" w:eastAsia="zh-CN"/>
              </w:rPr>
              <w:t>格栅</w:t>
            </w:r>
            <w:r>
              <w:rPr>
                <w:rFonts w:hint="default" w:ascii="Times New Roman" w:hAnsi="Times New Roman" w:eastAsia="宋体" w:cs="Times New Roman"/>
                <w:color w:val="auto"/>
                <w:sz w:val="24"/>
                <w:szCs w:val="24"/>
                <w:u w:val="none" w:color="auto"/>
                <w:lang w:val="en-US" w:eastAsia="zh-CN"/>
              </w:rPr>
              <w:t>+</w:t>
            </w:r>
            <w:r>
              <w:rPr>
                <w:rFonts w:hint="eastAsia" w:cs="Times New Roman"/>
                <w:color w:val="auto"/>
                <w:sz w:val="24"/>
                <w:szCs w:val="24"/>
                <w:u w:val="none" w:color="auto"/>
                <w:lang w:val="en-US" w:eastAsia="zh-CN"/>
              </w:rPr>
              <w:t>调节池</w:t>
            </w:r>
            <w:r>
              <w:rPr>
                <w:rFonts w:hint="default" w:ascii="Times New Roman" w:hAnsi="Times New Roman" w:eastAsia="宋体" w:cs="Times New Roman"/>
                <w:color w:val="auto"/>
                <w:sz w:val="24"/>
                <w:szCs w:val="24"/>
                <w:u w:val="none" w:color="auto"/>
                <w:lang w:val="en-US" w:eastAsia="zh-CN"/>
              </w:rPr>
              <w:t>+</w:t>
            </w:r>
            <w:r>
              <w:rPr>
                <w:rFonts w:hint="eastAsia" w:cs="Times New Roman"/>
                <w:color w:val="auto"/>
                <w:sz w:val="24"/>
                <w:szCs w:val="24"/>
                <w:u w:val="none" w:color="auto"/>
                <w:lang w:val="en-US" w:eastAsia="zh-CN"/>
              </w:rPr>
              <w:t>混凝沉淀池+消毒</w:t>
            </w:r>
            <w:r>
              <w:rPr>
                <w:rFonts w:hint="eastAsia" w:ascii="Times New Roman" w:hAnsi="Times New Roman" w:eastAsia="宋体" w:cs="Times New Roman"/>
                <w:color w:val="auto"/>
                <w:sz w:val="24"/>
                <w:szCs w:val="24"/>
                <w:u w:val="none" w:color="auto"/>
                <w:lang w:val="en-US" w:eastAsia="zh-CN"/>
              </w:rPr>
              <w:t>”</w:t>
            </w:r>
            <w:r>
              <w:rPr>
                <w:rFonts w:hint="default" w:ascii="Times New Roman" w:hAnsi="Times New Roman" w:eastAsia="宋体" w:cs="Times New Roman"/>
                <w:color w:val="auto"/>
                <w:sz w:val="24"/>
                <w:szCs w:val="24"/>
                <w:u w:val="none" w:color="auto"/>
                <w:lang w:val="en-US" w:eastAsia="zh-CN"/>
              </w:rPr>
              <w:t>处理工艺</w:t>
            </w:r>
            <w:r>
              <w:rPr>
                <w:rFonts w:hint="eastAsia" w:cs="Times New Roman"/>
                <w:color w:val="auto"/>
                <w:sz w:val="24"/>
                <w:szCs w:val="24"/>
                <w:u w:val="none" w:color="auto"/>
                <w:lang w:val="en-US" w:eastAsia="zh-CN"/>
              </w:rPr>
              <w:t>后</w:t>
            </w:r>
            <w:r>
              <w:rPr>
                <w:rFonts w:hint="eastAsia" w:ascii="Times New Roman" w:hAnsi="Times New Roman" w:eastAsia="宋体" w:cs="Times New Roman"/>
                <w:color w:val="auto"/>
                <w:sz w:val="24"/>
                <w:szCs w:val="24"/>
                <w:u w:val="none" w:color="auto"/>
                <w:lang w:val="en-US" w:eastAsia="zh-CN"/>
              </w:rPr>
              <w:t>外排</w:t>
            </w:r>
            <w:r>
              <w:rPr>
                <w:rFonts w:hint="eastAsia" w:cs="Times New Roman"/>
                <w:color w:val="auto"/>
                <w:sz w:val="24"/>
                <w:szCs w:val="24"/>
                <w:u w:val="none" w:color="auto"/>
                <w:lang w:val="en-US" w:eastAsia="zh-CN"/>
              </w:rPr>
              <w:t>至市政污水管网</w:t>
            </w:r>
            <w:r>
              <w:rPr>
                <w:rFonts w:hint="eastAsia" w:ascii="Times New Roman" w:hAnsi="Times New Roman" w:eastAsia="宋体" w:cs="Times New Roman"/>
                <w:color w:val="auto"/>
                <w:sz w:val="24"/>
                <w:szCs w:val="24"/>
                <w:u w:val="none" w:color="auto"/>
                <w:lang w:val="en-US" w:eastAsia="zh-CN"/>
              </w:rPr>
              <w:t>，</w:t>
            </w:r>
            <w:r>
              <w:rPr>
                <w:rFonts w:hint="default" w:ascii="Times New Roman" w:hAnsi="Times New Roman" w:eastAsia="宋体" w:cs="Times New Roman"/>
                <w:color w:val="auto"/>
                <w:sz w:val="24"/>
                <w:szCs w:val="24"/>
                <w:u w:val="none" w:color="auto"/>
                <w:lang w:val="en-US" w:eastAsia="zh-CN"/>
              </w:rPr>
              <w:t>食堂废水经隔油池预处理后</w:t>
            </w:r>
            <w:r>
              <w:rPr>
                <w:rFonts w:hint="eastAsia" w:ascii="Times New Roman" w:hAnsi="Times New Roman" w:eastAsia="宋体" w:cs="Times New Roman"/>
                <w:color w:val="auto"/>
                <w:sz w:val="24"/>
                <w:szCs w:val="24"/>
                <w:u w:val="none" w:color="auto"/>
                <w:lang w:val="en-US" w:eastAsia="zh-CN"/>
              </w:rPr>
              <w:t>外排</w:t>
            </w:r>
            <w:r>
              <w:rPr>
                <w:rFonts w:hint="eastAsia" w:cs="Times New Roman"/>
                <w:color w:val="auto"/>
                <w:sz w:val="24"/>
                <w:szCs w:val="24"/>
                <w:u w:val="none" w:color="auto"/>
                <w:lang w:val="en-US" w:eastAsia="zh-CN"/>
              </w:rPr>
              <w:t>至市政污水管网</w:t>
            </w:r>
            <w:r>
              <w:rPr>
                <w:rFonts w:hint="eastAsia" w:ascii="Times New Roman" w:hAnsi="Times New Roman" w:eastAsia="宋体" w:cs="Times New Roman"/>
                <w:color w:val="auto"/>
                <w:sz w:val="24"/>
                <w:szCs w:val="24"/>
                <w:u w:val="none" w:color="auto"/>
                <w:lang w:val="en-US" w:eastAsia="zh-CN"/>
              </w:rPr>
              <w:t>，</w:t>
            </w:r>
            <w:r>
              <w:rPr>
                <w:rFonts w:hint="eastAsia"/>
                <w:b w:val="0"/>
                <w:bCs w:val="0"/>
                <w:color w:val="auto"/>
                <w:sz w:val="24"/>
                <w:szCs w:val="24"/>
                <w:u w:val="none" w:color="auto"/>
                <w:lang w:val="en-US" w:eastAsia="zh-CN"/>
              </w:rPr>
              <w:t>进入低庄镇污水处理厂进行处理</w:t>
            </w:r>
            <w:r>
              <w:rPr>
                <w:rFonts w:hint="eastAsia" w:ascii="Times New Roman" w:hAnsi="Times New Roman" w:eastAsia="宋体" w:cs="Times New Roman"/>
                <w:color w:val="auto"/>
                <w:sz w:val="24"/>
                <w:szCs w:val="24"/>
                <w:u w:val="none" w:color="auto"/>
                <w:lang w:val="en-US" w:eastAsia="zh-CN"/>
              </w:rPr>
              <w:t>。</w:t>
            </w:r>
          </w:p>
          <w:p w14:paraId="25BFE3C3">
            <w:pPr>
              <w:adjustRightInd w:val="0"/>
              <w:snapToGrid w:val="0"/>
              <w:spacing w:line="360" w:lineRule="auto"/>
              <w:jc w:val="center"/>
              <w:rPr>
                <w:rFonts w:hint="eastAsia" w:eastAsia="宋体"/>
                <w:bCs/>
                <w:color w:val="auto"/>
                <w:sz w:val="24"/>
                <w:u w:val="single" w:color="auto"/>
                <w:lang w:eastAsia="zh-CN"/>
              </w:rPr>
            </w:pPr>
            <w:bookmarkStart w:id="3" w:name="_Toc484547329"/>
            <w:bookmarkStart w:id="4" w:name="_Toc29414"/>
            <w:r>
              <w:rPr>
                <w:rFonts w:hint="eastAsia"/>
                <w:bCs/>
                <w:color w:val="auto"/>
                <w:sz w:val="24"/>
                <w:u w:val="none" w:color="auto"/>
                <w:lang w:eastAsia="zh-CN"/>
              </w:rPr>
              <w:t>略</w:t>
            </w:r>
          </w:p>
          <w:p w14:paraId="55CB5813">
            <w:pPr>
              <w:adjustRightInd w:val="0"/>
              <w:snapToGrid w:val="0"/>
              <w:spacing w:line="360" w:lineRule="auto"/>
              <w:jc w:val="center"/>
              <w:rPr>
                <w:rFonts w:hint="eastAsia" w:ascii="Times New Roman" w:hAnsi="Times New Roman" w:eastAsia="宋体" w:cs="Times New Roman"/>
                <w:b/>
                <w:bCs/>
                <w:color w:val="auto"/>
                <w:sz w:val="21"/>
                <w:szCs w:val="21"/>
                <w:u w:val="none" w:color="auto"/>
              </w:rPr>
            </w:pPr>
            <w:r>
              <w:rPr>
                <w:rFonts w:hint="eastAsia" w:ascii="Times New Roman" w:hAnsi="Times New Roman" w:eastAsia="宋体" w:cs="Times New Roman"/>
                <w:b/>
                <w:bCs/>
                <w:color w:val="auto"/>
                <w:sz w:val="21"/>
                <w:szCs w:val="21"/>
                <w:u w:val="none" w:color="auto"/>
              </w:rPr>
              <w:t>图2-1  本项目水平衡图  单位：t/d</w:t>
            </w:r>
          </w:p>
          <w:bookmarkEnd w:id="3"/>
          <w:bookmarkEnd w:id="4"/>
          <w:p w14:paraId="3E594D46">
            <w:pPr>
              <w:widowControl/>
              <w:ind w:firstLine="482" w:firstLineChars="200"/>
              <w:jc w:val="left"/>
              <w:rPr>
                <w:rFonts w:hint="default" w:ascii="Times New Roman Regular" w:hAnsi="Times New Roman Regular" w:cs="Times New Roman Regular"/>
                <w:b/>
                <w:bCs/>
                <w:color w:val="auto"/>
                <w:highlight w:val="none"/>
                <w:u w:val="none"/>
              </w:rPr>
            </w:pPr>
            <w:r>
              <w:rPr>
                <w:rFonts w:hint="eastAsia" w:ascii="Times New Roman Regular" w:hAnsi="Times New Roman Regular" w:cs="Times New Roman Regular"/>
                <w:b/>
                <w:bCs/>
                <w:color w:val="auto"/>
                <w:sz w:val="24"/>
                <w:szCs w:val="24"/>
                <w:highlight w:val="none"/>
                <w:u w:val="none"/>
                <w:lang w:val="en-US" w:eastAsia="zh-CN" w:bidi="ar-SA"/>
              </w:rPr>
              <w:t>2.4.3</w:t>
            </w:r>
            <w:r>
              <w:rPr>
                <w:rFonts w:hint="default" w:ascii="Times New Roman Regular" w:hAnsi="Times New Roman Regular" w:cs="Times New Roman Regular"/>
                <w:b/>
                <w:bCs/>
                <w:color w:val="auto"/>
                <w:highlight w:val="none"/>
                <w:u w:val="none"/>
              </w:rPr>
              <w:t>供</w:t>
            </w:r>
            <w:r>
              <w:rPr>
                <w:rFonts w:hint="default" w:ascii="Times New Roman Regular" w:hAnsi="Times New Roman Regular" w:cs="Times New Roman Regular"/>
                <w:b/>
                <w:bCs/>
                <w:color w:val="auto"/>
                <w:highlight w:val="none"/>
                <w:u w:val="none"/>
                <w:lang w:val="en-US" w:eastAsia="zh-CN"/>
              </w:rPr>
              <w:t>配</w:t>
            </w:r>
            <w:r>
              <w:rPr>
                <w:rFonts w:hint="default" w:ascii="Times New Roman Regular" w:hAnsi="Times New Roman Regular" w:cs="Times New Roman Regular"/>
                <w:b/>
                <w:bCs/>
                <w:color w:val="auto"/>
                <w:highlight w:val="none"/>
                <w:u w:val="none"/>
              </w:rPr>
              <w:t>电</w:t>
            </w:r>
          </w:p>
          <w:p w14:paraId="6C3E5474">
            <w:pPr>
              <w:widowControl/>
              <w:ind w:firstLineChars="200"/>
              <w:jc w:val="left"/>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项目医院采用1路10kV电源供电，1路10kV电源由市政管网埋地引至院区新建10kV总变配电所。</w:t>
            </w:r>
          </w:p>
          <w:p w14:paraId="5E4531FB">
            <w:pPr>
              <w:widowControl/>
              <w:ind w:firstLine="482" w:firstLineChars="200"/>
              <w:jc w:val="left"/>
              <w:rPr>
                <w:rFonts w:hint="default" w:ascii="Times New Roman Regular" w:hAnsi="Times New Roman Regular" w:eastAsia="宋体" w:cs="Times New Roman Regular"/>
                <w:color w:val="auto"/>
                <w:kern w:val="2"/>
                <w:sz w:val="24"/>
                <w:szCs w:val="24"/>
                <w:highlight w:val="none"/>
                <w:u w:val="none"/>
                <w:lang w:val="en-US" w:eastAsia="zh-CN" w:bidi="ar-SA"/>
              </w:rPr>
            </w:pPr>
            <w:r>
              <w:rPr>
                <w:rFonts w:hint="eastAsia" w:ascii="Times New Roman Regular" w:hAnsi="Times New Roman Regular" w:cs="Times New Roman Regular"/>
                <w:b/>
                <w:bCs/>
                <w:color w:val="auto"/>
                <w:highlight w:val="none"/>
                <w:u w:val="none"/>
                <w:lang w:val="en-US" w:eastAsia="zh-CN"/>
              </w:rPr>
              <w:t>2.4.4</w:t>
            </w:r>
            <w:r>
              <w:rPr>
                <w:rFonts w:hint="default" w:ascii="Times New Roman Regular" w:hAnsi="Times New Roman Regular" w:eastAsia="宋体" w:cs="Times New Roman Regular"/>
                <w:b/>
                <w:bCs/>
                <w:color w:val="auto"/>
                <w:sz w:val="24"/>
                <w:szCs w:val="24"/>
                <w:highlight w:val="none"/>
                <w:u w:val="none"/>
                <w:lang w:val="en-US" w:eastAsia="zh-CN" w:bidi="zh-CN"/>
              </w:rPr>
              <w:t>供</w:t>
            </w:r>
            <w:r>
              <w:rPr>
                <w:rFonts w:hint="default" w:ascii="Times New Roman Regular" w:hAnsi="Times New Roman Regular" w:cs="Times New Roman Regular"/>
                <w:b/>
                <w:bCs/>
                <w:color w:val="auto"/>
                <w:sz w:val="24"/>
                <w:szCs w:val="24"/>
                <w:highlight w:val="none"/>
                <w:u w:val="none"/>
                <w:lang w:val="en-US" w:eastAsia="zh-CN" w:bidi="zh-CN"/>
              </w:rPr>
              <w:t>热</w:t>
            </w:r>
            <w:r>
              <w:rPr>
                <w:rFonts w:hint="default" w:ascii="Times New Roman Regular" w:hAnsi="Times New Roman Regular" w:eastAsia="宋体" w:cs="Times New Roman Regular"/>
                <w:b/>
                <w:bCs/>
                <w:color w:val="auto"/>
                <w:sz w:val="24"/>
                <w:szCs w:val="24"/>
                <w:highlight w:val="none"/>
                <w:u w:val="none"/>
                <w:lang w:val="en-US" w:eastAsia="zh-CN" w:bidi="zh-CN"/>
              </w:rPr>
              <w:t>、供暖</w:t>
            </w:r>
            <w:r>
              <w:rPr>
                <w:rFonts w:hint="default" w:ascii="Times New Roman Regular" w:hAnsi="Times New Roman Regular" w:cs="Times New Roman Regular"/>
                <w:b/>
                <w:bCs/>
                <w:color w:val="auto"/>
                <w:sz w:val="24"/>
                <w:szCs w:val="24"/>
                <w:highlight w:val="none"/>
                <w:u w:val="none"/>
                <w:lang w:val="en-US" w:eastAsia="zh-CN" w:bidi="zh-CN"/>
              </w:rPr>
              <w:t>及制冷</w:t>
            </w:r>
          </w:p>
          <w:p w14:paraId="2037409B">
            <w:pPr>
              <w:widowControl/>
              <w:adjustRightInd/>
              <w:snapToGrid/>
              <w:spacing w:line="360" w:lineRule="auto"/>
              <w:ind w:firstLine="480" w:firstLineChars="200"/>
              <w:jc w:val="left"/>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冷源：</w:t>
            </w:r>
            <w:r>
              <w:rPr>
                <w:rFonts w:hint="default" w:cs="Times New Roman"/>
                <w:color w:val="auto"/>
                <w:sz w:val="24"/>
                <w:szCs w:val="24"/>
                <w:u w:val="none"/>
                <w:lang w:val="en-US"/>
              </w:rPr>
              <w:t>设中央空调，空调冷热源采用螺杆式风冷热泵机组</w:t>
            </w:r>
            <w:r>
              <w:rPr>
                <w:rFonts w:hint="default" w:ascii="Times New Roman" w:hAnsi="Times New Roman" w:eastAsia="宋体" w:cs="Times New Roman"/>
                <w:color w:val="auto"/>
                <w:sz w:val="24"/>
                <w:u w:val="none"/>
                <w:lang w:val="en-US"/>
              </w:rPr>
              <w:t>。</w:t>
            </w:r>
          </w:p>
          <w:p w14:paraId="64843FA6">
            <w:pPr>
              <w:widowControl/>
              <w:ind w:firstLine="480" w:firstLineChars="200"/>
              <w:jc w:val="left"/>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热</w:t>
            </w:r>
            <w:r>
              <w:rPr>
                <w:rFonts w:hint="default" w:cs="Times New Roman"/>
                <w:color w:val="auto"/>
                <w:sz w:val="24"/>
                <w:u w:val="none"/>
                <w:lang w:eastAsia="zh-CN"/>
              </w:rPr>
              <w:t>水</w:t>
            </w:r>
            <w:r>
              <w:rPr>
                <w:rFonts w:hint="default" w:ascii="Times New Roman" w:hAnsi="Times New Roman" w:eastAsia="宋体" w:cs="Times New Roman"/>
                <w:color w:val="auto"/>
                <w:sz w:val="24"/>
                <w:u w:val="none"/>
              </w:rPr>
              <w:t>：</w:t>
            </w:r>
            <w:r>
              <w:rPr>
                <w:rFonts w:hint="default" w:cs="Times New Roman"/>
                <w:color w:val="auto"/>
                <w:sz w:val="24"/>
                <w:szCs w:val="24"/>
                <w:u w:val="none"/>
                <w:lang w:val="en-US"/>
              </w:rPr>
              <w:t>门诊区采用分散式热水供应，用水点采用电热水器供给</w:t>
            </w:r>
            <w:r>
              <w:rPr>
                <w:rFonts w:hint="default" w:cs="Times New Roman"/>
                <w:color w:val="auto"/>
                <w:sz w:val="24"/>
                <w:szCs w:val="24"/>
                <w:u w:val="none"/>
                <w:lang w:val="en-US" w:eastAsia="zh-CN"/>
              </w:rPr>
              <w:t>，</w:t>
            </w:r>
            <w:r>
              <w:rPr>
                <w:rFonts w:hint="default" w:cs="Times New Roman"/>
                <w:color w:val="auto"/>
                <w:sz w:val="24"/>
                <w:szCs w:val="24"/>
                <w:u w:val="none"/>
                <w:lang w:val="en-US"/>
              </w:rPr>
              <w:t>住院部区域设置全日集中生活热水供应,由屋顶空气源热泵提供热源</w:t>
            </w:r>
            <w:r>
              <w:rPr>
                <w:rFonts w:hint="eastAsia" w:cs="Times New Roman"/>
                <w:color w:val="auto"/>
                <w:sz w:val="24"/>
                <w:szCs w:val="24"/>
                <w:u w:val="none"/>
                <w:lang w:val="en-US" w:eastAsia="zh-CN"/>
              </w:rPr>
              <w:t>，不设置锅炉</w:t>
            </w:r>
            <w:r>
              <w:rPr>
                <w:rFonts w:hint="default" w:ascii="Times New Roman" w:hAnsi="Times New Roman" w:eastAsia="宋体" w:cs="Times New Roman"/>
                <w:color w:val="auto"/>
                <w:sz w:val="24"/>
                <w:u w:val="none"/>
              </w:rPr>
              <w:t>。</w:t>
            </w:r>
          </w:p>
          <w:p w14:paraId="358C71F3">
            <w:pPr>
              <w:widowControl/>
              <w:ind w:firstLine="482" w:firstLineChars="200"/>
              <w:jc w:val="left"/>
              <w:rPr>
                <w:rFonts w:hint="default" w:ascii="Times New Roman Regular" w:hAnsi="Times New Roman Regular" w:cs="Times New Roman Regular"/>
                <w:b/>
                <w:bCs/>
                <w:color w:val="auto"/>
                <w:highlight w:val="none"/>
                <w:u w:val="none"/>
              </w:rPr>
            </w:pPr>
            <w:r>
              <w:rPr>
                <w:rFonts w:hint="default" w:ascii="Times New Roman Regular" w:hAnsi="Times New Roman Regular" w:cs="Times New Roman Regular"/>
                <w:b/>
                <w:bCs/>
                <w:color w:val="auto"/>
                <w:highlight w:val="none"/>
                <w:u w:val="none"/>
                <w:lang w:val="en-US" w:eastAsia="zh-CN"/>
              </w:rPr>
              <w:t>2.</w:t>
            </w:r>
            <w:r>
              <w:rPr>
                <w:rFonts w:hint="eastAsia" w:ascii="Times New Roman Regular" w:hAnsi="Times New Roman Regular" w:cs="Times New Roman Regular"/>
                <w:b/>
                <w:bCs/>
                <w:color w:val="auto"/>
                <w:highlight w:val="none"/>
                <w:u w:val="none"/>
                <w:lang w:val="en-US" w:eastAsia="zh-CN"/>
              </w:rPr>
              <w:t>5</w:t>
            </w:r>
            <w:r>
              <w:rPr>
                <w:rFonts w:hint="default" w:ascii="Times New Roman Regular" w:hAnsi="Times New Roman Regular" w:cs="Times New Roman Regular"/>
                <w:b/>
                <w:bCs/>
                <w:color w:val="auto"/>
                <w:highlight w:val="none"/>
                <w:u w:val="none"/>
              </w:rPr>
              <w:t>劳动定员及工作制度</w:t>
            </w:r>
          </w:p>
          <w:p w14:paraId="0C473AC3">
            <w:pPr>
              <w:widowControl/>
              <w:ind w:firstLine="480" w:firstLineChars="200"/>
              <w:jc w:val="left"/>
              <w:rPr>
                <w:rFonts w:hint="eastAsia" w:ascii="Times New Roman" w:hAnsi="Times New Roman" w:eastAsia="宋体" w:cs="Times New Roman"/>
                <w:color w:val="auto"/>
                <w:sz w:val="24"/>
                <w:u w:val="none"/>
                <w:lang w:eastAsia="zh-CN"/>
              </w:rPr>
            </w:pPr>
            <w:r>
              <w:rPr>
                <w:rFonts w:hint="default" w:ascii="Times New Roman" w:hAnsi="Times New Roman" w:eastAsia="宋体" w:cs="Times New Roman"/>
                <w:color w:val="auto"/>
                <w:sz w:val="24"/>
                <w:u w:val="none"/>
              </w:rPr>
              <w:t>总定员195人，</w:t>
            </w:r>
            <w:r>
              <w:rPr>
                <w:rFonts w:hint="default" w:ascii="Times New Roman" w:hAnsi="Times New Roman" w:eastAsia="宋体" w:cs="Times New Roman"/>
                <w:color w:val="auto"/>
                <w:sz w:val="24"/>
                <w:u w:val="none"/>
                <w:lang w:eastAsia="zh-CN"/>
              </w:rPr>
              <w:t>其中医护人员</w:t>
            </w:r>
            <w:r>
              <w:rPr>
                <w:rFonts w:hint="eastAsia" w:cs="Times New Roman"/>
                <w:color w:val="auto"/>
                <w:sz w:val="24"/>
                <w:u w:val="none"/>
                <w:lang w:val="en-US" w:eastAsia="zh-CN"/>
              </w:rPr>
              <w:t>170</w:t>
            </w:r>
            <w:r>
              <w:rPr>
                <w:rFonts w:hint="default" w:ascii="Times New Roman" w:hAnsi="Times New Roman" w:eastAsia="宋体" w:cs="Times New Roman"/>
                <w:color w:val="auto"/>
                <w:sz w:val="24"/>
                <w:u w:val="none"/>
                <w:lang w:val="en-US" w:eastAsia="zh-CN"/>
              </w:rPr>
              <w:t>人，管理、后勤人员</w:t>
            </w:r>
            <w:r>
              <w:rPr>
                <w:rFonts w:hint="eastAsia" w:cs="Times New Roman"/>
                <w:color w:val="auto"/>
                <w:sz w:val="24"/>
                <w:u w:val="none"/>
                <w:lang w:val="en-US" w:eastAsia="zh-CN"/>
              </w:rPr>
              <w:t>25</w:t>
            </w:r>
            <w:r>
              <w:rPr>
                <w:rFonts w:hint="default" w:ascii="Times New Roman" w:hAnsi="Times New Roman" w:eastAsia="宋体" w:cs="Times New Roman"/>
                <w:color w:val="auto"/>
                <w:sz w:val="24"/>
                <w:u w:val="none"/>
                <w:lang w:val="en-US" w:eastAsia="zh-CN"/>
              </w:rPr>
              <w:t>人。</w:t>
            </w:r>
            <w:r>
              <w:rPr>
                <w:rFonts w:hint="default" w:ascii="Times New Roman" w:hAnsi="Times New Roman" w:eastAsia="宋体" w:cs="Times New Roman"/>
                <w:color w:val="auto"/>
                <w:sz w:val="24"/>
                <w:u w:val="none"/>
              </w:rPr>
              <w:t>项目设员工食堂。年工作365天，医护人员实行三班制，管理、后勤人员实行两班制，每班8h制</w:t>
            </w:r>
            <w:r>
              <w:rPr>
                <w:rFonts w:hint="eastAsia" w:cs="Times New Roman"/>
                <w:color w:val="auto"/>
                <w:sz w:val="24"/>
                <w:u w:val="none"/>
                <w:lang w:eastAsia="zh-CN"/>
              </w:rPr>
              <w:t>。</w:t>
            </w:r>
          </w:p>
          <w:p w14:paraId="512A2E44">
            <w:pPr>
              <w:keepNext w:val="0"/>
              <w:keepLines w:val="0"/>
              <w:widowControl/>
              <w:suppressLineNumbers w:val="0"/>
              <w:ind w:firstLine="482" w:firstLineChars="200"/>
              <w:jc w:val="left"/>
              <w:rPr>
                <w:rFonts w:hint="default" w:ascii="Times New Roman Regular" w:hAnsi="Times New Roman Regular" w:cs="Times New Roman Regular"/>
                <w:b/>
                <w:bCs/>
                <w:color w:val="auto"/>
                <w:sz w:val="24"/>
                <w:szCs w:val="24"/>
                <w:highlight w:val="none"/>
                <w:u w:val="none"/>
                <w:lang w:val="en-US" w:eastAsia="zh-CN"/>
              </w:rPr>
            </w:pPr>
            <w:r>
              <w:rPr>
                <w:rFonts w:hint="default" w:ascii="Times New Roman Regular" w:hAnsi="Times New Roman Regular" w:cs="Times New Roman Regular"/>
                <w:b/>
                <w:bCs/>
                <w:color w:val="auto"/>
                <w:sz w:val="24"/>
                <w:szCs w:val="24"/>
                <w:highlight w:val="none"/>
                <w:u w:val="none"/>
                <w:lang w:val="en-US" w:eastAsia="zh-CN"/>
              </w:rPr>
              <w:t>2.</w:t>
            </w:r>
            <w:r>
              <w:rPr>
                <w:rFonts w:hint="eastAsia" w:ascii="Times New Roman Regular" w:hAnsi="Times New Roman Regular" w:cs="Times New Roman Regular"/>
                <w:b/>
                <w:bCs/>
                <w:color w:val="auto"/>
                <w:sz w:val="24"/>
                <w:szCs w:val="24"/>
                <w:highlight w:val="none"/>
                <w:u w:val="none"/>
                <w:lang w:val="en-US" w:eastAsia="zh-CN"/>
              </w:rPr>
              <w:t>6</w:t>
            </w:r>
            <w:r>
              <w:rPr>
                <w:rFonts w:hint="default" w:ascii="Times New Roman Regular" w:hAnsi="Times New Roman Regular" w:cs="Times New Roman Regular"/>
                <w:b/>
                <w:bCs/>
                <w:color w:val="auto"/>
                <w:sz w:val="24"/>
                <w:szCs w:val="24"/>
                <w:highlight w:val="none"/>
                <w:u w:val="none"/>
                <w:lang w:val="en-US" w:eastAsia="zh-CN"/>
              </w:rPr>
              <w:t>平面布置</w:t>
            </w:r>
          </w:p>
          <w:p w14:paraId="4315A9EA">
            <w:pPr>
              <w:keepNext w:val="0"/>
              <w:keepLines w:val="0"/>
              <w:widowControl/>
              <w:suppressLineNumbers w:val="0"/>
              <w:ind w:firstLine="480" w:firstLineChars="200"/>
              <w:jc w:val="left"/>
              <w:rPr>
                <w:rFonts w:hint="default" w:ascii="Times New Roman" w:hAnsi="Times New Roman" w:eastAsia="宋体" w:cs="宋体"/>
                <w:color w:val="auto"/>
                <w:highlight w:val="none"/>
                <w:u w:val="none"/>
                <w:lang w:val="en-US" w:eastAsia="zh-CN"/>
              </w:rPr>
            </w:pPr>
            <w:r>
              <w:rPr>
                <w:rFonts w:hint="eastAsia"/>
                <w:color w:val="auto"/>
                <w:sz w:val="24"/>
                <w:szCs w:val="24"/>
                <w:u w:val="none"/>
                <w:lang w:val="en-US" w:eastAsia="zh-CN"/>
              </w:rPr>
              <w:t>本项目位于</w:t>
            </w:r>
            <w:r>
              <w:rPr>
                <w:rFonts w:hint="eastAsia" w:cs="Times New Roman"/>
                <w:color w:val="auto"/>
                <w:sz w:val="24"/>
                <w:szCs w:val="24"/>
                <w:u w:val="none"/>
                <w:lang w:val="en-US" w:eastAsia="zh-CN"/>
              </w:rPr>
              <w:t>湖南省怀化市溆浦县低庄镇低庄村，医院占地面积</w:t>
            </w:r>
            <w:r>
              <w:rPr>
                <w:rFonts w:hint="eastAsia" w:cs="Times New Roman"/>
                <w:color w:val="auto"/>
                <w:sz w:val="24"/>
                <w:u w:val="none"/>
                <w:lang w:val="en-US" w:eastAsia="zh-CN"/>
              </w:rPr>
              <w:t>19992.77平方米</w:t>
            </w:r>
            <w:r>
              <w:rPr>
                <w:rFonts w:hint="eastAsia" w:cs="Times New Roman"/>
                <w:color w:val="auto"/>
                <w:sz w:val="24"/>
                <w:szCs w:val="24"/>
                <w:u w:val="none"/>
                <w:lang w:val="en-US" w:eastAsia="zh-CN"/>
              </w:rPr>
              <w:t>。出入口设置于医院东南侧；通过大门后为住院门诊综合楼，行政办公楼位于西北角，感染发热楼位于东北角，医院污水处理站设置于行政楼东侧，医疗废物暂存间及一般医疗固废间位于门诊楼负1楼。</w:t>
            </w:r>
          </w:p>
          <w:p w14:paraId="70DEB519">
            <w:pPr>
              <w:keepNext w:val="0"/>
              <w:keepLines w:val="0"/>
              <w:widowControl/>
              <w:suppressLineNumbers w:val="0"/>
              <w:ind w:firstLine="480" w:firstLineChars="200"/>
              <w:jc w:val="left"/>
              <w:rPr>
                <w:rFonts w:hint="eastAsia" w:ascii="Times New Roman" w:hAnsi="Times New Roman"/>
                <w:color w:val="auto"/>
                <w:highlight w:val="none"/>
                <w:u w:val="none"/>
              </w:rPr>
            </w:pPr>
            <w:r>
              <w:rPr>
                <w:rFonts w:hint="eastAsia" w:hAnsi="Times New Roman" w:cs="宋体" w:asciiTheme="minorHAnsi" w:eastAsiaTheme="minorEastAsia"/>
                <w:color w:val="auto"/>
                <w:sz w:val="24"/>
                <w:highlight w:val="none"/>
                <w:u w:val="none"/>
                <w:lang w:val="en-US" w:eastAsia="zh-CN"/>
              </w:rPr>
              <w:t>本项目污水处理站</w:t>
            </w:r>
            <w:r>
              <w:rPr>
                <w:rFonts w:hint="eastAsia" w:cs="宋体" w:asciiTheme="minorHAnsi" w:eastAsiaTheme="minorEastAsia"/>
                <w:color w:val="auto"/>
                <w:sz w:val="24"/>
                <w:highlight w:val="none"/>
                <w:u w:val="none"/>
                <w:lang w:val="en-US" w:eastAsia="zh-CN"/>
              </w:rPr>
              <w:t>池体密闭，</w:t>
            </w:r>
            <w:r>
              <w:rPr>
                <w:rFonts w:hint="eastAsia" w:hAnsi="Times New Roman" w:cs="宋体" w:asciiTheme="minorHAnsi" w:eastAsiaTheme="minorEastAsia"/>
                <w:color w:val="auto"/>
                <w:sz w:val="24"/>
                <w:highlight w:val="none"/>
                <w:u w:val="none"/>
                <w:lang w:val="en-US" w:eastAsia="zh-CN"/>
              </w:rPr>
              <w:t>医疗废物暂存间</w:t>
            </w:r>
            <w:r>
              <w:rPr>
                <w:rFonts w:hint="eastAsia" w:cs="宋体" w:asciiTheme="minorHAnsi" w:eastAsiaTheme="minorEastAsia"/>
                <w:color w:val="auto"/>
                <w:sz w:val="24"/>
                <w:highlight w:val="none"/>
                <w:u w:val="none"/>
                <w:lang w:val="en-US" w:eastAsia="zh-CN"/>
              </w:rPr>
              <w:t>位于门诊楼地下室</w:t>
            </w:r>
            <w:r>
              <w:rPr>
                <w:color w:val="auto"/>
                <w:u w:val="none"/>
              </w:rPr>
              <w:t>，远离周边村民房屋</w:t>
            </w:r>
            <w:r>
              <w:rPr>
                <w:rFonts w:hint="eastAsia"/>
                <w:color w:val="auto"/>
                <w:u w:val="none"/>
                <w:lang w:eastAsia="zh-CN"/>
              </w:rPr>
              <w:t>，</w:t>
            </w:r>
            <w:r>
              <w:rPr>
                <w:rFonts w:hint="eastAsia" w:hAnsi="Times New Roman" w:cs="宋体" w:asciiTheme="minorHAnsi" w:eastAsiaTheme="minorEastAsia"/>
                <w:color w:val="auto"/>
                <w:sz w:val="24"/>
                <w:highlight w:val="none"/>
                <w:u w:val="none"/>
                <w:lang w:val="en-US" w:eastAsia="zh-CN"/>
              </w:rPr>
              <w:t>可</w:t>
            </w:r>
            <w:r>
              <w:rPr>
                <w:rFonts w:hint="eastAsia" w:ascii="Times New Roman" w:hAnsi="Times New Roman"/>
                <w:color w:val="auto"/>
                <w:highlight w:val="none"/>
                <w:u w:val="none"/>
              </w:rPr>
              <w:t>有效降低恶臭对</w:t>
            </w:r>
            <w:r>
              <w:rPr>
                <w:rFonts w:hint="eastAsia"/>
                <w:color w:val="auto"/>
                <w:highlight w:val="none"/>
                <w:u w:val="none"/>
                <w:lang w:eastAsia="zh-CN"/>
              </w:rPr>
              <w:t>周边</w:t>
            </w:r>
            <w:r>
              <w:rPr>
                <w:rFonts w:hint="eastAsia" w:ascii="Times New Roman" w:hAnsi="Times New Roman"/>
                <w:color w:val="auto"/>
                <w:highlight w:val="none"/>
                <w:u w:val="none"/>
              </w:rPr>
              <w:t>的影响</w:t>
            </w:r>
            <w:r>
              <w:rPr>
                <w:rFonts w:hint="eastAsia"/>
                <w:color w:val="auto"/>
                <w:highlight w:val="none"/>
                <w:u w:val="none"/>
                <w:lang w:eastAsia="zh-CN"/>
              </w:rPr>
              <w:t>。</w:t>
            </w:r>
            <w:r>
              <w:rPr>
                <w:rFonts w:hint="eastAsia" w:ascii="Times New Roman" w:hAnsi="Times New Roman"/>
                <w:color w:val="auto"/>
                <w:highlight w:val="none"/>
                <w:u w:val="none"/>
              </w:rPr>
              <w:t>院内按照相关规范布置了消防通道</w:t>
            </w:r>
            <w:r>
              <w:rPr>
                <w:rFonts w:hint="eastAsia"/>
                <w:color w:val="auto"/>
                <w:highlight w:val="none"/>
                <w:u w:val="none"/>
                <w:lang w:eastAsia="zh-CN"/>
              </w:rPr>
              <w:t>，</w:t>
            </w:r>
            <w:r>
              <w:rPr>
                <w:rFonts w:hint="default" w:ascii="Times New Roman" w:hAnsi="Times New Roman" w:eastAsia="宋体" w:cs="Times New Roman"/>
                <w:color w:val="auto"/>
                <w:sz w:val="24"/>
                <w:szCs w:val="24"/>
                <w:highlight w:val="none"/>
                <w:u w:val="none"/>
                <w:lang w:val="en-US" w:eastAsia="zh-CN"/>
              </w:rPr>
              <w:t>医院车辆和行人分流，有利于保证行人的安全及交通的便捷，且急救车辆不受人行</w:t>
            </w:r>
            <w:r>
              <w:rPr>
                <w:rFonts w:hint="eastAsia" w:cs="Times New Roman"/>
                <w:color w:val="auto"/>
                <w:sz w:val="24"/>
                <w:szCs w:val="24"/>
                <w:highlight w:val="none"/>
                <w:u w:val="none"/>
                <w:lang w:val="en-US" w:eastAsia="zh-CN"/>
              </w:rPr>
              <w:t>出入口</w:t>
            </w:r>
            <w:r>
              <w:rPr>
                <w:rFonts w:hint="default" w:ascii="Times New Roman" w:hAnsi="Times New Roman" w:eastAsia="宋体" w:cs="Times New Roman"/>
                <w:color w:val="auto"/>
                <w:sz w:val="24"/>
                <w:szCs w:val="24"/>
                <w:highlight w:val="none"/>
                <w:u w:val="none"/>
                <w:lang w:val="en-US" w:eastAsia="zh-CN"/>
              </w:rPr>
              <w:t>人流的影响。</w:t>
            </w:r>
            <w:r>
              <w:rPr>
                <w:rFonts w:hint="eastAsia" w:ascii="Times New Roman" w:hAnsi="Times New Roman"/>
                <w:color w:val="auto"/>
                <w:highlight w:val="none"/>
                <w:u w:val="none"/>
              </w:rPr>
              <w:t>各科室</w:t>
            </w:r>
            <w:r>
              <w:rPr>
                <w:rFonts w:hint="eastAsia"/>
                <w:color w:val="auto"/>
                <w:highlight w:val="none"/>
                <w:u w:val="none"/>
                <w:lang w:eastAsia="zh-CN"/>
              </w:rPr>
              <w:t>、</w:t>
            </w:r>
            <w:r>
              <w:rPr>
                <w:rFonts w:hint="eastAsia"/>
                <w:color w:val="auto"/>
                <w:highlight w:val="none"/>
                <w:u w:val="none"/>
                <w:lang w:val="en-US" w:eastAsia="zh-CN"/>
              </w:rPr>
              <w:t>病房</w:t>
            </w:r>
            <w:r>
              <w:rPr>
                <w:rFonts w:hint="eastAsia" w:ascii="Times New Roman" w:hAnsi="Times New Roman"/>
                <w:color w:val="auto"/>
                <w:highlight w:val="none"/>
                <w:u w:val="none"/>
              </w:rPr>
              <w:t>之间均保留了足够的距离，便于人员走动、医疗器械和药品的运输</w:t>
            </w:r>
            <w:r>
              <w:rPr>
                <w:rFonts w:hint="eastAsia"/>
                <w:color w:val="auto"/>
                <w:highlight w:val="none"/>
                <w:u w:val="none"/>
                <w:lang w:eastAsia="zh-CN"/>
              </w:rPr>
              <w:t>。</w:t>
            </w:r>
            <w:r>
              <w:rPr>
                <w:rFonts w:hint="eastAsia"/>
                <w:color w:val="auto"/>
                <w:highlight w:val="none"/>
                <w:u w:val="none"/>
                <w:lang w:val="en-US" w:eastAsia="zh-CN"/>
              </w:rPr>
              <w:t>同时医院将</w:t>
            </w:r>
            <w:r>
              <w:rPr>
                <w:rFonts w:hint="default" w:ascii="Times New Roman" w:hAnsi="Times New Roman" w:eastAsia="宋体" w:cs="Times New Roman"/>
                <w:color w:val="auto"/>
                <w:sz w:val="24"/>
                <w:szCs w:val="24"/>
                <w:highlight w:val="none"/>
                <w:u w:val="none"/>
                <w:lang w:val="en-US" w:eastAsia="zh-CN"/>
              </w:rPr>
              <w:t>产噪设备如泵房、配电间等</w:t>
            </w:r>
            <w:r>
              <w:rPr>
                <w:rFonts w:hint="eastAsia"/>
                <w:color w:val="auto"/>
                <w:highlight w:val="none"/>
                <w:u w:val="none"/>
                <w:lang w:eastAsia="zh-CN"/>
              </w:rPr>
              <w:t>设置在地下室</w:t>
            </w:r>
            <w:r>
              <w:rPr>
                <w:rFonts w:hint="eastAsia" w:ascii="Times New Roman" w:hAnsi="Times New Roman"/>
                <w:color w:val="auto"/>
                <w:highlight w:val="none"/>
                <w:u w:val="none"/>
              </w:rPr>
              <w:t>，且优先选用低噪声设备</w:t>
            </w:r>
            <w:r>
              <w:rPr>
                <w:rFonts w:hint="eastAsia"/>
                <w:color w:val="auto"/>
                <w:highlight w:val="none"/>
                <w:u w:val="none"/>
                <w:lang w:eastAsia="zh-CN"/>
              </w:rPr>
              <w:t>，</w:t>
            </w:r>
            <w:r>
              <w:rPr>
                <w:rFonts w:hint="eastAsia"/>
                <w:color w:val="auto"/>
                <w:highlight w:val="none"/>
                <w:u w:val="none"/>
                <w:lang w:val="en-US" w:eastAsia="zh-CN"/>
              </w:rPr>
              <w:t>均采用</w:t>
            </w:r>
            <w:r>
              <w:rPr>
                <w:rFonts w:hint="eastAsia" w:ascii="Times New Roman" w:hAnsi="Times New Roman"/>
                <w:color w:val="auto"/>
                <w:highlight w:val="none"/>
                <w:u w:val="none"/>
              </w:rPr>
              <w:t>隔声、消声减振</w:t>
            </w:r>
            <w:r>
              <w:rPr>
                <w:rFonts w:hint="eastAsia"/>
                <w:color w:val="auto"/>
                <w:highlight w:val="none"/>
                <w:u w:val="none"/>
                <w:lang w:val="en-US" w:eastAsia="zh-CN"/>
              </w:rPr>
              <w:t>等措施，</w:t>
            </w:r>
            <w:r>
              <w:rPr>
                <w:rFonts w:hint="default" w:ascii="Times New Roman" w:hAnsi="Times New Roman" w:eastAsia="宋体" w:cs="Times New Roman"/>
                <w:color w:val="auto"/>
                <w:sz w:val="24"/>
                <w:szCs w:val="24"/>
                <w:highlight w:val="none"/>
                <w:u w:val="none"/>
                <w:lang w:val="en-US" w:eastAsia="zh-CN"/>
              </w:rPr>
              <w:t>可有效降低其对外环境的影响。</w:t>
            </w:r>
          </w:p>
          <w:p w14:paraId="3930C383">
            <w:pPr>
              <w:pStyle w:val="92"/>
              <w:ind w:firstLine="480"/>
              <w:jc w:val="both"/>
              <w:rPr>
                <w:rFonts w:hint="eastAsia"/>
                <w:color w:val="auto"/>
                <w:highlight w:val="none"/>
                <w:u w:val="none"/>
                <w:lang w:val="en-US" w:eastAsia="zh-CN"/>
              </w:rPr>
            </w:pPr>
            <w:r>
              <w:rPr>
                <w:rFonts w:hint="eastAsia"/>
                <w:color w:val="auto"/>
                <w:highlight w:val="none"/>
                <w:u w:val="none"/>
              </w:rPr>
              <w:t>综上所述，本项目总平面规整有序，空间疏密有致，总平面布局较合理。总平面布置图见附图</w:t>
            </w:r>
            <w:r>
              <w:rPr>
                <w:rFonts w:hint="eastAsia"/>
                <w:color w:val="auto"/>
                <w:highlight w:val="none"/>
                <w:u w:val="none"/>
                <w:lang w:val="en-US" w:eastAsia="zh-CN"/>
              </w:rPr>
              <w:t>2</w:t>
            </w:r>
            <w:r>
              <w:rPr>
                <w:rFonts w:hint="eastAsia"/>
                <w:color w:val="auto"/>
                <w:highlight w:val="none"/>
                <w:u w:val="none"/>
              </w:rPr>
              <w:t>。</w:t>
            </w:r>
          </w:p>
          <w:p w14:paraId="0387E48A">
            <w:pPr>
              <w:pStyle w:val="47"/>
              <w:jc w:val="both"/>
              <w:rPr>
                <w:rFonts w:hint="eastAsia"/>
              </w:rPr>
            </w:pPr>
          </w:p>
        </w:tc>
      </w:tr>
      <w:tr w14:paraId="534B1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5" w:hRule="atLeast"/>
        </w:trPr>
        <w:tc>
          <w:tcPr>
            <w:tcW w:w="589" w:type="pct"/>
            <w:vAlign w:val="center"/>
          </w:tcPr>
          <w:p w14:paraId="749ED997">
            <w:pPr>
              <w:pStyle w:val="58"/>
              <w:widowControl w:val="0"/>
              <w:spacing w:line="240" w:lineRule="auto"/>
              <w:jc w:val="center"/>
              <w:rPr>
                <w:color w:val="auto"/>
                <w:highlight w:val="none"/>
                <w:u w:val="none"/>
              </w:rPr>
            </w:pPr>
            <w:r>
              <w:rPr>
                <w:rFonts w:hint="eastAsia"/>
                <w:color w:val="auto"/>
                <w:highlight w:val="none"/>
                <w:u w:val="none"/>
              </w:rPr>
              <w:t>工艺流程和产排污环节</w:t>
            </w:r>
          </w:p>
        </w:tc>
        <w:tc>
          <w:tcPr>
            <w:tcW w:w="4410" w:type="pct"/>
          </w:tcPr>
          <w:p w14:paraId="614FB863">
            <w:pPr>
              <w:pStyle w:val="3"/>
              <w:widowControl w:val="0"/>
              <w:ind w:firstLine="482"/>
              <w:jc w:val="both"/>
              <w:rPr>
                <w:rFonts w:hint="eastAsia"/>
                <w:color w:val="auto"/>
                <w:highlight w:val="none"/>
                <w:u w:val="none"/>
              </w:rPr>
            </w:pPr>
            <w:r>
              <w:rPr>
                <w:rFonts w:hint="eastAsia"/>
                <w:color w:val="auto"/>
                <w:highlight w:val="none"/>
                <w:u w:val="none"/>
              </w:rPr>
              <w:t>2.</w:t>
            </w:r>
            <w:r>
              <w:rPr>
                <w:rFonts w:hint="eastAsia"/>
                <w:color w:val="auto"/>
                <w:highlight w:val="none"/>
                <w:u w:val="none"/>
                <w:lang w:val="en-US" w:eastAsia="zh-CN"/>
              </w:rPr>
              <w:t>7</w:t>
            </w:r>
            <w:r>
              <w:rPr>
                <w:rFonts w:hint="eastAsia"/>
                <w:color w:val="auto"/>
                <w:highlight w:val="none"/>
                <w:u w:val="none"/>
              </w:rPr>
              <w:t>工艺流程和产排污环节</w:t>
            </w:r>
          </w:p>
          <w:p w14:paraId="4E3D87BE">
            <w:pPr>
              <w:widowControl/>
              <w:ind w:firstLine="482" w:firstLineChars="200"/>
              <w:jc w:val="both"/>
              <w:rPr>
                <w:rFonts w:hint="eastAsia" w:ascii="Times New Roman Regular" w:hAnsi="Times New Roman Regular" w:cs="Times New Roman Regular"/>
                <w:b/>
                <w:bCs/>
                <w:color w:val="auto"/>
                <w:highlight w:val="none"/>
                <w:u w:val="none"/>
                <w:lang w:val="en-US" w:eastAsia="zh-CN" w:bidi="ar-SA"/>
              </w:rPr>
            </w:pPr>
            <w:r>
              <w:rPr>
                <w:rFonts w:hint="eastAsia" w:ascii="Times New Roman Regular" w:hAnsi="Times New Roman Regular" w:cs="Times New Roman Regular"/>
                <w:b/>
                <w:bCs/>
                <w:color w:val="auto"/>
                <w:highlight w:val="none"/>
                <w:u w:val="none"/>
                <w:lang w:val="en-US" w:eastAsia="zh-CN" w:bidi="ar-SA"/>
              </w:rPr>
              <w:t>2.7.1</w:t>
            </w:r>
            <w:r>
              <w:rPr>
                <w:rFonts w:hint="eastAsia" w:ascii="Times New Roman Regular" w:hAnsi="Times New Roman Regular" w:cs="Times New Roman Regular"/>
                <w:b/>
                <w:bCs/>
                <w:color w:val="auto"/>
                <w:kern w:val="0"/>
                <w:sz w:val="24"/>
                <w:szCs w:val="24"/>
                <w:highlight w:val="none"/>
                <w:u w:val="none" w:color="auto"/>
                <w:lang w:val="en-US" w:bidi="ar-SA"/>
              </w:rPr>
              <w:t>施工期</w:t>
            </w:r>
            <w:r>
              <w:rPr>
                <w:rFonts w:hint="eastAsia" w:ascii="Times New Roman Regular" w:hAnsi="Times New Roman Regular" w:eastAsia="宋体" w:cs="Times New Roman Regular"/>
                <w:b/>
                <w:bCs/>
                <w:color w:val="auto"/>
                <w:kern w:val="0"/>
                <w:sz w:val="24"/>
                <w:szCs w:val="24"/>
                <w:highlight w:val="none"/>
                <w:u w:val="none" w:color="auto"/>
                <w:lang w:val="en-US" w:bidi="ar-SA"/>
              </w:rPr>
              <w:t>工艺流程简述</w:t>
            </w:r>
          </w:p>
          <w:p w14:paraId="46C804DE">
            <w:pPr>
              <w:pStyle w:val="136"/>
              <w:snapToGrid w:val="0"/>
              <w:spacing w:before="0" w:after="0" w:line="360" w:lineRule="auto"/>
              <w:ind w:firstLine="480" w:firstLineChars="200"/>
              <w:jc w:val="left"/>
              <w:rPr>
                <w:rFonts w:hint="default"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本项目施工期主要</w:t>
            </w:r>
            <w:r>
              <w:rPr>
                <w:rFonts w:hint="default" w:ascii="Times New Roman" w:hAnsi="Times New Roman" w:eastAsia="宋体" w:cs="Times New Roman"/>
                <w:color w:val="auto"/>
                <w:kern w:val="2"/>
                <w:sz w:val="24"/>
                <w:szCs w:val="24"/>
                <w:u w:val="none" w:color="auto"/>
                <w:lang w:val="en-US" w:eastAsia="zh-CN" w:bidi="ar-SA"/>
              </w:rPr>
              <w:t>包括</w:t>
            </w:r>
            <w:r>
              <w:rPr>
                <w:rFonts w:hint="eastAsia" w:ascii="Times New Roman" w:hAnsi="Times New Roman" w:eastAsia="宋体" w:cs="Times New Roman"/>
                <w:color w:val="auto"/>
                <w:kern w:val="2"/>
                <w:sz w:val="24"/>
                <w:szCs w:val="24"/>
                <w:u w:val="none" w:color="auto"/>
                <w:lang w:val="en-US" w:eastAsia="zh-CN" w:bidi="ar-SA"/>
              </w:rPr>
              <w:t>场地</w:t>
            </w:r>
            <w:r>
              <w:rPr>
                <w:rFonts w:hint="default" w:ascii="Times New Roman" w:hAnsi="Times New Roman" w:eastAsia="宋体" w:cs="Times New Roman"/>
                <w:color w:val="auto"/>
                <w:kern w:val="2"/>
                <w:sz w:val="24"/>
                <w:szCs w:val="24"/>
                <w:u w:val="none" w:color="auto"/>
                <w:lang w:val="en-US" w:eastAsia="zh-CN" w:bidi="ar-SA"/>
              </w:rPr>
              <w:t>平整、基础工程、主体工程、设备安装调试等阶段，经竣工验收后即投入营运使用。施工期工艺流程及产污环节如图</w:t>
            </w:r>
            <w:r>
              <w:rPr>
                <w:rFonts w:hint="eastAsia" w:ascii="Times New Roman" w:hAnsi="Times New Roman" w:eastAsia="宋体" w:cs="Times New Roman"/>
                <w:color w:val="auto"/>
                <w:kern w:val="2"/>
                <w:sz w:val="24"/>
                <w:szCs w:val="24"/>
                <w:u w:val="none" w:color="auto"/>
                <w:lang w:val="en-US" w:eastAsia="zh-CN" w:bidi="ar-SA"/>
              </w:rPr>
              <w:t>2-2</w:t>
            </w:r>
            <w:r>
              <w:rPr>
                <w:rFonts w:hint="default" w:ascii="Times New Roman" w:hAnsi="Times New Roman" w:eastAsia="宋体" w:cs="Times New Roman"/>
                <w:color w:val="auto"/>
                <w:kern w:val="2"/>
                <w:sz w:val="24"/>
                <w:szCs w:val="24"/>
                <w:u w:val="none" w:color="auto"/>
                <w:lang w:val="en-US" w:eastAsia="zh-CN" w:bidi="ar-SA"/>
              </w:rPr>
              <w:t>所示：</w:t>
            </w:r>
          </w:p>
          <w:p w14:paraId="4B521DED">
            <w:pPr>
              <w:spacing w:line="360" w:lineRule="auto"/>
              <w:jc w:val="center"/>
              <w:rPr>
                <w:rFonts w:ascii="Times New Roman" w:hAnsi="Times New Roman"/>
                <w:color w:val="auto"/>
                <w:sz w:val="24"/>
                <w:szCs w:val="24"/>
                <w:u w:val="none" w:color="auto"/>
              </w:rPr>
            </w:pPr>
            <w:r>
              <w:rPr>
                <w:color w:val="auto"/>
                <w:u w:val="none" w:color="auto"/>
              </w:rPr>
              <w:drawing>
                <wp:inline distT="0" distB="0" distL="114300" distR="114300">
                  <wp:extent cx="5433695" cy="2145665"/>
                  <wp:effectExtent l="0" t="0" r="1460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433695" cy="2145665"/>
                          </a:xfrm>
                          <a:prstGeom prst="rect">
                            <a:avLst/>
                          </a:prstGeom>
                          <a:noFill/>
                          <a:ln>
                            <a:noFill/>
                          </a:ln>
                        </pic:spPr>
                      </pic:pic>
                    </a:graphicData>
                  </a:graphic>
                </wp:inline>
              </w:drawing>
            </w:r>
          </w:p>
          <w:p w14:paraId="02538253">
            <w:pPr>
              <w:spacing w:line="360" w:lineRule="auto"/>
              <w:jc w:val="center"/>
              <w:rPr>
                <w:color w:val="auto"/>
                <w:u w:val="none" w:color="auto"/>
              </w:rPr>
            </w:pPr>
            <w:r>
              <w:rPr>
                <w:rFonts w:ascii="Times New Roman" w:hAnsi="Times New Roman" w:eastAsia="宋体" w:cs="Times New Roman"/>
                <w:b/>
                <w:color w:val="auto"/>
                <w:sz w:val="21"/>
                <w:szCs w:val="18"/>
                <w:u w:val="none" w:color="auto"/>
              </w:rPr>
              <w:t>图</w:t>
            </w:r>
            <w:r>
              <w:rPr>
                <w:rFonts w:hint="eastAsia" w:ascii="Times New Roman" w:hAnsi="Times New Roman" w:eastAsia="宋体" w:cs="Times New Roman"/>
                <w:b/>
                <w:color w:val="auto"/>
                <w:sz w:val="21"/>
                <w:szCs w:val="18"/>
                <w:u w:val="none" w:color="auto"/>
                <w:lang w:val="en-US" w:eastAsia="zh-CN"/>
              </w:rPr>
              <w:t>2-2</w:t>
            </w:r>
            <w:r>
              <w:rPr>
                <w:rFonts w:ascii="Times New Roman" w:hAnsi="Times New Roman" w:eastAsia="宋体" w:cs="Times New Roman"/>
                <w:b/>
                <w:color w:val="auto"/>
                <w:sz w:val="21"/>
                <w:szCs w:val="18"/>
                <w:u w:val="none" w:color="auto"/>
              </w:rPr>
              <w:t xml:space="preserve"> 施工期工艺流程及产污环节图</w:t>
            </w:r>
          </w:p>
          <w:p w14:paraId="04C7C60A">
            <w:pPr>
              <w:widowControl/>
              <w:ind w:firstLine="482" w:firstLineChars="200"/>
              <w:jc w:val="both"/>
              <w:rPr>
                <w:rFonts w:hint="eastAsia" w:ascii="Times New Roman Regular" w:hAnsi="Times New Roman Regular" w:eastAsia="宋体" w:cs="Times New Roman Regular"/>
                <w:b/>
                <w:bCs/>
                <w:color w:val="auto"/>
                <w:highlight w:val="none"/>
                <w:u w:val="none"/>
                <w:lang w:val="en-US" w:eastAsia="zh-CN" w:bidi="ar-SA"/>
              </w:rPr>
            </w:pPr>
            <w:r>
              <w:rPr>
                <w:rFonts w:hint="eastAsia" w:ascii="Times New Roman Regular" w:hAnsi="Times New Roman Regular" w:eastAsia="宋体" w:cs="Times New Roman Regular"/>
                <w:b/>
                <w:bCs/>
                <w:color w:val="auto"/>
                <w:highlight w:val="none"/>
                <w:u w:val="none"/>
                <w:lang w:val="en-US" w:eastAsia="zh-CN" w:bidi="ar-SA"/>
              </w:rPr>
              <w:t>工艺流程简述：</w:t>
            </w:r>
          </w:p>
          <w:p w14:paraId="4F02C181">
            <w:pPr>
              <w:adjustRightInd w:val="0"/>
              <w:snapToGrid w:val="0"/>
              <w:spacing w:line="360" w:lineRule="auto"/>
              <w:ind w:firstLine="480" w:firstLineChars="200"/>
              <w:jc w:val="both"/>
              <w:rPr>
                <w:rFonts w:hint="eastAsia"/>
                <w:b w:val="0"/>
                <w:bCs w:val="0"/>
                <w:sz w:val="24"/>
              </w:rPr>
            </w:pPr>
            <w:r>
              <w:rPr>
                <w:rFonts w:hint="eastAsia"/>
                <w:b w:val="0"/>
                <w:bCs w:val="0"/>
                <w:sz w:val="24"/>
              </w:rPr>
              <w:t>（1）场地平整</w:t>
            </w:r>
          </w:p>
          <w:p w14:paraId="01518C07">
            <w:pPr>
              <w:adjustRightInd w:val="0"/>
              <w:snapToGrid w:val="0"/>
              <w:spacing w:line="360" w:lineRule="auto"/>
              <w:ind w:firstLine="480" w:firstLineChars="200"/>
              <w:jc w:val="both"/>
              <w:rPr>
                <w:rFonts w:hint="eastAsia"/>
                <w:sz w:val="24"/>
              </w:rPr>
            </w:pPr>
            <w:r>
              <w:rPr>
                <w:rFonts w:hint="eastAsia"/>
                <w:sz w:val="24"/>
              </w:rPr>
              <w:t>项目对场地进行平整，清除场地内所有地上、地下障碍物、排除地面积水等，通过场地的平整，使场地的自然标高达到设计要求的高度，同时建立必要的、能够满足施工要求的供水、排水、供电、道路以及临时建筑等基础设施。此过程中将会产生扬尘、固废、噪声、废水。</w:t>
            </w:r>
          </w:p>
          <w:p w14:paraId="26E87370">
            <w:pPr>
              <w:adjustRightInd w:val="0"/>
              <w:snapToGrid w:val="0"/>
              <w:spacing w:line="360" w:lineRule="auto"/>
              <w:ind w:firstLine="480" w:firstLineChars="200"/>
              <w:jc w:val="both"/>
              <w:rPr>
                <w:rFonts w:hint="eastAsia"/>
                <w:b w:val="0"/>
                <w:bCs w:val="0"/>
                <w:sz w:val="24"/>
              </w:rPr>
            </w:pPr>
            <w:r>
              <w:rPr>
                <w:rFonts w:hint="eastAsia"/>
                <w:b w:val="0"/>
                <w:bCs w:val="0"/>
                <w:sz w:val="24"/>
              </w:rPr>
              <w:t>（2）基础工程</w:t>
            </w:r>
          </w:p>
          <w:p w14:paraId="619709E2">
            <w:pPr>
              <w:numPr>
                <w:ilvl w:val="-1"/>
                <w:numId w:val="0"/>
              </w:numPr>
              <w:autoSpaceDE/>
              <w:autoSpaceDN/>
              <w:adjustRightInd w:val="0"/>
              <w:snapToGrid w:val="0"/>
              <w:spacing w:line="360" w:lineRule="auto"/>
              <w:ind w:firstLine="480" w:firstLineChars="200"/>
              <w:jc w:val="both"/>
              <w:rPr>
                <w:rFonts w:hint="eastAsia" w:eastAsia="宋体"/>
                <w:color w:val="FF0000"/>
                <w:sz w:val="24"/>
                <w:u w:val="single"/>
                <w:lang w:val="en-US" w:eastAsia="zh-CN"/>
              </w:rPr>
            </w:pPr>
            <w:r>
              <w:rPr>
                <w:rFonts w:hint="eastAsia"/>
                <w:sz w:val="24"/>
              </w:rPr>
              <w:t>在基础开挖、地基处理与基础施工时，由于挖土机、运土车辆、打桩机、夯实机等施工机械的运行将产生一定的噪声；同时，挖填土石方作业及运输车辆行驶将产生扬尘，不同条件下扬尘对环境的影响不同；基础开挖引起原有土地利用类型的改变，会造成生态变化并引起一定程度的水土流失；另外，施工人员会产生生活污水、生活垃圾。</w:t>
            </w:r>
            <w:r>
              <w:rPr>
                <w:rFonts w:hint="eastAsia"/>
                <w:color w:val="FF0000"/>
                <w:sz w:val="24"/>
                <w:u w:val="single"/>
                <w:lang w:val="en-US" w:eastAsia="zh-CN"/>
              </w:rPr>
              <w:t>工程预计土石方开挖8765.43m</w:t>
            </w:r>
            <w:r>
              <w:rPr>
                <w:rFonts w:hint="eastAsia"/>
                <w:color w:val="FF0000"/>
                <w:sz w:val="24"/>
                <w:u w:val="single"/>
                <w:vertAlign w:val="superscript"/>
                <w:lang w:val="en-US" w:eastAsia="zh-CN"/>
              </w:rPr>
              <w:t>3</w:t>
            </w:r>
            <w:r>
              <w:rPr>
                <w:rFonts w:hint="eastAsia"/>
                <w:color w:val="FF0000"/>
                <w:sz w:val="24"/>
                <w:u w:val="single"/>
              </w:rPr>
              <w:t>，</w:t>
            </w:r>
            <w:r>
              <w:rPr>
                <w:rFonts w:hint="eastAsia"/>
                <w:color w:val="FF0000"/>
                <w:sz w:val="24"/>
                <w:u w:val="single"/>
                <w:lang w:val="en-US" w:eastAsia="zh-CN"/>
              </w:rPr>
              <w:t>土石方回填7769.48m</w:t>
            </w:r>
            <w:r>
              <w:rPr>
                <w:rFonts w:hint="eastAsia"/>
                <w:color w:val="FF0000"/>
                <w:sz w:val="24"/>
                <w:u w:val="single"/>
                <w:vertAlign w:val="superscript"/>
                <w:lang w:val="en-US" w:eastAsia="zh-CN"/>
              </w:rPr>
              <w:t>3</w:t>
            </w:r>
            <w:r>
              <w:rPr>
                <w:rFonts w:hint="eastAsia"/>
                <w:color w:val="FF0000"/>
                <w:sz w:val="24"/>
                <w:u w:val="single"/>
              </w:rPr>
              <w:t>，</w:t>
            </w:r>
            <w:r>
              <w:rPr>
                <w:rFonts w:hint="eastAsia"/>
                <w:color w:val="FF0000"/>
                <w:sz w:val="24"/>
                <w:u w:val="single"/>
                <w:lang w:eastAsia="zh-CN"/>
              </w:rPr>
              <w:t>需外运</w:t>
            </w:r>
            <w:r>
              <w:rPr>
                <w:rFonts w:hint="eastAsia"/>
                <w:color w:val="FF0000"/>
                <w:sz w:val="24"/>
                <w:u w:val="single"/>
                <w:lang w:val="en-US" w:eastAsia="zh-CN"/>
              </w:rPr>
              <w:t>995.95m</w:t>
            </w:r>
            <w:r>
              <w:rPr>
                <w:rFonts w:hint="eastAsia"/>
                <w:color w:val="FF0000"/>
                <w:sz w:val="24"/>
                <w:u w:val="single"/>
                <w:vertAlign w:val="superscript"/>
                <w:lang w:val="en-US" w:eastAsia="zh-CN"/>
              </w:rPr>
              <w:t>3</w:t>
            </w:r>
            <w:r>
              <w:rPr>
                <w:rFonts w:hint="eastAsia"/>
                <w:color w:val="FF0000"/>
                <w:sz w:val="24"/>
                <w:u w:val="single"/>
                <w:lang w:eastAsia="zh-CN"/>
              </w:rPr>
              <w:t>。</w:t>
            </w:r>
          </w:p>
          <w:p w14:paraId="37AFB191">
            <w:pPr>
              <w:adjustRightInd w:val="0"/>
              <w:snapToGrid w:val="0"/>
              <w:spacing w:line="360" w:lineRule="auto"/>
              <w:ind w:firstLine="480" w:firstLineChars="200"/>
              <w:jc w:val="both"/>
              <w:rPr>
                <w:rFonts w:hint="eastAsia"/>
                <w:b w:val="0"/>
                <w:bCs w:val="0"/>
                <w:sz w:val="24"/>
              </w:rPr>
            </w:pPr>
            <w:r>
              <w:rPr>
                <w:rFonts w:hint="eastAsia"/>
                <w:b w:val="0"/>
                <w:bCs w:val="0"/>
                <w:sz w:val="24"/>
              </w:rPr>
              <w:t>（3）主体工程</w:t>
            </w:r>
          </w:p>
          <w:p w14:paraId="64378E23">
            <w:pPr>
              <w:adjustRightInd w:val="0"/>
              <w:snapToGrid w:val="0"/>
              <w:spacing w:line="360" w:lineRule="auto"/>
              <w:ind w:firstLine="480" w:firstLineChars="200"/>
              <w:jc w:val="both"/>
              <w:rPr>
                <w:rFonts w:hint="eastAsia"/>
                <w:sz w:val="24"/>
              </w:rPr>
            </w:pPr>
            <w:r>
              <w:rPr>
                <w:rFonts w:hint="eastAsia"/>
                <w:sz w:val="24"/>
              </w:rPr>
              <w:t>主要包括模板工程、钢筋工程、混凝土工程和砌筑工程。模板工程主要内容为梁、柱模板的安装、焊接，拆除、清理。钢筋工程主要内容为钢筋材料运输，下料切割、弯曲、焊接。混凝土工程主要内容为商品混凝土运输、浇筑。砌筑工程主要为工程墙体的砌筑。</w:t>
            </w:r>
          </w:p>
          <w:p w14:paraId="4776326C">
            <w:pPr>
              <w:adjustRightInd w:val="0"/>
              <w:snapToGrid w:val="0"/>
              <w:spacing w:line="360" w:lineRule="auto"/>
              <w:ind w:firstLine="480" w:firstLineChars="200"/>
              <w:jc w:val="both"/>
              <w:rPr>
                <w:rFonts w:hint="eastAsia"/>
                <w:b w:val="0"/>
                <w:bCs w:val="0"/>
                <w:sz w:val="24"/>
              </w:rPr>
            </w:pPr>
            <w:r>
              <w:rPr>
                <w:rFonts w:hint="eastAsia"/>
                <w:b w:val="0"/>
                <w:bCs w:val="0"/>
                <w:sz w:val="24"/>
              </w:rPr>
              <w:t>（4）装饰工程</w:t>
            </w:r>
          </w:p>
          <w:p w14:paraId="2642E7E8">
            <w:pPr>
              <w:adjustRightInd w:val="0"/>
              <w:snapToGrid w:val="0"/>
              <w:spacing w:line="360" w:lineRule="auto"/>
              <w:ind w:firstLine="480" w:firstLineChars="200"/>
              <w:jc w:val="both"/>
              <w:rPr>
                <w:rFonts w:hint="eastAsia"/>
                <w:sz w:val="24"/>
              </w:rPr>
            </w:pPr>
            <w:r>
              <w:rPr>
                <w:rFonts w:hint="eastAsia"/>
                <w:sz w:val="24"/>
              </w:rPr>
              <w:t>在对构筑物的室内外进行装修时（如表面粉刷、喷涂、裱糊、镶贴装饰等），同时进行水、电、空调、通风、通信等布线等。施工使用的钻机、电锤等产生噪声，喷涂产生废气、废弃物料及施工生活污水。</w:t>
            </w:r>
          </w:p>
          <w:p w14:paraId="6FCD4C3F">
            <w:pPr>
              <w:adjustRightInd w:val="0"/>
              <w:snapToGrid w:val="0"/>
              <w:spacing w:line="360" w:lineRule="auto"/>
              <w:ind w:firstLine="480" w:firstLineChars="200"/>
              <w:jc w:val="both"/>
              <w:rPr>
                <w:rFonts w:hint="eastAsia"/>
                <w:b w:val="0"/>
                <w:bCs w:val="0"/>
                <w:sz w:val="24"/>
              </w:rPr>
            </w:pPr>
            <w:r>
              <w:rPr>
                <w:rFonts w:hint="eastAsia"/>
                <w:b w:val="0"/>
                <w:bCs w:val="0"/>
                <w:sz w:val="24"/>
              </w:rPr>
              <w:t>（5）安装工程</w:t>
            </w:r>
          </w:p>
          <w:p w14:paraId="3E301DFC">
            <w:pPr>
              <w:adjustRightInd w:val="0"/>
              <w:snapToGrid w:val="0"/>
              <w:spacing w:line="360" w:lineRule="auto"/>
              <w:ind w:firstLine="480" w:firstLineChars="200"/>
              <w:jc w:val="both"/>
              <w:rPr>
                <w:rFonts w:hint="eastAsia"/>
                <w:sz w:val="24"/>
              </w:rPr>
            </w:pPr>
            <w:r>
              <w:rPr>
                <w:rFonts w:hint="eastAsia"/>
                <w:sz w:val="24"/>
              </w:rPr>
              <w:t>安装水电、空调管线、通风设施、灯具洁具、主要设备及设施等，绿化工程。施工使用的钻机、电锤等产生噪声，废弃物料</w:t>
            </w:r>
            <w:r>
              <w:rPr>
                <w:rFonts w:hint="eastAsia"/>
                <w:sz w:val="24"/>
                <w:lang w:eastAsia="zh-CN"/>
              </w:rPr>
              <w:t>等</w:t>
            </w:r>
            <w:r>
              <w:rPr>
                <w:rFonts w:hint="eastAsia"/>
                <w:sz w:val="24"/>
              </w:rPr>
              <w:t>。</w:t>
            </w:r>
          </w:p>
          <w:p w14:paraId="2B973677">
            <w:pPr>
              <w:adjustRightInd w:val="0"/>
              <w:snapToGrid w:val="0"/>
              <w:spacing w:line="360" w:lineRule="auto"/>
              <w:ind w:firstLine="480" w:firstLineChars="200"/>
              <w:jc w:val="both"/>
              <w:rPr>
                <w:rFonts w:hint="eastAsia"/>
                <w:b w:val="0"/>
                <w:bCs w:val="0"/>
                <w:sz w:val="24"/>
              </w:rPr>
            </w:pPr>
            <w:r>
              <w:rPr>
                <w:rFonts w:hint="eastAsia"/>
                <w:b w:val="0"/>
                <w:bCs w:val="0"/>
                <w:sz w:val="24"/>
              </w:rPr>
              <w:t>（6）工程验收</w:t>
            </w:r>
          </w:p>
          <w:p w14:paraId="68BA31FE">
            <w:pPr>
              <w:adjustRightInd w:val="0"/>
              <w:snapToGrid w:val="0"/>
              <w:spacing w:line="360" w:lineRule="auto"/>
              <w:ind w:firstLine="480" w:firstLineChars="200"/>
              <w:jc w:val="both"/>
              <w:rPr>
                <w:rFonts w:hint="eastAsia"/>
                <w:sz w:val="24"/>
              </w:rPr>
            </w:pPr>
            <w:r>
              <w:rPr>
                <w:rFonts w:hint="eastAsia"/>
                <w:sz w:val="24"/>
              </w:rPr>
              <w:t>当施工完成验收合格后，方可投入使用。</w:t>
            </w:r>
          </w:p>
          <w:p w14:paraId="4A5A9D26">
            <w:pPr>
              <w:numPr>
                <w:ilvl w:val="0"/>
                <w:numId w:val="1"/>
              </w:numPr>
              <w:adjustRightInd w:val="0"/>
              <w:snapToGrid w:val="0"/>
              <w:spacing w:line="360" w:lineRule="auto"/>
              <w:ind w:firstLine="480" w:firstLineChars="200"/>
              <w:jc w:val="both"/>
              <w:rPr>
                <w:rFonts w:hint="eastAsia"/>
                <w:sz w:val="24"/>
                <w:u w:val="single"/>
                <w:lang w:eastAsia="zh-CN"/>
              </w:rPr>
            </w:pPr>
            <w:r>
              <w:rPr>
                <w:rFonts w:hint="eastAsia"/>
                <w:sz w:val="24"/>
                <w:u w:val="single"/>
                <w:lang w:eastAsia="zh-CN"/>
              </w:rPr>
              <w:t>施工计划</w:t>
            </w:r>
          </w:p>
          <w:p w14:paraId="6F1A758B">
            <w:pPr>
              <w:numPr>
                <w:ilvl w:val="-1"/>
                <w:numId w:val="0"/>
              </w:numPr>
              <w:autoSpaceDE/>
              <w:autoSpaceDN/>
              <w:adjustRightInd w:val="0"/>
              <w:snapToGrid w:val="0"/>
              <w:spacing w:line="360" w:lineRule="auto"/>
              <w:ind w:firstLine="480" w:firstLineChars="200"/>
              <w:jc w:val="both"/>
              <w:rPr>
                <w:rFonts w:hint="eastAsia"/>
                <w:sz w:val="24"/>
                <w:u w:val="single"/>
                <w:lang w:eastAsia="zh-CN"/>
              </w:rPr>
            </w:pPr>
            <w:r>
              <w:rPr>
                <w:rFonts w:hint="eastAsia"/>
                <w:sz w:val="24"/>
                <w:u w:val="single"/>
                <w:lang w:eastAsia="zh-CN"/>
              </w:rPr>
              <w:t>2027年3月，完成门诊楼、住院楼等建筑主体工程及装饰装修工程；</w:t>
            </w:r>
          </w:p>
          <w:p w14:paraId="19D064D0">
            <w:pPr>
              <w:numPr>
                <w:ilvl w:val="-1"/>
                <w:numId w:val="0"/>
              </w:numPr>
              <w:autoSpaceDE/>
              <w:autoSpaceDN/>
              <w:adjustRightInd w:val="0"/>
              <w:snapToGrid w:val="0"/>
              <w:spacing w:line="360" w:lineRule="auto"/>
              <w:ind w:firstLine="480" w:firstLineChars="200"/>
              <w:jc w:val="both"/>
              <w:rPr>
                <w:rFonts w:hint="eastAsia"/>
                <w:sz w:val="24"/>
                <w:u w:val="single"/>
                <w:lang w:eastAsia="zh-CN"/>
              </w:rPr>
            </w:pPr>
            <w:r>
              <w:rPr>
                <w:rFonts w:hint="eastAsia"/>
                <w:sz w:val="24"/>
                <w:u w:val="single"/>
                <w:lang w:eastAsia="zh-CN"/>
              </w:rPr>
              <w:t>2027年4月</w:t>
            </w:r>
            <w:r>
              <w:rPr>
                <w:rFonts w:hint="eastAsia"/>
                <w:sz w:val="24"/>
                <w:u w:val="single"/>
                <w:lang w:val="en-US" w:eastAsia="zh-CN"/>
              </w:rPr>
              <w:t>-</w:t>
            </w:r>
            <w:r>
              <w:rPr>
                <w:rFonts w:hint="eastAsia"/>
                <w:sz w:val="24"/>
                <w:u w:val="single"/>
                <w:lang w:eastAsia="zh-CN"/>
              </w:rPr>
              <w:t>2027年5月，完成设备设施采购及室外附属工程；</w:t>
            </w:r>
          </w:p>
          <w:p w14:paraId="591BC4DE">
            <w:pPr>
              <w:numPr>
                <w:ilvl w:val="-1"/>
                <w:numId w:val="0"/>
              </w:numPr>
              <w:autoSpaceDE/>
              <w:autoSpaceDN/>
              <w:adjustRightInd w:val="0"/>
              <w:snapToGrid w:val="0"/>
              <w:spacing w:line="360" w:lineRule="auto"/>
              <w:ind w:firstLine="480" w:firstLineChars="200"/>
              <w:jc w:val="both"/>
              <w:rPr>
                <w:rFonts w:hint="eastAsia"/>
                <w:sz w:val="24"/>
                <w:u w:val="single"/>
                <w:lang w:eastAsia="zh-CN"/>
              </w:rPr>
            </w:pPr>
            <w:r>
              <w:rPr>
                <w:rFonts w:hint="eastAsia"/>
                <w:sz w:val="24"/>
                <w:u w:val="single"/>
                <w:lang w:eastAsia="zh-CN"/>
              </w:rPr>
              <w:t>2027年5月底，项目竣工投入使用。</w:t>
            </w:r>
          </w:p>
          <w:p w14:paraId="17B9DDFF">
            <w:pPr>
              <w:widowControl/>
              <w:ind w:firstLine="480" w:firstLineChars="200"/>
              <w:jc w:val="both"/>
              <w:rPr>
                <w:rFonts w:hint="eastAsia" w:ascii="Times New Roman Regular" w:hAnsi="Times New Roman Regular" w:eastAsia="宋体" w:cs="Times New Roman Regular"/>
                <w:b/>
                <w:bCs/>
                <w:color w:val="auto"/>
                <w:highlight w:val="none"/>
                <w:u w:val="none"/>
                <w:lang w:val="en-US" w:eastAsia="zh-CN" w:bidi="ar-SA"/>
              </w:rPr>
            </w:pPr>
            <w:r>
              <w:rPr>
                <w:rFonts w:ascii="Times New Roman" w:hAnsi="Times New Roman"/>
                <w:color w:val="auto"/>
                <w:kern w:val="2"/>
                <w:highlight w:val="none"/>
                <w:u w:val="none"/>
                <w:lang w:val="en-US" w:eastAsia="zh-CN"/>
              </w:rPr>
              <w:drawing>
                <wp:anchor distT="0" distB="0" distL="114300" distR="114300" simplePos="0" relativeHeight="251659264" behindDoc="0" locked="0" layoutInCell="1" allowOverlap="1">
                  <wp:simplePos x="0" y="0"/>
                  <wp:positionH relativeFrom="column">
                    <wp:posOffset>80010</wp:posOffset>
                  </wp:positionH>
                  <wp:positionV relativeFrom="paragraph">
                    <wp:posOffset>342900</wp:posOffset>
                  </wp:positionV>
                  <wp:extent cx="5210810" cy="3203575"/>
                  <wp:effectExtent l="0" t="0" r="8890" b="15875"/>
                  <wp:wrapTopAndBottom/>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4"/>
                          <a:stretch>
                            <a:fillRect/>
                          </a:stretch>
                        </pic:blipFill>
                        <pic:spPr>
                          <a:xfrm>
                            <a:off x="0" y="0"/>
                            <a:ext cx="5210810" cy="3203575"/>
                          </a:xfrm>
                          <a:prstGeom prst="rect">
                            <a:avLst/>
                          </a:prstGeom>
                          <a:noFill/>
                          <a:ln>
                            <a:noFill/>
                          </a:ln>
                        </pic:spPr>
                      </pic:pic>
                    </a:graphicData>
                  </a:graphic>
                </wp:anchor>
              </w:drawing>
            </w:r>
            <w:r>
              <w:rPr>
                <w:rFonts w:hint="eastAsia" w:ascii="Times New Roman Regular" w:hAnsi="Times New Roman Regular" w:eastAsia="宋体" w:cs="Times New Roman Regular"/>
                <w:b/>
                <w:bCs/>
                <w:color w:val="auto"/>
                <w:highlight w:val="none"/>
                <w:u w:val="none"/>
                <w:lang w:val="en-US" w:eastAsia="zh-CN" w:bidi="ar-SA"/>
              </w:rPr>
              <w:t>2.7.2运营</w:t>
            </w:r>
            <w:r>
              <w:rPr>
                <w:rFonts w:hint="eastAsia" w:ascii="Times New Roman Regular" w:hAnsi="Times New Roman Regular" w:eastAsia="宋体" w:cs="Times New Roman Regular"/>
                <w:b/>
                <w:bCs/>
                <w:color w:val="auto"/>
                <w:kern w:val="0"/>
                <w:sz w:val="24"/>
                <w:szCs w:val="24"/>
                <w:highlight w:val="none"/>
                <w:u w:val="none"/>
                <w:lang w:val="en-US" w:bidi="ar-SA"/>
              </w:rPr>
              <w:t>期工艺流程简述</w:t>
            </w:r>
          </w:p>
          <w:p w14:paraId="4383B203">
            <w:pPr>
              <w:jc w:val="center"/>
              <w:rPr>
                <w:rFonts w:hint="default" w:ascii="Times New Roman" w:hAnsi="Times New Roman" w:eastAsia="宋体" w:cs="Times New Roman"/>
                <w:b/>
                <w:bCs/>
                <w:color w:val="auto"/>
                <w:sz w:val="21"/>
                <w:szCs w:val="21"/>
                <w:highlight w:val="none"/>
                <w:u w:val="none"/>
                <w:lang w:val="en-US" w:eastAsia="zh-CN"/>
              </w:rPr>
            </w:pPr>
            <w:r>
              <w:rPr>
                <w:rFonts w:hint="default" w:ascii="Times New Roman" w:hAnsi="Times New Roman" w:eastAsia="宋体" w:cs="Times New Roman"/>
                <w:b/>
                <w:bCs/>
                <w:color w:val="auto"/>
                <w:sz w:val="21"/>
                <w:szCs w:val="21"/>
                <w:highlight w:val="none"/>
                <w:u w:val="none"/>
                <w:lang w:val="en-US" w:eastAsia="zh-CN"/>
              </w:rPr>
              <w:t>图2-</w:t>
            </w:r>
            <w:r>
              <w:rPr>
                <w:rFonts w:hint="eastAsia" w:cs="Times New Roman"/>
                <w:b/>
                <w:bCs/>
                <w:color w:val="auto"/>
                <w:sz w:val="21"/>
                <w:szCs w:val="21"/>
                <w:highlight w:val="none"/>
                <w:u w:val="none"/>
                <w:lang w:val="en-US" w:eastAsia="zh-CN"/>
              </w:rPr>
              <w:t>3</w:t>
            </w:r>
            <w:r>
              <w:rPr>
                <w:rFonts w:hint="eastAsia" w:ascii="Times New Roman" w:hAnsi="Times New Roman" w:eastAsia="宋体" w:cs="Times New Roman"/>
                <w:b/>
                <w:bCs/>
                <w:color w:val="auto"/>
                <w:sz w:val="21"/>
                <w:szCs w:val="21"/>
                <w:highlight w:val="none"/>
                <w:u w:val="none"/>
                <w:lang w:val="en-US" w:eastAsia="zh-CN"/>
              </w:rPr>
              <w:t xml:space="preserve">   </w:t>
            </w:r>
            <w:r>
              <w:rPr>
                <w:rFonts w:hint="default" w:ascii="Times New Roman" w:hAnsi="Times New Roman" w:eastAsia="宋体" w:cs="Times New Roman"/>
                <w:b/>
                <w:bCs/>
                <w:color w:val="auto"/>
                <w:sz w:val="21"/>
                <w:szCs w:val="21"/>
                <w:highlight w:val="none"/>
                <w:u w:val="none"/>
                <w:lang w:val="en-US" w:eastAsia="zh-CN"/>
              </w:rPr>
              <w:t>项目运营期流程</w:t>
            </w:r>
            <w:r>
              <w:rPr>
                <w:rFonts w:hint="eastAsia" w:cs="Times New Roman"/>
                <w:b/>
                <w:bCs/>
                <w:color w:val="auto"/>
                <w:sz w:val="21"/>
                <w:szCs w:val="21"/>
                <w:highlight w:val="none"/>
                <w:u w:val="none"/>
                <w:lang w:val="en-US" w:eastAsia="zh-CN"/>
              </w:rPr>
              <w:t>及产污节点</w:t>
            </w:r>
            <w:r>
              <w:rPr>
                <w:rFonts w:hint="default" w:ascii="Times New Roman" w:hAnsi="Times New Roman" w:eastAsia="宋体" w:cs="Times New Roman"/>
                <w:b/>
                <w:bCs/>
                <w:color w:val="auto"/>
                <w:sz w:val="21"/>
                <w:szCs w:val="21"/>
                <w:highlight w:val="none"/>
                <w:u w:val="none"/>
                <w:lang w:val="en-US" w:eastAsia="zh-CN"/>
              </w:rPr>
              <w:t>图</w:t>
            </w:r>
          </w:p>
          <w:p w14:paraId="26F18066">
            <w:pPr>
              <w:widowControl/>
              <w:spacing w:line="360" w:lineRule="auto"/>
              <w:ind w:firstLine="482" w:firstLineChars="200"/>
              <w:jc w:val="left"/>
              <w:rPr>
                <w:rFonts w:hint="eastAsia" w:hAnsi="宋体"/>
                <w:b/>
                <w:bCs/>
                <w:color w:val="auto"/>
                <w:sz w:val="24"/>
                <w:u w:val="none" w:color="auto"/>
              </w:rPr>
            </w:pPr>
            <w:r>
              <w:rPr>
                <w:rFonts w:hint="eastAsia" w:hAnsi="宋体"/>
                <w:b/>
                <w:bCs/>
                <w:color w:val="auto"/>
                <w:sz w:val="24"/>
                <w:u w:val="none" w:color="auto"/>
              </w:rPr>
              <w:t>工艺流程说明：</w:t>
            </w:r>
          </w:p>
          <w:p w14:paraId="0036CF9B">
            <w:pPr>
              <w:keepNext w:val="0"/>
              <w:keepLines w:val="0"/>
              <w:pageBreakBefore w:val="0"/>
              <w:widowControl w:val="0"/>
              <w:kinsoku/>
              <w:wordWrap/>
              <w:overflowPunct/>
              <w:topLinePunct w:val="0"/>
              <w:autoSpaceDE/>
              <w:autoSpaceDN/>
              <w:bidi w:val="0"/>
              <w:spacing w:line="360" w:lineRule="auto"/>
              <w:ind w:firstLine="480"/>
              <w:jc w:val="both"/>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本医院实际设置科室包括：</w:t>
            </w:r>
            <w:r>
              <w:rPr>
                <w:rFonts w:hint="default" w:ascii="Times New Roman" w:hAnsi="Times New Roman" w:eastAsia="宋体" w:cs="Times New Roman"/>
                <w:color w:val="auto"/>
                <w:sz w:val="24"/>
                <w:szCs w:val="24"/>
                <w:highlight w:val="none"/>
                <w:u w:val="none" w:color="auto"/>
                <w:lang w:val="en-US" w:eastAsia="zh-CN"/>
              </w:rPr>
              <w:t>医学影像科</w:t>
            </w:r>
            <w:r>
              <w:rPr>
                <w:rFonts w:hint="eastAsia" w:ascii="Times New Roman" w:hAnsi="Times New Roman" w:eastAsia="宋体" w:cs="Times New Roman"/>
                <w:color w:val="auto"/>
                <w:sz w:val="24"/>
                <w:szCs w:val="24"/>
                <w:highlight w:val="none"/>
                <w:u w:val="none" w:color="auto"/>
                <w:lang w:val="en-US" w:eastAsia="zh-CN"/>
              </w:rPr>
              <w:t>、</w:t>
            </w:r>
            <w:r>
              <w:rPr>
                <w:rFonts w:hint="default" w:ascii="Times New Roman" w:hAnsi="Times New Roman" w:eastAsia="宋体" w:cs="Times New Roman"/>
                <w:color w:val="auto"/>
                <w:sz w:val="24"/>
                <w:szCs w:val="24"/>
                <w:highlight w:val="none"/>
                <w:u w:val="none" w:color="auto"/>
                <w:lang w:val="en-US" w:eastAsia="zh-CN"/>
              </w:rPr>
              <w:t>妇科、</w:t>
            </w:r>
            <w:r>
              <w:rPr>
                <w:rFonts w:hint="eastAsia" w:cs="Times New Roman"/>
                <w:color w:val="auto"/>
                <w:sz w:val="24"/>
                <w:szCs w:val="24"/>
                <w:highlight w:val="none"/>
                <w:u w:val="none" w:color="auto"/>
                <w:lang w:val="en-US" w:eastAsia="zh-CN"/>
              </w:rPr>
              <w:t>内科</w:t>
            </w:r>
            <w:r>
              <w:rPr>
                <w:rFonts w:hint="eastAsia" w:ascii="Times New Roman" w:hAnsi="Times New Roman" w:eastAsia="宋体" w:cs="Times New Roman"/>
                <w:color w:val="auto"/>
                <w:sz w:val="24"/>
                <w:szCs w:val="24"/>
                <w:highlight w:val="none"/>
                <w:u w:val="none" w:color="auto"/>
                <w:lang w:val="en-US" w:eastAsia="zh-CN"/>
              </w:rPr>
              <w:t>、</w:t>
            </w:r>
            <w:r>
              <w:rPr>
                <w:rFonts w:hint="eastAsia" w:cs="Times New Roman"/>
                <w:color w:val="auto"/>
                <w:sz w:val="24"/>
                <w:szCs w:val="24"/>
                <w:highlight w:val="none"/>
                <w:u w:val="none" w:color="auto"/>
                <w:lang w:val="en-US" w:eastAsia="zh-CN"/>
              </w:rPr>
              <w:t>外</w:t>
            </w:r>
            <w:r>
              <w:rPr>
                <w:rFonts w:hint="default" w:ascii="Times New Roman" w:hAnsi="Times New Roman" w:eastAsia="宋体" w:cs="Times New Roman"/>
                <w:color w:val="auto"/>
                <w:sz w:val="24"/>
                <w:szCs w:val="24"/>
                <w:highlight w:val="none"/>
                <w:u w:val="none" w:color="auto"/>
                <w:lang w:val="en-US" w:eastAsia="zh-CN"/>
              </w:rPr>
              <w:t>科</w:t>
            </w:r>
            <w:r>
              <w:rPr>
                <w:rFonts w:hint="eastAsia" w:ascii="Times New Roman" w:hAnsi="Times New Roman" w:eastAsia="宋体" w:cs="Times New Roman"/>
                <w:color w:val="auto"/>
                <w:sz w:val="24"/>
                <w:szCs w:val="24"/>
                <w:highlight w:val="none"/>
                <w:u w:val="none" w:color="auto"/>
                <w:lang w:val="en-US" w:eastAsia="zh-CN"/>
              </w:rPr>
              <w:t>等。项目不设传染病房。</w:t>
            </w:r>
          </w:p>
          <w:p w14:paraId="23C52AD7">
            <w:pPr>
              <w:spacing w:line="360" w:lineRule="auto"/>
              <w:ind w:firstLine="480" w:firstLineChars="200"/>
              <w:jc w:val="both"/>
              <w:rPr>
                <w:rFonts w:hint="eastAsia"/>
                <w:color w:val="auto"/>
                <w:kern w:val="0"/>
                <w:sz w:val="24"/>
                <w:szCs w:val="20"/>
                <w:u w:val="none" w:color="auto"/>
              </w:rPr>
            </w:pPr>
            <w:r>
              <w:rPr>
                <w:rFonts w:hint="eastAsia"/>
                <w:color w:val="auto"/>
                <w:kern w:val="0"/>
                <w:sz w:val="24"/>
                <w:szCs w:val="20"/>
                <w:u w:val="none" w:color="auto"/>
              </w:rPr>
              <w:t>根据病人的诊断情况，采取直接取药、门诊治疗等治疗后出院；还有部分患者需要留院进行进一步诊治，办理入院手续。住院病患已康复，经医生同意，办理出院手续，出院回家调理。</w:t>
            </w:r>
          </w:p>
          <w:p w14:paraId="591753F4">
            <w:pPr>
              <w:spacing w:line="360" w:lineRule="auto"/>
              <w:ind w:firstLine="480" w:firstLineChars="200"/>
              <w:jc w:val="both"/>
              <w:rPr>
                <w:rFonts w:hint="eastAsia"/>
                <w:color w:val="FF0000"/>
                <w:kern w:val="0"/>
                <w:sz w:val="24"/>
                <w:szCs w:val="20"/>
                <w:u w:val="single" w:color="auto"/>
              </w:rPr>
            </w:pPr>
            <w:r>
              <w:rPr>
                <w:rFonts w:hint="eastAsia"/>
                <w:color w:val="FF0000"/>
                <w:kern w:val="0"/>
                <w:sz w:val="24"/>
                <w:szCs w:val="20"/>
                <w:u w:val="single" w:color="auto"/>
              </w:rPr>
              <w:t>医院内洗片采用激光打印机打印片子，无洗片</w:t>
            </w:r>
            <w:r>
              <w:rPr>
                <w:rFonts w:hint="eastAsia"/>
                <w:color w:val="FF0000"/>
                <w:kern w:val="0"/>
                <w:sz w:val="24"/>
                <w:szCs w:val="20"/>
                <w:u w:val="single" w:color="auto"/>
                <w:lang w:eastAsia="zh-CN"/>
              </w:rPr>
              <w:t>显影</w:t>
            </w:r>
            <w:r>
              <w:rPr>
                <w:rFonts w:hint="eastAsia"/>
                <w:color w:val="FF0000"/>
                <w:kern w:val="0"/>
                <w:sz w:val="24"/>
                <w:szCs w:val="20"/>
                <w:u w:val="single" w:color="auto"/>
              </w:rPr>
              <w:t>废水</w:t>
            </w:r>
            <w:r>
              <w:rPr>
                <w:rFonts w:hint="eastAsia"/>
                <w:color w:val="FF0000"/>
                <w:kern w:val="0"/>
                <w:sz w:val="24"/>
                <w:szCs w:val="20"/>
                <w:u w:val="single" w:color="auto"/>
                <w:lang w:eastAsia="zh-CN"/>
              </w:rPr>
              <w:t>，</w:t>
            </w:r>
            <w:r>
              <w:rPr>
                <w:rFonts w:hint="eastAsia"/>
                <w:color w:val="FF0000"/>
                <w:kern w:val="0"/>
                <w:sz w:val="24"/>
                <w:szCs w:val="20"/>
                <w:u w:val="single" w:color="auto"/>
              </w:rPr>
              <w:t>医院检验科</w:t>
            </w:r>
            <w:r>
              <w:rPr>
                <w:rFonts w:hint="eastAsia"/>
                <w:color w:val="FF0000"/>
                <w:kern w:val="0"/>
                <w:sz w:val="24"/>
                <w:szCs w:val="20"/>
                <w:u w:val="single" w:color="auto"/>
                <w:lang w:eastAsia="zh-CN"/>
              </w:rPr>
              <w:t>采用试剂盒和</w:t>
            </w:r>
            <w:r>
              <w:rPr>
                <w:rFonts w:hint="eastAsia"/>
                <w:color w:val="FF0000"/>
                <w:kern w:val="0"/>
                <w:sz w:val="24"/>
                <w:szCs w:val="20"/>
                <w:u w:val="single" w:color="auto"/>
              </w:rPr>
              <w:t>试纸进行检测，</w:t>
            </w:r>
            <w:r>
              <w:rPr>
                <w:rFonts w:hint="eastAsia"/>
                <w:color w:val="FF0000"/>
                <w:kern w:val="0"/>
                <w:sz w:val="24"/>
                <w:szCs w:val="20"/>
                <w:u w:val="single" w:color="auto"/>
                <w:lang w:eastAsia="zh-CN"/>
              </w:rPr>
              <w:t>不使用含氰、含铬的试剂，不进行细菌培养等检验，检验废液作为危废处置，</w:t>
            </w:r>
            <w:r>
              <w:rPr>
                <w:rFonts w:hint="eastAsia"/>
                <w:color w:val="FF0000"/>
                <w:kern w:val="0"/>
                <w:sz w:val="24"/>
                <w:szCs w:val="20"/>
                <w:u w:val="single" w:color="auto"/>
              </w:rPr>
              <w:t>无</w:t>
            </w:r>
            <w:r>
              <w:rPr>
                <w:rFonts w:hint="eastAsia"/>
                <w:color w:val="FF0000"/>
                <w:kern w:val="0"/>
                <w:sz w:val="24"/>
                <w:szCs w:val="20"/>
                <w:u w:val="single" w:color="auto"/>
                <w:lang w:eastAsia="zh-CN"/>
              </w:rPr>
              <w:t>含氰、</w:t>
            </w:r>
            <w:r>
              <w:rPr>
                <w:rFonts w:hint="eastAsia"/>
                <w:color w:val="FF0000"/>
                <w:kern w:val="0"/>
                <w:sz w:val="24"/>
                <w:szCs w:val="20"/>
                <w:u w:val="single" w:color="auto"/>
              </w:rPr>
              <w:t>含铬废水</w:t>
            </w:r>
            <w:r>
              <w:rPr>
                <w:rFonts w:hint="eastAsia"/>
                <w:color w:val="FF0000"/>
                <w:kern w:val="0"/>
                <w:sz w:val="24"/>
                <w:szCs w:val="20"/>
                <w:u w:val="single" w:color="auto"/>
                <w:lang w:eastAsia="zh-CN"/>
              </w:rPr>
              <w:t>、</w:t>
            </w:r>
            <w:r>
              <w:rPr>
                <w:rFonts w:hint="eastAsia"/>
                <w:color w:val="FF0000"/>
                <w:kern w:val="0"/>
                <w:sz w:val="24"/>
                <w:szCs w:val="20"/>
                <w:u w:val="single" w:color="auto"/>
              </w:rPr>
              <w:t>检验科酸</w:t>
            </w:r>
            <w:r>
              <w:rPr>
                <w:rFonts w:hint="eastAsia"/>
                <w:color w:val="FF0000"/>
                <w:kern w:val="0"/>
                <w:sz w:val="24"/>
                <w:szCs w:val="20"/>
                <w:u w:val="single" w:color="auto"/>
                <w:lang w:eastAsia="zh-CN"/>
              </w:rPr>
              <w:t>性</w:t>
            </w:r>
            <w:r>
              <w:rPr>
                <w:rFonts w:hint="eastAsia"/>
                <w:color w:val="FF0000"/>
                <w:kern w:val="0"/>
                <w:sz w:val="24"/>
                <w:szCs w:val="20"/>
                <w:u w:val="single" w:color="auto"/>
              </w:rPr>
              <w:t>废水。血液检验采用试剂盒，无含氰废水产生，检验科用完的试剂作为医疗危险废物处理。</w:t>
            </w:r>
            <w:r>
              <w:rPr>
                <w:rFonts w:hint="default" w:ascii="Times New Roman" w:hAnsi="Times New Roman" w:cs="Times New Roman"/>
                <w:color w:val="FF0000"/>
                <w:sz w:val="24"/>
                <w:u w:val="single" w:color="auto"/>
              </w:rPr>
              <w:t>项目无饮片加工工序，不产生饮片加工废水</w:t>
            </w:r>
            <w:r>
              <w:rPr>
                <w:rFonts w:hint="eastAsia" w:ascii="Times New Roman" w:hAnsi="Times New Roman" w:cs="Times New Roman"/>
                <w:color w:val="FF0000"/>
                <w:sz w:val="24"/>
                <w:u w:val="single" w:color="auto"/>
                <w:lang w:eastAsia="zh-CN"/>
              </w:rPr>
              <w:t>，</w:t>
            </w:r>
            <w:r>
              <w:rPr>
                <w:rFonts w:hint="eastAsia" w:cs="Times New Roman"/>
                <w:color w:val="FF0000"/>
                <w:sz w:val="24"/>
                <w:szCs w:val="24"/>
                <w:u w:val="single" w:color="auto"/>
                <w:lang w:val="en-US" w:eastAsia="zh-CN"/>
              </w:rPr>
              <w:t>牙科不使用含汞材料及试剂，不产生含汞废水，</w:t>
            </w:r>
            <w:r>
              <w:rPr>
                <w:rFonts w:hint="eastAsia"/>
                <w:color w:val="FF0000"/>
                <w:kern w:val="0"/>
                <w:sz w:val="24"/>
                <w:szCs w:val="20"/>
                <w:u w:val="single" w:color="auto"/>
              </w:rPr>
              <w:t>医院备用发电机使用轻质柴油，产生的污染较小。</w:t>
            </w:r>
          </w:p>
          <w:p w14:paraId="1ADBD266">
            <w:pPr>
              <w:ind w:firstLine="480"/>
              <w:jc w:val="both"/>
              <w:rPr>
                <w:rFonts w:hint="eastAsia"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b/>
                <w:bCs/>
                <w:color w:val="auto"/>
                <w:sz w:val="24"/>
                <w:szCs w:val="24"/>
                <w:highlight w:val="none"/>
                <w:u w:val="none"/>
                <w:lang w:val="en-US" w:eastAsia="zh-CN"/>
              </w:rPr>
              <w:t>（2）</w:t>
            </w:r>
            <w:r>
              <w:rPr>
                <w:rFonts w:hint="eastAsia" w:ascii="Times New Roman" w:hAnsi="Times New Roman" w:eastAsia="宋体" w:cs="Times New Roman"/>
                <w:b/>
                <w:bCs/>
                <w:color w:val="auto"/>
                <w:sz w:val="24"/>
                <w:szCs w:val="24"/>
                <w:highlight w:val="none"/>
                <w:u w:val="none"/>
                <w:lang w:val="en-US" w:eastAsia="zh-CN"/>
              </w:rPr>
              <w:t>排污节点</w:t>
            </w:r>
          </w:p>
          <w:p w14:paraId="29C228D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olor w:val="auto"/>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本项目运行期主要排污节点、污染物、排污方式详见下表。</w:t>
            </w:r>
          </w:p>
          <w:p w14:paraId="5349427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表2-</w:t>
            </w:r>
            <w:r>
              <w:rPr>
                <w:rFonts w:hint="eastAsia" w:cs="Times New Roman"/>
                <w:b/>
                <w:bCs/>
                <w:color w:val="auto"/>
                <w:sz w:val="21"/>
                <w:szCs w:val="21"/>
                <w:highlight w:val="none"/>
                <w:u w:val="none"/>
                <w:lang w:val="en-US" w:eastAsia="zh-CN"/>
              </w:rPr>
              <w:t>7</w:t>
            </w:r>
            <w:r>
              <w:rPr>
                <w:rFonts w:hint="eastAsia" w:ascii="Times New Roman" w:hAnsi="Times New Roman" w:eastAsia="宋体" w:cs="Times New Roman"/>
                <w:b/>
                <w:bCs/>
                <w:color w:val="auto"/>
                <w:sz w:val="21"/>
                <w:szCs w:val="21"/>
                <w:highlight w:val="none"/>
                <w:u w:val="none"/>
                <w:lang w:val="en-US" w:eastAsia="zh-CN"/>
              </w:rPr>
              <w:t xml:space="preserve">   项目排污节点一览表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5"/>
              <w:gridCol w:w="2523"/>
              <w:gridCol w:w="4639"/>
            </w:tblGrid>
            <w:tr w14:paraId="56225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0" w:type="pct"/>
                  <w:tcBorders>
                    <w:top w:val="single" w:color="auto" w:sz="4" w:space="0"/>
                    <w:left w:val="single" w:color="auto" w:sz="4" w:space="0"/>
                    <w:bottom w:val="single" w:color="auto" w:sz="4" w:space="0"/>
                    <w:right w:val="single" w:color="auto" w:sz="4" w:space="0"/>
                  </w:tcBorders>
                  <w:noWrap w:val="0"/>
                  <w:vAlign w:val="center"/>
                </w:tcPr>
                <w:p w14:paraId="3C3DA16F">
                  <w:pPr>
                    <w:spacing w:line="240" w:lineRule="auto"/>
                    <w:jc w:val="center"/>
                    <w:rPr>
                      <w:rFonts w:hint="default" w:ascii="Times New Roman" w:hAnsi="Times New Roman" w:cs="Times New Roman"/>
                      <w:b/>
                      <w:bCs/>
                      <w:color w:val="auto"/>
                      <w:sz w:val="21"/>
                      <w:szCs w:val="21"/>
                      <w:highlight w:val="none"/>
                      <w:u w:val="none"/>
                      <w:lang w:val="en-US" w:eastAsia="zh-CN"/>
                    </w:rPr>
                  </w:pPr>
                  <w:r>
                    <w:rPr>
                      <w:rFonts w:hint="default" w:ascii="Times New Roman" w:hAnsi="Times New Roman" w:cs="Times New Roman"/>
                      <w:b/>
                      <w:bCs/>
                      <w:color w:val="auto"/>
                      <w:sz w:val="21"/>
                      <w:szCs w:val="21"/>
                      <w:highlight w:val="none"/>
                      <w:u w:val="none"/>
                      <w:lang w:val="en-US" w:eastAsia="zh-CN"/>
                    </w:rPr>
                    <w:t>类型</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4D3B1482">
                  <w:pPr>
                    <w:spacing w:line="240" w:lineRule="auto"/>
                    <w:jc w:val="center"/>
                    <w:rPr>
                      <w:rFonts w:hint="default" w:ascii="Times New Roman" w:hAnsi="Times New Roman" w:cs="Times New Roman"/>
                      <w:b/>
                      <w:bCs/>
                      <w:color w:val="auto"/>
                      <w:sz w:val="21"/>
                      <w:szCs w:val="21"/>
                      <w:highlight w:val="none"/>
                      <w:u w:val="none"/>
                      <w:lang w:val="en-US" w:eastAsia="zh-CN"/>
                    </w:rPr>
                  </w:pPr>
                  <w:r>
                    <w:rPr>
                      <w:rFonts w:hint="eastAsia" w:cs="Times New Roman"/>
                      <w:b/>
                      <w:bCs/>
                      <w:color w:val="auto"/>
                      <w:sz w:val="21"/>
                      <w:szCs w:val="21"/>
                      <w:highlight w:val="none"/>
                      <w:u w:val="none"/>
                      <w:lang w:val="en-US" w:eastAsia="zh-CN"/>
                    </w:rPr>
                    <w:t>产生环节</w:t>
                  </w:r>
                </w:p>
              </w:tc>
              <w:tc>
                <w:tcPr>
                  <w:tcW w:w="2706" w:type="pct"/>
                  <w:tcBorders>
                    <w:top w:val="single" w:color="auto" w:sz="4" w:space="0"/>
                    <w:left w:val="single" w:color="auto" w:sz="4" w:space="0"/>
                    <w:bottom w:val="single" w:color="auto" w:sz="4" w:space="0"/>
                    <w:right w:val="single" w:color="auto" w:sz="4" w:space="0"/>
                  </w:tcBorders>
                  <w:noWrap w:val="0"/>
                  <w:vAlign w:val="center"/>
                </w:tcPr>
                <w:p w14:paraId="23D28D38">
                  <w:pPr>
                    <w:spacing w:line="240" w:lineRule="auto"/>
                    <w:jc w:val="center"/>
                    <w:rPr>
                      <w:rFonts w:hint="default" w:ascii="Times New Roman" w:hAnsi="Times New Roman" w:cs="Times New Roman"/>
                      <w:b/>
                      <w:bCs/>
                      <w:color w:val="auto"/>
                      <w:sz w:val="21"/>
                      <w:szCs w:val="21"/>
                      <w:highlight w:val="none"/>
                      <w:u w:val="none"/>
                      <w:lang w:val="en-US" w:eastAsia="zh-CN"/>
                    </w:rPr>
                  </w:pPr>
                  <w:r>
                    <w:rPr>
                      <w:rFonts w:hint="default" w:ascii="Times New Roman" w:hAnsi="Times New Roman" w:cs="Times New Roman"/>
                      <w:b/>
                      <w:bCs/>
                      <w:color w:val="auto"/>
                      <w:sz w:val="21"/>
                      <w:szCs w:val="21"/>
                      <w:highlight w:val="none"/>
                      <w:u w:val="none"/>
                      <w:lang w:val="en-US" w:eastAsia="zh-CN"/>
                    </w:rPr>
                    <w:t>主要污染因子</w:t>
                  </w:r>
                </w:p>
              </w:tc>
            </w:tr>
            <w:tr w14:paraId="6D581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0" w:type="pct"/>
                  <w:vMerge w:val="restart"/>
                  <w:tcBorders>
                    <w:left w:val="single" w:color="auto" w:sz="4" w:space="0"/>
                    <w:right w:val="single" w:color="auto" w:sz="4" w:space="0"/>
                  </w:tcBorders>
                  <w:noWrap w:val="0"/>
                  <w:vAlign w:val="center"/>
                </w:tcPr>
                <w:p w14:paraId="52355BD9">
                  <w:pPr>
                    <w:spacing w:line="240" w:lineRule="auto"/>
                    <w:jc w:val="center"/>
                    <w:rPr>
                      <w:rFonts w:hint="default" w:ascii="Times New Roman" w:hAnsi="Times New Roman"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废气</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64BA3586">
                  <w:pPr>
                    <w:spacing w:line="240" w:lineRule="auto"/>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污水处理站恶臭</w:t>
                  </w:r>
                </w:p>
              </w:tc>
              <w:tc>
                <w:tcPr>
                  <w:tcW w:w="2706" w:type="pct"/>
                  <w:tcBorders>
                    <w:top w:val="single" w:color="auto" w:sz="4" w:space="0"/>
                    <w:left w:val="single" w:color="auto" w:sz="4" w:space="0"/>
                    <w:bottom w:val="single" w:color="auto" w:sz="4" w:space="0"/>
                    <w:right w:val="single" w:color="auto" w:sz="4" w:space="0"/>
                  </w:tcBorders>
                  <w:noWrap w:val="0"/>
                  <w:vAlign w:val="center"/>
                </w:tcPr>
                <w:p w14:paraId="6D497A23">
                  <w:pPr>
                    <w:spacing w:line="240" w:lineRule="auto"/>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NH</w:t>
                  </w:r>
                  <w:r>
                    <w:rPr>
                      <w:rFonts w:hint="default" w:ascii="Times New Roman" w:hAnsi="Times New Roman" w:cs="Times New Roman"/>
                      <w:color w:val="auto"/>
                      <w:sz w:val="21"/>
                      <w:szCs w:val="21"/>
                      <w:highlight w:val="none"/>
                      <w:u w:val="none"/>
                      <w:vertAlign w:val="subscript"/>
                      <w:lang w:val="en-US" w:eastAsia="zh-CN"/>
                    </w:rPr>
                    <w:t>3</w:t>
                  </w:r>
                  <w:r>
                    <w:rPr>
                      <w:rFonts w:hint="default" w:ascii="Times New Roman" w:hAnsi="Times New Roman" w:cs="Times New Roman"/>
                      <w:color w:val="auto"/>
                      <w:sz w:val="21"/>
                      <w:szCs w:val="21"/>
                      <w:highlight w:val="none"/>
                      <w:u w:val="none"/>
                      <w:lang w:val="en-US" w:eastAsia="zh-CN"/>
                    </w:rPr>
                    <w:t>、H</w:t>
                  </w:r>
                  <w:r>
                    <w:rPr>
                      <w:rFonts w:hint="default" w:ascii="Times New Roman" w:hAnsi="Times New Roman" w:cs="Times New Roman"/>
                      <w:color w:val="auto"/>
                      <w:sz w:val="21"/>
                      <w:szCs w:val="21"/>
                      <w:highlight w:val="none"/>
                      <w:u w:val="none"/>
                      <w:vertAlign w:val="subscript"/>
                      <w:lang w:val="en-US" w:eastAsia="zh-CN"/>
                    </w:rPr>
                    <w:t>2</w:t>
                  </w:r>
                  <w:r>
                    <w:rPr>
                      <w:rFonts w:hint="default" w:ascii="Times New Roman" w:hAnsi="Times New Roman" w:cs="Times New Roman"/>
                      <w:color w:val="auto"/>
                      <w:sz w:val="21"/>
                      <w:szCs w:val="21"/>
                      <w:highlight w:val="none"/>
                      <w:u w:val="none"/>
                      <w:lang w:val="en-US" w:eastAsia="zh-CN"/>
                    </w:rPr>
                    <w:t>S、臭气浓度</w:t>
                  </w:r>
                </w:p>
              </w:tc>
            </w:tr>
            <w:tr w14:paraId="52DD0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0" w:type="pct"/>
                  <w:vMerge w:val="continue"/>
                  <w:tcBorders>
                    <w:left w:val="single" w:color="auto" w:sz="4" w:space="0"/>
                    <w:right w:val="single" w:color="auto" w:sz="4" w:space="0"/>
                  </w:tcBorders>
                  <w:noWrap w:val="0"/>
                  <w:vAlign w:val="center"/>
                </w:tcPr>
                <w:p w14:paraId="4F0FE42F">
                  <w:pPr>
                    <w:spacing w:line="240" w:lineRule="auto"/>
                    <w:jc w:val="center"/>
                    <w:rPr>
                      <w:rFonts w:hint="default" w:ascii="Times New Roman" w:hAnsi="Times New Roman" w:cs="Times New Roman"/>
                      <w:color w:val="auto"/>
                      <w:sz w:val="21"/>
                      <w:szCs w:val="21"/>
                      <w:highlight w:val="none"/>
                      <w:u w:val="none"/>
                      <w:lang w:val="en-US" w:eastAsia="zh-CN"/>
                    </w:rPr>
                  </w:pPr>
                </w:p>
              </w:tc>
              <w:tc>
                <w:tcPr>
                  <w:tcW w:w="1472" w:type="pct"/>
                  <w:tcBorders>
                    <w:top w:val="single" w:color="auto" w:sz="4" w:space="0"/>
                    <w:left w:val="single" w:color="auto" w:sz="4" w:space="0"/>
                    <w:bottom w:val="single" w:color="auto" w:sz="4" w:space="0"/>
                    <w:right w:val="single" w:color="auto" w:sz="4" w:space="0"/>
                  </w:tcBorders>
                  <w:noWrap w:val="0"/>
                  <w:vAlign w:val="center"/>
                </w:tcPr>
                <w:p w14:paraId="179E4F67">
                  <w:pPr>
                    <w:spacing w:line="240" w:lineRule="auto"/>
                    <w:jc w:val="center"/>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实验室</w:t>
                  </w:r>
                </w:p>
              </w:tc>
              <w:tc>
                <w:tcPr>
                  <w:tcW w:w="2706" w:type="pct"/>
                  <w:tcBorders>
                    <w:top w:val="single" w:color="auto" w:sz="4" w:space="0"/>
                    <w:left w:val="single" w:color="auto" w:sz="4" w:space="0"/>
                    <w:bottom w:val="single" w:color="auto" w:sz="4" w:space="0"/>
                    <w:right w:val="single" w:color="auto" w:sz="4" w:space="0"/>
                  </w:tcBorders>
                  <w:noWrap w:val="0"/>
                  <w:vAlign w:val="center"/>
                </w:tcPr>
                <w:p w14:paraId="137F4D1A">
                  <w:pPr>
                    <w:spacing w:line="240" w:lineRule="auto"/>
                    <w:jc w:val="center"/>
                    <w:rPr>
                      <w:rFonts w:hint="default" w:ascii="Times New Roman" w:hAnsi="Times New Roman"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color="auto"/>
                      <w:lang w:val="en-US" w:eastAsia="zh-CN"/>
                    </w:rPr>
                    <w:t>细菌</w:t>
                  </w:r>
                </w:p>
              </w:tc>
            </w:tr>
            <w:tr w14:paraId="7B2F7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0" w:type="pct"/>
                  <w:vMerge w:val="continue"/>
                  <w:tcBorders>
                    <w:left w:val="single" w:color="auto" w:sz="4" w:space="0"/>
                    <w:right w:val="single" w:color="auto" w:sz="4" w:space="0"/>
                  </w:tcBorders>
                  <w:noWrap w:val="0"/>
                  <w:vAlign w:val="center"/>
                </w:tcPr>
                <w:p w14:paraId="5487AA78">
                  <w:pPr>
                    <w:spacing w:line="240" w:lineRule="auto"/>
                    <w:jc w:val="center"/>
                    <w:rPr>
                      <w:rFonts w:hint="default" w:ascii="Times New Roman" w:hAnsi="Times New Roman" w:cs="Times New Roman"/>
                      <w:color w:val="auto"/>
                      <w:sz w:val="21"/>
                      <w:szCs w:val="21"/>
                      <w:highlight w:val="none"/>
                      <w:u w:val="none"/>
                      <w:lang w:val="en-US" w:eastAsia="zh-CN"/>
                    </w:rPr>
                  </w:pPr>
                </w:p>
              </w:tc>
              <w:tc>
                <w:tcPr>
                  <w:tcW w:w="1472" w:type="pct"/>
                  <w:tcBorders>
                    <w:top w:val="single" w:color="auto" w:sz="4" w:space="0"/>
                    <w:left w:val="single" w:color="auto" w:sz="4" w:space="0"/>
                    <w:bottom w:val="single" w:color="auto" w:sz="4" w:space="0"/>
                    <w:right w:val="single" w:color="auto" w:sz="4" w:space="0"/>
                  </w:tcBorders>
                  <w:noWrap w:val="0"/>
                  <w:vAlign w:val="center"/>
                </w:tcPr>
                <w:p w14:paraId="631FF01D">
                  <w:pPr>
                    <w:spacing w:line="240" w:lineRule="auto"/>
                    <w:jc w:val="center"/>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中药煎药室废气</w:t>
                  </w:r>
                </w:p>
              </w:tc>
              <w:tc>
                <w:tcPr>
                  <w:tcW w:w="2706" w:type="pct"/>
                  <w:tcBorders>
                    <w:top w:val="single" w:color="auto" w:sz="4" w:space="0"/>
                    <w:left w:val="single" w:color="auto" w:sz="4" w:space="0"/>
                    <w:bottom w:val="single" w:color="auto" w:sz="4" w:space="0"/>
                    <w:right w:val="single" w:color="auto" w:sz="4" w:space="0"/>
                  </w:tcBorders>
                  <w:noWrap w:val="0"/>
                  <w:vAlign w:val="center"/>
                </w:tcPr>
                <w:p w14:paraId="3B28ACA0">
                  <w:pPr>
                    <w:spacing w:line="240" w:lineRule="auto"/>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臭气浓度</w:t>
                  </w:r>
                </w:p>
              </w:tc>
            </w:tr>
            <w:tr w14:paraId="38B77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0" w:type="pct"/>
                  <w:vMerge w:val="continue"/>
                  <w:tcBorders>
                    <w:left w:val="single" w:color="auto" w:sz="4" w:space="0"/>
                    <w:right w:val="single" w:color="auto" w:sz="4" w:space="0"/>
                  </w:tcBorders>
                  <w:noWrap w:val="0"/>
                  <w:vAlign w:val="center"/>
                </w:tcPr>
                <w:p w14:paraId="57FBCA38">
                  <w:pPr>
                    <w:spacing w:line="240" w:lineRule="auto"/>
                    <w:jc w:val="center"/>
                    <w:rPr>
                      <w:rFonts w:hint="default" w:ascii="Times New Roman" w:hAnsi="Times New Roman" w:cs="Times New Roman"/>
                      <w:color w:val="auto"/>
                      <w:sz w:val="21"/>
                      <w:szCs w:val="21"/>
                      <w:highlight w:val="none"/>
                      <w:u w:val="none"/>
                      <w:lang w:val="en-US" w:eastAsia="zh-CN"/>
                    </w:rPr>
                  </w:pPr>
                </w:p>
              </w:tc>
              <w:tc>
                <w:tcPr>
                  <w:tcW w:w="1472" w:type="pct"/>
                  <w:tcBorders>
                    <w:top w:val="single" w:color="auto" w:sz="4" w:space="0"/>
                    <w:left w:val="single" w:color="auto" w:sz="4" w:space="0"/>
                    <w:right w:val="single" w:color="auto" w:sz="4" w:space="0"/>
                  </w:tcBorders>
                  <w:noWrap w:val="0"/>
                  <w:vAlign w:val="center"/>
                </w:tcPr>
                <w:p w14:paraId="46C83864">
                  <w:pPr>
                    <w:spacing w:line="360" w:lineRule="auto"/>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医院</w:t>
                  </w:r>
                </w:p>
              </w:tc>
              <w:tc>
                <w:tcPr>
                  <w:tcW w:w="2706" w:type="pct"/>
                  <w:tcBorders>
                    <w:top w:val="single" w:color="auto" w:sz="4" w:space="0"/>
                    <w:left w:val="single" w:color="auto" w:sz="4" w:space="0"/>
                    <w:bottom w:val="single" w:color="auto" w:sz="4" w:space="0"/>
                    <w:right w:val="single" w:color="auto" w:sz="4" w:space="0"/>
                  </w:tcBorders>
                  <w:noWrap w:val="0"/>
                  <w:vAlign w:val="center"/>
                </w:tcPr>
                <w:p w14:paraId="31506281">
                  <w:pPr>
                    <w:spacing w:line="360" w:lineRule="auto"/>
                    <w:jc w:val="center"/>
                    <w:rPr>
                      <w:rFonts w:hint="default" w:ascii="Times New Roman" w:hAnsi="Times New Roman"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color="auto"/>
                      <w:lang w:val="en-US" w:eastAsia="zh-CN"/>
                    </w:rPr>
                    <w:t>细菌、</w:t>
                  </w:r>
                  <w:r>
                    <w:rPr>
                      <w:rFonts w:hint="default" w:ascii="Times New Roman" w:hAnsi="Times New Roman" w:eastAsia="宋体" w:cs="Times New Roman"/>
                      <w:color w:val="auto"/>
                      <w:sz w:val="21"/>
                      <w:szCs w:val="21"/>
                      <w:highlight w:val="none"/>
                      <w:u w:val="none" w:color="auto"/>
                      <w:lang w:val="en-US" w:eastAsia="zh-CN"/>
                    </w:rPr>
                    <w:t>气溶胶</w:t>
                  </w:r>
                </w:p>
              </w:tc>
            </w:tr>
            <w:tr w14:paraId="759B7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0" w:type="pct"/>
                  <w:vMerge w:val="continue"/>
                  <w:tcBorders>
                    <w:left w:val="single" w:color="auto" w:sz="4" w:space="0"/>
                    <w:right w:val="single" w:color="auto" w:sz="4" w:space="0"/>
                  </w:tcBorders>
                  <w:noWrap w:val="0"/>
                  <w:vAlign w:val="center"/>
                </w:tcPr>
                <w:p w14:paraId="1801A4E1">
                  <w:pPr>
                    <w:spacing w:line="240" w:lineRule="auto"/>
                    <w:jc w:val="center"/>
                    <w:rPr>
                      <w:rFonts w:hint="default" w:ascii="Times New Roman" w:hAnsi="Times New Roman" w:cs="Times New Roman"/>
                      <w:color w:val="auto"/>
                      <w:sz w:val="21"/>
                      <w:szCs w:val="21"/>
                      <w:highlight w:val="none"/>
                      <w:u w:val="none"/>
                      <w:lang w:val="en-US" w:eastAsia="zh-CN"/>
                    </w:rPr>
                  </w:pPr>
                </w:p>
              </w:tc>
              <w:tc>
                <w:tcPr>
                  <w:tcW w:w="1472" w:type="pct"/>
                  <w:tcBorders>
                    <w:top w:val="single" w:color="auto" w:sz="4" w:space="0"/>
                    <w:left w:val="single" w:color="auto" w:sz="4" w:space="0"/>
                    <w:bottom w:val="single" w:color="auto" w:sz="4" w:space="0"/>
                    <w:right w:val="single" w:color="auto" w:sz="4" w:space="0"/>
                  </w:tcBorders>
                  <w:noWrap w:val="0"/>
                  <w:vAlign w:val="center"/>
                </w:tcPr>
                <w:p w14:paraId="2D5780DF">
                  <w:pPr>
                    <w:spacing w:line="360" w:lineRule="auto"/>
                    <w:jc w:val="center"/>
                    <w:rPr>
                      <w:rFonts w:hint="default" w:ascii="Times New Roman" w:hAnsi="Times New Roman" w:eastAsia="宋体" w:cs="Times New Roman"/>
                      <w:color w:val="auto"/>
                      <w:sz w:val="21"/>
                      <w:szCs w:val="21"/>
                      <w:highlight w:val="none"/>
                      <w:u w:val="none"/>
                      <w:lang w:val="en-US" w:eastAsia="zh-CN" w:bidi="zh-CN"/>
                    </w:rPr>
                  </w:pPr>
                  <w:r>
                    <w:rPr>
                      <w:rFonts w:hint="default" w:ascii="Times New Roman" w:hAnsi="Times New Roman" w:cs="Times New Roman"/>
                      <w:color w:val="auto"/>
                      <w:sz w:val="21"/>
                      <w:szCs w:val="21"/>
                      <w:highlight w:val="none"/>
                      <w:u w:val="none"/>
                      <w:lang w:val="en-US" w:eastAsia="zh-CN"/>
                    </w:rPr>
                    <w:t>食堂油烟</w:t>
                  </w:r>
                </w:p>
              </w:tc>
              <w:tc>
                <w:tcPr>
                  <w:tcW w:w="2706" w:type="pct"/>
                  <w:tcBorders>
                    <w:top w:val="single" w:color="auto" w:sz="4" w:space="0"/>
                    <w:left w:val="single" w:color="auto" w:sz="4" w:space="0"/>
                    <w:bottom w:val="single" w:color="auto" w:sz="4" w:space="0"/>
                    <w:right w:val="single" w:color="auto" w:sz="4" w:space="0"/>
                  </w:tcBorders>
                  <w:noWrap w:val="0"/>
                  <w:vAlign w:val="center"/>
                </w:tcPr>
                <w:p w14:paraId="2C96A7A7">
                  <w:pPr>
                    <w:spacing w:line="360" w:lineRule="auto"/>
                    <w:jc w:val="center"/>
                    <w:rPr>
                      <w:rFonts w:hint="default" w:ascii="Times New Roman" w:hAnsi="Times New Roman" w:eastAsia="宋体" w:cs="Times New Roman"/>
                      <w:color w:val="auto"/>
                      <w:sz w:val="21"/>
                      <w:szCs w:val="21"/>
                      <w:highlight w:val="none"/>
                      <w:u w:val="none"/>
                      <w:lang w:val="en-US" w:eastAsia="zh-CN" w:bidi="zh-CN"/>
                    </w:rPr>
                  </w:pPr>
                  <w:r>
                    <w:rPr>
                      <w:rFonts w:hint="default" w:ascii="Times New Roman" w:hAnsi="Times New Roman" w:cs="Times New Roman"/>
                      <w:color w:val="auto"/>
                      <w:sz w:val="21"/>
                      <w:szCs w:val="21"/>
                      <w:highlight w:val="none"/>
                      <w:u w:val="none"/>
                      <w:lang w:val="en-US" w:eastAsia="zh-CN"/>
                    </w:rPr>
                    <w:t>油烟</w:t>
                  </w:r>
                </w:p>
              </w:tc>
            </w:tr>
            <w:tr w14:paraId="1170F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0" w:type="pct"/>
                  <w:vMerge w:val="continue"/>
                  <w:tcBorders>
                    <w:left w:val="single" w:color="auto" w:sz="4" w:space="0"/>
                    <w:right w:val="single" w:color="auto" w:sz="4" w:space="0"/>
                  </w:tcBorders>
                  <w:noWrap w:val="0"/>
                  <w:vAlign w:val="center"/>
                </w:tcPr>
                <w:p w14:paraId="011A2257">
                  <w:pPr>
                    <w:spacing w:line="240" w:lineRule="auto"/>
                    <w:jc w:val="center"/>
                    <w:rPr>
                      <w:rFonts w:hint="default" w:ascii="Times New Roman" w:hAnsi="Times New Roman" w:cs="Times New Roman"/>
                      <w:color w:val="auto"/>
                      <w:sz w:val="21"/>
                      <w:szCs w:val="21"/>
                      <w:highlight w:val="none"/>
                      <w:u w:val="none"/>
                      <w:lang w:val="en-US" w:eastAsia="zh-CN"/>
                    </w:rPr>
                  </w:pPr>
                </w:p>
              </w:tc>
              <w:tc>
                <w:tcPr>
                  <w:tcW w:w="1472" w:type="pct"/>
                  <w:tcBorders>
                    <w:top w:val="single" w:color="auto" w:sz="4" w:space="0"/>
                    <w:left w:val="single" w:color="auto" w:sz="4" w:space="0"/>
                    <w:bottom w:val="single" w:color="auto" w:sz="4" w:space="0"/>
                    <w:right w:val="single" w:color="auto" w:sz="4" w:space="0"/>
                  </w:tcBorders>
                  <w:noWrap w:val="0"/>
                  <w:vAlign w:val="center"/>
                </w:tcPr>
                <w:p w14:paraId="4D7269D8">
                  <w:pPr>
                    <w:spacing w:line="360" w:lineRule="auto"/>
                    <w:jc w:val="center"/>
                    <w:rPr>
                      <w:rFonts w:hint="default" w:ascii="Times New Roman" w:hAnsi="Times New Roman" w:eastAsia="宋体" w:cs="Times New Roman"/>
                      <w:color w:val="auto"/>
                      <w:sz w:val="21"/>
                      <w:szCs w:val="21"/>
                      <w:highlight w:val="none"/>
                      <w:u w:val="none"/>
                      <w:lang w:val="en-US" w:eastAsia="zh-CN" w:bidi="zh-CN"/>
                    </w:rPr>
                  </w:pPr>
                  <w:r>
                    <w:rPr>
                      <w:rFonts w:hint="default" w:ascii="Times New Roman" w:hAnsi="Times New Roman" w:cs="Times New Roman"/>
                      <w:color w:val="auto"/>
                      <w:sz w:val="21"/>
                      <w:szCs w:val="21"/>
                      <w:highlight w:val="none"/>
                      <w:u w:val="none"/>
                      <w:lang w:val="en-US" w:eastAsia="zh-CN"/>
                    </w:rPr>
                    <w:t>汽车尾气</w:t>
                  </w:r>
                </w:p>
              </w:tc>
              <w:tc>
                <w:tcPr>
                  <w:tcW w:w="2706" w:type="pct"/>
                  <w:tcBorders>
                    <w:top w:val="single" w:color="auto" w:sz="4" w:space="0"/>
                    <w:left w:val="single" w:color="auto" w:sz="4" w:space="0"/>
                    <w:bottom w:val="single" w:color="auto" w:sz="4" w:space="0"/>
                    <w:right w:val="single" w:color="auto" w:sz="4" w:space="0"/>
                  </w:tcBorders>
                  <w:noWrap w:val="0"/>
                  <w:vAlign w:val="center"/>
                </w:tcPr>
                <w:p w14:paraId="3B5851E7">
                  <w:pPr>
                    <w:spacing w:line="360" w:lineRule="auto"/>
                    <w:jc w:val="center"/>
                    <w:rPr>
                      <w:rFonts w:hint="default" w:ascii="Times New Roman" w:hAnsi="Times New Roman" w:eastAsia="宋体" w:cs="Times New Roman"/>
                      <w:color w:val="auto"/>
                      <w:sz w:val="21"/>
                      <w:szCs w:val="21"/>
                      <w:highlight w:val="none"/>
                      <w:u w:val="none"/>
                      <w:lang w:val="en-US" w:eastAsia="zh-CN" w:bidi="zh-CN"/>
                    </w:rPr>
                  </w:pPr>
                  <w:r>
                    <w:rPr>
                      <w:rFonts w:hint="default" w:ascii="Times New Roman" w:hAnsi="Times New Roman" w:cs="Times New Roman"/>
                      <w:color w:val="auto"/>
                      <w:sz w:val="21"/>
                      <w:szCs w:val="21"/>
                      <w:highlight w:val="none"/>
                      <w:u w:val="none"/>
                      <w:lang w:val="en-US" w:eastAsia="zh-CN"/>
                    </w:rPr>
                    <w:t>CO、HC、NOx</w:t>
                  </w:r>
                </w:p>
              </w:tc>
            </w:tr>
            <w:tr w14:paraId="20C35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0" w:type="pct"/>
                  <w:vMerge w:val="continue"/>
                  <w:tcBorders>
                    <w:left w:val="single" w:color="auto" w:sz="4" w:space="0"/>
                    <w:right w:val="single" w:color="auto" w:sz="4" w:space="0"/>
                  </w:tcBorders>
                  <w:noWrap w:val="0"/>
                  <w:vAlign w:val="center"/>
                </w:tcPr>
                <w:p w14:paraId="49EB7CC5">
                  <w:pPr>
                    <w:spacing w:line="240" w:lineRule="auto"/>
                    <w:jc w:val="center"/>
                    <w:rPr>
                      <w:rFonts w:hint="default" w:ascii="Times New Roman" w:hAnsi="Times New Roman" w:cs="Times New Roman"/>
                      <w:color w:val="auto"/>
                      <w:sz w:val="21"/>
                      <w:szCs w:val="21"/>
                      <w:highlight w:val="none"/>
                      <w:u w:val="none"/>
                      <w:lang w:val="en-US" w:eastAsia="zh-CN"/>
                    </w:rPr>
                  </w:pPr>
                </w:p>
              </w:tc>
              <w:tc>
                <w:tcPr>
                  <w:tcW w:w="1472" w:type="pct"/>
                  <w:tcBorders>
                    <w:top w:val="single" w:color="auto" w:sz="4" w:space="0"/>
                    <w:left w:val="single" w:color="auto" w:sz="4" w:space="0"/>
                    <w:bottom w:val="single" w:color="auto" w:sz="4" w:space="0"/>
                    <w:right w:val="single" w:color="auto" w:sz="4" w:space="0"/>
                  </w:tcBorders>
                  <w:noWrap w:val="0"/>
                  <w:vAlign w:val="center"/>
                </w:tcPr>
                <w:p w14:paraId="6B3ECD3C">
                  <w:pPr>
                    <w:spacing w:line="240" w:lineRule="auto"/>
                    <w:jc w:val="center"/>
                    <w:rPr>
                      <w:rFonts w:hint="default" w:ascii="Times New Roman" w:hAnsi="Times New Roman" w:eastAsia="宋体" w:cs="Times New Roman"/>
                      <w:color w:val="auto"/>
                      <w:sz w:val="21"/>
                      <w:szCs w:val="21"/>
                      <w:highlight w:val="none"/>
                      <w:u w:val="none"/>
                      <w:lang w:val="en-US" w:eastAsia="zh-CN" w:bidi="zh-CN"/>
                    </w:rPr>
                  </w:pPr>
                  <w:r>
                    <w:rPr>
                      <w:rFonts w:hint="eastAsia" w:cs="Times New Roman"/>
                      <w:color w:val="auto"/>
                      <w:sz w:val="21"/>
                      <w:szCs w:val="21"/>
                      <w:highlight w:val="none"/>
                      <w:u w:val="none"/>
                      <w:lang w:val="en-US" w:eastAsia="zh-CN"/>
                    </w:rPr>
                    <w:t>备用柴油发电机尾气</w:t>
                  </w:r>
                </w:p>
              </w:tc>
              <w:tc>
                <w:tcPr>
                  <w:tcW w:w="2706" w:type="pct"/>
                  <w:tcBorders>
                    <w:top w:val="single" w:color="auto" w:sz="4" w:space="0"/>
                    <w:left w:val="single" w:color="auto" w:sz="4" w:space="0"/>
                    <w:bottom w:val="single" w:color="auto" w:sz="4" w:space="0"/>
                    <w:right w:val="single" w:color="auto" w:sz="4" w:space="0"/>
                  </w:tcBorders>
                  <w:noWrap w:val="0"/>
                  <w:vAlign w:val="center"/>
                </w:tcPr>
                <w:p w14:paraId="25936839">
                  <w:pPr>
                    <w:spacing w:line="360" w:lineRule="auto"/>
                    <w:jc w:val="center"/>
                    <w:rPr>
                      <w:rFonts w:hint="default" w:ascii="Times New Roman" w:hAnsi="Times New Roman" w:eastAsia="宋体" w:cs="Times New Roman"/>
                      <w:color w:val="auto"/>
                      <w:sz w:val="21"/>
                      <w:szCs w:val="21"/>
                      <w:highlight w:val="none"/>
                      <w:u w:val="none"/>
                      <w:lang w:val="en-US" w:eastAsia="zh-CN" w:bidi="zh-CN"/>
                    </w:rPr>
                  </w:pPr>
                  <w:r>
                    <w:rPr>
                      <w:rFonts w:hint="eastAsia" w:cs="Times New Roman"/>
                      <w:color w:val="auto"/>
                      <w:sz w:val="21"/>
                      <w:szCs w:val="21"/>
                      <w:highlight w:val="none"/>
                      <w:u w:val="none"/>
                      <w:lang w:val="en-US" w:eastAsia="zh-CN"/>
                    </w:rPr>
                    <w:t>颗粒物</w:t>
                  </w:r>
                  <w:r>
                    <w:rPr>
                      <w:rFonts w:hint="eastAsia" w:ascii="Times New Roman" w:hAnsi="Times New Roman" w:cs="Times New Roman"/>
                      <w:color w:val="auto"/>
                      <w:sz w:val="21"/>
                      <w:szCs w:val="21"/>
                      <w:highlight w:val="none"/>
                      <w:u w:val="none"/>
                      <w:lang w:val="en-US" w:eastAsia="zh-CN"/>
                    </w:rPr>
                    <w:t>、</w:t>
                  </w:r>
                  <w:r>
                    <w:rPr>
                      <w:rFonts w:hint="default" w:ascii="Times New Roman" w:hAnsi="Times New Roman" w:cs="Times New Roman"/>
                      <w:color w:val="auto"/>
                      <w:sz w:val="21"/>
                      <w:szCs w:val="21"/>
                      <w:highlight w:val="none"/>
                      <w:u w:val="none"/>
                      <w:lang w:val="en-US" w:eastAsia="zh-CN"/>
                    </w:rPr>
                    <w:t>NOx、SO</w:t>
                  </w:r>
                  <w:r>
                    <w:rPr>
                      <w:rFonts w:hint="default" w:ascii="Times New Roman" w:hAnsi="Times New Roman" w:cs="Times New Roman"/>
                      <w:color w:val="auto"/>
                      <w:sz w:val="21"/>
                      <w:szCs w:val="21"/>
                      <w:highlight w:val="none"/>
                      <w:u w:val="none"/>
                      <w:vertAlign w:val="subscript"/>
                      <w:lang w:val="en-US" w:eastAsia="zh-CN"/>
                    </w:rPr>
                    <w:t>2</w:t>
                  </w:r>
                </w:p>
              </w:tc>
            </w:tr>
            <w:tr w14:paraId="62DE8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820" w:type="pct"/>
                  <w:vMerge w:val="restart"/>
                  <w:tcBorders>
                    <w:left w:val="single" w:color="auto" w:sz="4" w:space="0"/>
                    <w:right w:val="single" w:color="auto" w:sz="4" w:space="0"/>
                  </w:tcBorders>
                  <w:noWrap w:val="0"/>
                  <w:vAlign w:val="center"/>
                </w:tcPr>
                <w:p w14:paraId="0FA6E7B4">
                  <w:pPr>
                    <w:spacing w:line="240" w:lineRule="auto"/>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废水</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184D4049">
                  <w:pPr>
                    <w:spacing w:line="240" w:lineRule="auto"/>
                    <w:jc w:val="center"/>
                    <w:rPr>
                      <w:rFonts w:hint="default" w:ascii="Times New Roman" w:hAnsi="Times New Roman" w:cs="Times New Roman"/>
                      <w:color w:val="auto"/>
                      <w:sz w:val="21"/>
                      <w:szCs w:val="21"/>
                      <w:highlight w:val="none"/>
                      <w:u w:val="none"/>
                      <w:lang w:val="en-US" w:eastAsia="zh-CN"/>
                    </w:rPr>
                  </w:pPr>
                  <w:r>
                    <w:rPr>
                      <w:rFonts w:hint="eastAsia" w:ascii="Times New Roman" w:hAnsi="Times New Roman" w:cs="Times New Roman"/>
                      <w:color w:val="auto"/>
                      <w:sz w:val="21"/>
                      <w:szCs w:val="21"/>
                      <w:u w:val="none"/>
                      <w:lang w:val="en-US" w:eastAsia="zh-CN"/>
                    </w:rPr>
                    <w:t>医疗废水</w:t>
                  </w:r>
                </w:p>
              </w:tc>
              <w:tc>
                <w:tcPr>
                  <w:tcW w:w="2706" w:type="pct"/>
                  <w:vMerge w:val="restart"/>
                  <w:tcBorders>
                    <w:top w:val="single" w:color="auto" w:sz="4" w:space="0"/>
                    <w:left w:val="single" w:color="auto" w:sz="4" w:space="0"/>
                    <w:right w:val="single" w:color="auto" w:sz="4" w:space="0"/>
                  </w:tcBorders>
                  <w:noWrap w:val="0"/>
                  <w:vAlign w:val="center"/>
                </w:tcPr>
                <w:p w14:paraId="229CA95C">
                  <w:pPr>
                    <w:spacing w:line="240" w:lineRule="auto"/>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pH、COD</w:t>
                  </w:r>
                  <w:r>
                    <w:rPr>
                      <w:rFonts w:hint="eastAsia" w:ascii="Times New Roman" w:hAnsi="Times New Roman" w:cs="Times New Roman"/>
                      <w:color w:val="auto"/>
                      <w:sz w:val="21"/>
                      <w:szCs w:val="21"/>
                      <w:highlight w:val="none"/>
                      <w:u w:val="none"/>
                      <w:lang w:val="en-US" w:eastAsia="zh-CN"/>
                    </w:rPr>
                    <w:t>c</w:t>
                  </w:r>
                  <w:r>
                    <w:rPr>
                      <w:rFonts w:hint="default" w:ascii="Times New Roman" w:hAnsi="Times New Roman" w:cs="Times New Roman"/>
                      <w:color w:val="auto"/>
                      <w:sz w:val="21"/>
                      <w:szCs w:val="21"/>
                      <w:highlight w:val="none"/>
                      <w:u w:val="none"/>
                      <w:lang w:val="en-US" w:eastAsia="zh-CN"/>
                    </w:rPr>
                    <w:t>r、BOD</w:t>
                  </w:r>
                  <w:r>
                    <w:rPr>
                      <w:rFonts w:hint="default" w:ascii="Times New Roman" w:hAnsi="Times New Roman" w:cs="Times New Roman"/>
                      <w:color w:val="auto"/>
                      <w:sz w:val="21"/>
                      <w:szCs w:val="21"/>
                      <w:highlight w:val="none"/>
                      <w:u w:val="none"/>
                      <w:vertAlign w:val="subscript"/>
                      <w:lang w:val="en-US" w:eastAsia="zh-CN"/>
                    </w:rPr>
                    <w:t>5</w:t>
                  </w:r>
                  <w:r>
                    <w:rPr>
                      <w:rFonts w:hint="default" w:ascii="Times New Roman" w:hAnsi="Times New Roman" w:cs="Times New Roman"/>
                      <w:color w:val="auto"/>
                      <w:sz w:val="21"/>
                      <w:szCs w:val="21"/>
                      <w:highlight w:val="none"/>
                      <w:u w:val="none"/>
                      <w:lang w:val="en-US" w:eastAsia="zh-CN"/>
                    </w:rPr>
                    <w:t>、NH</w:t>
                  </w:r>
                  <w:r>
                    <w:rPr>
                      <w:rFonts w:hint="default" w:ascii="Times New Roman" w:hAnsi="Times New Roman" w:cs="Times New Roman"/>
                      <w:color w:val="auto"/>
                      <w:sz w:val="21"/>
                      <w:szCs w:val="21"/>
                      <w:highlight w:val="none"/>
                      <w:u w:val="none"/>
                      <w:vertAlign w:val="subscript"/>
                      <w:lang w:val="en-US" w:eastAsia="zh-CN"/>
                    </w:rPr>
                    <w:t>3</w:t>
                  </w:r>
                  <w:r>
                    <w:rPr>
                      <w:rFonts w:hint="default" w:ascii="Times New Roman" w:hAnsi="Times New Roman" w:cs="Times New Roman"/>
                      <w:color w:val="auto"/>
                      <w:sz w:val="21"/>
                      <w:szCs w:val="21"/>
                      <w:highlight w:val="none"/>
                      <w:u w:val="none"/>
                      <w:lang w:val="en-US" w:eastAsia="zh-CN"/>
                    </w:rPr>
                    <w:t>-N、SS、</w:t>
                  </w:r>
                  <w:r>
                    <w:rPr>
                      <w:rFonts w:hint="eastAsia" w:cs="Times New Roman"/>
                      <w:color w:val="auto"/>
                      <w:sz w:val="21"/>
                      <w:szCs w:val="21"/>
                      <w:highlight w:val="none"/>
                      <w:u w:val="none"/>
                      <w:lang w:val="en-US" w:eastAsia="zh-CN"/>
                    </w:rPr>
                    <w:t>阴离子表面活性剂、</w:t>
                  </w:r>
                  <w:r>
                    <w:rPr>
                      <w:rFonts w:hint="default" w:ascii="Times New Roman" w:hAnsi="Times New Roman" w:cs="Times New Roman"/>
                      <w:color w:val="auto"/>
                      <w:sz w:val="21"/>
                      <w:szCs w:val="21"/>
                      <w:highlight w:val="none"/>
                      <w:u w:val="none"/>
                      <w:lang w:val="en-US" w:eastAsia="zh-CN"/>
                    </w:rPr>
                    <w:t>粪大肠菌群</w:t>
                  </w:r>
                  <w:r>
                    <w:rPr>
                      <w:rFonts w:hint="eastAsia" w:cs="Times New Roman"/>
                      <w:color w:val="auto"/>
                      <w:sz w:val="21"/>
                      <w:szCs w:val="21"/>
                      <w:highlight w:val="none"/>
                      <w:u w:val="none"/>
                      <w:lang w:val="en-US" w:eastAsia="zh-CN"/>
                    </w:rPr>
                    <w:t>、总余氯、动植物油</w:t>
                  </w:r>
                </w:p>
              </w:tc>
            </w:tr>
            <w:tr w14:paraId="04803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20" w:type="pct"/>
                  <w:vMerge w:val="continue"/>
                  <w:tcBorders>
                    <w:left w:val="single" w:color="auto" w:sz="4" w:space="0"/>
                    <w:right w:val="single" w:color="auto" w:sz="4" w:space="0"/>
                  </w:tcBorders>
                  <w:noWrap w:val="0"/>
                  <w:vAlign w:val="center"/>
                </w:tcPr>
                <w:p w14:paraId="5F46A28F">
                  <w:pPr>
                    <w:spacing w:line="240" w:lineRule="auto"/>
                    <w:jc w:val="center"/>
                    <w:rPr>
                      <w:rFonts w:hint="default" w:ascii="Times New Roman" w:hAnsi="Times New Roman" w:cs="Times New Roman"/>
                      <w:color w:val="auto"/>
                      <w:sz w:val="21"/>
                      <w:szCs w:val="21"/>
                      <w:highlight w:val="none"/>
                      <w:u w:val="none"/>
                      <w:lang w:val="en-US" w:eastAsia="zh-CN"/>
                    </w:rPr>
                  </w:pPr>
                </w:p>
              </w:tc>
              <w:tc>
                <w:tcPr>
                  <w:tcW w:w="1472" w:type="pct"/>
                  <w:tcBorders>
                    <w:top w:val="single" w:color="auto" w:sz="4" w:space="0"/>
                    <w:left w:val="single" w:color="auto" w:sz="4" w:space="0"/>
                    <w:bottom w:val="single" w:color="auto" w:sz="4" w:space="0"/>
                    <w:right w:val="single" w:color="auto" w:sz="4" w:space="0"/>
                  </w:tcBorders>
                  <w:noWrap w:val="0"/>
                  <w:vAlign w:val="center"/>
                </w:tcPr>
                <w:p w14:paraId="407608BE">
                  <w:pPr>
                    <w:spacing w:line="240" w:lineRule="auto"/>
                    <w:jc w:val="center"/>
                    <w:rPr>
                      <w:rFonts w:hint="default" w:ascii="Times New Roman" w:hAnsi="Times New Roman" w:cs="Times New Roman"/>
                      <w:color w:val="auto"/>
                      <w:sz w:val="21"/>
                      <w:szCs w:val="21"/>
                      <w:u w:val="none"/>
                      <w:lang w:val="en-US" w:eastAsia="zh-CN"/>
                    </w:rPr>
                  </w:pPr>
                  <w:r>
                    <w:rPr>
                      <w:rFonts w:hint="eastAsia" w:cs="Times New Roman"/>
                      <w:color w:val="auto"/>
                      <w:sz w:val="21"/>
                      <w:szCs w:val="21"/>
                      <w:u w:val="none"/>
                      <w:lang w:val="en-US" w:eastAsia="zh-CN"/>
                    </w:rPr>
                    <w:t>食堂废水</w:t>
                  </w:r>
                </w:p>
              </w:tc>
              <w:tc>
                <w:tcPr>
                  <w:tcW w:w="2706" w:type="pct"/>
                  <w:vMerge w:val="continue"/>
                  <w:tcBorders>
                    <w:left w:val="single" w:color="auto" w:sz="4" w:space="0"/>
                    <w:right w:val="single" w:color="auto" w:sz="4" w:space="0"/>
                  </w:tcBorders>
                  <w:noWrap w:val="0"/>
                  <w:vAlign w:val="center"/>
                </w:tcPr>
                <w:p w14:paraId="36126951">
                  <w:pPr>
                    <w:spacing w:line="240" w:lineRule="auto"/>
                    <w:jc w:val="center"/>
                    <w:rPr>
                      <w:rFonts w:hint="default" w:ascii="Times New Roman" w:hAnsi="Times New Roman" w:cs="Times New Roman"/>
                      <w:color w:val="auto"/>
                      <w:sz w:val="21"/>
                      <w:szCs w:val="21"/>
                      <w:highlight w:val="none"/>
                      <w:u w:val="none"/>
                      <w:lang w:val="en-US" w:eastAsia="zh-CN"/>
                    </w:rPr>
                  </w:pPr>
                </w:p>
              </w:tc>
            </w:tr>
            <w:tr w14:paraId="39FE5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20" w:type="pct"/>
                  <w:vMerge w:val="restart"/>
                  <w:tcBorders>
                    <w:left w:val="single" w:color="auto" w:sz="4" w:space="0"/>
                    <w:right w:val="single" w:color="auto" w:sz="4" w:space="0"/>
                  </w:tcBorders>
                  <w:noWrap w:val="0"/>
                  <w:vAlign w:val="center"/>
                </w:tcPr>
                <w:p w14:paraId="1C40CC60">
                  <w:pPr>
                    <w:spacing w:line="240" w:lineRule="auto"/>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噪声</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0160676E">
                  <w:pPr>
                    <w:spacing w:line="240" w:lineRule="auto"/>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设备噪声</w:t>
                  </w:r>
                </w:p>
              </w:tc>
              <w:tc>
                <w:tcPr>
                  <w:tcW w:w="2706" w:type="pct"/>
                  <w:vMerge w:val="restart"/>
                  <w:tcBorders>
                    <w:left w:val="single" w:color="auto" w:sz="4" w:space="0"/>
                    <w:right w:val="single" w:color="auto" w:sz="4" w:space="0"/>
                  </w:tcBorders>
                  <w:noWrap w:val="0"/>
                  <w:vAlign w:val="center"/>
                </w:tcPr>
                <w:p w14:paraId="65A63250">
                  <w:pPr>
                    <w:spacing w:line="240" w:lineRule="auto"/>
                    <w:jc w:val="center"/>
                    <w:rPr>
                      <w:rFonts w:hint="default" w:ascii="Times New Roman" w:hAnsi="Times New Roman"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color="auto"/>
                      <w:lang w:val="en-US" w:eastAsia="zh-CN"/>
                    </w:rPr>
                    <w:t>等效声级 dB(A)</w:t>
                  </w:r>
                </w:p>
              </w:tc>
            </w:tr>
            <w:tr w14:paraId="5EA22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820" w:type="pct"/>
                  <w:vMerge w:val="continue"/>
                  <w:tcBorders>
                    <w:left w:val="single" w:color="auto" w:sz="4" w:space="0"/>
                    <w:right w:val="single" w:color="auto" w:sz="4" w:space="0"/>
                  </w:tcBorders>
                  <w:noWrap w:val="0"/>
                  <w:vAlign w:val="center"/>
                </w:tcPr>
                <w:p w14:paraId="365FFCE2">
                  <w:pPr>
                    <w:spacing w:line="240" w:lineRule="auto"/>
                    <w:jc w:val="center"/>
                    <w:rPr>
                      <w:rFonts w:hint="default" w:ascii="Times New Roman" w:hAnsi="Times New Roman" w:cs="Times New Roman"/>
                      <w:color w:val="auto"/>
                      <w:sz w:val="21"/>
                      <w:szCs w:val="21"/>
                      <w:highlight w:val="none"/>
                      <w:u w:val="none"/>
                      <w:lang w:val="en-US" w:eastAsia="zh-CN"/>
                    </w:rPr>
                  </w:pPr>
                </w:p>
              </w:tc>
              <w:tc>
                <w:tcPr>
                  <w:tcW w:w="1472" w:type="pct"/>
                  <w:tcBorders>
                    <w:top w:val="single" w:color="auto" w:sz="4" w:space="0"/>
                    <w:left w:val="single" w:color="auto" w:sz="4" w:space="0"/>
                    <w:bottom w:val="single" w:color="auto" w:sz="4" w:space="0"/>
                    <w:right w:val="single" w:color="auto" w:sz="4" w:space="0"/>
                  </w:tcBorders>
                  <w:noWrap w:val="0"/>
                  <w:vAlign w:val="center"/>
                </w:tcPr>
                <w:p w14:paraId="69C46F9A">
                  <w:pPr>
                    <w:spacing w:line="360" w:lineRule="auto"/>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交通噪声</w:t>
                  </w:r>
                </w:p>
              </w:tc>
              <w:tc>
                <w:tcPr>
                  <w:tcW w:w="2706" w:type="pct"/>
                  <w:vMerge w:val="continue"/>
                  <w:tcBorders>
                    <w:left w:val="single" w:color="auto" w:sz="4" w:space="0"/>
                    <w:right w:val="single" w:color="auto" w:sz="4" w:space="0"/>
                  </w:tcBorders>
                  <w:noWrap w:val="0"/>
                  <w:vAlign w:val="center"/>
                </w:tcPr>
                <w:p w14:paraId="38B7B74A">
                  <w:pPr>
                    <w:spacing w:line="240" w:lineRule="auto"/>
                    <w:jc w:val="center"/>
                    <w:rPr>
                      <w:rFonts w:hint="default" w:ascii="Times New Roman" w:hAnsi="Times New Roman" w:cs="Times New Roman"/>
                      <w:color w:val="auto"/>
                      <w:sz w:val="21"/>
                      <w:szCs w:val="21"/>
                      <w:highlight w:val="none"/>
                      <w:u w:val="none"/>
                      <w:lang w:val="en-US" w:eastAsia="zh-CN"/>
                    </w:rPr>
                  </w:pPr>
                </w:p>
              </w:tc>
            </w:tr>
            <w:tr w14:paraId="479EF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0" w:type="pct"/>
                  <w:vMerge w:val="continue"/>
                  <w:tcBorders>
                    <w:top w:val="single" w:color="auto" w:sz="4" w:space="0"/>
                    <w:left w:val="single" w:color="auto" w:sz="4" w:space="0"/>
                    <w:right w:val="single" w:color="auto" w:sz="4" w:space="0"/>
                  </w:tcBorders>
                  <w:noWrap w:val="0"/>
                  <w:vAlign w:val="center"/>
                </w:tcPr>
                <w:p w14:paraId="6613E9F9">
                  <w:pPr>
                    <w:spacing w:line="240" w:lineRule="auto"/>
                    <w:jc w:val="center"/>
                    <w:rPr>
                      <w:rFonts w:hint="default" w:ascii="Times New Roman" w:hAnsi="Times New Roman" w:cs="Times New Roman"/>
                      <w:color w:val="auto"/>
                      <w:sz w:val="21"/>
                      <w:szCs w:val="21"/>
                      <w:highlight w:val="none"/>
                      <w:u w:val="none"/>
                      <w:lang w:val="en-US" w:eastAsia="zh-CN"/>
                    </w:rPr>
                  </w:pPr>
                </w:p>
              </w:tc>
              <w:tc>
                <w:tcPr>
                  <w:tcW w:w="1472" w:type="pct"/>
                  <w:tcBorders>
                    <w:top w:val="single" w:color="auto" w:sz="4" w:space="0"/>
                    <w:left w:val="single" w:color="auto" w:sz="4" w:space="0"/>
                    <w:bottom w:val="single" w:color="auto" w:sz="4" w:space="0"/>
                    <w:right w:val="single" w:color="auto" w:sz="4" w:space="0"/>
                  </w:tcBorders>
                  <w:noWrap w:val="0"/>
                  <w:vAlign w:val="center"/>
                </w:tcPr>
                <w:p w14:paraId="3B1B0EFB">
                  <w:pPr>
                    <w:spacing w:line="360" w:lineRule="auto"/>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社会生活噪声</w:t>
                  </w:r>
                </w:p>
              </w:tc>
              <w:tc>
                <w:tcPr>
                  <w:tcW w:w="2706" w:type="pct"/>
                  <w:vMerge w:val="continue"/>
                  <w:tcBorders>
                    <w:top w:val="single" w:color="auto" w:sz="4" w:space="0"/>
                    <w:left w:val="single" w:color="auto" w:sz="4" w:space="0"/>
                    <w:right w:val="single" w:color="auto" w:sz="4" w:space="0"/>
                  </w:tcBorders>
                  <w:noWrap w:val="0"/>
                  <w:vAlign w:val="center"/>
                </w:tcPr>
                <w:p w14:paraId="2244CF0B">
                  <w:pPr>
                    <w:spacing w:line="240" w:lineRule="auto"/>
                    <w:jc w:val="center"/>
                    <w:rPr>
                      <w:rFonts w:hint="default" w:ascii="Times New Roman" w:hAnsi="Times New Roman" w:cs="Times New Roman"/>
                      <w:color w:val="auto"/>
                      <w:sz w:val="21"/>
                      <w:szCs w:val="21"/>
                      <w:highlight w:val="none"/>
                      <w:u w:val="none"/>
                      <w:lang w:val="en-US" w:eastAsia="zh-CN"/>
                    </w:rPr>
                  </w:pPr>
                </w:p>
              </w:tc>
            </w:tr>
            <w:tr w14:paraId="6F0C0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20" w:type="pct"/>
                  <w:vMerge w:val="restart"/>
                  <w:tcBorders>
                    <w:left w:val="single" w:color="auto" w:sz="4" w:space="0"/>
                    <w:right w:val="single" w:color="auto" w:sz="4" w:space="0"/>
                  </w:tcBorders>
                  <w:noWrap w:val="0"/>
                  <w:vAlign w:val="center"/>
                </w:tcPr>
                <w:p w14:paraId="2CD6573A">
                  <w:pPr>
                    <w:spacing w:line="240" w:lineRule="auto"/>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固废</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65404BA1">
                  <w:pPr>
                    <w:spacing w:line="360" w:lineRule="auto"/>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生活垃圾</w:t>
                  </w:r>
                </w:p>
              </w:tc>
              <w:tc>
                <w:tcPr>
                  <w:tcW w:w="2706" w:type="pct"/>
                  <w:tcBorders>
                    <w:top w:val="single" w:color="auto" w:sz="4" w:space="0"/>
                    <w:left w:val="single" w:color="auto" w:sz="4" w:space="0"/>
                    <w:bottom w:val="single" w:color="auto" w:sz="4" w:space="0"/>
                    <w:right w:val="single" w:color="auto" w:sz="4" w:space="0"/>
                  </w:tcBorders>
                  <w:noWrap w:val="0"/>
                  <w:vAlign w:val="center"/>
                </w:tcPr>
                <w:p w14:paraId="3F977F89">
                  <w:pPr>
                    <w:spacing w:line="360" w:lineRule="auto"/>
                    <w:jc w:val="center"/>
                    <w:rPr>
                      <w:rFonts w:hint="default" w:ascii="Times New Roman" w:hAnsi="Times New Roman"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color="auto"/>
                      <w:lang w:val="en-US" w:eastAsia="zh-CN"/>
                    </w:rPr>
                    <w:t>生活垃圾</w:t>
                  </w:r>
                </w:p>
              </w:tc>
            </w:tr>
            <w:tr w14:paraId="36064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20" w:type="pct"/>
                  <w:vMerge w:val="continue"/>
                  <w:tcBorders>
                    <w:left w:val="single" w:color="auto" w:sz="4" w:space="0"/>
                    <w:right w:val="single" w:color="auto" w:sz="4" w:space="0"/>
                  </w:tcBorders>
                  <w:noWrap w:val="0"/>
                  <w:vAlign w:val="center"/>
                </w:tcPr>
                <w:p w14:paraId="5BBE1A0A">
                  <w:pPr>
                    <w:spacing w:line="240" w:lineRule="auto"/>
                    <w:jc w:val="center"/>
                    <w:rPr>
                      <w:rFonts w:hint="default" w:ascii="Times New Roman" w:hAnsi="Times New Roman" w:cs="Times New Roman"/>
                      <w:color w:val="auto"/>
                      <w:sz w:val="21"/>
                      <w:szCs w:val="21"/>
                      <w:highlight w:val="none"/>
                      <w:u w:val="none"/>
                      <w:lang w:val="en-US" w:eastAsia="zh-CN"/>
                    </w:rPr>
                  </w:pPr>
                </w:p>
              </w:tc>
              <w:tc>
                <w:tcPr>
                  <w:tcW w:w="1472" w:type="pct"/>
                  <w:tcBorders>
                    <w:top w:val="single" w:color="auto" w:sz="4" w:space="0"/>
                    <w:left w:val="single" w:color="auto" w:sz="4" w:space="0"/>
                    <w:right w:val="single" w:color="auto" w:sz="4" w:space="0"/>
                  </w:tcBorders>
                  <w:noWrap w:val="0"/>
                  <w:vAlign w:val="center"/>
                </w:tcPr>
                <w:p w14:paraId="24658F3B">
                  <w:pPr>
                    <w:spacing w:line="360" w:lineRule="auto"/>
                    <w:jc w:val="center"/>
                    <w:rPr>
                      <w:rFonts w:hint="default" w:ascii="Times New Roman" w:hAnsi="Times New Roman"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color="auto"/>
                      <w:lang w:val="en-US" w:eastAsia="zh-CN"/>
                    </w:rPr>
                    <w:t>综合医疗废物</w:t>
                  </w:r>
                </w:p>
              </w:tc>
              <w:tc>
                <w:tcPr>
                  <w:tcW w:w="2706" w:type="pct"/>
                  <w:tcBorders>
                    <w:top w:val="single" w:color="auto" w:sz="4" w:space="0"/>
                    <w:left w:val="single" w:color="auto" w:sz="4" w:space="0"/>
                    <w:right w:val="single" w:color="auto" w:sz="4" w:space="0"/>
                  </w:tcBorders>
                  <w:noWrap w:val="0"/>
                  <w:vAlign w:val="center"/>
                </w:tcPr>
                <w:p w14:paraId="46E15F96">
                  <w:pPr>
                    <w:spacing w:line="360" w:lineRule="auto"/>
                    <w:jc w:val="center"/>
                    <w:rPr>
                      <w:rFonts w:hint="default" w:ascii="Times New Roman" w:hAnsi="Times New Roman"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color="auto"/>
                      <w:lang w:val="en-US" w:eastAsia="zh-CN"/>
                    </w:rPr>
                    <w:t>病人治疗过程中产生的病理性废物、损伤性废物、药物性废物、感染性废物和化学性废物</w:t>
                  </w:r>
                  <w:r>
                    <w:rPr>
                      <w:rFonts w:hint="eastAsia" w:cs="Times New Roman"/>
                      <w:color w:val="auto"/>
                      <w:sz w:val="21"/>
                      <w:szCs w:val="21"/>
                      <w:highlight w:val="none"/>
                      <w:u w:val="none" w:color="auto"/>
                      <w:lang w:val="en-US" w:eastAsia="zh-CN"/>
                    </w:rPr>
                    <w:t>，</w:t>
                  </w:r>
                  <w:r>
                    <w:rPr>
                      <w:rFonts w:hint="eastAsia" w:ascii="Times New Roman" w:hAnsi="Times New Roman" w:eastAsia="宋体" w:cs="Times New Roman"/>
                      <w:color w:val="auto"/>
                      <w:sz w:val="21"/>
                      <w:szCs w:val="21"/>
                      <w:highlight w:val="none"/>
                      <w:u w:val="none" w:color="auto"/>
                      <w:lang w:val="en-US" w:eastAsia="zh-CN"/>
                    </w:rPr>
                    <w:t>检验废液</w:t>
                  </w:r>
                  <w:r>
                    <w:rPr>
                      <w:rFonts w:hint="eastAsia" w:cs="Times New Roman"/>
                      <w:color w:val="auto"/>
                      <w:sz w:val="21"/>
                      <w:szCs w:val="21"/>
                      <w:highlight w:val="none"/>
                      <w:u w:val="none" w:color="auto"/>
                      <w:lang w:val="en-US" w:eastAsia="zh-CN"/>
                    </w:rPr>
                    <w:t>等</w:t>
                  </w:r>
                </w:p>
              </w:tc>
            </w:tr>
            <w:tr w14:paraId="414F4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0" w:type="pct"/>
                  <w:vMerge w:val="continue"/>
                  <w:tcBorders>
                    <w:left w:val="single" w:color="auto" w:sz="4" w:space="0"/>
                    <w:right w:val="single" w:color="auto" w:sz="4" w:space="0"/>
                  </w:tcBorders>
                  <w:noWrap w:val="0"/>
                  <w:vAlign w:val="center"/>
                </w:tcPr>
                <w:p w14:paraId="41C9B8B1">
                  <w:pPr>
                    <w:spacing w:line="240" w:lineRule="auto"/>
                    <w:jc w:val="center"/>
                    <w:rPr>
                      <w:rFonts w:hint="default" w:ascii="Times New Roman" w:hAnsi="Times New Roman" w:cs="Times New Roman"/>
                      <w:color w:val="auto"/>
                      <w:sz w:val="21"/>
                      <w:szCs w:val="21"/>
                      <w:highlight w:val="none"/>
                      <w:u w:val="none"/>
                      <w:lang w:val="en-US" w:eastAsia="zh-CN"/>
                    </w:rPr>
                  </w:pPr>
                </w:p>
              </w:tc>
              <w:tc>
                <w:tcPr>
                  <w:tcW w:w="1472" w:type="pct"/>
                  <w:tcBorders>
                    <w:left w:val="single" w:color="auto" w:sz="4" w:space="0"/>
                    <w:right w:val="single" w:color="auto" w:sz="4" w:space="0"/>
                  </w:tcBorders>
                  <w:noWrap w:val="0"/>
                  <w:vAlign w:val="center"/>
                </w:tcPr>
                <w:p w14:paraId="4BF7C348">
                  <w:pPr>
                    <w:spacing w:line="360" w:lineRule="auto"/>
                    <w:jc w:val="center"/>
                    <w:rPr>
                      <w:rFonts w:hint="default" w:ascii="Times New Roman" w:hAnsi="Times New Roman"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color="auto"/>
                      <w:lang w:val="en-US" w:eastAsia="zh-CN"/>
                    </w:rPr>
                    <w:t>废水处理</w:t>
                  </w:r>
                </w:p>
              </w:tc>
              <w:tc>
                <w:tcPr>
                  <w:tcW w:w="2706" w:type="pct"/>
                  <w:tcBorders>
                    <w:left w:val="single" w:color="auto" w:sz="4" w:space="0"/>
                    <w:right w:val="single" w:color="auto" w:sz="4" w:space="0"/>
                  </w:tcBorders>
                  <w:noWrap w:val="0"/>
                  <w:vAlign w:val="center"/>
                </w:tcPr>
                <w:p w14:paraId="453BE210">
                  <w:pPr>
                    <w:spacing w:line="360" w:lineRule="auto"/>
                    <w:jc w:val="center"/>
                    <w:rPr>
                      <w:rFonts w:hint="default" w:ascii="Times New Roman" w:hAnsi="Times New Roman"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污泥</w:t>
                  </w:r>
                </w:p>
              </w:tc>
            </w:tr>
          </w:tbl>
          <w:p w14:paraId="08263C64">
            <w:pPr>
              <w:jc w:val="left"/>
              <w:outlineLvl w:val="0"/>
              <w:rPr>
                <w:b/>
                <w:bCs/>
                <w:color w:val="auto"/>
                <w:highlight w:val="none"/>
                <w:u w:val="none"/>
              </w:rPr>
            </w:pPr>
          </w:p>
        </w:tc>
      </w:tr>
      <w:tr w14:paraId="7D7F0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589" w:type="pct"/>
            <w:vAlign w:val="center"/>
          </w:tcPr>
          <w:p w14:paraId="3286717C">
            <w:pPr>
              <w:pStyle w:val="58"/>
              <w:widowControl w:val="0"/>
              <w:spacing w:line="240" w:lineRule="auto"/>
              <w:jc w:val="center"/>
              <w:rPr>
                <w:color w:val="auto"/>
                <w:highlight w:val="none"/>
                <w:u w:val="none"/>
              </w:rPr>
            </w:pPr>
            <w:r>
              <w:rPr>
                <w:rFonts w:hint="eastAsia"/>
                <w:color w:val="auto"/>
                <w:highlight w:val="none"/>
                <w:u w:val="none"/>
              </w:rPr>
              <w:t>与项目有关的原有环境污染问题</w:t>
            </w:r>
          </w:p>
        </w:tc>
        <w:tc>
          <w:tcPr>
            <w:tcW w:w="4410" w:type="pct"/>
            <w:vAlign w:val="center"/>
          </w:tcPr>
          <w:p w14:paraId="4A517B11">
            <w:pPr>
              <w:keepNext w:val="0"/>
              <w:keepLines w:val="0"/>
              <w:widowControl/>
              <w:suppressLineNumbers w:val="0"/>
              <w:spacing w:line="360" w:lineRule="auto"/>
              <w:ind w:firstLine="480" w:firstLineChars="200"/>
              <w:jc w:val="left"/>
              <w:rPr>
                <w:rFonts w:hint="eastAsia" w:cs="Times New Roman"/>
                <w:color w:val="FF0000"/>
                <w:kern w:val="0"/>
                <w:sz w:val="24"/>
                <w:u w:val="single" w:color="auto"/>
                <w:lang w:val="en-US" w:eastAsia="zh-CN"/>
              </w:rPr>
            </w:pPr>
            <w:r>
              <w:rPr>
                <w:rFonts w:hint="eastAsia" w:cs="Times New Roman"/>
                <w:color w:val="FF0000"/>
                <w:kern w:val="0"/>
                <w:sz w:val="24"/>
                <w:u w:val="single" w:color="auto"/>
                <w:lang w:eastAsia="zh-CN"/>
              </w:rPr>
              <w:t>溆浦县低庄镇中心卫生院于</w:t>
            </w:r>
            <w:r>
              <w:rPr>
                <w:rFonts w:hint="eastAsia" w:cs="Times New Roman"/>
                <w:color w:val="FF0000"/>
                <w:kern w:val="0"/>
                <w:sz w:val="24"/>
                <w:u w:val="single" w:color="auto"/>
                <w:lang w:val="en-US" w:eastAsia="zh-CN"/>
              </w:rPr>
              <w:t>1956年建成运行至今，</w:t>
            </w:r>
            <w:r>
              <w:rPr>
                <w:rFonts w:hint="eastAsia" w:ascii="Times New Roman" w:hAnsi="Times New Roman" w:eastAsia="宋体" w:cs="Times New Roman"/>
                <w:color w:val="FF0000"/>
                <w:kern w:val="2"/>
                <w:sz w:val="24"/>
                <w:szCs w:val="24"/>
                <w:u w:val="single" w:color="auto"/>
                <w:lang w:val="en-US" w:eastAsia="zh-CN" w:bidi="ar-SA"/>
              </w:rPr>
              <w:t>院内科室较为齐全，经溆浦县卫生健康局批准设置有预防保健科、全科医疗科、内科（呼吸内科专业，消化内科专业，神经内科专业，心血管内科专业，血液内科专业，肾病学专业，老年病专业，其他）、外科（普通外科专业，骨科专业，泌尿外科专业，烧伤科专业，其他）、妇产科（妇科专业，产科专业，其他）、儿科、眼科、耳鼻咽喉科、口腔科、皮肤科、急诊医学科、康复医学科、麻醉科、医学检验科、医学影像科、中医科等</w:t>
            </w:r>
            <w:r>
              <w:rPr>
                <w:rFonts w:hint="eastAsia" w:cs="Times New Roman"/>
                <w:color w:val="FF0000"/>
                <w:kern w:val="2"/>
                <w:sz w:val="24"/>
                <w:szCs w:val="24"/>
                <w:u w:val="single" w:color="auto"/>
                <w:lang w:val="en-US" w:eastAsia="zh-CN" w:bidi="ar-SA"/>
              </w:rPr>
              <w:t>。</w:t>
            </w:r>
            <w:r>
              <w:rPr>
                <w:rFonts w:hint="eastAsia" w:cs="Times New Roman"/>
                <w:color w:val="FF0000"/>
                <w:kern w:val="0"/>
                <w:sz w:val="24"/>
                <w:u w:val="single" w:color="auto"/>
                <w:lang w:val="en-US" w:eastAsia="zh-CN"/>
              </w:rPr>
              <w:t>由于医院建成较早，未办理环评、验收等环保手续，医院于2024年3月12日办理了固定污染源排污登记手续（登记编号：124312244483579210002X）。</w:t>
            </w:r>
          </w:p>
          <w:p w14:paraId="6F5B2A23">
            <w:pPr>
              <w:keepNext w:val="0"/>
              <w:keepLines w:val="0"/>
              <w:widowControl/>
              <w:suppressLineNumbers w:val="0"/>
              <w:spacing w:line="360" w:lineRule="auto"/>
              <w:ind w:firstLine="480" w:firstLineChars="200"/>
              <w:jc w:val="left"/>
              <w:rPr>
                <w:rFonts w:hint="default" w:ascii="Times New Roman" w:hAnsi="Times New Roman" w:eastAsia="宋体" w:cs="Times New Roman"/>
                <w:color w:val="FF0000"/>
                <w:kern w:val="0"/>
                <w:sz w:val="24"/>
                <w:u w:val="single" w:color="auto"/>
                <w:lang w:val="en-US" w:eastAsia="zh-CN"/>
              </w:rPr>
            </w:pPr>
            <w:r>
              <w:rPr>
                <w:rFonts w:hint="eastAsia" w:cs="Times New Roman"/>
                <w:color w:val="FF0000"/>
                <w:kern w:val="0"/>
                <w:sz w:val="24"/>
                <w:u w:val="single" w:color="auto"/>
                <w:lang w:val="en-US" w:eastAsia="zh-CN"/>
              </w:rPr>
              <w:t>现低庄镇中心卫生院运行至今，未发生环保投诉事件。根据低庄镇中心卫生院的污水监测报告，经自建污水处理站处理后的废水能满足</w:t>
            </w:r>
            <w:r>
              <w:rPr>
                <w:rFonts w:hint="default" w:ascii="Times New Roman" w:hAnsi="Times New Roman" w:eastAsia="宋体" w:cs="Times New Roman"/>
                <w:color w:val="FF0000"/>
                <w:kern w:val="0"/>
                <w:sz w:val="24"/>
                <w:u w:val="single" w:color="auto"/>
                <w:lang w:val="en-US" w:eastAsia="zh-CN"/>
              </w:rPr>
              <w:t>《医疗机构水污染物排放标准》（GB18466-2005）表2</w:t>
            </w:r>
            <w:r>
              <w:rPr>
                <w:rFonts w:hint="eastAsia" w:ascii="Times New Roman" w:hAnsi="Times New Roman" w:eastAsia="宋体" w:cs="Times New Roman"/>
                <w:color w:val="FF0000"/>
                <w:kern w:val="0"/>
                <w:sz w:val="24"/>
                <w:u w:val="single" w:color="auto"/>
                <w:lang w:val="en-US" w:eastAsia="zh-CN"/>
              </w:rPr>
              <w:t>中的</w:t>
            </w:r>
            <w:r>
              <w:rPr>
                <w:rFonts w:hint="eastAsia" w:cs="Times New Roman"/>
                <w:color w:val="FF0000"/>
                <w:kern w:val="0"/>
                <w:sz w:val="24"/>
                <w:u w:val="single" w:color="auto"/>
                <w:lang w:val="en-US" w:eastAsia="zh-CN"/>
              </w:rPr>
              <w:t>预处理</w:t>
            </w:r>
            <w:r>
              <w:rPr>
                <w:rFonts w:hint="eastAsia" w:ascii="Times New Roman" w:hAnsi="Times New Roman" w:eastAsia="宋体" w:cs="Times New Roman"/>
                <w:color w:val="FF0000"/>
                <w:kern w:val="0"/>
                <w:sz w:val="24"/>
                <w:u w:val="single" w:color="auto"/>
                <w:lang w:val="en-US" w:eastAsia="zh-CN"/>
              </w:rPr>
              <w:t>排放标准</w:t>
            </w:r>
            <w:r>
              <w:rPr>
                <w:rFonts w:hint="eastAsia" w:cs="Times New Roman"/>
                <w:color w:val="FF0000"/>
                <w:kern w:val="0"/>
                <w:sz w:val="24"/>
                <w:u w:val="single" w:color="auto"/>
                <w:lang w:val="en-US" w:eastAsia="zh-CN"/>
              </w:rPr>
              <w:t>，输液瓶等固废交由</w:t>
            </w:r>
            <w:r>
              <w:rPr>
                <w:rFonts w:hint="eastAsia" w:ascii="Times New Roman" w:hAnsi="Times New Roman" w:eastAsia="宋体" w:cs="Times New Roman"/>
                <w:color w:val="FF0000"/>
                <w:sz w:val="24"/>
                <w:highlight w:val="none"/>
                <w:u w:val="single" w:color="auto"/>
                <w:lang w:val="en-US" w:eastAsia="zh-CN"/>
              </w:rPr>
              <w:t>湖南映宏新材料股份有限公司综合利用</w:t>
            </w:r>
            <w:r>
              <w:rPr>
                <w:rFonts w:hint="eastAsia" w:cs="Times New Roman"/>
                <w:color w:val="FF0000"/>
                <w:sz w:val="24"/>
                <w:highlight w:val="none"/>
                <w:u w:val="single" w:color="auto"/>
                <w:lang w:val="en-US" w:eastAsia="zh-CN"/>
              </w:rPr>
              <w:t>，医废</w:t>
            </w:r>
            <w:r>
              <w:rPr>
                <w:rFonts w:hint="eastAsia" w:ascii="Times New Roman" w:hAnsi="Times New Roman" w:eastAsia="宋体" w:cs="Times New Roman"/>
                <w:color w:val="FF0000"/>
                <w:sz w:val="24"/>
                <w:highlight w:val="none"/>
                <w:u w:val="single" w:color="auto"/>
                <w:lang w:val="en-US" w:eastAsia="zh-CN"/>
              </w:rPr>
              <w:t>交由怀化市天源环保科技有限责任公司处理</w:t>
            </w:r>
            <w:r>
              <w:rPr>
                <w:rFonts w:hint="eastAsia" w:cs="Times New Roman"/>
                <w:color w:val="FF0000"/>
                <w:sz w:val="24"/>
                <w:highlight w:val="none"/>
                <w:u w:val="single" w:color="auto"/>
                <w:lang w:val="en-US" w:eastAsia="zh-CN"/>
              </w:rPr>
              <w:t>处置</w:t>
            </w:r>
            <w:r>
              <w:rPr>
                <w:rFonts w:hint="eastAsia" w:cs="Times New Roman"/>
                <w:color w:val="FF0000"/>
                <w:kern w:val="0"/>
                <w:sz w:val="24"/>
                <w:u w:val="single" w:color="auto"/>
                <w:lang w:val="en-US" w:eastAsia="zh-CN"/>
              </w:rPr>
              <w:t>。现有项目无环境问题。</w:t>
            </w:r>
            <w:r>
              <w:rPr>
                <w:rFonts w:hint="eastAsia" w:ascii="Times New Roman" w:hAnsi="Times New Roman" w:eastAsia="宋体" w:cs="Times New Roman"/>
                <w:color w:val="FF0000"/>
                <w:kern w:val="2"/>
                <w:sz w:val="24"/>
                <w:szCs w:val="24"/>
                <w:u w:val="single" w:color="auto"/>
                <w:lang w:val="en-US" w:eastAsia="zh-CN" w:bidi="ar-SA"/>
              </w:rPr>
              <w:t>由于现址面积小，限制了医院的发展，因此决定异地搬迁扩建。</w:t>
            </w:r>
          </w:p>
          <w:p w14:paraId="7559EAEE">
            <w:pPr>
              <w:pStyle w:val="12"/>
              <w:autoSpaceDE/>
              <w:autoSpaceDN/>
              <w:ind w:firstLine="480" w:firstLineChars="200"/>
              <w:jc w:val="both"/>
              <w:rPr>
                <w:rFonts w:hint="eastAsia" w:ascii="Times New Roman" w:hAnsi="Times New Roman" w:eastAsia="宋体" w:cs="Times New Roman"/>
                <w:color w:val="FF0000"/>
                <w:sz w:val="24"/>
                <w:highlight w:val="none"/>
                <w:u w:val="single" w:color="auto"/>
                <w:lang w:val="en-US" w:eastAsia="zh-CN"/>
              </w:rPr>
            </w:pPr>
            <w:r>
              <w:rPr>
                <w:rFonts w:hint="eastAsia" w:cs="Times New Roman"/>
                <w:color w:val="FF0000"/>
                <w:sz w:val="24"/>
                <w:highlight w:val="none"/>
                <w:u w:val="single" w:color="auto"/>
                <w:lang w:val="en-US" w:eastAsia="zh-CN"/>
              </w:rPr>
              <w:t>溆浦县第四人民医院由低庄镇中心卫生院异地迁建升级而成，本项目用地现状为荒地和水田，无现有环境污染。</w:t>
            </w:r>
            <w:r>
              <w:rPr>
                <w:rFonts w:hint="eastAsia" w:ascii="Times New Roman" w:hAnsi="Times New Roman" w:eastAsia="宋体" w:cs="Times New Roman"/>
                <w:color w:val="FF0000"/>
                <w:sz w:val="24"/>
                <w:highlight w:val="none"/>
                <w:u w:val="single" w:color="auto"/>
                <w:lang w:val="en-US" w:eastAsia="zh-CN"/>
              </w:rPr>
              <w:t>项目</w:t>
            </w:r>
            <w:r>
              <w:rPr>
                <w:rFonts w:hint="eastAsia" w:cs="Times New Roman"/>
                <w:color w:val="FF0000"/>
                <w:sz w:val="24"/>
                <w:highlight w:val="none"/>
                <w:u w:val="single" w:color="auto"/>
                <w:lang w:val="en-US" w:eastAsia="zh-CN"/>
              </w:rPr>
              <w:t>建成后现低庄镇中心卫生院</w:t>
            </w:r>
            <w:r>
              <w:rPr>
                <w:rFonts w:hint="eastAsia" w:ascii="Times New Roman" w:hAnsi="Times New Roman" w:eastAsia="宋体" w:cs="Times New Roman"/>
                <w:color w:val="FF0000"/>
                <w:sz w:val="24"/>
                <w:highlight w:val="none"/>
                <w:u w:val="single" w:color="auto"/>
                <w:lang w:val="en-US" w:eastAsia="zh-CN"/>
              </w:rPr>
              <w:t>将不再运营，</w:t>
            </w:r>
            <w:r>
              <w:rPr>
                <w:rFonts w:hint="eastAsia" w:cs="Times New Roman"/>
                <w:color w:val="FF0000"/>
                <w:sz w:val="24"/>
                <w:highlight w:val="none"/>
                <w:u w:val="single" w:color="auto"/>
                <w:lang w:val="en-US" w:eastAsia="zh-CN"/>
              </w:rPr>
              <w:t>现有建筑物由低庄镇政府另做他用，</w:t>
            </w:r>
            <w:r>
              <w:rPr>
                <w:rFonts w:hint="eastAsia" w:ascii="Times New Roman" w:hAnsi="Times New Roman" w:eastAsia="宋体" w:cs="Times New Roman"/>
                <w:color w:val="FF0000"/>
                <w:sz w:val="24"/>
                <w:highlight w:val="none"/>
                <w:u w:val="single" w:color="auto"/>
                <w:lang w:val="en-US" w:eastAsia="zh-CN"/>
              </w:rPr>
              <w:t>拆除所有设备，医院剩余废水由自建污水处理设施处理完后达到</w:t>
            </w:r>
            <w:r>
              <w:rPr>
                <w:rFonts w:hint="default" w:ascii="Times New Roman" w:hAnsi="Times New Roman" w:eastAsia="宋体" w:cs="Times New Roman"/>
                <w:color w:val="FF0000"/>
                <w:kern w:val="0"/>
                <w:sz w:val="24"/>
                <w:u w:val="single" w:color="auto"/>
                <w:lang w:val="en-US" w:eastAsia="zh-CN"/>
              </w:rPr>
              <w:t>《医疗机构水污染物排放标准》（GB18466-2005）表2</w:t>
            </w:r>
            <w:r>
              <w:rPr>
                <w:rFonts w:hint="eastAsia" w:ascii="Times New Roman" w:hAnsi="Times New Roman" w:eastAsia="宋体" w:cs="Times New Roman"/>
                <w:color w:val="FF0000"/>
                <w:kern w:val="0"/>
                <w:sz w:val="24"/>
                <w:u w:val="single" w:color="auto"/>
                <w:lang w:val="en-US" w:eastAsia="zh-CN"/>
              </w:rPr>
              <w:t>中的排放标准达标排放</w:t>
            </w:r>
            <w:r>
              <w:rPr>
                <w:rFonts w:hint="eastAsia" w:cs="Times New Roman"/>
                <w:color w:val="FF0000"/>
                <w:kern w:val="0"/>
                <w:sz w:val="24"/>
                <w:u w:val="single" w:color="auto"/>
                <w:lang w:val="en-US" w:eastAsia="zh-CN"/>
              </w:rPr>
              <w:t>至低庄镇污水处理厂</w:t>
            </w:r>
            <w:r>
              <w:rPr>
                <w:rFonts w:hint="eastAsia" w:ascii="Times New Roman" w:hAnsi="Times New Roman" w:eastAsia="宋体" w:cs="Times New Roman"/>
                <w:color w:val="FF0000"/>
                <w:sz w:val="24"/>
                <w:highlight w:val="none"/>
                <w:u w:val="single" w:color="auto"/>
                <w:lang w:val="en-US" w:eastAsia="zh-CN"/>
              </w:rPr>
              <w:t>。现有</w:t>
            </w:r>
            <w:r>
              <w:rPr>
                <w:rFonts w:hint="eastAsia" w:cs="Times New Roman"/>
                <w:color w:val="FF0000"/>
                <w:sz w:val="24"/>
                <w:highlight w:val="none"/>
                <w:u w:val="single" w:color="auto"/>
                <w:lang w:val="en-US" w:eastAsia="zh-CN"/>
              </w:rPr>
              <w:t>医废</w:t>
            </w:r>
            <w:r>
              <w:rPr>
                <w:rFonts w:hint="eastAsia" w:ascii="Times New Roman" w:hAnsi="Times New Roman" w:eastAsia="宋体" w:cs="Times New Roman"/>
                <w:color w:val="FF0000"/>
                <w:sz w:val="24"/>
                <w:highlight w:val="none"/>
                <w:u w:val="single" w:color="auto"/>
                <w:lang w:val="en-US" w:eastAsia="zh-CN"/>
              </w:rPr>
              <w:t>暂存间内所有</w:t>
            </w:r>
            <w:r>
              <w:rPr>
                <w:rFonts w:hint="eastAsia" w:cs="Times New Roman"/>
                <w:color w:val="FF0000"/>
                <w:sz w:val="24"/>
                <w:highlight w:val="none"/>
                <w:u w:val="single" w:color="auto"/>
                <w:lang w:val="en-US" w:eastAsia="zh-CN"/>
              </w:rPr>
              <w:t>医废</w:t>
            </w:r>
            <w:r>
              <w:rPr>
                <w:rFonts w:hint="eastAsia" w:ascii="Times New Roman" w:hAnsi="Times New Roman" w:eastAsia="宋体" w:cs="Times New Roman"/>
                <w:color w:val="FF0000"/>
                <w:sz w:val="24"/>
                <w:highlight w:val="none"/>
                <w:u w:val="single" w:color="auto"/>
                <w:lang w:val="en-US" w:eastAsia="zh-CN"/>
              </w:rPr>
              <w:t>交由怀化市天源环保科技有限责任公司处理</w:t>
            </w:r>
            <w:r>
              <w:rPr>
                <w:rFonts w:hint="eastAsia" w:cs="Times New Roman"/>
                <w:color w:val="FF0000"/>
                <w:sz w:val="24"/>
                <w:highlight w:val="none"/>
                <w:u w:val="single" w:color="auto"/>
                <w:lang w:val="en-US" w:eastAsia="zh-CN"/>
              </w:rPr>
              <w:t>处置</w:t>
            </w:r>
            <w:r>
              <w:rPr>
                <w:rFonts w:hint="eastAsia" w:ascii="Times New Roman" w:hAnsi="Times New Roman" w:eastAsia="宋体" w:cs="Times New Roman"/>
                <w:color w:val="FF0000"/>
                <w:sz w:val="24"/>
                <w:highlight w:val="none"/>
                <w:u w:val="single" w:color="auto"/>
                <w:lang w:val="en-US" w:eastAsia="zh-CN"/>
              </w:rPr>
              <w:t>，</w:t>
            </w:r>
            <w:r>
              <w:rPr>
                <w:rFonts w:hint="eastAsia" w:cs="Times New Roman"/>
                <w:color w:val="FF0000"/>
                <w:sz w:val="24"/>
                <w:highlight w:val="none"/>
                <w:u w:val="single" w:color="auto"/>
                <w:lang w:val="en-US" w:eastAsia="zh-CN"/>
              </w:rPr>
              <w:t>输液瓶等</w:t>
            </w:r>
            <w:r>
              <w:rPr>
                <w:rFonts w:hint="eastAsia" w:ascii="Times New Roman" w:hAnsi="Times New Roman" w:eastAsia="宋体" w:cs="Times New Roman"/>
                <w:color w:val="FF0000"/>
                <w:sz w:val="24"/>
                <w:highlight w:val="none"/>
                <w:u w:val="single" w:color="auto"/>
                <w:lang w:val="en-US" w:eastAsia="zh-CN"/>
              </w:rPr>
              <w:t>交由湖南映宏新材料股份有限公司综合利用，生活垃圾交由环卫部门清运处理。</w:t>
            </w:r>
          </w:p>
          <w:p w14:paraId="67EDCB5A">
            <w:pPr>
              <w:pStyle w:val="12"/>
              <w:autoSpaceDE/>
              <w:autoSpaceDN/>
              <w:ind w:firstLine="422" w:firstLineChars="200"/>
              <w:jc w:val="center"/>
              <w:rPr>
                <w:rFonts w:hint="default"/>
                <w:color w:val="FF0000"/>
                <w:sz w:val="21"/>
                <w:szCs w:val="21"/>
                <w:highlight w:val="none"/>
                <w:u w:val="single" w:color="auto"/>
                <w:vertAlign w:val="baseline"/>
                <w:lang w:val="en-US"/>
              </w:rPr>
            </w:pPr>
            <w:r>
              <w:rPr>
                <w:rFonts w:hint="eastAsia" w:cs="Times New Roman"/>
                <w:b/>
                <w:bCs/>
                <w:color w:val="FF0000"/>
                <w:sz w:val="21"/>
                <w:szCs w:val="21"/>
                <w:highlight w:val="none"/>
                <w:u w:val="single" w:color="auto"/>
                <w:lang w:val="en-US" w:eastAsia="zh-CN"/>
              </w:rPr>
              <w:t>表2-8低庄镇中心卫生院排污情况一览表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2"/>
              <w:gridCol w:w="1511"/>
              <w:gridCol w:w="3784"/>
              <w:gridCol w:w="2143"/>
            </w:tblGrid>
            <w:tr w14:paraId="660FB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Align w:val="center"/>
                </w:tcPr>
                <w:p w14:paraId="71A477E3">
                  <w:pPr>
                    <w:pStyle w:val="12"/>
                    <w:autoSpaceDE/>
                    <w:autoSpaceDN/>
                    <w:jc w:val="center"/>
                    <w:rPr>
                      <w:rFonts w:hint="eastAsia" w:eastAsia="宋体"/>
                      <w:color w:val="FF0000"/>
                      <w:sz w:val="21"/>
                      <w:szCs w:val="21"/>
                      <w:highlight w:val="none"/>
                      <w:u w:val="single" w:color="auto"/>
                      <w:vertAlign w:val="baseline"/>
                      <w:lang w:val="en-US" w:eastAsia="zh-CN"/>
                    </w:rPr>
                  </w:pPr>
                  <w:r>
                    <w:rPr>
                      <w:rFonts w:hint="eastAsia"/>
                      <w:color w:val="FF0000"/>
                      <w:sz w:val="21"/>
                      <w:szCs w:val="21"/>
                      <w:highlight w:val="none"/>
                      <w:u w:val="single" w:color="auto"/>
                      <w:vertAlign w:val="baseline"/>
                      <w:lang w:val="en-US" w:eastAsia="zh-CN"/>
                    </w:rPr>
                    <w:t>类别</w:t>
                  </w:r>
                </w:p>
              </w:tc>
              <w:tc>
                <w:tcPr>
                  <w:tcW w:w="1511" w:type="dxa"/>
                  <w:vAlign w:val="center"/>
                </w:tcPr>
                <w:p w14:paraId="4F1500B2">
                  <w:pPr>
                    <w:pStyle w:val="12"/>
                    <w:autoSpaceDE/>
                    <w:autoSpaceDN/>
                    <w:jc w:val="center"/>
                    <w:rPr>
                      <w:rFonts w:hint="eastAsia" w:eastAsia="宋体"/>
                      <w:color w:val="FF0000"/>
                      <w:sz w:val="21"/>
                      <w:szCs w:val="21"/>
                      <w:highlight w:val="none"/>
                      <w:u w:val="single" w:color="auto"/>
                      <w:vertAlign w:val="baseline"/>
                      <w:lang w:val="en-US" w:eastAsia="zh-CN"/>
                    </w:rPr>
                  </w:pPr>
                  <w:r>
                    <w:rPr>
                      <w:rFonts w:hint="eastAsia"/>
                      <w:color w:val="FF0000"/>
                      <w:sz w:val="21"/>
                      <w:szCs w:val="21"/>
                      <w:highlight w:val="none"/>
                      <w:u w:val="single" w:color="auto"/>
                      <w:vertAlign w:val="baseline"/>
                      <w:lang w:val="en-US" w:eastAsia="zh-CN"/>
                    </w:rPr>
                    <w:t>污染因子</w:t>
                  </w:r>
                </w:p>
              </w:tc>
              <w:tc>
                <w:tcPr>
                  <w:tcW w:w="3784" w:type="dxa"/>
                  <w:vAlign w:val="center"/>
                </w:tcPr>
                <w:p w14:paraId="17B164BC">
                  <w:pPr>
                    <w:pStyle w:val="12"/>
                    <w:autoSpaceDE/>
                    <w:autoSpaceDN/>
                    <w:jc w:val="center"/>
                    <w:rPr>
                      <w:rFonts w:hint="eastAsia" w:eastAsia="宋体"/>
                      <w:color w:val="FF0000"/>
                      <w:sz w:val="21"/>
                      <w:szCs w:val="21"/>
                      <w:highlight w:val="none"/>
                      <w:u w:val="single" w:color="auto"/>
                      <w:vertAlign w:val="baseline"/>
                      <w:lang w:val="en-US" w:eastAsia="zh-CN"/>
                    </w:rPr>
                  </w:pPr>
                  <w:r>
                    <w:rPr>
                      <w:rFonts w:hint="eastAsia"/>
                      <w:color w:val="FF0000"/>
                      <w:sz w:val="21"/>
                      <w:szCs w:val="21"/>
                      <w:highlight w:val="none"/>
                      <w:u w:val="single" w:color="auto"/>
                      <w:vertAlign w:val="baseline"/>
                      <w:lang w:val="en-US" w:eastAsia="zh-CN"/>
                    </w:rPr>
                    <w:t>处理处置情况</w:t>
                  </w:r>
                </w:p>
              </w:tc>
              <w:tc>
                <w:tcPr>
                  <w:tcW w:w="2143" w:type="dxa"/>
                  <w:vAlign w:val="center"/>
                </w:tcPr>
                <w:p w14:paraId="0ED50CBE">
                  <w:pPr>
                    <w:pStyle w:val="12"/>
                    <w:autoSpaceDE/>
                    <w:autoSpaceDN/>
                    <w:jc w:val="center"/>
                    <w:rPr>
                      <w:rFonts w:hint="eastAsia" w:eastAsia="宋体"/>
                      <w:color w:val="FF0000"/>
                      <w:sz w:val="21"/>
                      <w:szCs w:val="21"/>
                      <w:highlight w:val="none"/>
                      <w:u w:val="single" w:color="auto"/>
                      <w:vertAlign w:val="baseline"/>
                      <w:lang w:val="en-US" w:eastAsia="zh-CN"/>
                    </w:rPr>
                  </w:pPr>
                  <w:r>
                    <w:rPr>
                      <w:rFonts w:hint="eastAsia"/>
                      <w:color w:val="FF0000"/>
                      <w:sz w:val="21"/>
                      <w:szCs w:val="21"/>
                      <w:highlight w:val="none"/>
                      <w:u w:val="single" w:color="auto"/>
                      <w:vertAlign w:val="baseline"/>
                      <w:lang w:val="en-US" w:eastAsia="zh-CN"/>
                    </w:rPr>
                    <w:t>排放量（t/a）</w:t>
                  </w:r>
                </w:p>
              </w:tc>
            </w:tr>
            <w:tr w14:paraId="6A55E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Merge w:val="restart"/>
                  <w:vAlign w:val="center"/>
                </w:tcPr>
                <w:p w14:paraId="591E8BA4">
                  <w:pPr>
                    <w:pStyle w:val="12"/>
                    <w:autoSpaceDE/>
                    <w:autoSpaceDN/>
                    <w:jc w:val="center"/>
                    <w:rPr>
                      <w:rFonts w:hint="eastAsia"/>
                      <w:color w:val="FF0000"/>
                      <w:sz w:val="21"/>
                      <w:szCs w:val="21"/>
                      <w:highlight w:val="none"/>
                      <w:u w:val="single" w:color="auto"/>
                      <w:vertAlign w:val="baseline"/>
                      <w:lang w:val="en-US"/>
                    </w:rPr>
                  </w:pPr>
                  <w:r>
                    <w:rPr>
                      <w:rFonts w:hint="eastAsia"/>
                      <w:color w:val="FF0000"/>
                      <w:sz w:val="21"/>
                      <w:szCs w:val="21"/>
                      <w:highlight w:val="none"/>
                      <w:u w:val="single" w:color="auto"/>
                      <w:vertAlign w:val="baseline"/>
                      <w:lang w:val="en-US" w:eastAsia="zh-CN"/>
                    </w:rPr>
                    <w:t>废水</w:t>
                  </w:r>
                </w:p>
              </w:tc>
              <w:tc>
                <w:tcPr>
                  <w:tcW w:w="1511" w:type="dxa"/>
                  <w:vAlign w:val="center"/>
                </w:tcPr>
                <w:p w14:paraId="0B0CD115">
                  <w:pPr>
                    <w:pStyle w:val="12"/>
                    <w:autoSpaceDE/>
                    <w:autoSpaceDN/>
                    <w:jc w:val="center"/>
                    <w:rPr>
                      <w:rFonts w:hint="eastAsia"/>
                      <w:color w:val="FF0000"/>
                      <w:sz w:val="21"/>
                      <w:szCs w:val="21"/>
                      <w:highlight w:val="none"/>
                      <w:u w:val="single" w:color="auto"/>
                      <w:vertAlign w:val="baseline"/>
                      <w:lang w:val="en-US"/>
                    </w:rPr>
                  </w:pPr>
                  <w:r>
                    <w:rPr>
                      <w:rFonts w:hint="eastAsia"/>
                      <w:color w:val="FF0000"/>
                      <w:sz w:val="21"/>
                      <w:szCs w:val="21"/>
                      <w:highlight w:val="none"/>
                      <w:u w:val="single" w:color="auto"/>
                      <w:vertAlign w:val="baseline"/>
                      <w:lang w:val="en-US" w:eastAsia="zh-CN"/>
                    </w:rPr>
                    <w:t>水量</w:t>
                  </w:r>
                </w:p>
              </w:tc>
              <w:tc>
                <w:tcPr>
                  <w:tcW w:w="3784" w:type="dxa"/>
                  <w:vMerge w:val="restart"/>
                  <w:vAlign w:val="center"/>
                </w:tcPr>
                <w:p w14:paraId="44EF7505">
                  <w:pPr>
                    <w:pStyle w:val="12"/>
                    <w:autoSpaceDE/>
                    <w:autoSpaceDN/>
                    <w:jc w:val="center"/>
                    <w:rPr>
                      <w:rFonts w:hint="eastAsia"/>
                      <w:color w:val="FF0000"/>
                      <w:sz w:val="21"/>
                      <w:szCs w:val="21"/>
                      <w:highlight w:val="none"/>
                      <w:u w:val="single" w:color="auto"/>
                      <w:vertAlign w:val="baseline"/>
                      <w:lang w:val="en-US"/>
                    </w:rPr>
                  </w:pPr>
                  <w:r>
                    <w:rPr>
                      <w:rFonts w:hint="eastAsia"/>
                      <w:color w:val="FF0000"/>
                      <w:sz w:val="21"/>
                      <w:szCs w:val="21"/>
                      <w:highlight w:val="none"/>
                      <w:u w:val="single" w:color="auto"/>
                      <w:vertAlign w:val="baseline"/>
                      <w:lang w:val="en-US" w:eastAsia="zh-CN"/>
                    </w:rPr>
                    <w:t>经自建污水处理站处理（调节池+一体化污水处理设备+消毒，处理能力30m</w:t>
                  </w:r>
                  <w:r>
                    <w:rPr>
                      <w:rFonts w:hint="eastAsia"/>
                      <w:color w:val="FF0000"/>
                      <w:sz w:val="21"/>
                      <w:szCs w:val="21"/>
                      <w:highlight w:val="none"/>
                      <w:u w:val="single" w:color="auto"/>
                      <w:vertAlign w:val="superscript"/>
                      <w:lang w:val="en-US" w:eastAsia="zh-CN"/>
                    </w:rPr>
                    <w:t>3</w:t>
                  </w:r>
                  <w:r>
                    <w:rPr>
                      <w:rFonts w:hint="eastAsia"/>
                      <w:color w:val="FF0000"/>
                      <w:sz w:val="21"/>
                      <w:szCs w:val="21"/>
                      <w:highlight w:val="none"/>
                      <w:u w:val="single" w:color="auto"/>
                      <w:vertAlign w:val="baseline"/>
                      <w:lang w:val="en-US" w:eastAsia="zh-CN"/>
                    </w:rPr>
                    <w:t>/d）</w:t>
                  </w:r>
                </w:p>
              </w:tc>
              <w:tc>
                <w:tcPr>
                  <w:tcW w:w="2143" w:type="dxa"/>
                  <w:vAlign w:val="center"/>
                </w:tcPr>
                <w:p w14:paraId="3C240136">
                  <w:pPr>
                    <w:pStyle w:val="12"/>
                    <w:autoSpaceDE/>
                    <w:autoSpaceDN/>
                    <w:jc w:val="center"/>
                    <w:rPr>
                      <w:rFonts w:hint="default"/>
                      <w:color w:val="FF0000"/>
                      <w:sz w:val="21"/>
                      <w:szCs w:val="21"/>
                      <w:highlight w:val="none"/>
                      <w:u w:val="single" w:color="auto"/>
                      <w:vertAlign w:val="baseline"/>
                      <w:lang w:val="en-US"/>
                    </w:rPr>
                  </w:pPr>
                  <w:r>
                    <w:rPr>
                      <w:rFonts w:hint="eastAsia"/>
                      <w:color w:val="FF0000"/>
                      <w:sz w:val="21"/>
                      <w:szCs w:val="21"/>
                      <w:highlight w:val="none"/>
                      <w:u w:val="single" w:color="auto"/>
                      <w:vertAlign w:val="baseline"/>
                      <w:lang w:val="en-US" w:eastAsia="zh-CN"/>
                    </w:rPr>
                    <w:t>7665m</w:t>
                  </w:r>
                  <w:r>
                    <w:rPr>
                      <w:rFonts w:hint="eastAsia"/>
                      <w:color w:val="FF0000"/>
                      <w:sz w:val="21"/>
                      <w:szCs w:val="21"/>
                      <w:highlight w:val="none"/>
                      <w:u w:val="single" w:color="auto"/>
                      <w:vertAlign w:val="superscript"/>
                      <w:lang w:val="en-US" w:eastAsia="zh-CN"/>
                    </w:rPr>
                    <w:t>3</w:t>
                  </w:r>
                  <w:r>
                    <w:rPr>
                      <w:rFonts w:hint="eastAsia"/>
                      <w:color w:val="FF0000"/>
                      <w:sz w:val="21"/>
                      <w:szCs w:val="21"/>
                      <w:highlight w:val="none"/>
                      <w:u w:val="single" w:color="auto"/>
                      <w:vertAlign w:val="baseline"/>
                      <w:lang w:val="en-US" w:eastAsia="zh-CN"/>
                    </w:rPr>
                    <w:t>/a（21m</w:t>
                  </w:r>
                  <w:r>
                    <w:rPr>
                      <w:rFonts w:hint="eastAsia"/>
                      <w:color w:val="FF0000"/>
                      <w:sz w:val="21"/>
                      <w:szCs w:val="21"/>
                      <w:highlight w:val="none"/>
                      <w:u w:val="single" w:color="auto"/>
                      <w:vertAlign w:val="superscript"/>
                      <w:lang w:val="en-US" w:eastAsia="zh-CN"/>
                    </w:rPr>
                    <w:t>3</w:t>
                  </w:r>
                  <w:r>
                    <w:rPr>
                      <w:rFonts w:hint="eastAsia"/>
                      <w:color w:val="FF0000"/>
                      <w:sz w:val="21"/>
                      <w:szCs w:val="21"/>
                      <w:highlight w:val="none"/>
                      <w:u w:val="single" w:color="auto"/>
                      <w:vertAlign w:val="baseline"/>
                      <w:lang w:val="en-US" w:eastAsia="zh-CN"/>
                    </w:rPr>
                    <w:t>/d）</w:t>
                  </w:r>
                </w:p>
              </w:tc>
            </w:tr>
            <w:tr w14:paraId="26C6A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Merge w:val="continue"/>
                  <w:vAlign w:val="center"/>
                </w:tcPr>
                <w:p w14:paraId="4DEFD1EB">
                  <w:pPr>
                    <w:pStyle w:val="12"/>
                    <w:autoSpaceDE/>
                    <w:autoSpaceDN/>
                    <w:jc w:val="center"/>
                    <w:rPr>
                      <w:rFonts w:hint="default"/>
                      <w:color w:val="FF0000"/>
                      <w:sz w:val="21"/>
                      <w:szCs w:val="21"/>
                      <w:highlight w:val="none"/>
                      <w:u w:val="single" w:color="auto"/>
                      <w:vertAlign w:val="baseline"/>
                      <w:lang w:val="en-US"/>
                    </w:rPr>
                  </w:pPr>
                </w:p>
              </w:tc>
              <w:tc>
                <w:tcPr>
                  <w:tcW w:w="1511" w:type="dxa"/>
                  <w:vAlign w:val="center"/>
                </w:tcPr>
                <w:p w14:paraId="36F35067">
                  <w:pPr>
                    <w:pStyle w:val="12"/>
                    <w:autoSpaceDE/>
                    <w:autoSpaceDN/>
                    <w:jc w:val="center"/>
                    <w:rPr>
                      <w:rFonts w:hint="default"/>
                      <w:color w:val="FF0000"/>
                      <w:sz w:val="21"/>
                      <w:szCs w:val="21"/>
                      <w:highlight w:val="none"/>
                      <w:u w:val="single" w:color="auto"/>
                      <w:vertAlign w:val="baseline"/>
                      <w:lang w:val="en-US"/>
                    </w:rPr>
                  </w:pPr>
                  <w:r>
                    <w:rPr>
                      <w:rFonts w:hint="eastAsia"/>
                      <w:color w:val="FF0000"/>
                      <w:sz w:val="21"/>
                      <w:szCs w:val="21"/>
                      <w:highlight w:val="none"/>
                      <w:u w:val="single" w:color="auto"/>
                      <w:vertAlign w:val="baseline"/>
                      <w:lang w:val="en-US" w:eastAsia="zh-CN"/>
                    </w:rPr>
                    <w:t>COD</w:t>
                  </w:r>
                </w:p>
              </w:tc>
              <w:tc>
                <w:tcPr>
                  <w:tcW w:w="3784" w:type="dxa"/>
                  <w:vMerge w:val="continue"/>
                  <w:vAlign w:val="center"/>
                </w:tcPr>
                <w:p w14:paraId="33D8AB6A">
                  <w:pPr>
                    <w:pStyle w:val="12"/>
                    <w:autoSpaceDE/>
                    <w:autoSpaceDN/>
                    <w:jc w:val="center"/>
                    <w:rPr>
                      <w:rFonts w:hint="default"/>
                      <w:color w:val="FF0000"/>
                      <w:sz w:val="21"/>
                      <w:szCs w:val="21"/>
                      <w:highlight w:val="none"/>
                      <w:u w:val="single" w:color="auto"/>
                      <w:vertAlign w:val="baseline"/>
                      <w:lang w:val="en-US"/>
                    </w:rPr>
                  </w:pPr>
                </w:p>
              </w:tc>
              <w:tc>
                <w:tcPr>
                  <w:tcW w:w="2143" w:type="dxa"/>
                  <w:vAlign w:val="center"/>
                </w:tcPr>
                <w:p w14:paraId="5B81A9C4">
                  <w:pPr>
                    <w:pStyle w:val="12"/>
                    <w:autoSpaceDE/>
                    <w:autoSpaceDN/>
                    <w:jc w:val="center"/>
                    <w:rPr>
                      <w:rFonts w:hint="default"/>
                      <w:color w:val="FF0000"/>
                      <w:sz w:val="21"/>
                      <w:szCs w:val="21"/>
                      <w:highlight w:val="none"/>
                      <w:u w:val="single" w:color="auto"/>
                      <w:vertAlign w:val="baseline"/>
                      <w:lang w:val="en-US"/>
                    </w:rPr>
                  </w:pPr>
                  <w:r>
                    <w:rPr>
                      <w:rFonts w:hint="eastAsia"/>
                      <w:color w:val="FF0000"/>
                      <w:sz w:val="21"/>
                      <w:szCs w:val="21"/>
                      <w:highlight w:val="none"/>
                      <w:u w:val="single" w:color="auto"/>
                      <w:vertAlign w:val="baseline"/>
                      <w:lang w:val="en-US" w:eastAsia="zh-CN"/>
                    </w:rPr>
                    <w:t>0.38</w:t>
                  </w:r>
                </w:p>
              </w:tc>
            </w:tr>
            <w:tr w14:paraId="52601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Merge w:val="continue"/>
                  <w:vAlign w:val="center"/>
                </w:tcPr>
                <w:p w14:paraId="222497EE">
                  <w:pPr>
                    <w:pStyle w:val="12"/>
                    <w:autoSpaceDE/>
                    <w:autoSpaceDN/>
                    <w:jc w:val="center"/>
                    <w:rPr>
                      <w:rFonts w:hint="default"/>
                      <w:color w:val="FF0000"/>
                      <w:sz w:val="21"/>
                      <w:szCs w:val="21"/>
                      <w:highlight w:val="none"/>
                      <w:u w:val="single" w:color="auto"/>
                      <w:vertAlign w:val="baseline"/>
                      <w:lang w:val="en-US"/>
                    </w:rPr>
                  </w:pPr>
                </w:p>
              </w:tc>
              <w:tc>
                <w:tcPr>
                  <w:tcW w:w="1511" w:type="dxa"/>
                  <w:vAlign w:val="center"/>
                </w:tcPr>
                <w:p w14:paraId="68413E09">
                  <w:pPr>
                    <w:pStyle w:val="12"/>
                    <w:autoSpaceDE/>
                    <w:autoSpaceDN/>
                    <w:jc w:val="center"/>
                    <w:rPr>
                      <w:rFonts w:hint="eastAsia"/>
                      <w:color w:val="FF0000"/>
                      <w:sz w:val="21"/>
                      <w:szCs w:val="21"/>
                      <w:highlight w:val="none"/>
                      <w:u w:val="single" w:color="auto"/>
                      <w:vertAlign w:val="baseline"/>
                      <w:lang w:val="en-US" w:eastAsia="zh-CN"/>
                    </w:rPr>
                  </w:pPr>
                  <w:r>
                    <w:rPr>
                      <w:rFonts w:hint="eastAsia" w:ascii="Times New Roman" w:hAnsi="Times New Roman" w:eastAsia="宋体" w:cs="Times New Roman"/>
                      <w:color w:val="FF0000"/>
                      <w:sz w:val="21"/>
                      <w:szCs w:val="21"/>
                      <w:highlight w:val="none"/>
                      <w:u w:val="single" w:color="auto"/>
                      <w:lang w:val="en-US" w:eastAsia="zh-CN"/>
                    </w:rPr>
                    <w:t>BOD</w:t>
                  </w:r>
                  <w:r>
                    <w:rPr>
                      <w:rFonts w:hint="eastAsia" w:ascii="Times New Roman" w:hAnsi="Times New Roman" w:eastAsia="宋体" w:cs="Times New Roman"/>
                      <w:color w:val="FF0000"/>
                      <w:sz w:val="21"/>
                      <w:szCs w:val="21"/>
                      <w:highlight w:val="none"/>
                      <w:u w:val="single" w:color="auto"/>
                      <w:vertAlign w:val="subscript"/>
                      <w:lang w:val="en-US" w:eastAsia="zh-CN"/>
                    </w:rPr>
                    <w:t>5</w:t>
                  </w:r>
                </w:p>
              </w:tc>
              <w:tc>
                <w:tcPr>
                  <w:tcW w:w="3784" w:type="dxa"/>
                  <w:vMerge w:val="continue"/>
                  <w:vAlign w:val="center"/>
                </w:tcPr>
                <w:p w14:paraId="2E63A371">
                  <w:pPr>
                    <w:pStyle w:val="12"/>
                    <w:autoSpaceDE/>
                    <w:autoSpaceDN/>
                    <w:jc w:val="center"/>
                    <w:rPr>
                      <w:rFonts w:hint="default"/>
                      <w:color w:val="FF0000"/>
                      <w:sz w:val="21"/>
                      <w:szCs w:val="21"/>
                      <w:highlight w:val="none"/>
                      <w:u w:val="single" w:color="auto"/>
                      <w:vertAlign w:val="baseline"/>
                      <w:lang w:val="en-US"/>
                    </w:rPr>
                  </w:pPr>
                </w:p>
              </w:tc>
              <w:tc>
                <w:tcPr>
                  <w:tcW w:w="2143" w:type="dxa"/>
                  <w:vAlign w:val="center"/>
                </w:tcPr>
                <w:p w14:paraId="18D52C06">
                  <w:pPr>
                    <w:pStyle w:val="12"/>
                    <w:autoSpaceDE/>
                    <w:autoSpaceDN/>
                    <w:jc w:val="center"/>
                    <w:rPr>
                      <w:rFonts w:hint="default"/>
                      <w:color w:val="FF0000"/>
                      <w:sz w:val="21"/>
                      <w:szCs w:val="21"/>
                      <w:highlight w:val="none"/>
                      <w:u w:val="single" w:color="auto"/>
                      <w:vertAlign w:val="baseline"/>
                      <w:lang w:val="en-US" w:eastAsia="zh-CN"/>
                    </w:rPr>
                  </w:pPr>
                  <w:r>
                    <w:rPr>
                      <w:rFonts w:hint="eastAsia"/>
                      <w:color w:val="FF0000"/>
                      <w:sz w:val="21"/>
                      <w:szCs w:val="21"/>
                      <w:highlight w:val="none"/>
                      <w:u w:val="single" w:color="auto"/>
                      <w:vertAlign w:val="baseline"/>
                      <w:lang w:val="en-US" w:eastAsia="zh-CN"/>
                    </w:rPr>
                    <w:t>0.077</w:t>
                  </w:r>
                </w:p>
              </w:tc>
            </w:tr>
            <w:tr w14:paraId="3950F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Merge w:val="continue"/>
                  <w:vAlign w:val="center"/>
                </w:tcPr>
                <w:p w14:paraId="53435783">
                  <w:pPr>
                    <w:pStyle w:val="12"/>
                    <w:autoSpaceDE/>
                    <w:autoSpaceDN/>
                    <w:jc w:val="center"/>
                    <w:rPr>
                      <w:rFonts w:hint="default"/>
                      <w:color w:val="FF0000"/>
                      <w:sz w:val="21"/>
                      <w:szCs w:val="21"/>
                      <w:highlight w:val="none"/>
                      <w:u w:val="single" w:color="auto"/>
                      <w:vertAlign w:val="baseline"/>
                      <w:lang w:val="en-US"/>
                    </w:rPr>
                  </w:pPr>
                </w:p>
              </w:tc>
              <w:tc>
                <w:tcPr>
                  <w:tcW w:w="1511" w:type="dxa"/>
                  <w:vAlign w:val="center"/>
                </w:tcPr>
                <w:p w14:paraId="5A20B562">
                  <w:pPr>
                    <w:pStyle w:val="12"/>
                    <w:autoSpaceDE/>
                    <w:autoSpaceDN/>
                    <w:jc w:val="center"/>
                    <w:rPr>
                      <w:rFonts w:hint="eastAsia"/>
                      <w:color w:val="FF0000"/>
                      <w:sz w:val="21"/>
                      <w:szCs w:val="21"/>
                      <w:highlight w:val="none"/>
                      <w:u w:val="single" w:color="auto"/>
                      <w:vertAlign w:val="baseline"/>
                      <w:lang w:val="en-US" w:eastAsia="zh-CN"/>
                    </w:rPr>
                  </w:pPr>
                  <w:r>
                    <w:rPr>
                      <w:rFonts w:hint="eastAsia"/>
                      <w:color w:val="FF0000"/>
                      <w:sz w:val="21"/>
                      <w:szCs w:val="21"/>
                      <w:highlight w:val="none"/>
                      <w:u w:val="single" w:color="auto"/>
                      <w:vertAlign w:val="baseline"/>
                      <w:lang w:val="en-US" w:eastAsia="zh-CN"/>
                    </w:rPr>
                    <w:t>氨氮</w:t>
                  </w:r>
                </w:p>
              </w:tc>
              <w:tc>
                <w:tcPr>
                  <w:tcW w:w="3784" w:type="dxa"/>
                  <w:vMerge w:val="continue"/>
                  <w:vAlign w:val="center"/>
                </w:tcPr>
                <w:p w14:paraId="3C9017F2">
                  <w:pPr>
                    <w:pStyle w:val="12"/>
                    <w:autoSpaceDE/>
                    <w:autoSpaceDN/>
                    <w:jc w:val="center"/>
                    <w:rPr>
                      <w:rFonts w:hint="default"/>
                      <w:color w:val="FF0000"/>
                      <w:sz w:val="21"/>
                      <w:szCs w:val="21"/>
                      <w:highlight w:val="none"/>
                      <w:u w:val="single" w:color="auto"/>
                      <w:vertAlign w:val="baseline"/>
                      <w:lang w:val="en-US"/>
                    </w:rPr>
                  </w:pPr>
                </w:p>
              </w:tc>
              <w:tc>
                <w:tcPr>
                  <w:tcW w:w="2143" w:type="dxa"/>
                  <w:vAlign w:val="center"/>
                </w:tcPr>
                <w:p w14:paraId="4B0C4878">
                  <w:pPr>
                    <w:pStyle w:val="12"/>
                    <w:autoSpaceDE/>
                    <w:autoSpaceDN/>
                    <w:jc w:val="center"/>
                    <w:rPr>
                      <w:rFonts w:hint="eastAsia"/>
                      <w:color w:val="FF0000"/>
                      <w:sz w:val="21"/>
                      <w:szCs w:val="21"/>
                      <w:highlight w:val="none"/>
                      <w:u w:val="single" w:color="auto"/>
                      <w:vertAlign w:val="baseline"/>
                      <w:lang w:val="en-US" w:eastAsia="zh-CN"/>
                    </w:rPr>
                  </w:pPr>
                  <w:r>
                    <w:rPr>
                      <w:rFonts w:hint="eastAsia"/>
                      <w:color w:val="FF0000"/>
                      <w:sz w:val="21"/>
                      <w:szCs w:val="21"/>
                      <w:highlight w:val="none"/>
                      <w:u w:val="single" w:color="auto"/>
                      <w:vertAlign w:val="baseline"/>
                      <w:lang w:val="en-US" w:eastAsia="zh-CN"/>
                    </w:rPr>
                    <w:t>0.038</w:t>
                  </w:r>
                </w:p>
              </w:tc>
            </w:tr>
            <w:tr w14:paraId="48F7B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Merge w:val="continue"/>
                  <w:vAlign w:val="center"/>
                </w:tcPr>
                <w:p w14:paraId="0D76E8FE">
                  <w:pPr>
                    <w:pStyle w:val="12"/>
                    <w:autoSpaceDE/>
                    <w:autoSpaceDN/>
                    <w:jc w:val="center"/>
                    <w:rPr>
                      <w:rFonts w:hint="default"/>
                      <w:color w:val="FF0000"/>
                      <w:sz w:val="21"/>
                      <w:szCs w:val="21"/>
                      <w:highlight w:val="none"/>
                      <w:u w:val="single" w:color="auto"/>
                      <w:vertAlign w:val="baseline"/>
                      <w:lang w:val="en-US"/>
                    </w:rPr>
                  </w:pPr>
                </w:p>
              </w:tc>
              <w:tc>
                <w:tcPr>
                  <w:tcW w:w="1511" w:type="dxa"/>
                  <w:vAlign w:val="center"/>
                </w:tcPr>
                <w:p w14:paraId="66D4753D">
                  <w:pPr>
                    <w:pStyle w:val="12"/>
                    <w:autoSpaceDE/>
                    <w:autoSpaceDN/>
                    <w:jc w:val="center"/>
                    <w:rPr>
                      <w:rFonts w:hint="eastAsia"/>
                      <w:color w:val="FF0000"/>
                      <w:sz w:val="21"/>
                      <w:szCs w:val="21"/>
                      <w:highlight w:val="none"/>
                      <w:u w:val="single" w:color="auto"/>
                      <w:vertAlign w:val="baseline"/>
                      <w:lang w:val="en-US"/>
                    </w:rPr>
                  </w:pPr>
                  <w:r>
                    <w:rPr>
                      <w:rFonts w:hint="eastAsia" w:ascii="Times New Roman" w:hAnsi="Times New Roman" w:eastAsia="宋体" w:cs="Times New Roman"/>
                      <w:color w:val="FF0000"/>
                      <w:sz w:val="21"/>
                      <w:szCs w:val="21"/>
                      <w:highlight w:val="none"/>
                      <w:u w:val="single" w:color="auto"/>
                      <w:lang w:val="en-US" w:eastAsia="zh-CN"/>
                    </w:rPr>
                    <w:t>SS</w:t>
                  </w:r>
                </w:p>
              </w:tc>
              <w:tc>
                <w:tcPr>
                  <w:tcW w:w="3784" w:type="dxa"/>
                  <w:vMerge w:val="continue"/>
                  <w:vAlign w:val="center"/>
                </w:tcPr>
                <w:p w14:paraId="666FDD9F">
                  <w:pPr>
                    <w:pStyle w:val="12"/>
                    <w:autoSpaceDE/>
                    <w:autoSpaceDN/>
                    <w:jc w:val="center"/>
                    <w:rPr>
                      <w:rFonts w:hint="default"/>
                      <w:color w:val="FF0000"/>
                      <w:sz w:val="21"/>
                      <w:szCs w:val="21"/>
                      <w:highlight w:val="none"/>
                      <w:u w:val="single" w:color="auto"/>
                      <w:vertAlign w:val="baseline"/>
                      <w:lang w:val="en-US"/>
                    </w:rPr>
                  </w:pPr>
                </w:p>
              </w:tc>
              <w:tc>
                <w:tcPr>
                  <w:tcW w:w="2143" w:type="dxa"/>
                  <w:vAlign w:val="center"/>
                </w:tcPr>
                <w:p w14:paraId="69239914">
                  <w:pPr>
                    <w:pStyle w:val="12"/>
                    <w:autoSpaceDE/>
                    <w:autoSpaceDN/>
                    <w:jc w:val="center"/>
                    <w:rPr>
                      <w:rFonts w:hint="default"/>
                      <w:color w:val="FF0000"/>
                      <w:sz w:val="21"/>
                      <w:szCs w:val="21"/>
                      <w:highlight w:val="none"/>
                      <w:u w:val="single" w:color="auto"/>
                      <w:vertAlign w:val="baseline"/>
                      <w:lang w:val="en-US"/>
                    </w:rPr>
                  </w:pPr>
                  <w:r>
                    <w:rPr>
                      <w:rFonts w:hint="eastAsia"/>
                      <w:color w:val="FF0000"/>
                      <w:sz w:val="21"/>
                      <w:szCs w:val="21"/>
                      <w:highlight w:val="none"/>
                      <w:u w:val="single" w:color="auto"/>
                      <w:vertAlign w:val="baseline"/>
                      <w:lang w:val="en-US" w:eastAsia="zh-CN"/>
                    </w:rPr>
                    <w:t>0.077</w:t>
                  </w:r>
                </w:p>
              </w:tc>
            </w:tr>
            <w:tr w14:paraId="4D132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Merge w:val="restart"/>
                  <w:vAlign w:val="center"/>
                </w:tcPr>
                <w:p w14:paraId="540EAC33">
                  <w:pPr>
                    <w:pStyle w:val="12"/>
                    <w:autoSpaceDE/>
                    <w:autoSpaceDN/>
                    <w:jc w:val="center"/>
                    <w:rPr>
                      <w:rFonts w:hint="eastAsia"/>
                      <w:color w:val="FF0000"/>
                      <w:sz w:val="21"/>
                      <w:szCs w:val="21"/>
                      <w:highlight w:val="none"/>
                      <w:u w:val="single" w:color="auto"/>
                      <w:vertAlign w:val="baseline"/>
                      <w:lang w:val="en-US"/>
                    </w:rPr>
                  </w:pPr>
                  <w:r>
                    <w:rPr>
                      <w:rFonts w:hint="eastAsia"/>
                      <w:color w:val="FF0000"/>
                      <w:sz w:val="21"/>
                      <w:szCs w:val="21"/>
                      <w:highlight w:val="none"/>
                      <w:u w:val="single" w:color="auto"/>
                      <w:vertAlign w:val="baseline"/>
                      <w:lang w:val="en-US" w:eastAsia="zh-CN"/>
                    </w:rPr>
                    <w:t>废气</w:t>
                  </w:r>
                </w:p>
              </w:tc>
              <w:tc>
                <w:tcPr>
                  <w:tcW w:w="1511" w:type="dxa"/>
                  <w:vAlign w:val="center"/>
                </w:tcPr>
                <w:p w14:paraId="63C90B49">
                  <w:pPr>
                    <w:pStyle w:val="12"/>
                    <w:autoSpaceDE/>
                    <w:autoSpaceDN/>
                    <w:jc w:val="center"/>
                    <w:rPr>
                      <w:rFonts w:hint="default"/>
                      <w:color w:val="FF0000"/>
                      <w:sz w:val="21"/>
                      <w:szCs w:val="21"/>
                      <w:highlight w:val="none"/>
                      <w:u w:val="single" w:color="auto"/>
                      <w:vertAlign w:val="baseline"/>
                      <w:lang w:val="en-US"/>
                    </w:rPr>
                  </w:pPr>
                  <w:r>
                    <w:rPr>
                      <w:rFonts w:hint="default" w:ascii="Times New Roman" w:hAnsi="Times New Roman" w:cs="Times New Roman"/>
                      <w:color w:val="FF0000"/>
                      <w:kern w:val="0"/>
                      <w:sz w:val="21"/>
                      <w:szCs w:val="21"/>
                      <w:highlight w:val="none"/>
                      <w:u w:val="single" w:color="auto"/>
                      <w:lang w:bidi="ar"/>
                    </w:rPr>
                    <w:t>H</w:t>
                  </w:r>
                  <w:r>
                    <w:rPr>
                      <w:rFonts w:hint="default" w:ascii="Times New Roman" w:hAnsi="Times New Roman" w:cs="Times New Roman"/>
                      <w:color w:val="FF0000"/>
                      <w:kern w:val="0"/>
                      <w:sz w:val="21"/>
                      <w:szCs w:val="21"/>
                      <w:highlight w:val="none"/>
                      <w:u w:val="single" w:color="auto"/>
                      <w:vertAlign w:val="subscript"/>
                      <w:lang w:bidi="ar"/>
                    </w:rPr>
                    <w:t>2</w:t>
                  </w:r>
                  <w:r>
                    <w:rPr>
                      <w:rFonts w:hint="default" w:ascii="Times New Roman" w:hAnsi="Times New Roman" w:cs="Times New Roman"/>
                      <w:color w:val="FF0000"/>
                      <w:kern w:val="0"/>
                      <w:sz w:val="21"/>
                      <w:szCs w:val="21"/>
                      <w:highlight w:val="none"/>
                      <w:u w:val="single" w:color="auto"/>
                      <w:lang w:bidi="ar"/>
                    </w:rPr>
                    <w:t>S</w:t>
                  </w:r>
                </w:p>
              </w:tc>
              <w:tc>
                <w:tcPr>
                  <w:tcW w:w="3784" w:type="dxa"/>
                  <w:vAlign w:val="center"/>
                </w:tcPr>
                <w:p w14:paraId="2EA4613F">
                  <w:pPr>
                    <w:pStyle w:val="12"/>
                    <w:autoSpaceDE/>
                    <w:autoSpaceDN/>
                    <w:jc w:val="center"/>
                    <w:rPr>
                      <w:rFonts w:hint="eastAsia"/>
                      <w:color w:val="FF0000"/>
                      <w:sz w:val="21"/>
                      <w:szCs w:val="21"/>
                      <w:highlight w:val="none"/>
                      <w:u w:val="single" w:color="auto"/>
                      <w:vertAlign w:val="baseline"/>
                      <w:lang w:val="en-US"/>
                    </w:rPr>
                  </w:pPr>
                  <w:r>
                    <w:rPr>
                      <w:rFonts w:hint="eastAsia"/>
                      <w:color w:val="FF0000"/>
                      <w:sz w:val="21"/>
                      <w:szCs w:val="21"/>
                      <w:highlight w:val="none"/>
                      <w:u w:val="single" w:color="auto"/>
                      <w:vertAlign w:val="baseline"/>
                      <w:lang w:val="en-US" w:eastAsia="zh-CN"/>
                    </w:rPr>
                    <w:t>无组织排放</w:t>
                  </w:r>
                </w:p>
              </w:tc>
              <w:tc>
                <w:tcPr>
                  <w:tcW w:w="2143" w:type="dxa"/>
                  <w:vAlign w:val="center"/>
                </w:tcPr>
                <w:p w14:paraId="771BC267">
                  <w:pPr>
                    <w:pStyle w:val="12"/>
                    <w:autoSpaceDE/>
                    <w:autoSpaceDN/>
                    <w:jc w:val="center"/>
                    <w:rPr>
                      <w:rFonts w:hint="default"/>
                      <w:color w:val="FF0000"/>
                      <w:sz w:val="21"/>
                      <w:szCs w:val="21"/>
                      <w:highlight w:val="none"/>
                      <w:u w:val="single" w:color="auto"/>
                      <w:vertAlign w:val="baseline"/>
                      <w:lang w:val="en-US"/>
                    </w:rPr>
                  </w:pPr>
                  <w:r>
                    <w:rPr>
                      <w:rFonts w:hint="eastAsia"/>
                      <w:color w:val="FF0000"/>
                      <w:sz w:val="21"/>
                      <w:szCs w:val="21"/>
                      <w:highlight w:val="none"/>
                      <w:u w:val="single" w:color="auto"/>
                      <w:vertAlign w:val="baseline"/>
                      <w:lang w:val="en-US" w:eastAsia="zh-CN"/>
                    </w:rPr>
                    <w:t>0.00006</w:t>
                  </w:r>
                </w:p>
              </w:tc>
            </w:tr>
            <w:tr w14:paraId="1D392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Merge w:val="continue"/>
                  <w:vAlign w:val="center"/>
                </w:tcPr>
                <w:p w14:paraId="530F404E">
                  <w:pPr>
                    <w:pStyle w:val="12"/>
                    <w:autoSpaceDE/>
                    <w:autoSpaceDN/>
                    <w:jc w:val="center"/>
                    <w:rPr>
                      <w:rFonts w:hint="default"/>
                      <w:color w:val="FF0000"/>
                      <w:sz w:val="21"/>
                      <w:szCs w:val="21"/>
                      <w:highlight w:val="none"/>
                      <w:u w:val="single" w:color="auto"/>
                      <w:vertAlign w:val="baseline"/>
                      <w:lang w:val="en-US"/>
                    </w:rPr>
                  </w:pPr>
                </w:p>
              </w:tc>
              <w:tc>
                <w:tcPr>
                  <w:tcW w:w="1511" w:type="dxa"/>
                  <w:vAlign w:val="center"/>
                </w:tcPr>
                <w:p w14:paraId="5276FB67">
                  <w:pPr>
                    <w:pStyle w:val="12"/>
                    <w:autoSpaceDE/>
                    <w:autoSpaceDN/>
                    <w:jc w:val="center"/>
                    <w:rPr>
                      <w:rFonts w:hint="default"/>
                      <w:color w:val="FF0000"/>
                      <w:sz w:val="21"/>
                      <w:szCs w:val="21"/>
                      <w:highlight w:val="none"/>
                      <w:u w:val="single" w:color="auto"/>
                      <w:vertAlign w:val="baseline"/>
                      <w:lang w:val="en-US"/>
                    </w:rPr>
                  </w:pPr>
                  <w:r>
                    <w:rPr>
                      <w:rFonts w:hint="default" w:ascii="Times New Roman" w:hAnsi="Times New Roman" w:cs="Times New Roman"/>
                      <w:color w:val="FF0000"/>
                      <w:kern w:val="0"/>
                      <w:sz w:val="21"/>
                      <w:szCs w:val="21"/>
                      <w:highlight w:val="none"/>
                      <w:u w:val="single" w:color="auto"/>
                      <w:lang w:bidi="ar"/>
                    </w:rPr>
                    <w:t>NH</w:t>
                  </w:r>
                  <w:r>
                    <w:rPr>
                      <w:rFonts w:hint="default" w:ascii="Times New Roman" w:hAnsi="Times New Roman" w:cs="Times New Roman"/>
                      <w:color w:val="FF0000"/>
                      <w:kern w:val="0"/>
                      <w:sz w:val="21"/>
                      <w:szCs w:val="21"/>
                      <w:highlight w:val="none"/>
                      <w:u w:val="single" w:color="auto"/>
                      <w:vertAlign w:val="subscript"/>
                      <w:lang w:bidi="ar"/>
                    </w:rPr>
                    <w:t>3</w:t>
                  </w:r>
                </w:p>
              </w:tc>
              <w:tc>
                <w:tcPr>
                  <w:tcW w:w="3784" w:type="dxa"/>
                  <w:vAlign w:val="center"/>
                </w:tcPr>
                <w:p w14:paraId="04FAF9B4">
                  <w:pPr>
                    <w:pStyle w:val="12"/>
                    <w:autoSpaceDE/>
                    <w:autoSpaceDN/>
                    <w:jc w:val="center"/>
                    <w:rPr>
                      <w:rFonts w:hint="default"/>
                      <w:color w:val="FF0000"/>
                      <w:sz w:val="21"/>
                      <w:szCs w:val="21"/>
                      <w:highlight w:val="none"/>
                      <w:u w:val="single" w:color="auto"/>
                      <w:vertAlign w:val="baseline"/>
                      <w:lang w:val="en-US"/>
                    </w:rPr>
                  </w:pPr>
                  <w:r>
                    <w:rPr>
                      <w:rFonts w:hint="eastAsia"/>
                      <w:color w:val="FF0000"/>
                      <w:sz w:val="21"/>
                      <w:szCs w:val="21"/>
                      <w:highlight w:val="none"/>
                      <w:u w:val="single" w:color="auto"/>
                      <w:vertAlign w:val="baseline"/>
                      <w:lang w:val="en-US" w:eastAsia="zh-CN"/>
                    </w:rPr>
                    <w:t>无组织排放</w:t>
                  </w:r>
                </w:p>
              </w:tc>
              <w:tc>
                <w:tcPr>
                  <w:tcW w:w="2143" w:type="dxa"/>
                  <w:vAlign w:val="center"/>
                </w:tcPr>
                <w:p w14:paraId="2003A481">
                  <w:pPr>
                    <w:pStyle w:val="12"/>
                    <w:autoSpaceDE/>
                    <w:autoSpaceDN/>
                    <w:jc w:val="center"/>
                    <w:rPr>
                      <w:rFonts w:hint="default"/>
                      <w:color w:val="FF0000"/>
                      <w:sz w:val="21"/>
                      <w:szCs w:val="21"/>
                      <w:highlight w:val="none"/>
                      <w:u w:val="single" w:color="auto"/>
                      <w:vertAlign w:val="baseline"/>
                      <w:lang w:val="en-US"/>
                    </w:rPr>
                  </w:pPr>
                  <w:r>
                    <w:rPr>
                      <w:rFonts w:hint="eastAsia"/>
                      <w:color w:val="FF0000"/>
                      <w:sz w:val="21"/>
                      <w:szCs w:val="21"/>
                      <w:highlight w:val="none"/>
                      <w:u w:val="single" w:color="auto"/>
                      <w:vertAlign w:val="baseline"/>
                      <w:lang w:val="en-US" w:eastAsia="zh-CN"/>
                    </w:rPr>
                    <w:t>0.007</w:t>
                  </w:r>
                </w:p>
              </w:tc>
            </w:tr>
            <w:tr w14:paraId="0CC6E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Merge w:val="restart"/>
                  <w:vAlign w:val="center"/>
                </w:tcPr>
                <w:p w14:paraId="39D26027">
                  <w:pPr>
                    <w:pStyle w:val="12"/>
                    <w:autoSpaceDE/>
                    <w:autoSpaceDN/>
                    <w:jc w:val="center"/>
                    <w:rPr>
                      <w:rFonts w:hint="eastAsia" w:eastAsia="宋体"/>
                      <w:color w:val="FF0000"/>
                      <w:sz w:val="21"/>
                      <w:szCs w:val="21"/>
                      <w:highlight w:val="none"/>
                      <w:u w:val="single" w:color="auto"/>
                      <w:vertAlign w:val="baseline"/>
                      <w:lang w:val="en-US" w:eastAsia="zh-CN"/>
                    </w:rPr>
                  </w:pPr>
                  <w:r>
                    <w:rPr>
                      <w:rFonts w:hint="eastAsia"/>
                      <w:color w:val="FF0000"/>
                      <w:sz w:val="21"/>
                      <w:szCs w:val="21"/>
                      <w:highlight w:val="none"/>
                      <w:u w:val="single" w:color="auto"/>
                      <w:vertAlign w:val="baseline"/>
                      <w:lang w:val="en-US" w:eastAsia="zh-CN"/>
                    </w:rPr>
                    <w:t>固废</w:t>
                  </w:r>
                </w:p>
              </w:tc>
              <w:tc>
                <w:tcPr>
                  <w:tcW w:w="1511" w:type="dxa"/>
                  <w:vAlign w:val="center"/>
                </w:tcPr>
                <w:p w14:paraId="0E0275CA">
                  <w:pPr>
                    <w:pStyle w:val="12"/>
                    <w:autoSpaceDE/>
                    <w:autoSpaceDN/>
                    <w:jc w:val="center"/>
                    <w:rPr>
                      <w:rFonts w:hint="eastAsia" w:eastAsia="宋体"/>
                      <w:color w:val="FF0000"/>
                      <w:sz w:val="21"/>
                      <w:szCs w:val="21"/>
                      <w:highlight w:val="none"/>
                      <w:u w:val="single" w:color="auto"/>
                      <w:vertAlign w:val="baseline"/>
                      <w:lang w:val="en-US" w:eastAsia="zh-CN"/>
                    </w:rPr>
                  </w:pPr>
                  <w:r>
                    <w:rPr>
                      <w:rFonts w:hint="eastAsia"/>
                      <w:color w:val="FF0000"/>
                      <w:sz w:val="21"/>
                      <w:szCs w:val="21"/>
                      <w:highlight w:val="none"/>
                      <w:u w:val="single" w:color="auto"/>
                      <w:vertAlign w:val="baseline"/>
                      <w:lang w:val="en-US" w:eastAsia="zh-CN"/>
                    </w:rPr>
                    <w:t>中药渣</w:t>
                  </w:r>
                </w:p>
              </w:tc>
              <w:tc>
                <w:tcPr>
                  <w:tcW w:w="3784" w:type="dxa"/>
                  <w:vAlign w:val="center"/>
                </w:tcPr>
                <w:p w14:paraId="0BAE1C00">
                  <w:pPr>
                    <w:pStyle w:val="12"/>
                    <w:autoSpaceDE/>
                    <w:autoSpaceDN/>
                    <w:jc w:val="center"/>
                    <w:rPr>
                      <w:rFonts w:hint="eastAsia" w:eastAsia="宋体"/>
                      <w:color w:val="FF0000"/>
                      <w:sz w:val="21"/>
                      <w:szCs w:val="21"/>
                      <w:highlight w:val="none"/>
                      <w:u w:val="single" w:color="auto"/>
                      <w:vertAlign w:val="baseline"/>
                      <w:lang w:val="en-US" w:eastAsia="zh-CN"/>
                    </w:rPr>
                  </w:pPr>
                  <w:r>
                    <w:rPr>
                      <w:rFonts w:hint="eastAsia"/>
                      <w:color w:val="FF0000"/>
                      <w:sz w:val="21"/>
                      <w:szCs w:val="21"/>
                      <w:highlight w:val="none"/>
                      <w:u w:val="single" w:color="auto"/>
                      <w:vertAlign w:val="baseline"/>
                      <w:lang w:val="en-US" w:eastAsia="zh-CN"/>
                    </w:rPr>
                    <w:t>交由资源回收单位回收利用</w:t>
                  </w:r>
                </w:p>
              </w:tc>
              <w:tc>
                <w:tcPr>
                  <w:tcW w:w="2143" w:type="dxa"/>
                  <w:vAlign w:val="center"/>
                </w:tcPr>
                <w:p w14:paraId="2A6DD2B0">
                  <w:pPr>
                    <w:pStyle w:val="12"/>
                    <w:autoSpaceDE/>
                    <w:autoSpaceDN/>
                    <w:jc w:val="center"/>
                    <w:rPr>
                      <w:rFonts w:hint="default" w:eastAsia="宋体"/>
                      <w:color w:val="FF0000"/>
                      <w:sz w:val="21"/>
                      <w:szCs w:val="21"/>
                      <w:highlight w:val="none"/>
                      <w:u w:val="single" w:color="auto"/>
                      <w:vertAlign w:val="baseline"/>
                      <w:lang w:val="en-US" w:eastAsia="zh-CN"/>
                    </w:rPr>
                  </w:pPr>
                  <w:r>
                    <w:rPr>
                      <w:rFonts w:hint="eastAsia"/>
                      <w:color w:val="FF0000"/>
                      <w:sz w:val="21"/>
                      <w:szCs w:val="21"/>
                      <w:highlight w:val="none"/>
                      <w:u w:val="single" w:color="auto"/>
                      <w:vertAlign w:val="baseline"/>
                      <w:lang w:val="en-US" w:eastAsia="zh-CN"/>
                    </w:rPr>
                    <w:t>0.6</w:t>
                  </w:r>
                </w:p>
              </w:tc>
            </w:tr>
            <w:tr w14:paraId="5CA88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Merge w:val="continue"/>
                  <w:vAlign w:val="center"/>
                </w:tcPr>
                <w:p w14:paraId="3ACC46D3">
                  <w:pPr>
                    <w:pStyle w:val="12"/>
                    <w:autoSpaceDE/>
                    <w:autoSpaceDN/>
                    <w:jc w:val="center"/>
                    <w:rPr>
                      <w:rFonts w:hint="default"/>
                      <w:color w:val="FF0000"/>
                      <w:sz w:val="21"/>
                      <w:szCs w:val="21"/>
                      <w:highlight w:val="none"/>
                      <w:u w:val="single" w:color="auto"/>
                      <w:vertAlign w:val="baseline"/>
                      <w:lang w:val="en-US"/>
                    </w:rPr>
                  </w:pPr>
                </w:p>
              </w:tc>
              <w:tc>
                <w:tcPr>
                  <w:tcW w:w="1511" w:type="dxa"/>
                  <w:vAlign w:val="center"/>
                </w:tcPr>
                <w:p w14:paraId="591080D4">
                  <w:pPr>
                    <w:pStyle w:val="12"/>
                    <w:autoSpaceDE/>
                    <w:autoSpaceDN/>
                    <w:jc w:val="center"/>
                    <w:rPr>
                      <w:rFonts w:hint="default"/>
                      <w:color w:val="FF0000"/>
                      <w:sz w:val="21"/>
                      <w:szCs w:val="21"/>
                      <w:highlight w:val="none"/>
                      <w:u w:val="single" w:color="auto"/>
                      <w:vertAlign w:val="baseline"/>
                      <w:lang w:val="en-US"/>
                    </w:rPr>
                  </w:pPr>
                  <w:r>
                    <w:rPr>
                      <w:rFonts w:hint="eastAsia" w:ascii="Times New Roman" w:hAnsi="Times New Roman" w:eastAsia="宋体" w:cs="Times New Roman"/>
                      <w:snapToGrid w:val="0"/>
                      <w:color w:val="FF0000"/>
                      <w:kern w:val="0"/>
                      <w:sz w:val="21"/>
                      <w:szCs w:val="20"/>
                      <w:u w:val="single" w:color="auto"/>
                      <w:lang w:val="en-US" w:eastAsia="zh-CN" w:bidi="ar-SA"/>
                    </w:rPr>
                    <w:t>医用玻璃、一次性塑料输液瓶（袋）</w:t>
                  </w:r>
                </w:p>
              </w:tc>
              <w:tc>
                <w:tcPr>
                  <w:tcW w:w="3784" w:type="dxa"/>
                  <w:vAlign w:val="center"/>
                </w:tcPr>
                <w:p w14:paraId="761F6BD1">
                  <w:pPr>
                    <w:pStyle w:val="12"/>
                    <w:autoSpaceDE/>
                    <w:autoSpaceDN/>
                    <w:jc w:val="center"/>
                    <w:rPr>
                      <w:rFonts w:hint="default"/>
                      <w:color w:val="FF0000"/>
                      <w:sz w:val="21"/>
                      <w:szCs w:val="21"/>
                      <w:highlight w:val="none"/>
                      <w:u w:val="single" w:color="auto"/>
                      <w:vertAlign w:val="baseline"/>
                      <w:lang w:val="en-US"/>
                    </w:rPr>
                  </w:pPr>
                  <w:r>
                    <w:rPr>
                      <w:rFonts w:hint="eastAsia" w:cs="Times New Roman"/>
                      <w:color w:val="FF0000"/>
                      <w:sz w:val="21"/>
                      <w:szCs w:val="21"/>
                      <w:highlight w:val="none"/>
                      <w:u w:val="single" w:color="auto"/>
                      <w:lang w:val="en-US" w:eastAsia="zh-CN"/>
                    </w:rPr>
                    <w:t>暂存后</w:t>
                  </w:r>
                  <w:r>
                    <w:rPr>
                      <w:rFonts w:hint="eastAsia" w:ascii="Times New Roman" w:hAnsi="Times New Roman" w:eastAsia="宋体" w:cs="Times New Roman"/>
                      <w:color w:val="FF0000"/>
                      <w:sz w:val="21"/>
                      <w:szCs w:val="21"/>
                      <w:highlight w:val="none"/>
                      <w:u w:val="single" w:color="auto"/>
                      <w:lang w:val="en-US" w:eastAsia="zh-CN"/>
                    </w:rPr>
                    <w:t>交由湖南映宏新材料股份有限公司综合利用</w:t>
                  </w:r>
                </w:p>
              </w:tc>
              <w:tc>
                <w:tcPr>
                  <w:tcW w:w="2143" w:type="dxa"/>
                  <w:vAlign w:val="center"/>
                </w:tcPr>
                <w:p w14:paraId="0B480D91">
                  <w:pPr>
                    <w:pStyle w:val="12"/>
                    <w:autoSpaceDE/>
                    <w:autoSpaceDN/>
                    <w:jc w:val="center"/>
                    <w:rPr>
                      <w:rFonts w:hint="default" w:eastAsia="宋体"/>
                      <w:color w:val="FF0000"/>
                      <w:sz w:val="21"/>
                      <w:szCs w:val="21"/>
                      <w:highlight w:val="none"/>
                      <w:u w:val="single" w:color="auto"/>
                      <w:vertAlign w:val="baseline"/>
                      <w:lang w:val="en-US" w:eastAsia="zh-CN"/>
                    </w:rPr>
                  </w:pPr>
                  <w:r>
                    <w:rPr>
                      <w:rFonts w:hint="eastAsia"/>
                      <w:color w:val="FF0000"/>
                      <w:sz w:val="21"/>
                      <w:szCs w:val="21"/>
                      <w:highlight w:val="none"/>
                      <w:u w:val="single" w:color="auto"/>
                      <w:vertAlign w:val="baseline"/>
                      <w:lang w:val="en-US" w:eastAsia="zh-CN"/>
                    </w:rPr>
                    <w:t>37.8</w:t>
                  </w:r>
                </w:p>
              </w:tc>
            </w:tr>
            <w:tr w14:paraId="785A7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Merge w:val="continue"/>
                  <w:vAlign w:val="center"/>
                </w:tcPr>
                <w:p w14:paraId="4D1B1298">
                  <w:pPr>
                    <w:pStyle w:val="12"/>
                    <w:autoSpaceDE/>
                    <w:autoSpaceDN/>
                    <w:jc w:val="center"/>
                    <w:rPr>
                      <w:rFonts w:hint="default"/>
                      <w:color w:val="FF0000"/>
                      <w:sz w:val="21"/>
                      <w:szCs w:val="21"/>
                      <w:highlight w:val="none"/>
                      <w:u w:val="single" w:color="auto"/>
                      <w:vertAlign w:val="baseline"/>
                      <w:lang w:val="en-US"/>
                    </w:rPr>
                  </w:pPr>
                </w:p>
              </w:tc>
              <w:tc>
                <w:tcPr>
                  <w:tcW w:w="1511" w:type="dxa"/>
                  <w:vAlign w:val="center"/>
                </w:tcPr>
                <w:p w14:paraId="45C997E5">
                  <w:pPr>
                    <w:pStyle w:val="12"/>
                    <w:autoSpaceDE/>
                    <w:autoSpaceDN/>
                    <w:jc w:val="center"/>
                    <w:rPr>
                      <w:rFonts w:hint="default"/>
                      <w:color w:val="FF0000"/>
                      <w:sz w:val="21"/>
                      <w:szCs w:val="21"/>
                      <w:highlight w:val="none"/>
                      <w:u w:val="single" w:color="auto"/>
                      <w:vertAlign w:val="baseline"/>
                      <w:lang w:val="en-US"/>
                    </w:rPr>
                  </w:pPr>
                  <w:r>
                    <w:rPr>
                      <w:rFonts w:hint="eastAsia"/>
                      <w:color w:val="FF0000"/>
                      <w:sz w:val="21"/>
                      <w:szCs w:val="21"/>
                      <w:u w:val="single" w:color="auto"/>
                      <w:lang w:val="en-US" w:eastAsia="zh-CN"/>
                    </w:rPr>
                    <w:t>医疗废物</w:t>
                  </w:r>
                </w:p>
              </w:tc>
              <w:tc>
                <w:tcPr>
                  <w:tcW w:w="3784" w:type="dxa"/>
                  <w:vAlign w:val="center"/>
                </w:tcPr>
                <w:p w14:paraId="4A87B33D">
                  <w:pPr>
                    <w:pStyle w:val="12"/>
                    <w:autoSpaceDE/>
                    <w:autoSpaceDN/>
                    <w:jc w:val="center"/>
                    <w:rPr>
                      <w:rFonts w:hint="eastAsia" w:eastAsia="宋体"/>
                      <w:color w:val="FF0000"/>
                      <w:sz w:val="21"/>
                      <w:szCs w:val="21"/>
                      <w:highlight w:val="none"/>
                      <w:u w:val="single" w:color="auto"/>
                      <w:vertAlign w:val="baseline"/>
                      <w:lang w:val="en-US" w:eastAsia="zh-CN"/>
                    </w:rPr>
                  </w:pPr>
                  <w:r>
                    <w:rPr>
                      <w:rFonts w:hint="eastAsia"/>
                      <w:color w:val="FF0000"/>
                      <w:sz w:val="21"/>
                      <w:szCs w:val="21"/>
                      <w:highlight w:val="none"/>
                      <w:u w:val="single" w:color="auto"/>
                      <w:vertAlign w:val="baseline"/>
                      <w:lang w:val="en-US" w:eastAsia="zh-CN"/>
                    </w:rPr>
                    <w:t>暂存后交由</w:t>
                  </w:r>
                  <w:r>
                    <w:rPr>
                      <w:rFonts w:hint="eastAsia" w:ascii="Times New Roman" w:hAnsi="Times New Roman" w:eastAsia="宋体" w:cs="Times New Roman"/>
                      <w:color w:val="FF0000"/>
                      <w:sz w:val="21"/>
                      <w:szCs w:val="21"/>
                      <w:highlight w:val="none"/>
                      <w:u w:val="single" w:color="auto"/>
                      <w:lang w:val="en-US" w:eastAsia="zh-CN"/>
                    </w:rPr>
                    <w:t>怀化市天源环保科技有限责任公司处理</w:t>
                  </w:r>
                  <w:r>
                    <w:rPr>
                      <w:rFonts w:hint="eastAsia" w:cs="Times New Roman"/>
                      <w:color w:val="FF0000"/>
                      <w:sz w:val="21"/>
                      <w:szCs w:val="21"/>
                      <w:highlight w:val="none"/>
                      <w:u w:val="single" w:color="auto"/>
                      <w:lang w:val="en-US" w:eastAsia="zh-CN"/>
                    </w:rPr>
                    <w:t>处置</w:t>
                  </w:r>
                </w:p>
              </w:tc>
              <w:tc>
                <w:tcPr>
                  <w:tcW w:w="2143" w:type="dxa"/>
                  <w:vAlign w:val="center"/>
                </w:tcPr>
                <w:p w14:paraId="165115F8">
                  <w:pPr>
                    <w:pStyle w:val="12"/>
                    <w:autoSpaceDE/>
                    <w:autoSpaceDN/>
                    <w:jc w:val="center"/>
                    <w:rPr>
                      <w:rFonts w:hint="default" w:eastAsia="宋体"/>
                      <w:color w:val="FF0000"/>
                      <w:sz w:val="21"/>
                      <w:szCs w:val="21"/>
                      <w:highlight w:val="none"/>
                      <w:u w:val="single" w:color="auto"/>
                      <w:vertAlign w:val="baseline"/>
                      <w:lang w:val="en-US" w:eastAsia="zh-CN"/>
                    </w:rPr>
                  </w:pPr>
                  <w:r>
                    <w:rPr>
                      <w:rFonts w:hint="eastAsia"/>
                      <w:color w:val="FF0000"/>
                      <w:sz w:val="21"/>
                      <w:szCs w:val="21"/>
                      <w:highlight w:val="none"/>
                      <w:u w:val="single" w:color="auto"/>
                      <w:vertAlign w:val="baseline"/>
                      <w:lang w:val="en-US" w:eastAsia="zh-CN"/>
                    </w:rPr>
                    <w:t>5.3</w:t>
                  </w:r>
                </w:p>
              </w:tc>
            </w:tr>
            <w:tr w14:paraId="4648A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Merge w:val="continue"/>
                  <w:vAlign w:val="center"/>
                </w:tcPr>
                <w:p w14:paraId="1885C0F3">
                  <w:pPr>
                    <w:pStyle w:val="12"/>
                    <w:autoSpaceDE/>
                    <w:autoSpaceDN/>
                    <w:jc w:val="center"/>
                    <w:rPr>
                      <w:rFonts w:hint="default"/>
                      <w:color w:val="FF0000"/>
                      <w:sz w:val="21"/>
                      <w:szCs w:val="21"/>
                      <w:highlight w:val="none"/>
                      <w:u w:val="single" w:color="auto"/>
                      <w:vertAlign w:val="baseline"/>
                      <w:lang w:val="en-US"/>
                    </w:rPr>
                  </w:pPr>
                </w:p>
              </w:tc>
              <w:tc>
                <w:tcPr>
                  <w:tcW w:w="1511" w:type="dxa"/>
                  <w:vAlign w:val="center"/>
                </w:tcPr>
                <w:p w14:paraId="4E417F16">
                  <w:pPr>
                    <w:pStyle w:val="12"/>
                    <w:autoSpaceDE/>
                    <w:autoSpaceDN/>
                    <w:jc w:val="center"/>
                    <w:rPr>
                      <w:rFonts w:hint="default"/>
                      <w:color w:val="FF0000"/>
                      <w:sz w:val="21"/>
                      <w:szCs w:val="21"/>
                      <w:highlight w:val="none"/>
                      <w:u w:val="single" w:color="auto"/>
                      <w:vertAlign w:val="baseline"/>
                      <w:lang w:val="en-US"/>
                    </w:rPr>
                  </w:pPr>
                  <w:r>
                    <w:rPr>
                      <w:rFonts w:hint="eastAsia" w:cs="Times New Roman"/>
                      <w:color w:val="FF0000"/>
                      <w:sz w:val="21"/>
                      <w:szCs w:val="21"/>
                      <w:u w:val="single" w:color="auto"/>
                      <w:lang w:val="en-US" w:eastAsia="zh-CN"/>
                    </w:rPr>
                    <w:t>污水站</w:t>
                  </w:r>
                  <w:r>
                    <w:rPr>
                      <w:rFonts w:hint="eastAsia" w:ascii="Times New Roman" w:hAnsi="Times New Roman" w:eastAsia="宋体" w:cs="Times New Roman"/>
                      <w:color w:val="FF0000"/>
                      <w:sz w:val="21"/>
                      <w:szCs w:val="21"/>
                      <w:u w:val="single" w:color="auto"/>
                      <w:lang w:val="en-US" w:eastAsia="zh-CN"/>
                    </w:rPr>
                    <w:t>污泥</w:t>
                  </w:r>
                </w:p>
              </w:tc>
              <w:tc>
                <w:tcPr>
                  <w:tcW w:w="3784" w:type="dxa"/>
                  <w:vAlign w:val="center"/>
                </w:tcPr>
                <w:p w14:paraId="4D4A7A8A">
                  <w:pPr>
                    <w:pStyle w:val="12"/>
                    <w:autoSpaceDE/>
                    <w:autoSpaceDN/>
                    <w:jc w:val="center"/>
                    <w:rPr>
                      <w:rFonts w:hint="eastAsia" w:eastAsia="宋体"/>
                      <w:color w:val="FF0000"/>
                      <w:sz w:val="21"/>
                      <w:szCs w:val="21"/>
                      <w:highlight w:val="none"/>
                      <w:u w:val="single" w:color="auto"/>
                      <w:vertAlign w:val="baseline"/>
                      <w:lang w:val="en-US" w:eastAsia="zh-CN"/>
                    </w:rPr>
                  </w:pPr>
                  <w:r>
                    <w:rPr>
                      <w:rFonts w:hint="eastAsia"/>
                      <w:color w:val="FF0000"/>
                      <w:sz w:val="21"/>
                      <w:szCs w:val="21"/>
                      <w:highlight w:val="none"/>
                      <w:u w:val="single" w:color="auto"/>
                      <w:vertAlign w:val="baseline"/>
                      <w:lang w:val="en-US" w:eastAsia="zh-CN"/>
                    </w:rPr>
                    <w:t>定期清理，消毒后交由</w:t>
                  </w:r>
                  <w:r>
                    <w:rPr>
                      <w:rFonts w:hint="eastAsia" w:ascii="Times New Roman" w:hAnsi="Times New Roman" w:eastAsia="宋体" w:cs="Times New Roman"/>
                      <w:color w:val="FF0000"/>
                      <w:sz w:val="21"/>
                      <w:szCs w:val="21"/>
                      <w:highlight w:val="none"/>
                      <w:u w:val="single" w:color="auto"/>
                      <w:lang w:val="en-US" w:eastAsia="zh-CN"/>
                    </w:rPr>
                    <w:t>怀化市天源环保科技有限责任公司处理</w:t>
                  </w:r>
                  <w:r>
                    <w:rPr>
                      <w:rFonts w:hint="eastAsia" w:cs="Times New Roman"/>
                      <w:color w:val="FF0000"/>
                      <w:sz w:val="21"/>
                      <w:szCs w:val="21"/>
                      <w:highlight w:val="none"/>
                      <w:u w:val="single" w:color="auto"/>
                      <w:lang w:val="en-US" w:eastAsia="zh-CN"/>
                    </w:rPr>
                    <w:t>处置</w:t>
                  </w:r>
                </w:p>
              </w:tc>
              <w:tc>
                <w:tcPr>
                  <w:tcW w:w="2143" w:type="dxa"/>
                  <w:vAlign w:val="center"/>
                </w:tcPr>
                <w:p w14:paraId="22D6F212">
                  <w:pPr>
                    <w:pStyle w:val="12"/>
                    <w:autoSpaceDE/>
                    <w:autoSpaceDN/>
                    <w:jc w:val="center"/>
                    <w:rPr>
                      <w:rFonts w:hint="default" w:eastAsia="宋体"/>
                      <w:color w:val="FF0000"/>
                      <w:sz w:val="21"/>
                      <w:szCs w:val="21"/>
                      <w:highlight w:val="none"/>
                      <w:u w:val="single" w:color="auto"/>
                      <w:vertAlign w:val="baseline"/>
                      <w:lang w:val="en-US" w:eastAsia="zh-CN"/>
                    </w:rPr>
                  </w:pPr>
                  <w:r>
                    <w:rPr>
                      <w:rFonts w:hint="eastAsia"/>
                      <w:color w:val="FF0000"/>
                      <w:sz w:val="21"/>
                      <w:szCs w:val="21"/>
                      <w:highlight w:val="none"/>
                      <w:u w:val="single" w:color="auto"/>
                      <w:vertAlign w:val="baseline"/>
                      <w:lang w:val="en-US" w:eastAsia="zh-CN"/>
                    </w:rPr>
                    <w:t>0.9</w:t>
                  </w:r>
                </w:p>
              </w:tc>
            </w:tr>
            <w:tr w14:paraId="05961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Align w:val="center"/>
                </w:tcPr>
                <w:p w14:paraId="76A4F5D4">
                  <w:pPr>
                    <w:pStyle w:val="12"/>
                    <w:autoSpaceDE/>
                    <w:autoSpaceDN/>
                    <w:jc w:val="center"/>
                    <w:rPr>
                      <w:rFonts w:hint="eastAsia" w:eastAsia="宋体"/>
                      <w:color w:val="FF0000"/>
                      <w:sz w:val="21"/>
                      <w:szCs w:val="21"/>
                      <w:highlight w:val="none"/>
                      <w:u w:val="single" w:color="auto"/>
                      <w:vertAlign w:val="baseline"/>
                      <w:lang w:val="en-US" w:eastAsia="zh-CN"/>
                    </w:rPr>
                  </w:pPr>
                  <w:r>
                    <w:rPr>
                      <w:rFonts w:hint="eastAsia"/>
                      <w:color w:val="FF0000"/>
                      <w:sz w:val="21"/>
                      <w:szCs w:val="21"/>
                      <w:highlight w:val="none"/>
                      <w:u w:val="single" w:color="auto"/>
                      <w:vertAlign w:val="baseline"/>
                      <w:lang w:val="en-US" w:eastAsia="zh-CN"/>
                    </w:rPr>
                    <w:t>生活垃圾</w:t>
                  </w:r>
                </w:p>
              </w:tc>
              <w:tc>
                <w:tcPr>
                  <w:tcW w:w="1511" w:type="dxa"/>
                  <w:vAlign w:val="center"/>
                </w:tcPr>
                <w:p w14:paraId="738CD37C">
                  <w:pPr>
                    <w:pStyle w:val="12"/>
                    <w:autoSpaceDE/>
                    <w:autoSpaceDN/>
                    <w:jc w:val="center"/>
                    <w:rPr>
                      <w:rFonts w:hint="eastAsia" w:ascii="Times New Roman" w:hAnsi="Times New Roman" w:eastAsia="宋体" w:cs="Times New Roman"/>
                      <w:color w:val="FF0000"/>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生活垃圾</w:t>
                  </w:r>
                </w:p>
              </w:tc>
              <w:tc>
                <w:tcPr>
                  <w:tcW w:w="3784" w:type="dxa"/>
                  <w:vAlign w:val="center"/>
                </w:tcPr>
                <w:p w14:paraId="071B0E1D">
                  <w:pPr>
                    <w:pStyle w:val="12"/>
                    <w:autoSpaceDE/>
                    <w:autoSpaceDN/>
                    <w:jc w:val="center"/>
                    <w:rPr>
                      <w:rFonts w:hint="eastAsia" w:eastAsia="宋体"/>
                      <w:color w:val="FF0000"/>
                      <w:sz w:val="21"/>
                      <w:szCs w:val="21"/>
                      <w:highlight w:val="none"/>
                      <w:u w:val="single" w:color="auto"/>
                      <w:vertAlign w:val="baseline"/>
                      <w:lang w:val="en-US" w:eastAsia="zh-CN"/>
                    </w:rPr>
                  </w:pPr>
                  <w:r>
                    <w:rPr>
                      <w:rFonts w:hint="eastAsia"/>
                      <w:color w:val="FF0000"/>
                      <w:sz w:val="21"/>
                      <w:szCs w:val="21"/>
                      <w:highlight w:val="none"/>
                      <w:u w:val="single" w:color="auto"/>
                      <w:vertAlign w:val="baseline"/>
                      <w:lang w:val="en-US" w:eastAsia="zh-CN"/>
                    </w:rPr>
                    <w:t>分类收集，环卫部门处理</w:t>
                  </w:r>
                </w:p>
              </w:tc>
              <w:tc>
                <w:tcPr>
                  <w:tcW w:w="2143" w:type="dxa"/>
                  <w:vAlign w:val="center"/>
                </w:tcPr>
                <w:p w14:paraId="41BAD958">
                  <w:pPr>
                    <w:pStyle w:val="12"/>
                    <w:autoSpaceDE/>
                    <w:autoSpaceDN/>
                    <w:jc w:val="center"/>
                    <w:rPr>
                      <w:rFonts w:hint="default" w:eastAsia="宋体"/>
                      <w:color w:val="FF0000"/>
                      <w:sz w:val="21"/>
                      <w:szCs w:val="21"/>
                      <w:highlight w:val="none"/>
                      <w:u w:val="single" w:color="auto"/>
                      <w:vertAlign w:val="baseline"/>
                      <w:lang w:val="en-US" w:eastAsia="zh-CN"/>
                    </w:rPr>
                  </w:pPr>
                  <w:r>
                    <w:rPr>
                      <w:rFonts w:hint="eastAsia"/>
                      <w:color w:val="FF0000"/>
                      <w:sz w:val="21"/>
                      <w:szCs w:val="21"/>
                      <w:highlight w:val="none"/>
                      <w:u w:val="single" w:color="auto"/>
                      <w:vertAlign w:val="baseline"/>
                      <w:lang w:val="en-US" w:eastAsia="zh-CN"/>
                    </w:rPr>
                    <w:t>27.5</w:t>
                  </w:r>
                </w:p>
              </w:tc>
            </w:tr>
          </w:tbl>
          <w:p w14:paraId="09DB4EE6">
            <w:pPr>
              <w:pStyle w:val="12"/>
              <w:autoSpaceDE/>
              <w:autoSpaceDN/>
              <w:ind w:firstLine="480" w:firstLineChars="200"/>
              <w:jc w:val="both"/>
              <w:rPr>
                <w:rFonts w:hint="default"/>
                <w:color w:val="auto"/>
                <w:highlight w:val="none"/>
                <w:u w:val="none"/>
                <w:lang w:val="en-US"/>
              </w:rPr>
            </w:pPr>
          </w:p>
        </w:tc>
      </w:tr>
    </w:tbl>
    <w:p w14:paraId="6C235C28">
      <w:pPr>
        <w:rPr>
          <w:rFonts w:hint="eastAsia"/>
          <w:color w:val="auto"/>
          <w:highlight w:val="none"/>
          <w:u w:val="none"/>
          <w:lang w:val="en-US"/>
        </w:rPr>
      </w:pPr>
      <w:bookmarkStart w:id="5" w:name="_Toc134635717"/>
      <w:r>
        <w:rPr>
          <w:rFonts w:hint="eastAsia"/>
          <w:color w:val="auto"/>
          <w:highlight w:val="none"/>
          <w:u w:val="none"/>
          <w:lang w:val="en-US"/>
        </w:rPr>
        <w:br w:type="page"/>
      </w:r>
    </w:p>
    <w:p w14:paraId="08C720F6">
      <w:pPr>
        <w:pStyle w:val="2"/>
        <w:spacing w:line="360" w:lineRule="auto"/>
        <w:jc w:val="center"/>
        <w:rPr>
          <w:color w:val="auto"/>
          <w:highlight w:val="none"/>
          <w:u w:val="none"/>
          <w:lang w:val="en-US"/>
        </w:rPr>
      </w:pPr>
      <w:r>
        <w:rPr>
          <w:rFonts w:hint="eastAsia"/>
          <w:color w:val="auto"/>
          <w:highlight w:val="none"/>
          <w:u w:val="none"/>
          <w:lang w:val="en-US"/>
        </w:rPr>
        <w:t>三、区域环境质量现状、环境保护目标及评价标准</w:t>
      </w:r>
      <w:bookmarkEnd w:id="5"/>
    </w:p>
    <w:tbl>
      <w:tblPr>
        <w:tblStyle w:val="35"/>
        <w:tblW w:w="520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2"/>
        <w:gridCol w:w="9754"/>
      </w:tblGrid>
      <w:tr w14:paraId="39490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7" w:hRule="atLeast"/>
        </w:trPr>
        <w:tc>
          <w:tcPr>
            <w:tcW w:w="295" w:type="pct"/>
            <w:vAlign w:val="center"/>
          </w:tcPr>
          <w:p w14:paraId="08F73983">
            <w:pPr>
              <w:spacing w:line="240" w:lineRule="auto"/>
              <w:jc w:val="center"/>
              <w:rPr>
                <w:color w:val="auto"/>
                <w:highlight w:val="none"/>
                <w:u w:val="none"/>
                <w:lang w:val="en-US"/>
              </w:rPr>
            </w:pPr>
            <w:r>
              <w:rPr>
                <w:rFonts w:hint="eastAsia"/>
                <w:color w:val="auto"/>
                <w:highlight w:val="none"/>
                <w:u w:val="none"/>
                <w:lang w:val="en-US"/>
              </w:rPr>
              <w:t>区域环境质量现状</w:t>
            </w:r>
          </w:p>
        </w:tc>
        <w:tc>
          <w:tcPr>
            <w:tcW w:w="4704" w:type="pct"/>
          </w:tcPr>
          <w:p w14:paraId="21C25353">
            <w:pPr>
              <w:pStyle w:val="79"/>
              <w:autoSpaceDE/>
              <w:autoSpaceDN/>
              <w:adjustRightInd/>
              <w:snapToGrid/>
              <w:spacing w:line="360" w:lineRule="auto"/>
              <w:ind w:firstLine="482" w:firstLineChars="200"/>
              <w:jc w:val="both"/>
              <w:rPr>
                <w:rFonts w:hint="default" w:ascii="Times New Roman" w:hAnsi="Times New Roman" w:eastAsia="宋体" w:cs="Times New Roman"/>
                <w:b/>
                <w:bCs/>
                <w:color w:val="auto"/>
                <w:kern w:val="2"/>
                <w:highlight w:val="none"/>
                <w:u w:val="none"/>
                <w:lang w:val="en-US" w:eastAsia="zh-CN" w:bidi="ar-SA"/>
              </w:rPr>
            </w:pPr>
            <w:r>
              <w:rPr>
                <w:rFonts w:hint="eastAsia" w:ascii="Times New Roman" w:hAnsi="Times New Roman" w:eastAsia="宋体" w:cs="Times New Roman"/>
                <w:b/>
                <w:bCs/>
                <w:color w:val="auto"/>
                <w:kern w:val="2"/>
                <w:highlight w:val="none"/>
                <w:u w:val="none"/>
                <w:lang w:val="en-US" w:eastAsia="zh-CN" w:bidi="ar-SA"/>
              </w:rPr>
              <w:t>3.1环境空气质量</w:t>
            </w:r>
            <w:r>
              <w:rPr>
                <w:rFonts w:hint="eastAsia" w:cs="Times New Roman"/>
                <w:b/>
                <w:bCs/>
                <w:color w:val="auto"/>
                <w:kern w:val="2"/>
                <w:highlight w:val="none"/>
                <w:u w:val="none"/>
                <w:lang w:val="en-US" w:eastAsia="zh-CN" w:bidi="ar-SA"/>
              </w:rPr>
              <w:t>现状</w:t>
            </w:r>
          </w:p>
          <w:p w14:paraId="274E9428">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sz w:val="24"/>
                <w:szCs w:val="24"/>
                <w:highlight w:val="none"/>
                <w:u w:val="none" w:color="auto"/>
                <w:lang w:val="en-US" w:eastAsia="zh-CN"/>
              </w:rPr>
            </w:pPr>
            <w:r>
              <w:rPr>
                <w:rFonts w:hint="eastAsia" w:cs="Times New Roman"/>
                <w:b/>
                <w:bCs/>
                <w:color w:val="auto"/>
                <w:sz w:val="24"/>
                <w:szCs w:val="24"/>
                <w:highlight w:val="none"/>
                <w:u w:val="none" w:color="auto"/>
                <w:lang w:val="en-US" w:eastAsia="zh-CN"/>
              </w:rPr>
              <w:t>3.</w:t>
            </w:r>
            <w:r>
              <w:rPr>
                <w:rFonts w:hint="default" w:ascii="Times New Roman" w:hAnsi="Times New Roman" w:eastAsia="宋体" w:cs="Times New Roman"/>
                <w:b/>
                <w:bCs/>
                <w:color w:val="auto"/>
                <w:sz w:val="24"/>
                <w:szCs w:val="24"/>
                <w:highlight w:val="none"/>
                <w:u w:val="none" w:color="auto"/>
                <w:lang w:val="en-US" w:eastAsia="zh-CN"/>
              </w:rPr>
              <w:t>1.1达标区判定</w:t>
            </w:r>
          </w:p>
          <w:p w14:paraId="30B17B5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u w:val="none"/>
                <w:lang w:val="en-US" w:eastAsia="zh-CN" w:bidi="ar-SA"/>
              </w:rPr>
            </w:pPr>
            <w:r>
              <w:rPr>
                <w:rFonts w:hint="default" w:ascii="Times New Roman" w:hAnsi="Times New Roman" w:eastAsia="宋体" w:cs="Times New Roman"/>
                <w:b w:val="0"/>
                <w:bCs w:val="0"/>
                <w:color w:val="auto"/>
                <w:kern w:val="2"/>
                <w:sz w:val="24"/>
                <w:szCs w:val="24"/>
                <w:highlight w:val="none"/>
                <w:u w:val="none"/>
                <w:lang w:val="en-US" w:eastAsia="zh-CN" w:bidi="ar-SA"/>
              </w:rPr>
              <w:t>根据《环境影响评价技术导则 大气环境》（HJ2.2-2018）“5.5评价基准年筛选：依据评价所需环境空气质量现状、气象资料等数据的可获得性、数据质量、代表性等因素，选择近3年中数据相对完整的1个日历年作为评价基准年”。“6.2 数据来源，采用评价范围内国家或地方环境空气质量监测网中评价基准年连续1年的监测数据，或采用生态环境主管部门公开发布的环境空气质量现状数据”。</w:t>
            </w:r>
          </w:p>
          <w:p w14:paraId="4E70F64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为了解项目所在区域的空气环境质量现状，本次评价采用怀化市生态环境主管部门公布的《2024年12月环境空气质量月报及空气质量年报》中</w:t>
            </w:r>
            <w:r>
              <w:rPr>
                <w:rFonts w:hint="eastAsia" w:cs="Times New Roman"/>
                <w:color w:val="auto"/>
                <w:sz w:val="24"/>
                <w:szCs w:val="24"/>
                <w:u w:val="none" w:color="auto"/>
                <w:lang w:val="en-US" w:eastAsia="zh-CN"/>
              </w:rPr>
              <w:t>溆浦县</w:t>
            </w:r>
            <w:r>
              <w:rPr>
                <w:rFonts w:hint="default" w:ascii="Times New Roman" w:hAnsi="Times New Roman" w:eastAsia="宋体" w:cs="Times New Roman"/>
                <w:color w:val="auto"/>
                <w:sz w:val="24"/>
                <w:szCs w:val="24"/>
                <w:u w:val="none" w:color="auto"/>
              </w:rPr>
              <w:t>的环境空气监测数据来说明环境空气质量情况，监测结果详见下表</w:t>
            </w:r>
            <w:r>
              <w:rPr>
                <w:rFonts w:hint="default" w:ascii="Times New Roman" w:hAnsi="Times New Roman" w:eastAsia="宋体" w:cs="Times New Roman"/>
                <w:color w:val="auto"/>
                <w:sz w:val="24"/>
                <w:szCs w:val="24"/>
                <w:u w:val="none" w:color="auto"/>
                <w:lang w:val="en-US" w:eastAsia="zh-CN"/>
              </w:rPr>
              <w:t>3-1</w:t>
            </w:r>
            <w:r>
              <w:rPr>
                <w:rFonts w:hint="default" w:ascii="Times New Roman" w:hAnsi="Times New Roman" w:eastAsia="宋体" w:cs="Times New Roman"/>
                <w:color w:val="auto"/>
                <w:sz w:val="24"/>
                <w:szCs w:val="24"/>
                <w:u w:val="none" w:color="auto"/>
              </w:rPr>
              <w:t>。</w:t>
            </w:r>
          </w:p>
          <w:p w14:paraId="018E3176">
            <w:pPr>
              <w:keepNext w:val="0"/>
              <w:keepLines w:val="0"/>
              <w:pageBreakBefore w:val="0"/>
              <w:widowControl/>
              <w:kinsoku/>
              <w:wordWrap/>
              <w:overflowPunct/>
              <w:topLinePunct w:val="0"/>
              <w:autoSpaceDE/>
              <w:autoSpaceDN/>
              <w:bidi w:val="0"/>
              <w:adjustRightInd w:val="0"/>
              <w:snapToGrid w:val="0"/>
              <w:spacing w:line="360" w:lineRule="auto"/>
              <w:ind w:firstLine="422" w:firstLineChars="200"/>
              <w:jc w:val="center"/>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kern w:val="0"/>
                <w:sz w:val="21"/>
                <w:szCs w:val="21"/>
                <w:u w:val="none"/>
              </w:rPr>
              <w:t>表3-1  溆浦县</w:t>
            </w:r>
            <w:r>
              <w:rPr>
                <w:rFonts w:hint="eastAsia" w:cs="Times New Roman"/>
                <w:b/>
                <w:bCs/>
                <w:color w:val="auto"/>
                <w:kern w:val="0"/>
                <w:sz w:val="21"/>
                <w:szCs w:val="21"/>
                <w:u w:val="none"/>
                <w:lang w:val="en-US" w:eastAsia="zh-CN"/>
              </w:rPr>
              <w:t>2024</w:t>
            </w:r>
            <w:r>
              <w:rPr>
                <w:rFonts w:hint="default" w:ascii="Times New Roman" w:hAnsi="Times New Roman" w:eastAsia="宋体" w:cs="Times New Roman"/>
                <w:b/>
                <w:bCs/>
                <w:color w:val="auto"/>
                <w:kern w:val="0"/>
                <w:sz w:val="21"/>
                <w:szCs w:val="21"/>
                <w:u w:val="none"/>
              </w:rPr>
              <w:t>年度环境空气质量数据统计表</w:t>
            </w:r>
            <w:r>
              <w:rPr>
                <w:rFonts w:hint="default" w:ascii="Times New Roman" w:hAnsi="Times New Roman" w:eastAsia="宋体" w:cs="Times New Roman"/>
                <w:b/>
                <w:bCs/>
                <w:color w:val="auto"/>
                <w:sz w:val="21"/>
                <w:szCs w:val="21"/>
                <w:u w:val="none" w:color="auto"/>
              </w:rPr>
              <w:t xml:space="preserve"> 单位： μg/m</w:t>
            </w:r>
            <w:r>
              <w:rPr>
                <w:rFonts w:hint="default" w:ascii="Times New Roman" w:hAnsi="Times New Roman" w:eastAsia="宋体" w:cs="Times New Roman"/>
                <w:b/>
                <w:bCs/>
                <w:color w:val="auto"/>
                <w:sz w:val="21"/>
                <w:szCs w:val="21"/>
                <w:u w:val="none" w:color="auto"/>
                <w:vertAlign w:val="superscript"/>
              </w:rPr>
              <w:t>3</w:t>
            </w:r>
            <w:r>
              <w:rPr>
                <w:rFonts w:hint="default" w:ascii="Times New Roman" w:hAnsi="Times New Roman" w:eastAsia="宋体" w:cs="Times New Roman"/>
                <w:b/>
                <w:bCs/>
                <w:color w:val="auto"/>
                <w:sz w:val="21"/>
                <w:szCs w:val="21"/>
                <w:u w:val="none" w:color="auto"/>
              </w:rPr>
              <w:t>（CO：mg/m</w:t>
            </w:r>
            <w:r>
              <w:rPr>
                <w:rFonts w:hint="default" w:ascii="Times New Roman" w:hAnsi="Times New Roman" w:eastAsia="宋体" w:cs="Times New Roman"/>
                <w:b/>
                <w:bCs/>
                <w:color w:val="auto"/>
                <w:sz w:val="21"/>
                <w:szCs w:val="21"/>
                <w:u w:val="none" w:color="auto"/>
                <w:vertAlign w:val="superscript"/>
              </w:rPr>
              <w:t>3</w:t>
            </w:r>
            <w:r>
              <w:rPr>
                <w:rFonts w:hint="default" w:ascii="Times New Roman" w:hAnsi="Times New Roman" w:eastAsia="宋体" w:cs="Times New Roman"/>
                <w:b/>
                <w:bCs/>
                <w:color w:val="auto"/>
                <w:sz w:val="21"/>
                <w:szCs w:val="21"/>
                <w:u w:val="none" w:color="auto"/>
              </w:rPr>
              <w:t>）</w:t>
            </w:r>
          </w:p>
          <w:p w14:paraId="364A67F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u w:val="none" w:color="auto"/>
                <w:lang w:eastAsia="zh-CN"/>
              </w:rPr>
            </w:pPr>
            <w:r>
              <w:rPr>
                <w:rFonts w:hint="eastAsia" w:cs="Times New Roman"/>
                <w:b w:val="0"/>
                <w:bCs w:val="0"/>
                <w:color w:val="auto"/>
                <w:sz w:val="24"/>
                <w:szCs w:val="24"/>
                <w:u w:val="none" w:color="auto"/>
                <w:lang w:eastAsia="zh-CN"/>
              </w:rPr>
              <w:t>略</w:t>
            </w:r>
          </w:p>
          <w:p w14:paraId="65D28A5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u w:val="none" w:color="auto"/>
              </w:rPr>
            </w:pPr>
            <w:r>
              <w:rPr>
                <w:rFonts w:hint="default" w:ascii="Times New Roman" w:hAnsi="Times New Roman" w:eastAsia="宋体" w:cs="Times New Roman"/>
                <w:b w:val="0"/>
                <w:bCs w:val="0"/>
                <w:color w:val="auto"/>
                <w:sz w:val="24"/>
                <w:szCs w:val="24"/>
                <w:u w:val="none" w:color="auto"/>
              </w:rPr>
              <w:t>综上所述，本项目所在区域的SO</w:t>
            </w:r>
            <w:r>
              <w:rPr>
                <w:rFonts w:hint="default" w:ascii="Times New Roman" w:hAnsi="Times New Roman" w:eastAsia="宋体" w:cs="Times New Roman"/>
                <w:b w:val="0"/>
                <w:bCs w:val="0"/>
                <w:color w:val="auto"/>
                <w:sz w:val="24"/>
                <w:szCs w:val="24"/>
                <w:u w:val="none" w:color="auto"/>
                <w:vertAlign w:val="subscript"/>
              </w:rPr>
              <w:t>2</w:t>
            </w:r>
            <w:r>
              <w:rPr>
                <w:rFonts w:hint="default" w:ascii="Times New Roman" w:hAnsi="Times New Roman" w:eastAsia="宋体" w:cs="Times New Roman"/>
                <w:b w:val="0"/>
                <w:bCs w:val="0"/>
                <w:color w:val="auto"/>
                <w:sz w:val="24"/>
                <w:szCs w:val="24"/>
                <w:u w:val="none" w:color="auto"/>
              </w:rPr>
              <w:t>、PM</w:t>
            </w:r>
            <w:r>
              <w:rPr>
                <w:rFonts w:hint="default" w:ascii="Times New Roman" w:hAnsi="Times New Roman" w:eastAsia="宋体" w:cs="Times New Roman"/>
                <w:b w:val="0"/>
                <w:bCs w:val="0"/>
                <w:color w:val="auto"/>
                <w:sz w:val="24"/>
                <w:szCs w:val="24"/>
                <w:u w:val="none" w:color="auto"/>
                <w:vertAlign w:val="subscript"/>
              </w:rPr>
              <w:t>2.5</w:t>
            </w:r>
            <w:r>
              <w:rPr>
                <w:rFonts w:hint="default" w:ascii="Times New Roman" w:hAnsi="Times New Roman" w:eastAsia="宋体" w:cs="Times New Roman"/>
                <w:b w:val="0"/>
                <w:bCs w:val="0"/>
                <w:color w:val="auto"/>
                <w:sz w:val="24"/>
                <w:szCs w:val="24"/>
                <w:u w:val="none" w:color="auto"/>
              </w:rPr>
              <w:t>、PM</w:t>
            </w:r>
            <w:r>
              <w:rPr>
                <w:rFonts w:hint="default" w:ascii="Times New Roman" w:hAnsi="Times New Roman" w:eastAsia="宋体" w:cs="Times New Roman"/>
                <w:b w:val="0"/>
                <w:bCs w:val="0"/>
                <w:color w:val="auto"/>
                <w:sz w:val="24"/>
                <w:szCs w:val="24"/>
                <w:u w:val="none" w:color="auto"/>
                <w:vertAlign w:val="subscript"/>
              </w:rPr>
              <w:t>10</w:t>
            </w:r>
            <w:r>
              <w:rPr>
                <w:rFonts w:hint="default" w:ascii="Times New Roman" w:hAnsi="Times New Roman" w:eastAsia="宋体" w:cs="Times New Roman"/>
                <w:b w:val="0"/>
                <w:bCs w:val="0"/>
                <w:color w:val="auto"/>
                <w:sz w:val="24"/>
                <w:szCs w:val="24"/>
                <w:u w:val="none" w:color="auto"/>
              </w:rPr>
              <w:t>、NO</w:t>
            </w:r>
            <w:r>
              <w:rPr>
                <w:rFonts w:hint="default" w:ascii="Times New Roman" w:hAnsi="Times New Roman" w:eastAsia="宋体" w:cs="Times New Roman"/>
                <w:b w:val="0"/>
                <w:bCs w:val="0"/>
                <w:color w:val="auto"/>
                <w:sz w:val="24"/>
                <w:szCs w:val="24"/>
                <w:u w:val="none" w:color="auto"/>
                <w:vertAlign w:val="subscript"/>
              </w:rPr>
              <w:t>2</w:t>
            </w:r>
            <w:r>
              <w:rPr>
                <w:rFonts w:hint="default" w:ascii="Times New Roman" w:hAnsi="Times New Roman" w:eastAsia="宋体" w:cs="Times New Roman"/>
                <w:b w:val="0"/>
                <w:bCs w:val="0"/>
                <w:color w:val="auto"/>
                <w:sz w:val="24"/>
                <w:szCs w:val="24"/>
                <w:u w:val="none" w:color="auto"/>
              </w:rPr>
              <w:t>年平均质量浓度、CO第95百分位数日平均质量浓度和臭氧百分位数日最大8小时平均质量浓度均达到《环境空气质量标准》（GB3095-2012）及其2018年修改单二级标准。因此，项目区域所在</w:t>
            </w:r>
            <w:r>
              <w:rPr>
                <w:rFonts w:hint="eastAsia" w:ascii="Times New Roman" w:hAnsi="Times New Roman" w:eastAsia="宋体" w:cs="Times New Roman"/>
                <w:b w:val="0"/>
                <w:bCs w:val="0"/>
                <w:color w:val="auto"/>
                <w:sz w:val="24"/>
                <w:szCs w:val="24"/>
                <w:u w:val="none" w:color="auto"/>
                <w:lang w:val="en-US" w:eastAsia="zh-CN"/>
              </w:rPr>
              <w:t>溆浦县属于</w:t>
            </w:r>
            <w:r>
              <w:rPr>
                <w:rFonts w:hint="default" w:ascii="Times New Roman" w:hAnsi="Times New Roman" w:eastAsia="宋体" w:cs="Times New Roman"/>
                <w:b w:val="0"/>
                <w:bCs w:val="0"/>
                <w:color w:val="auto"/>
                <w:sz w:val="24"/>
                <w:szCs w:val="24"/>
                <w:u w:val="none" w:color="auto"/>
              </w:rPr>
              <w:t>环境空气质量达标区。</w:t>
            </w:r>
          </w:p>
          <w:p w14:paraId="3F4D8FA9">
            <w:pPr>
              <w:spacing w:line="360" w:lineRule="auto"/>
              <w:ind w:firstLine="482" w:firstLineChars="200"/>
              <w:jc w:val="both"/>
              <w:rPr>
                <w:rFonts w:hint="eastAsia" w:ascii="Times New Roman" w:hAnsi="Times New Roman" w:eastAsia="宋体" w:cs="Times New Roman"/>
                <w:b/>
                <w:bCs/>
                <w:color w:val="auto"/>
                <w:kern w:val="2"/>
                <w:highlight w:val="none"/>
                <w:u w:val="none"/>
                <w:lang w:val="en-US" w:eastAsia="zh-CN" w:bidi="ar-SA"/>
              </w:rPr>
            </w:pPr>
            <w:r>
              <w:rPr>
                <w:rFonts w:hint="eastAsia" w:ascii="Times New Roman" w:hAnsi="Times New Roman" w:eastAsia="宋体" w:cs="Times New Roman"/>
                <w:b/>
                <w:bCs/>
                <w:color w:val="auto"/>
                <w:kern w:val="2"/>
                <w:highlight w:val="none"/>
                <w:u w:val="none"/>
                <w:lang w:val="en-US" w:eastAsia="zh-CN" w:bidi="ar-SA"/>
              </w:rPr>
              <w:t>3.2地表水环境</w:t>
            </w:r>
          </w:p>
          <w:p w14:paraId="3929AEAD">
            <w:pPr>
              <w:spacing w:line="360" w:lineRule="auto"/>
              <w:ind w:firstLine="480" w:firstLineChars="200"/>
              <w:jc w:val="both"/>
              <w:rPr>
                <w:bCs/>
                <w:color w:val="auto"/>
                <w:sz w:val="24"/>
              </w:rPr>
            </w:pPr>
            <w:bookmarkStart w:id="6" w:name="_Toc25189"/>
            <w:r>
              <w:rPr>
                <w:rFonts w:hint="eastAsia"/>
                <w:bCs/>
                <w:color w:val="auto"/>
                <w:sz w:val="24"/>
              </w:rPr>
              <w:t>根据</w:t>
            </w:r>
            <w:r>
              <w:rPr>
                <w:color w:val="auto"/>
                <w:sz w:val="24"/>
              </w:rPr>
              <w:t>《</w:t>
            </w:r>
            <w:r>
              <w:rPr>
                <w:rFonts w:hint="eastAsia"/>
                <w:color w:val="auto"/>
                <w:sz w:val="24"/>
              </w:rPr>
              <w:t>湖南省怀化市水环境质量年报（202</w:t>
            </w:r>
            <w:r>
              <w:rPr>
                <w:rFonts w:hint="eastAsia"/>
                <w:color w:val="auto"/>
                <w:sz w:val="24"/>
                <w:lang w:val="en-US" w:eastAsia="zh-CN"/>
              </w:rPr>
              <w:t>4</w:t>
            </w:r>
            <w:r>
              <w:rPr>
                <w:rFonts w:hint="eastAsia"/>
                <w:color w:val="auto"/>
                <w:sz w:val="24"/>
              </w:rPr>
              <w:t>年）</w:t>
            </w:r>
            <w:r>
              <w:rPr>
                <w:color w:val="auto"/>
                <w:sz w:val="24"/>
              </w:rPr>
              <w:t>》</w:t>
            </w:r>
            <w:r>
              <w:rPr>
                <w:rFonts w:hint="eastAsia"/>
                <w:color w:val="auto"/>
                <w:sz w:val="24"/>
              </w:rPr>
              <w:t>显示，</w:t>
            </w:r>
            <w:r>
              <w:rPr>
                <w:bCs/>
                <w:color w:val="auto"/>
                <w:sz w:val="24"/>
              </w:rPr>
              <w:t>溆水</w:t>
            </w:r>
            <w:r>
              <w:rPr>
                <w:rFonts w:hint="eastAsia"/>
                <w:bCs/>
                <w:color w:val="auto"/>
                <w:sz w:val="24"/>
              </w:rPr>
              <w:t>四</w:t>
            </w:r>
            <w:r>
              <w:rPr>
                <w:bCs/>
                <w:color w:val="auto"/>
                <w:sz w:val="24"/>
              </w:rPr>
              <w:t>个监测断面水质均达到《地表水环境质量标准》（GB3838-2002）</w:t>
            </w:r>
            <w:r>
              <w:rPr>
                <w:color w:val="auto"/>
                <w:sz w:val="24"/>
              </w:rPr>
              <w:t>Ⅱ</w:t>
            </w:r>
            <w:r>
              <w:rPr>
                <w:bCs/>
                <w:color w:val="auto"/>
                <w:sz w:val="24"/>
              </w:rPr>
              <w:t>类标准。</w:t>
            </w:r>
          </w:p>
          <w:p w14:paraId="6C3695DB">
            <w:pPr>
              <w:jc w:val="center"/>
              <w:rPr>
                <w:b/>
                <w:color w:val="auto"/>
                <w:sz w:val="21"/>
                <w:szCs w:val="21"/>
              </w:rPr>
            </w:pPr>
            <w:r>
              <w:rPr>
                <w:b/>
                <w:color w:val="auto"/>
                <w:sz w:val="21"/>
                <w:szCs w:val="21"/>
              </w:rPr>
              <w:t>表3</w:t>
            </w:r>
            <w:r>
              <w:rPr>
                <w:rFonts w:hint="eastAsia"/>
                <w:b/>
                <w:color w:val="auto"/>
                <w:sz w:val="21"/>
                <w:szCs w:val="21"/>
              </w:rPr>
              <w:t>-</w:t>
            </w:r>
            <w:r>
              <w:rPr>
                <w:rFonts w:hint="eastAsia"/>
                <w:b/>
                <w:color w:val="auto"/>
                <w:sz w:val="21"/>
                <w:szCs w:val="21"/>
                <w:lang w:val="en-US" w:eastAsia="zh-CN"/>
              </w:rPr>
              <w:t>2</w:t>
            </w:r>
            <w:r>
              <w:rPr>
                <w:b/>
                <w:color w:val="auto"/>
                <w:sz w:val="21"/>
                <w:szCs w:val="21"/>
              </w:rPr>
              <w:t xml:space="preserve">  202</w:t>
            </w:r>
            <w:r>
              <w:rPr>
                <w:rFonts w:hint="eastAsia"/>
                <w:b/>
                <w:color w:val="auto"/>
                <w:sz w:val="21"/>
                <w:szCs w:val="21"/>
                <w:lang w:val="en-US" w:eastAsia="zh-CN"/>
              </w:rPr>
              <w:t>4</w:t>
            </w:r>
            <w:r>
              <w:rPr>
                <w:b/>
                <w:color w:val="auto"/>
                <w:sz w:val="21"/>
                <w:szCs w:val="21"/>
              </w:rPr>
              <w:t>年怀化市</w:t>
            </w:r>
            <w:r>
              <w:rPr>
                <w:rFonts w:hint="eastAsia"/>
                <w:b/>
                <w:color w:val="auto"/>
                <w:sz w:val="21"/>
                <w:szCs w:val="21"/>
              </w:rPr>
              <w:t>溆浦县</w:t>
            </w:r>
            <w:r>
              <w:rPr>
                <w:b/>
                <w:color w:val="auto"/>
                <w:sz w:val="21"/>
                <w:szCs w:val="21"/>
              </w:rPr>
              <w:t>地表水水质情况一览表</w:t>
            </w:r>
          </w:p>
          <w:p w14:paraId="21DB0F00">
            <w:pPr>
              <w:pStyle w:val="127"/>
              <w:spacing w:line="360" w:lineRule="auto"/>
              <w:jc w:val="left"/>
              <w:rPr>
                <w:rFonts w:hint="eastAsia" w:hAnsi="Times New Roman" w:eastAsia="宋体" w:cs="Times New Roman"/>
                <w:color w:val="auto"/>
                <w:sz w:val="24"/>
                <w:lang w:eastAsia="zh-CN"/>
              </w:rPr>
            </w:pPr>
            <w:r>
              <w:rPr>
                <w:rFonts w:hint="eastAsia" w:hAnsi="Times New Roman" w:cs="Times New Roman"/>
                <w:color w:val="auto"/>
                <w:sz w:val="24"/>
                <w:lang w:eastAsia="zh-CN"/>
              </w:rPr>
              <w:t>略</w:t>
            </w:r>
          </w:p>
          <w:p w14:paraId="56E5EA7B">
            <w:pPr>
              <w:pStyle w:val="127"/>
              <w:spacing w:line="360" w:lineRule="auto"/>
              <w:jc w:val="left"/>
              <w:rPr>
                <w:rFonts w:hint="eastAsia" w:hAnsi="Times New Roman" w:cs="Times New Roman"/>
                <w:color w:val="auto"/>
                <w:sz w:val="24"/>
              </w:rPr>
            </w:pPr>
            <w:r>
              <w:rPr>
                <w:rFonts w:hint="eastAsia" w:hAnsi="Times New Roman" w:cs="Times New Roman"/>
                <w:color w:val="auto"/>
                <w:sz w:val="24"/>
              </w:rPr>
              <w:t>由上表可知，项目所在地水质能够达到《地表水环境质量标准》</w:t>
            </w:r>
            <w:r>
              <w:rPr>
                <w:rFonts w:hint="eastAsia" w:hAnsi="Times New Roman" w:cs="Times New Roman"/>
                <w:color w:val="auto"/>
                <w:sz w:val="24"/>
                <w:lang w:eastAsia="zh-CN"/>
              </w:rPr>
              <w:t>Ⅱ类</w:t>
            </w:r>
            <w:r>
              <w:rPr>
                <w:rFonts w:hint="eastAsia" w:hAnsi="Times New Roman" w:cs="Times New Roman"/>
                <w:color w:val="auto"/>
                <w:sz w:val="24"/>
              </w:rPr>
              <w:t>水质标准。</w:t>
            </w:r>
          </w:p>
          <w:bookmarkEnd w:id="6"/>
          <w:p w14:paraId="398356E4">
            <w:pPr>
              <w:keepNext w:val="0"/>
              <w:keepLines w:val="0"/>
              <w:widowControl/>
              <w:suppressLineNumbers w:val="0"/>
              <w:ind w:firstLine="482" w:firstLineChars="200"/>
              <w:jc w:val="left"/>
              <w:rPr>
                <w:rFonts w:hint="default" w:ascii="Times New Roman" w:hAnsi="Times New Roman" w:eastAsia="宋体" w:cs="Times New Roman"/>
                <w:b/>
                <w:bCs/>
                <w:color w:val="auto"/>
                <w:kern w:val="2"/>
                <w:highlight w:val="none"/>
                <w:u w:val="none"/>
                <w:lang w:val="en-US" w:eastAsia="zh-CN" w:bidi="ar-SA"/>
              </w:rPr>
            </w:pPr>
            <w:r>
              <w:rPr>
                <w:rFonts w:hint="default" w:ascii="Times New Roman" w:hAnsi="Times New Roman" w:eastAsia="宋体" w:cs="Times New Roman"/>
                <w:b/>
                <w:bCs/>
                <w:color w:val="auto"/>
                <w:kern w:val="2"/>
                <w:highlight w:val="none"/>
                <w:u w:val="none"/>
                <w:lang w:val="en-US" w:eastAsia="zh-CN" w:bidi="ar-SA"/>
              </w:rPr>
              <w:t>3</w:t>
            </w:r>
            <w:r>
              <w:rPr>
                <w:rFonts w:hint="eastAsia" w:ascii="Times New Roman" w:hAnsi="Times New Roman" w:eastAsia="宋体" w:cs="Times New Roman"/>
                <w:b/>
                <w:bCs/>
                <w:color w:val="auto"/>
                <w:kern w:val="2"/>
                <w:highlight w:val="none"/>
                <w:u w:val="none"/>
                <w:lang w:val="en-US" w:eastAsia="zh-CN" w:bidi="ar-SA"/>
              </w:rPr>
              <w:t>.3</w:t>
            </w:r>
            <w:r>
              <w:rPr>
                <w:rFonts w:hint="default" w:ascii="Times New Roman" w:hAnsi="Times New Roman" w:eastAsia="宋体" w:cs="Times New Roman"/>
                <w:b/>
                <w:bCs/>
                <w:color w:val="auto"/>
                <w:kern w:val="2"/>
                <w:highlight w:val="none"/>
                <w:u w:val="none"/>
                <w:lang w:val="en-US" w:eastAsia="zh-CN" w:bidi="ar-SA"/>
              </w:rPr>
              <w:t>声环境</w:t>
            </w:r>
          </w:p>
          <w:p w14:paraId="3BD68EBE">
            <w:pPr>
              <w:spacing w:line="360" w:lineRule="auto"/>
              <w:ind w:firstLine="480" w:firstLineChars="200"/>
              <w:jc w:val="both"/>
              <w:rPr>
                <w:color w:val="auto"/>
                <w:sz w:val="24"/>
                <w:highlight w:val="yellow"/>
              </w:rPr>
            </w:pPr>
            <w:r>
              <w:rPr>
                <w:color w:val="auto"/>
                <w:sz w:val="24"/>
                <w:highlight w:val="none"/>
              </w:rPr>
              <w:t>了解项目所在地噪声环境质量现状，</w:t>
            </w:r>
            <w:r>
              <w:rPr>
                <w:rFonts w:hint="eastAsia"/>
                <w:color w:val="auto"/>
                <w:sz w:val="24"/>
                <w:highlight w:val="none"/>
              </w:rPr>
              <w:t>本项目委托</w:t>
            </w:r>
            <w:r>
              <w:rPr>
                <w:rFonts w:hint="eastAsia" w:cs="Times New Roman"/>
                <w:color w:val="auto"/>
                <w:sz w:val="24"/>
                <w:u w:val="none" w:color="auto"/>
                <w:lang w:val="en-US" w:eastAsia="zh-CN"/>
              </w:rPr>
              <w:t>/</w:t>
            </w:r>
            <w:r>
              <w:rPr>
                <w:color w:val="auto"/>
                <w:sz w:val="24"/>
                <w:highlight w:val="none"/>
              </w:rPr>
              <w:t>，对该区域声环境进行监测，结果详见下表：</w:t>
            </w:r>
          </w:p>
          <w:p w14:paraId="0818AA25">
            <w:pPr>
              <w:adjustRightInd w:val="0"/>
              <w:snapToGrid w:val="0"/>
              <w:ind w:firstLine="422" w:firstLineChars="200"/>
              <w:jc w:val="center"/>
              <w:rPr>
                <w:b/>
                <w:color w:val="auto"/>
                <w:sz w:val="21"/>
                <w:szCs w:val="21"/>
                <w:highlight w:val="none"/>
              </w:rPr>
            </w:pPr>
            <w:r>
              <w:rPr>
                <w:b/>
                <w:color w:val="auto"/>
                <w:sz w:val="21"/>
                <w:szCs w:val="21"/>
                <w:highlight w:val="none"/>
              </w:rPr>
              <w:t>表3-</w:t>
            </w:r>
            <w:r>
              <w:rPr>
                <w:rFonts w:hint="eastAsia"/>
                <w:b/>
                <w:color w:val="auto"/>
                <w:sz w:val="21"/>
                <w:szCs w:val="21"/>
                <w:highlight w:val="none"/>
                <w:lang w:val="en-US" w:eastAsia="zh-CN"/>
              </w:rPr>
              <w:t xml:space="preserve">3  </w:t>
            </w:r>
            <w:r>
              <w:rPr>
                <w:b/>
                <w:color w:val="auto"/>
                <w:sz w:val="21"/>
                <w:szCs w:val="21"/>
                <w:highlight w:val="none"/>
              </w:rPr>
              <w:t>噪声监测结果一览表  单位：dB（A）</w:t>
            </w:r>
          </w:p>
          <w:p w14:paraId="2186732B">
            <w:pPr>
              <w:pStyle w:val="47"/>
              <w:spacing w:line="360" w:lineRule="auto"/>
              <w:ind w:firstLine="480" w:firstLineChars="200"/>
              <w:jc w:val="both"/>
              <w:rPr>
                <w:rFonts w:hint="eastAsia" w:ascii="Times New Roman" w:eastAsia="宋体" w:cs="Times New Roman"/>
                <w:color w:val="auto"/>
                <w:szCs w:val="20"/>
                <w:highlight w:val="none"/>
                <w:lang w:val="en-US" w:eastAsia="zh-CN"/>
              </w:rPr>
            </w:pPr>
            <w:r>
              <w:rPr>
                <w:rFonts w:hint="eastAsia" w:ascii="Times New Roman" w:cs="Times New Roman"/>
                <w:color w:val="auto"/>
                <w:szCs w:val="20"/>
                <w:highlight w:val="none"/>
                <w:lang w:val="en-US" w:eastAsia="zh-CN"/>
              </w:rPr>
              <w:t>略</w:t>
            </w:r>
          </w:p>
          <w:p w14:paraId="433B6880">
            <w:pPr>
              <w:pStyle w:val="47"/>
              <w:spacing w:line="360" w:lineRule="auto"/>
              <w:ind w:firstLine="480" w:firstLineChars="200"/>
              <w:jc w:val="both"/>
              <w:rPr>
                <w:rFonts w:hint="default" w:ascii="Times New Roman" w:hAnsi="Times New Roman" w:eastAsia="宋体" w:cs="Times New Roman"/>
                <w:color w:val="auto"/>
                <w:kern w:val="0"/>
                <w:sz w:val="24"/>
                <w:szCs w:val="24"/>
                <w:highlight w:val="none"/>
                <w:u w:val="none" w:color="auto"/>
                <w:lang w:val="en-US" w:eastAsia="zh-CN" w:bidi="ar"/>
              </w:rPr>
            </w:pPr>
            <w:r>
              <w:rPr>
                <w:rFonts w:hint="eastAsia" w:ascii="Times New Roman" w:eastAsia="宋体" w:cs="Times New Roman"/>
                <w:color w:val="auto"/>
                <w:szCs w:val="20"/>
                <w:highlight w:val="none"/>
                <w:lang w:val="en-US" w:eastAsia="zh-CN"/>
              </w:rPr>
              <w:t>声环境敏感点噪声满足</w:t>
            </w:r>
            <w:r>
              <w:rPr>
                <w:rFonts w:ascii="Times New Roman" w:eastAsia="宋体" w:cs="Times New Roman"/>
                <w:color w:val="auto"/>
                <w:szCs w:val="20"/>
                <w:highlight w:val="none"/>
              </w:rPr>
              <w:t>《声环境质量标准》（GB3096-2008）中</w:t>
            </w:r>
            <w:r>
              <w:rPr>
                <w:rFonts w:hint="eastAsia" w:ascii="Times New Roman" w:eastAsia="宋体" w:cs="Times New Roman"/>
                <w:color w:val="auto"/>
                <w:szCs w:val="20"/>
                <w:highlight w:val="none"/>
                <w:lang w:val="en-US" w:eastAsia="zh-CN"/>
              </w:rPr>
              <w:t>2</w:t>
            </w:r>
            <w:r>
              <w:rPr>
                <w:rFonts w:ascii="Times New Roman" w:eastAsia="宋体" w:cs="Times New Roman"/>
                <w:color w:val="auto"/>
                <w:szCs w:val="20"/>
                <w:highlight w:val="none"/>
              </w:rPr>
              <w:t>类标准要求</w:t>
            </w:r>
            <w:r>
              <w:rPr>
                <w:rFonts w:hint="default" w:ascii="Times New Roman" w:hAnsi="Times New Roman" w:eastAsia="宋体" w:cs="Times New Roman"/>
                <w:color w:val="auto"/>
                <w:sz w:val="24"/>
                <w:szCs w:val="24"/>
                <w:highlight w:val="none"/>
                <w:u w:val="none" w:color="auto"/>
                <w:lang w:val="en-US" w:eastAsia="zh-CN"/>
              </w:rPr>
              <w:t>。</w:t>
            </w:r>
          </w:p>
          <w:p w14:paraId="131D4462">
            <w:pPr>
              <w:pStyle w:val="54"/>
              <w:widowControl w:val="0"/>
              <w:ind w:firstLine="482"/>
              <w:rPr>
                <w:color w:val="auto"/>
                <w:highlight w:val="none"/>
                <w:u w:val="none"/>
              </w:rPr>
            </w:pPr>
            <w:r>
              <w:rPr>
                <w:rFonts w:hint="eastAsia"/>
                <w:b/>
                <w:bCs/>
                <w:color w:val="auto"/>
                <w:highlight w:val="none"/>
                <w:u w:val="none"/>
              </w:rPr>
              <w:t>3.</w:t>
            </w:r>
            <w:r>
              <w:rPr>
                <w:b/>
                <w:bCs/>
                <w:color w:val="auto"/>
                <w:highlight w:val="none"/>
                <w:u w:val="none"/>
              </w:rPr>
              <w:t>4</w:t>
            </w:r>
            <w:r>
              <w:rPr>
                <w:rFonts w:hint="eastAsia"/>
                <w:b/>
                <w:bCs/>
                <w:color w:val="auto"/>
                <w:highlight w:val="none"/>
                <w:u w:val="none"/>
              </w:rPr>
              <w:t>地下水、土壤环境</w:t>
            </w:r>
          </w:p>
          <w:p w14:paraId="60B4AC7E">
            <w:pPr>
              <w:pStyle w:val="79"/>
              <w:adjustRightInd/>
              <w:snapToGrid/>
              <w:spacing w:line="360" w:lineRule="auto"/>
              <w:ind w:firstLine="480" w:firstLineChars="200"/>
              <w:jc w:val="both"/>
              <w:rPr>
                <w:rFonts w:hint="default" w:ascii="Times New Roman" w:hAnsi="Times New Roman" w:eastAsia="宋体" w:cs="Times New Roman"/>
                <w:color w:val="auto"/>
                <w:kern w:val="2"/>
                <w:sz w:val="24"/>
                <w:szCs w:val="22"/>
                <w:u w:val="none" w:color="auto"/>
                <w:lang w:val="en-US" w:eastAsia="zh-CN" w:bidi="ar-SA"/>
              </w:rPr>
            </w:pPr>
            <w:r>
              <w:rPr>
                <w:rFonts w:hint="default" w:ascii="Times New Roman" w:hAnsi="Times New Roman" w:eastAsia="宋体" w:cs="Times New Roman"/>
                <w:color w:val="auto"/>
                <w:kern w:val="2"/>
                <w:sz w:val="24"/>
                <w:szCs w:val="22"/>
                <w:u w:val="none" w:color="auto"/>
                <w:lang w:val="en-US" w:eastAsia="zh-CN" w:bidi="ar-SA"/>
              </w:rPr>
              <w:t>根据生态环境部办公厅2020年12月24日印发的《</w:t>
            </w:r>
            <w:r>
              <w:rPr>
                <w:rFonts w:hint="default" w:ascii="Times New Roman" w:hAnsi="Times New Roman" w:eastAsia="宋体" w:cs="Times New Roman"/>
                <w:color w:val="auto"/>
                <w:kern w:val="2"/>
                <w:sz w:val="24"/>
                <w:szCs w:val="22"/>
                <w:u w:val="none" w:color="auto"/>
                <w:lang w:val="en-US" w:eastAsia="zh-CN" w:bidi="ar-SA"/>
              </w:rPr>
              <w:fldChar w:fldCharType="begin"/>
            </w:r>
            <w:r>
              <w:rPr>
                <w:rFonts w:hint="default" w:ascii="Times New Roman" w:hAnsi="Times New Roman" w:eastAsia="宋体" w:cs="Times New Roman"/>
                <w:color w:val="auto"/>
                <w:kern w:val="2"/>
                <w:sz w:val="24"/>
                <w:szCs w:val="22"/>
                <w:u w:val="none" w:color="auto"/>
                <w:lang w:val="en-US" w:eastAsia="zh-CN" w:bidi="ar-SA"/>
              </w:rPr>
              <w:instrText xml:space="preserve"> HYPERLINK "http://www.gepresearch.com/uploads/soft/210104/1_1746581341.pdf" \t "http://www.gepresearch.com/76/_blank" </w:instrText>
            </w:r>
            <w:r>
              <w:rPr>
                <w:rFonts w:hint="default" w:ascii="Times New Roman" w:hAnsi="Times New Roman" w:eastAsia="宋体" w:cs="Times New Roman"/>
                <w:color w:val="auto"/>
                <w:kern w:val="2"/>
                <w:sz w:val="24"/>
                <w:szCs w:val="22"/>
                <w:u w:val="none" w:color="auto"/>
                <w:lang w:val="en-US" w:eastAsia="zh-CN" w:bidi="ar-SA"/>
              </w:rPr>
              <w:fldChar w:fldCharType="separate"/>
            </w:r>
            <w:r>
              <w:rPr>
                <w:rFonts w:hint="default" w:ascii="Times New Roman" w:hAnsi="Times New Roman" w:eastAsia="宋体" w:cs="Times New Roman"/>
                <w:color w:val="auto"/>
                <w:kern w:val="2"/>
                <w:sz w:val="24"/>
                <w:szCs w:val="22"/>
                <w:u w:val="none" w:color="auto"/>
                <w:lang w:val="en-US" w:eastAsia="zh-CN" w:bidi="ar-SA"/>
              </w:rPr>
              <w:t>建设项目环境影响报告表编制技术指南（污染影响类）（试行）</w:t>
            </w:r>
            <w:r>
              <w:rPr>
                <w:rFonts w:hint="default" w:ascii="Times New Roman" w:hAnsi="Times New Roman" w:eastAsia="宋体" w:cs="Times New Roman"/>
                <w:color w:val="auto"/>
                <w:kern w:val="2"/>
                <w:sz w:val="24"/>
                <w:szCs w:val="22"/>
                <w:u w:val="none" w:color="auto"/>
                <w:lang w:val="en-US" w:eastAsia="zh-CN" w:bidi="ar-SA"/>
              </w:rPr>
              <w:fldChar w:fldCharType="end"/>
            </w:r>
            <w:r>
              <w:rPr>
                <w:rFonts w:hint="default" w:ascii="Times New Roman" w:hAnsi="Times New Roman" w:eastAsia="宋体" w:cs="Times New Roman"/>
                <w:color w:val="auto"/>
                <w:kern w:val="2"/>
                <w:sz w:val="24"/>
                <w:szCs w:val="22"/>
                <w:u w:val="none" w:color="auto"/>
                <w:lang w:val="en-US" w:eastAsia="zh-CN" w:bidi="ar-SA"/>
              </w:rPr>
              <w:t>》中具体编制要求“</w:t>
            </w:r>
            <w:r>
              <w:rPr>
                <w:rFonts w:hint="default" w:ascii="Times New Roman" w:hAnsi="Times New Roman" w:eastAsia="宋体" w:cs="Times New Roman"/>
                <w:color w:val="auto"/>
                <w:sz w:val="24"/>
                <w:szCs w:val="24"/>
                <w:u w:val="none" w:color="auto"/>
              </w:rPr>
              <w:t>原则上不开展环境质量现状调查。建设项目存在</w:t>
            </w:r>
            <w:r>
              <w:rPr>
                <w:rFonts w:hint="default" w:ascii="Times New Roman" w:hAnsi="Times New Roman" w:eastAsia="宋体" w:cs="Times New Roman"/>
                <w:color w:val="auto"/>
                <w:sz w:val="24"/>
                <w:szCs w:val="24"/>
                <w:u w:val="none" w:color="auto"/>
                <w:lang w:eastAsia="zh-CN"/>
              </w:rPr>
              <w:t>地下水、土壤</w:t>
            </w:r>
            <w:r>
              <w:rPr>
                <w:rFonts w:hint="default" w:ascii="Times New Roman" w:hAnsi="Times New Roman" w:eastAsia="宋体" w:cs="Times New Roman"/>
                <w:color w:val="auto"/>
                <w:sz w:val="24"/>
                <w:szCs w:val="24"/>
                <w:u w:val="none" w:color="auto"/>
              </w:rPr>
              <w:t>环境污染途径的，应结合污染源、保护目标分布情况开展现状调查以留作背景值。</w:t>
            </w:r>
            <w:r>
              <w:rPr>
                <w:rFonts w:hint="default" w:ascii="Times New Roman" w:hAnsi="Times New Roman" w:eastAsia="宋体" w:cs="Times New Roman"/>
                <w:color w:val="auto"/>
                <w:kern w:val="2"/>
                <w:sz w:val="24"/>
                <w:szCs w:val="22"/>
                <w:u w:val="none" w:color="auto"/>
                <w:lang w:val="en-US" w:eastAsia="zh-CN" w:bidi="ar-SA"/>
              </w:rPr>
              <w:t>”结合现场及工艺分析调查，本项目</w:t>
            </w:r>
            <w:r>
              <w:rPr>
                <w:rFonts w:hint="eastAsia" w:ascii="Times New Roman" w:hAnsi="Times New Roman" w:eastAsia="宋体" w:cs="Times New Roman"/>
                <w:color w:val="auto"/>
                <w:kern w:val="2"/>
                <w:sz w:val="24"/>
                <w:szCs w:val="22"/>
                <w:u w:val="none" w:color="auto"/>
                <w:lang w:val="en-US" w:eastAsia="zh-CN" w:bidi="ar-SA"/>
              </w:rPr>
              <w:t>拟采取</w:t>
            </w:r>
            <w:r>
              <w:rPr>
                <w:rFonts w:hint="default" w:ascii="Times New Roman" w:hAnsi="Times New Roman" w:eastAsia="宋体" w:cs="Times New Roman"/>
                <w:color w:val="auto"/>
                <w:kern w:val="2"/>
                <w:sz w:val="24"/>
                <w:szCs w:val="22"/>
                <w:u w:val="none" w:color="auto"/>
                <w:lang w:val="en-US" w:eastAsia="zh-CN" w:bidi="ar-SA"/>
              </w:rPr>
              <w:t>地面硬化</w:t>
            </w:r>
            <w:r>
              <w:rPr>
                <w:rFonts w:hint="eastAsia" w:ascii="Times New Roman" w:hAnsi="Times New Roman" w:eastAsia="宋体" w:cs="Times New Roman"/>
                <w:color w:val="auto"/>
                <w:kern w:val="2"/>
                <w:sz w:val="24"/>
                <w:szCs w:val="22"/>
                <w:u w:val="none" w:color="auto"/>
                <w:lang w:val="en-US" w:eastAsia="zh-CN" w:bidi="ar-SA"/>
              </w:rPr>
              <w:t>等防渗措施</w:t>
            </w:r>
            <w:r>
              <w:rPr>
                <w:rFonts w:hint="default" w:ascii="Times New Roman" w:hAnsi="Times New Roman" w:eastAsia="宋体" w:cs="Times New Roman"/>
                <w:color w:val="auto"/>
                <w:kern w:val="2"/>
                <w:sz w:val="24"/>
                <w:szCs w:val="22"/>
                <w:u w:val="none" w:color="auto"/>
                <w:lang w:val="en-US" w:eastAsia="zh-CN" w:bidi="ar-SA"/>
              </w:rPr>
              <w:t>，</w:t>
            </w:r>
            <w:r>
              <w:rPr>
                <w:rFonts w:hint="eastAsia" w:ascii="Times New Roman" w:hAnsi="Times New Roman" w:eastAsia="宋体" w:cs="Times New Roman"/>
                <w:color w:val="auto"/>
                <w:kern w:val="2"/>
                <w:sz w:val="24"/>
                <w:szCs w:val="22"/>
                <w:u w:val="none" w:color="auto"/>
                <w:lang w:val="en-US" w:eastAsia="zh-CN" w:bidi="ar-SA"/>
              </w:rPr>
              <w:t>阻隔了</w:t>
            </w:r>
            <w:r>
              <w:rPr>
                <w:rFonts w:hint="default" w:ascii="Times New Roman" w:hAnsi="Times New Roman" w:eastAsia="宋体" w:cs="Times New Roman"/>
                <w:color w:val="auto"/>
                <w:sz w:val="24"/>
                <w:szCs w:val="24"/>
                <w:u w:val="none" w:color="auto"/>
                <w:lang w:eastAsia="zh-CN"/>
              </w:rPr>
              <w:t>地下水</w:t>
            </w:r>
            <w:r>
              <w:rPr>
                <w:rFonts w:hint="default" w:ascii="Times New Roman" w:hAnsi="Times New Roman" w:eastAsia="宋体" w:cs="Times New Roman"/>
                <w:color w:val="auto"/>
                <w:sz w:val="24"/>
                <w:szCs w:val="24"/>
                <w:u w:val="none" w:color="auto"/>
                <w:lang w:val="en-US" w:eastAsia="zh-CN"/>
              </w:rPr>
              <w:t>、土壤</w:t>
            </w:r>
            <w:r>
              <w:rPr>
                <w:rFonts w:hint="default" w:ascii="Times New Roman" w:hAnsi="Times New Roman" w:eastAsia="宋体" w:cs="Times New Roman"/>
                <w:color w:val="auto"/>
                <w:sz w:val="24"/>
                <w:szCs w:val="24"/>
                <w:u w:val="none" w:color="auto"/>
              </w:rPr>
              <w:t>环境</w:t>
            </w:r>
            <w:r>
              <w:rPr>
                <w:rFonts w:hint="eastAsia" w:ascii="Times New Roman" w:hAnsi="Times New Roman" w:eastAsia="宋体" w:cs="Times New Roman"/>
                <w:color w:val="auto"/>
                <w:sz w:val="24"/>
                <w:szCs w:val="24"/>
                <w:u w:val="none" w:color="auto"/>
                <w:lang w:val="en-US" w:eastAsia="zh-CN"/>
              </w:rPr>
              <w:t>的</w:t>
            </w:r>
            <w:r>
              <w:rPr>
                <w:rFonts w:hint="default" w:ascii="Times New Roman" w:hAnsi="Times New Roman" w:eastAsia="宋体" w:cs="Times New Roman"/>
                <w:color w:val="auto"/>
                <w:sz w:val="24"/>
                <w:szCs w:val="24"/>
                <w:u w:val="none" w:color="auto"/>
              </w:rPr>
              <w:t>污染途径</w:t>
            </w:r>
            <w:r>
              <w:rPr>
                <w:rFonts w:hint="default" w:ascii="Times New Roman" w:hAnsi="Times New Roman" w:eastAsia="宋体" w:cs="Times New Roman"/>
                <w:color w:val="auto"/>
                <w:kern w:val="2"/>
                <w:sz w:val="24"/>
                <w:szCs w:val="22"/>
                <w:u w:val="none" w:color="auto"/>
                <w:lang w:val="en-US" w:eastAsia="zh-CN" w:bidi="ar-SA"/>
              </w:rPr>
              <w:t>，因此可</w:t>
            </w:r>
            <w:r>
              <w:rPr>
                <w:rFonts w:hint="default" w:ascii="Times New Roman" w:hAnsi="Times New Roman" w:eastAsia="宋体" w:cs="Times New Roman"/>
                <w:color w:val="auto"/>
                <w:sz w:val="24"/>
                <w:szCs w:val="24"/>
                <w:u w:val="none" w:color="auto"/>
              </w:rPr>
              <w:t>不开展</w:t>
            </w:r>
            <w:r>
              <w:rPr>
                <w:rFonts w:hint="default" w:ascii="Times New Roman" w:hAnsi="Times New Roman" w:eastAsia="宋体" w:cs="Times New Roman"/>
                <w:color w:val="auto"/>
                <w:sz w:val="24"/>
                <w:szCs w:val="24"/>
                <w:u w:val="none" w:color="auto"/>
                <w:lang w:eastAsia="zh-CN"/>
              </w:rPr>
              <w:t>地下水、土壤</w:t>
            </w:r>
            <w:r>
              <w:rPr>
                <w:rFonts w:hint="default" w:ascii="Times New Roman" w:hAnsi="Times New Roman" w:eastAsia="宋体" w:cs="Times New Roman"/>
                <w:color w:val="auto"/>
                <w:sz w:val="24"/>
                <w:szCs w:val="24"/>
                <w:u w:val="none" w:color="auto"/>
              </w:rPr>
              <w:t>环境质量现状调查</w:t>
            </w:r>
            <w:r>
              <w:rPr>
                <w:rFonts w:hint="default" w:ascii="Times New Roman" w:hAnsi="Times New Roman" w:eastAsia="宋体" w:cs="Times New Roman"/>
                <w:color w:val="auto"/>
                <w:kern w:val="2"/>
                <w:sz w:val="24"/>
                <w:szCs w:val="22"/>
                <w:u w:val="none" w:color="auto"/>
                <w:lang w:val="en-US" w:eastAsia="zh-CN" w:bidi="ar-SA"/>
              </w:rPr>
              <w:t>。</w:t>
            </w:r>
          </w:p>
          <w:p w14:paraId="132B69CD">
            <w:pPr>
              <w:pStyle w:val="79"/>
              <w:adjustRightInd/>
              <w:snapToGrid/>
              <w:spacing w:line="360" w:lineRule="auto"/>
              <w:ind w:firstLine="482" w:firstLineChars="200"/>
              <w:jc w:val="both"/>
              <w:rPr>
                <w:rFonts w:hint="default" w:ascii="Times New Roman" w:hAnsi="Times New Roman" w:cs="Times New Roman"/>
                <w:b/>
                <w:bCs/>
                <w:color w:val="auto"/>
                <w:highlight w:val="none"/>
                <w:u w:val="none"/>
              </w:rPr>
            </w:pPr>
            <w:r>
              <w:rPr>
                <w:rFonts w:hint="eastAsia" w:ascii="Times New Roman" w:hAnsi="Times New Roman" w:cs="Times New Roman"/>
                <w:b/>
                <w:bCs/>
                <w:color w:val="auto"/>
                <w:highlight w:val="none"/>
                <w:u w:val="none"/>
                <w:lang w:val="en-US" w:eastAsia="zh-CN"/>
              </w:rPr>
              <w:t>3.5</w:t>
            </w:r>
            <w:r>
              <w:rPr>
                <w:rFonts w:hint="default" w:ascii="Times New Roman" w:hAnsi="Times New Roman" w:cs="Times New Roman"/>
                <w:b/>
                <w:bCs/>
                <w:color w:val="auto"/>
                <w:highlight w:val="none"/>
                <w:u w:val="none"/>
              </w:rPr>
              <w:t>电磁辐射</w:t>
            </w:r>
          </w:p>
          <w:p w14:paraId="7B43B5E5">
            <w:pPr>
              <w:pStyle w:val="13"/>
              <w:spacing w:line="360" w:lineRule="auto"/>
              <w:ind w:firstLine="480" w:firstLineChars="200"/>
              <w:jc w:val="both"/>
              <w:rPr>
                <w:rFonts w:hint="eastAsia" w:ascii="Times New Roman" w:hAnsi="Times New Roman" w:eastAsia="宋体" w:cstheme="minorBidi"/>
                <w:color w:val="auto"/>
                <w:sz w:val="24"/>
                <w:szCs w:val="24"/>
                <w:highlight w:val="none"/>
                <w:u w:val="none"/>
                <w:lang w:val="en-US" w:eastAsia="zh-CN" w:bidi="ar-SA"/>
              </w:rPr>
            </w:pPr>
            <w:r>
              <w:rPr>
                <w:rFonts w:hint="eastAsia"/>
                <w:b w:val="0"/>
                <w:bCs w:val="0"/>
                <w:color w:val="auto"/>
                <w:sz w:val="24"/>
                <w:szCs w:val="24"/>
                <w:highlight w:val="none"/>
                <w:u w:val="single"/>
              </w:rPr>
              <w:t>项目涉及的由放射性医疗设备造成的电磁辐射影响评价、预测及防护措施等内容，由建设单位另行委托进行评价，不在本报告表范围之内</w:t>
            </w:r>
            <w:r>
              <w:rPr>
                <w:rFonts w:hint="eastAsia"/>
                <w:b w:val="0"/>
                <w:bCs w:val="0"/>
                <w:color w:val="auto"/>
                <w:sz w:val="24"/>
                <w:szCs w:val="24"/>
                <w:highlight w:val="none"/>
                <w:u w:val="none"/>
              </w:rPr>
              <w:t>。</w:t>
            </w:r>
            <w:r>
              <w:rPr>
                <w:rFonts w:hint="eastAsia" w:ascii="Times New Roman" w:hAnsi="Times New Roman" w:eastAsia="宋体" w:cstheme="minorBidi"/>
                <w:color w:val="auto"/>
                <w:sz w:val="24"/>
                <w:szCs w:val="24"/>
                <w:highlight w:val="none"/>
                <w:u w:val="none"/>
                <w:lang w:val="en-US" w:eastAsia="zh-CN" w:bidi="ar-SA"/>
              </w:rPr>
              <w:t>本次环评不涉及电磁辐射评价，</w:t>
            </w:r>
            <w:r>
              <w:rPr>
                <w:color w:val="auto"/>
                <w:sz w:val="24"/>
                <w:highlight w:val="none"/>
                <w:u w:val="none"/>
              </w:rPr>
              <w:t>因此无需进行电磁辐射环境现状调查。</w:t>
            </w:r>
          </w:p>
          <w:p w14:paraId="605E09F0">
            <w:pPr>
              <w:pStyle w:val="54"/>
              <w:widowControl w:val="0"/>
              <w:rPr>
                <w:b/>
                <w:bCs/>
                <w:color w:val="auto"/>
                <w:highlight w:val="none"/>
                <w:u w:val="none"/>
              </w:rPr>
            </w:pPr>
            <w:r>
              <w:rPr>
                <w:rFonts w:hint="eastAsia"/>
                <w:b/>
                <w:bCs/>
                <w:color w:val="auto"/>
                <w:highlight w:val="none"/>
                <w:u w:val="none"/>
              </w:rPr>
              <w:t>3.</w:t>
            </w:r>
            <w:r>
              <w:rPr>
                <w:rFonts w:hint="eastAsia"/>
                <w:b/>
                <w:bCs/>
                <w:color w:val="auto"/>
                <w:highlight w:val="none"/>
                <w:u w:val="none"/>
                <w:lang w:val="en-US" w:eastAsia="zh-CN"/>
              </w:rPr>
              <w:t>6</w:t>
            </w:r>
            <w:r>
              <w:rPr>
                <w:rFonts w:hint="eastAsia"/>
                <w:b/>
                <w:bCs/>
                <w:color w:val="auto"/>
                <w:highlight w:val="none"/>
                <w:u w:val="none"/>
              </w:rPr>
              <w:t>生态环境</w:t>
            </w:r>
          </w:p>
          <w:p w14:paraId="5A0D12AD">
            <w:pPr>
              <w:pStyle w:val="54"/>
              <w:widowControl w:val="0"/>
              <w:ind w:firstLine="480"/>
              <w:rPr>
                <w:rFonts w:hint="eastAsia"/>
                <w:color w:val="auto"/>
                <w:highlight w:val="none"/>
                <w:u w:val="none"/>
              </w:rPr>
            </w:pPr>
            <w:r>
              <w:rPr>
                <w:color w:val="auto"/>
                <w:highlight w:val="none"/>
                <w:u w:val="none"/>
              </w:rPr>
              <w:t>根据《建设项目环境影响报告表编制技术指南（污染影响类）（试行）》，产业园区外建设项目新增用地且用地范围内含有生态环境保护目标时，应进行生态现状调查。</w:t>
            </w:r>
            <w:r>
              <w:rPr>
                <w:rFonts w:hint="eastAsia"/>
                <w:color w:val="auto"/>
                <w:highlight w:val="none"/>
                <w:u w:val="none"/>
              </w:rPr>
              <w:t>本项目位于</w:t>
            </w:r>
            <w:r>
              <w:rPr>
                <w:rFonts w:hint="eastAsia"/>
                <w:color w:val="auto"/>
                <w:highlight w:val="none"/>
                <w:u w:val="none"/>
                <w:lang w:eastAsia="zh-CN"/>
              </w:rPr>
              <w:t>湖南省怀化市溆浦县低庄镇低庄村</w:t>
            </w:r>
            <w:r>
              <w:rPr>
                <w:rFonts w:hint="eastAsia"/>
                <w:color w:val="auto"/>
                <w:highlight w:val="none"/>
                <w:u w:val="none"/>
              </w:rPr>
              <w:t>，</w:t>
            </w:r>
            <w:r>
              <w:rPr>
                <w:rFonts w:hint="eastAsia"/>
                <w:color w:val="auto"/>
                <w:highlight w:val="none"/>
                <w:u w:val="none"/>
                <w:lang w:val="en-US" w:eastAsia="zh-CN"/>
              </w:rPr>
              <w:t>属于城镇建成区，用地性质为医疗卫生用地，周围</w:t>
            </w:r>
            <w:r>
              <w:rPr>
                <w:rFonts w:hint="eastAsia" w:cs="Times New Roman"/>
                <w:color w:val="auto"/>
                <w:sz w:val="24"/>
                <w:szCs w:val="24"/>
                <w:highlight w:val="none"/>
                <w:u w:val="none"/>
                <w:lang w:eastAsia="zh-CN"/>
              </w:rPr>
              <w:t>为</w:t>
            </w:r>
            <w:r>
              <w:rPr>
                <w:rFonts w:hint="eastAsia" w:cs="Times New Roman"/>
                <w:color w:val="auto"/>
                <w:sz w:val="24"/>
                <w:szCs w:val="24"/>
                <w:highlight w:val="none"/>
                <w:u w:val="none"/>
                <w:lang w:val="en-US" w:eastAsia="zh-CN"/>
              </w:rPr>
              <w:t>城区</w:t>
            </w:r>
            <w:r>
              <w:rPr>
                <w:rFonts w:hint="eastAsia"/>
                <w:color w:val="auto"/>
                <w:highlight w:val="none"/>
                <w:u w:val="none"/>
                <w:lang w:val="en-US" w:eastAsia="zh-CN"/>
              </w:rPr>
              <w:t>道路与居民区</w:t>
            </w:r>
            <w:r>
              <w:rPr>
                <w:rFonts w:hint="eastAsia"/>
                <w:color w:val="auto"/>
                <w:highlight w:val="none"/>
                <w:u w:val="none"/>
              </w:rPr>
              <w:t>，用地范围内</w:t>
            </w:r>
            <w:r>
              <w:rPr>
                <w:rFonts w:hint="eastAsia"/>
                <w:color w:val="auto"/>
                <w:highlight w:val="none"/>
                <w:u w:val="none"/>
                <w:lang w:eastAsia="zh-CN"/>
              </w:rPr>
              <w:t>现状为荒地和水田，不涉及生态红线等，</w:t>
            </w:r>
            <w:r>
              <w:rPr>
                <w:rFonts w:hint="eastAsia"/>
                <w:color w:val="auto"/>
                <w:highlight w:val="none"/>
                <w:u w:val="none"/>
              </w:rPr>
              <w:t>不涉及生态环境保护目标</w:t>
            </w:r>
            <w:r>
              <w:rPr>
                <w:rFonts w:hint="eastAsia"/>
                <w:color w:val="auto"/>
                <w:highlight w:val="none"/>
                <w:u w:val="none"/>
                <w:lang w:eastAsia="zh-CN"/>
              </w:rPr>
              <w:t>，用地范围内无生态保护目标，</w:t>
            </w:r>
            <w:r>
              <w:rPr>
                <w:rFonts w:hint="eastAsia"/>
                <w:color w:val="auto"/>
                <w:highlight w:val="none"/>
                <w:u w:val="none"/>
              </w:rPr>
              <w:t>无需进行生态现状调查。</w:t>
            </w:r>
          </w:p>
        </w:tc>
      </w:tr>
      <w:tr w14:paraId="02257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trPr>
        <w:tc>
          <w:tcPr>
            <w:tcW w:w="295" w:type="pct"/>
            <w:vAlign w:val="center"/>
          </w:tcPr>
          <w:p w14:paraId="55F06007">
            <w:pPr>
              <w:spacing w:line="240" w:lineRule="auto"/>
              <w:jc w:val="center"/>
              <w:rPr>
                <w:color w:val="auto"/>
                <w:highlight w:val="none"/>
                <w:u w:val="none"/>
                <w:lang w:val="en-US"/>
              </w:rPr>
            </w:pPr>
            <w:r>
              <w:rPr>
                <w:rFonts w:hint="eastAsia"/>
                <w:color w:val="auto"/>
                <w:highlight w:val="none"/>
                <w:u w:val="none"/>
                <w:lang w:val="en-US"/>
              </w:rPr>
              <w:t>环境保护目标</w:t>
            </w:r>
          </w:p>
        </w:tc>
        <w:tc>
          <w:tcPr>
            <w:tcW w:w="4704" w:type="pct"/>
          </w:tcPr>
          <w:p w14:paraId="6F85C459">
            <w:pPr>
              <w:pStyle w:val="54"/>
              <w:widowControl w:val="0"/>
              <w:ind w:firstLine="482"/>
              <w:rPr>
                <w:b/>
                <w:bCs/>
                <w:color w:val="auto"/>
                <w:highlight w:val="none"/>
                <w:u w:val="none"/>
              </w:rPr>
            </w:pPr>
            <w:r>
              <w:rPr>
                <w:rFonts w:hint="eastAsia"/>
                <w:b/>
                <w:bCs/>
                <w:color w:val="auto"/>
                <w:highlight w:val="none"/>
                <w:u w:val="none"/>
              </w:rPr>
              <w:t>3.</w:t>
            </w:r>
            <w:r>
              <w:rPr>
                <w:rFonts w:hint="eastAsia"/>
                <w:b/>
                <w:bCs/>
                <w:color w:val="auto"/>
                <w:highlight w:val="none"/>
                <w:u w:val="none"/>
                <w:lang w:val="en-US" w:eastAsia="zh-CN"/>
              </w:rPr>
              <w:t>7</w:t>
            </w:r>
            <w:r>
              <w:rPr>
                <w:rFonts w:hint="eastAsia"/>
                <w:b/>
                <w:bCs/>
                <w:color w:val="auto"/>
                <w:highlight w:val="none"/>
                <w:u w:val="none"/>
              </w:rPr>
              <w:t>环境保护目标</w:t>
            </w:r>
          </w:p>
          <w:p w14:paraId="3A47C6BC">
            <w:pPr>
              <w:pStyle w:val="54"/>
              <w:widowControl w:val="0"/>
              <w:ind w:firstLine="480"/>
              <w:rPr>
                <w:color w:val="auto"/>
                <w:highlight w:val="none"/>
                <w:u w:val="none"/>
              </w:rPr>
            </w:pPr>
            <w:r>
              <w:rPr>
                <w:rFonts w:cs="Times New Roman"/>
                <w:color w:val="auto"/>
                <w:highlight w:val="none"/>
                <w:u w:val="none"/>
              </w:rPr>
              <w:t>根据现场勘查，评价范围内无自然保护区、风景旅游点和文物古迹等需要特殊保护的环境敏感对象；总体上不因本项目的实施而改变区域环境现有功能，</w:t>
            </w:r>
            <w:r>
              <w:rPr>
                <w:rFonts w:hint="eastAsia" w:cs="Times New Roman"/>
                <w:color w:val="auto"/>
                <w:highlight w:val="none"/>
                <w:u w:val="none"/>
              </w:rPr>
              <w:t>主要</w:t>
            </w:r>
            <w:r>
              <w:rPr>
                <w:rFonts w:cs="Times New Roman"/>
                <w:color w:val="auto"/>
                <w:highlight w:val="none"/>
                <w:u w:val="none"/>
              </w:rPr>
              <w:t>环境保护目标如下：</w:t>
            </w:r>
          </w:p>
          <w:p w14:paraId="13A30EDE">
            <w:pPr>
              <w:wordWrap w:val="0"/>
              <w:adjustRightInd w:val="0"/>
              <w:jc w:val="center"/>
              <w:rPr>
                <w:rFonts w:cs="Times New Roman"/>
                <w:b/>
                <w:color w:val="auto"/>
                <w:sz w:val="21"/>
                <w:szCs w:val="21"/>
                <w:highlight w:val="none"/>
                <w:u w:val="none"/>
              </w:rPr>
            </w:pPr>
            <w:r>
              <w:rPr>
                <w:rFonts w:cs="Times New Roman"/>
                <w:b/>
                <w:color w:val="auto"/>
                <w:sz w:val="21"/>
                <w:szCs w:val="21"/>
                <w:highlight w:val="none"/>
                <w:u w:val="none"/>
              </w:rPr>
              <w:t>表3-</w:t>
            </w:r>
            <w:r>
              <w:rPr>
                <w:rFonts w:hint="eastAsia" w:cs="Times New Roman"/>
                <w:b/>
                <w:color w:val="auto"/>
                <w:sz w:val="21"/>
                <w:szCs w:val="21"/>
                <w:highlight w:val="none"/>
                <w:u w:val="none"/>
                <w:lang w:val="en-US" w:eastAsia="zh-CN"/>
              </w:rPr>
              <w:t>4</w:t>
            </w:r>
            <w:r>
              <w:rPr>
                <w:rFonts w:cs="Times New Roman"/>
                <w:b/>
                <w:color w:val="auto"/>
                <w:sz w:val="21"/>
                <w:szCs w:val="21"/>
                <w:highlight w:val="none"/>
                <w:u w:val="none"/>
              </w:rPr>
              <w:t xml:space="preserve"> </w:t>
            </w:r>
            <w:r>
              <w:rPr>
                <w:rFonts w:hint="eastAsia" w:cs="Times New Roman"/>
                <w:b/>
                <w:color w:val="auto"/>
                <w:sz w:val="21"/>
                <w:szCs w:val="21"/>
                <w:highlight w:val="none"/>
                <w:u w:val="none"/>
                <w:lang w:val="en-US" w:eastAsia="zh-CN"/>
              </w:rPr>
              <w:t xml:space="preserve"> </w:t>
            </w:r>
            <w:r>
              <w:rPr>
                <w:rFonts w:cs="Times New Roman"/>
                <w:b/>
                <w:color w:val="auto"/>
                <w:sz w:val="21"/>
                <w:szCs w:val="21"/>
                <w:highlight w:val="none"/>
                <w:u w:val="none"/>
              </w:rPr>
              <w:t xml:space="preserve"> 项目主要环境保护目标</w:t>
            </w:r>
          </w:p>
          <w:p w14:paraId="1032A19E">
            <w:pPr>
              <w:wordWrap w:val="0"/>
              <w:adjustRightInd w:val="0"/>
              <w:jc w:val="center"/>
              <w:rPr>
                <w:rFonts w:hint="eastAsia" w:eastAsia="宋体" w:cs="Times New Roman"/>
                <w:b/>
                <w:color w:val="auto"/>
                <w:sz w:val="21"/>
                <w:szCs w:val="21"/>
                <w:highlight w:val="none"/>
                <w:u w:val="none"/>
                <w:lang w:eastAsia="zh-CN"/>
              </w:rPr>
            </w:pPr>
            <w:r>
              <w:rPr>
                <w:rFonts w:hint="eastAsia" w:cs="Times New Roman"/>
                <w:b/>
                <w:color w:val="auto"/>
                <w:sz w:val="21"/>
                <w:szCs w:val="21"/>
                <w:highlight w:val="none"/>
                <w:u w:val="none"/>
                <w:lang w:eastAsia="zh-CN"/>
              </w:rPr>
              <w:t>略</w:t>
            </w:r>
          </w:p>
          <w:p w14:paraId="4340FF30">
            <w:pPr>
              <w:pStyle w:val="54"/>
              <w:widowControl w:val="0"/>
              <w:ind w:left="0" w:leftChars="0" w:firstLine="0" w:firstLineChars="0"/>
              <w:rPr>
                <w:rFonts w:cs="Times New Roman"/>
                <w:color w:val="auto"/>
                <w:highlight w:val="none"/>
                <w:u w:val="none"/>
              </w:rPr>
            </w:pPr>
          </w:p>
        </w:tc>
      </w:tr>
      <w:tr w14:paraId="04E0D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6" w:hRule="atLeast"/>
        </w:trPr>
        <w:tc>
          <w:tcPr>
            <w:tcW w:w="295" w:type="pct"/>
            <w:vAlign w:val="center"/>
          </w:tcPr>
          <w:p w14:paraId="26DDCD38">
            <w:pPr>
              <w:spacing w:line="240" w:lineRule="auto"/>
              <w:jc w:val="center"/>
              <w:rPr>
                <w:color w:val="auto"/>
                <w:highlight w:val="none"/>
                <w:u w:val="none"/>
                <w:lang w:val="en-US"/>
              </w:rPr>
            </w:pPr>
            <w:r>
              <w:rPr>
                <w:rFonts w:hint="eastAsia"/>
                <w:color w:val="auto"/>
                <w:highlight w:val="none"/>
                <w:u w:val="none"/>
                <w:lang w:val="en-US" w:eastAsia="zh-CN"/>
              </w:rPr>
              <w:t>污染物协同控制</w:t>
            </w:r>
            <w:r>
              <w:rPr>
                <w:rFonts w:hint="eastAsia"/>
                <w:color w:val="auto"/>
                <w:highlight w:val="none"/>
                <w:u w:val="none"/>
                <w:lang w:val="en-US"/>
              </w:rPr>
              <w:t>标准</w:t>
            </w:r>
          </w:p>
        </w:tc>
        <w:tc>
          <w:tcPr>
            <w:tcW w:w="4704" w:type="pct"/>
          </w:tcPr>
          <w:p w14:paraId="1A6D7063">
            <w:pPr>
              <w:pStyle w:val="79"/>
              <w:autoSpaceDE/>
              <w:autoSpaceDN/>
              <w:adjustRightInd/>
              <w:snapToGrid/>
              <w:spacing w:line="360" w:lineRule="auto"/>
              <w:ind w:left="0" w:leftChars="0" w:firstLine="482" w:firstLineChars="200"/>
              <w:jc w:val="both"/>
              <w:rPr>
                <w:rFonts w:hint="default" w:ascii="Times New Roman" w:hAnsi="Times New Roman" w:eastAsia="宋体" w:cs="Times New Roman"/>
                <w:b/>
                <w:bCs/>
                <w:color w:val="auto"/>
                <w:kern w:val="2"/>
                <w:highlight w:val="none"/>
                <w:u w:val="none"/>
                <w:lang w:val="en-US" w:eastAsia="zh-CN" w:bidi="ar-SA"/>
              </w:rPr>
            </w:pPr>
            <w:r>
              <w:rPr>
                <w:rFonts w:hint="eastAsia" w:ascii="Times New Roman" w:hAnsi="Times New Roman" w:eastAsia="宋体" w:cs="Times New Roman"/>
                <w:b/>
                <w:bCs/>
                <w:color w:val="auto"/>
                <w:kern w:val="2"/>
                <w:highlight w:val="none"/>
                <w:u w:val="none"/>
                <w:lang w:val="en-US" w:eastAsia="zh-CN" w:bidi="ar-SA"/>
              </w:rPr>
              <w:t>3.</w:t>
            </w:r>
            <w:r>
              <w:rPr>
                <w:rFonts w:hint="eastAsia" w:cs="Times New Roman"/>
                <w:b/>
                <w:bCs/>
                <w:color w:val="auto"/>
                <w:kern w:val="2"/>
                <w:highlight w:val="none"/>
                <w:u w:val="none"/>
                <w:lang w:val="en-US" w:eastAsia="zh-CN" w:bidi="ar-SA"/>
              </w:rPr>
              <w:t>8</w:t>
            </w:r>
            <w:r>
              <w:rPr>
                <w:rFonts w:hint="eastAsia" w:ascii="Times New Roman" w:hAnsi="Times New Roman" w:eastAsia="宋体" w:cs="Times New Roman"/>
                <w:b/>
                <w:bCs/>
                <w:color w:val="auto"/>
                <w:kern w:val="2"/>
                <w:highlight w:val="none"/>
                <w:u w:val="none"/>
                <w:lang w:val="en-US" w:eastAsia="zh-CN" w:bidi="ar-SA"/>
              </w:rPr>
              <w:t>污染物排放控制标准</w:t>
            </w:r>
          </w:p>
          <w:p w14:paraId="0977CC9D">
            <w:pPr>
              <w:pStyle w:val="79"/>
              <w:autoSpaceDE/>
              <w:autoSpaceDN/>
              <w:adjustRightInd/>
              <w:snapToGrid/>
              <w:spacing w:line="360" w:lineRule="auto"/>
              <w:ind w:left="0" w:leftChars="0" w:firstLine="482" w:firstLineChars="200"/>
              <w:jc w:val="both"/>
              <w:rPr>
                <w:rFonts w:hint="default" w:ascii="Times New Roman" w:hAnsi="Times New Roman" w:eastAsia="宋体" w:cs="Times New Roman"/>
                <w:b/>
                <w:bCs/>
                <w:color w:val="auto"/>
                <w:kern w:val="2"/>
                <w:highlight w:val="none"/>
                <w:u w:val="none"/>
                <w:lang w:val="en-US" w:eastAsia="zh-CN" w:bidi="ar-SA"/>
              </w:rPr>
            </w:pPr>
            <w:r>
              <w:rPr>
                <w:rFonts w:hint="eastAsia" w:ascii="Times New Roman" w:hAnsi="Times New Roman" w:eastAsia="宋体" w:cs="Times New Roman"/>
                <w:b/>
                <w:bCs/>
                <w:color w:val="auto"/>
                <w:kern w:val="2"/>
                <w:highlight w:val="none"/>
                <w:u w:val="none"/>
                <w:lang w:val="en-US" w:eastAsia="zh-CN" w:bidi="ar-SA"/>
              </w:rPr>
              <w:t>（1）废气排放控制标准</w:t>
            </w:r>
          </w:p>
          <w:p w14:paraId="34FA5EEC">
            <w:pPr>
              <w:keepNext w:val="0"/>
              <w:keepLines w:val="0"/>
              <w:widowControl/>
              <w:suppressLineNumbers w:val="0"/>
              <w:ind w:firstLine="480" w:firstLineChars="200"/>
              <w:jc w:val="left"/>
              <w:rPr>
                <w:rFonts w:hint="eastAsia"/>
                <w:color w:val="auto"/>
                <w:highlight w:val="none"/>
                <w:u w:val="none"/>
                <w:lang w:val="en-US" w:eastAsia="zh-CN"/>
              </w:rPr>
            </w:pPr>
            <w:r>
              <w:rPr>
                <w:rFonts w:hint="eastAsia" w:ascii="宋体" w:hAnsi="宋体" w:eastAsia="宋体" w:cs="宋体"/>
                <w:color w:val="auto"/>
                <w:kern w:val="0"/>
                <w:sz w:val="24"/>
                <w:szCs w:val="24"/>
                <w:highlight w:val="none"/>
                <w:u w:val="none"/>
                <w:lang w:val="en-US" w:eastAsia="zh-CN" w:bidi="ar"/>
              </w:rPr>
              <w:t>污水处理站</w:t>
            </w:r>
            <w:r>
              <w:rPr>
                <w:rFonts w:hint="eastAsia" w:ascii="宋体" w:hAnsi="宋体" w:cs="宋体"/>
                <w:color w:val="auto"/>
                <w:kern w:val="0"/>
                <w:sz w:val="24"/>
                <w:szCs w:val="24"/>
                <w:highlight w:val="none"/>
                <w:u w:val="none"/>
                <w:lang w:val="en-US" w:eastAsia="zh-CN" w:bidi="ar"/>
              </w:rPr>
              <w:t>废气</w:t>
            </w:r>
            <w:r>
              <w:rPr>
                <w:rFonts w:hint="eastAsia" w:ascii="宋体" w:hAnsi="宋体" w:eastAsia="宋体" w:cs="宋体"/>
                <w:color w:val="auto"/>
                <w:kern w:val="0"/>
                <w:sz w:val="24"/>
                <w:szCs w:val="24"/>
                <w:highlight w:val="none"/>
                <w:u w:val="none"/>
                <w:lang w:val="en-US" w:eastAsia="zh-CN" w:bidi="ar"/>
              </w:rPr>
              <w:t>执行《医疗机构水污染物排放标准》</w:t>
            </w:r>
            <w:r>
              <w:rPr>
                <w:rFonts w:hint="default" w:ascii="Times New Roman" w:hAnsi="Times New Roman" w:eastAsia="宋体" w:cs="Times New Roman"/>
                <w:color w:val="auto"/>
                <w:kern w:val="0"/>
                <w:sz w:val="24"/>
                <w:szCs w:val="24"/>
                <w:highlight w:val="none"/>
                <w:u w:val="none"/>
                <w:lang w:val="en-US" w:eastAsia="zh-CN" w:bidi="ar"/>
              </w:rPr>
              <w:t>（GB18466-2005）中表3污水处理站周边大气污染物最高允许浓度，具体见表3-</w:t>
            </w:r>
            <w:r>
              <w:rPr>
                <w:rFonts w:hint="eastAsia" w:cs="Times New Roman"/>
                <w:color w:val="auto"/>
                <w:kern w:val="0"/>
                <w:sz w:val="24"/>
                <w:szCs w:val="24"/>
                <w:highlight w:val="none"/>
                <w:u w:val="none"/>
                <w:lang w:val="en-US" w:eastAsia="zh-CN" w:bidi="ar"/>
              </w:rPr>
              <w:t>5</w:t>
            </w:r>
            <w:r>
              <w:rPr>
                <w:rFonts w:hint="default" w:ascii="Times New Roman" w:hAnsi="Times New Roman" w:eastAsia="宋体" w:cs="Times New Roman"/>
                <w:color w:val="auto"/>
                <w:kern w:val="0"/>
                <w:sz w:val="24"/>
                <w:szCs w:val="24"/>
                <w:highlight w:val="none"/>
                <w:u w:val="none"/>
                <w:lang w:val="en-US" w:eastAsia="zh-CN" w:bidi="ar"/>
              </w:rPr>
              <w:t>。</w:t>
            </w:r>
          </w:p>
          <w:p w14:paraId="30EB43A0">
            <w:pPr>
              <w:pStyle w:val="54"/>
              <w:widowControl w:val="0"/>
              <w:ind w:firstLine="0" w:firstLineChars="0"/>
              <w:jc w:val="center"/>
              <w:rPr>
                <w:rFonts w:hint="eastAsia" w:ascii="Times New Roman" w:hAnsi="Times New Roman" w:eastAsia="宋体" w:cs="Times New Roman"/>
                <w:b/>
                <w:color w:val="auto"/>
                <w:sz w:val="21"/>
                <w:szCs w:val="21"/>
                <w:highlight w:val="none"/>
                <w:u w:val="none"/>
              </w:rPr>
            </w:pPr>
            <w:r>
              <w:rPr>
                <w:rFonts w:hint="eastAsia" w:ascii="Times New Roman" w:hAnsi="Times New Roman" w:eastAsia="宋体" w:cs="Times New Roman"/>
                <w:b/>
                <w:color w:val="auto"/>
                <w:sz w:val="21"/>
                <w:szCs w:val="21"/>
                <w:highlight w:val="none"/>
                <w:u w:val="none"/>
              </w:rPr>
              <w:t>表</w:t>
            </w:r>
            <w:r>
              <w:rPr>
                <w:rFonts w:hint="eastAsia" w:ascii="Times New Roman" w:hAnsi="Times New Roman" w:eastAsia="宋体" w:cs="Times New Roman"/>
                <w:b/>
                <w:color w:val="auto"/>
                <w:sz w:val="21"/>
                <w:szCs w:val="21"/>
                <w:highlight w:val="none"/>
                <w:u w:val="none"/>
                <w:lang w:val="en-US" w:eastAsia="zh-CN"/>
              </w:rPr>
              <w:t>3-</w:t>
            </w:r>
            <w:r>
              <w:rPr>
                <w:rFonts w:hint="eastAsia" w:cs="Times New Roman"/>
                <w:b/>
                <w:color w:val="auto"/>
                <w:sz w:val="21"/>
                <w:szCs w:val="21"/>
                <w:highlight w:val="none"/>
                <w:u w:val="none"/>
                <w:lang w:val="en-US" w:eastAsia="zh-CN"/>
              </w:rPr>
              <w:t xml:space="preserve">5   </w:t>
            </w:r>
            <w:r>
              <w:rPr>
                <w:rFonts w:hint="eastAsia" w:ascii="Times New Roman" w:hAnsi="Times New Roman" w:eastAsia="宋体" w:cs="Times New Roman"/>
                <w:b/>
                <w:color w:val="auto"/>
                <w:sz w:val="21"/>
                <w:szCs w:val="21"/>
                <w:highlight w:val="none"/>
                <w:u w:val="none"/>
              </w:rPr>
              <w:t>污水处理站周边大气污染物最高允许浓度一览表</w:t>
            </w:r>
          </w:p>
          <w:tbl>
            <w:tblPr>
              <w:tblStyle w:val="34"/>
              <w:tblW w:w="500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4479"/>
              <w:gridCol w:w="3743"/>
            </w:tblGrid>
            <w:tr w14:paraId="33E9F8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80" w:type="pct"/>
                  <w:noWrap w:val="0"/>
                  <w:vAlign w:val="center"/>
                </w:tcPr>
                <w:p w14:paraId="65AE198B">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序号</w:t>
                  </w:r>
                </w:p>
              </w:tc>
              <w:tc>
                <w:tcPr>
                  <w:tcW w:w="2352" w:type="pct"/>
                  <w:noWrap w:val="0"/>
                  <w:vAlign w:val="center"/>
                </w:tcPr>
                <w:p w14:paraId="6FB7B497">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控制项目</w:t>
                  </w:r>
                </w:p>
              </w:tc>
              <w:tc>
                <w:tcPr>
                  <w:tcW w:w="1966" w:type="pct"/>
                  <w:noWrap w:val="0"/>
                  <w:vAlign w:val="center"/>
                </w:tcPr>
                <w:p w14:paraId="15B17D43">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标准值</w:t>
                  </w:r>
                </w:p>
              </w:tc>
            </w:tr>
            <w:tr w14:paraId="486867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680" w:type="pct"/>
                  <w:noWrap w:val="0"/>
                  <w:vAlign w:val="center"/>
                </w:tcPr>
                <w:p w14:paraId="784CF8E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352" w:type="pct"/>
                  <w:noWrap w:val="0"/>
                  <w:vAlign w:val="center"/>
                </w:tcPr>
                <w:p w14:paraId="0454622E">
                  <w:pPr>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氨</w:t>
                  </w:r>
                </w:p>
              </w:tc>
              <w:tc>
                <w:tcPr>
                  <w:tcW w:w="1966" w:type="pct"/>
                  <w:noWrap w:val="0"/>
                  <w:vAlign w:val="center"/>
                </w:tcPr>
                <w:p w14:paraId="15E0BDC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r>
                    <w:rPr>
                      <w:rFonts w:hint="default" w:ascii="Times New Roman" w:hAnsi="Times New Roman" w:cs="Times New Roman"/>
                      <w:b w:val="0"/>
                      <w:bCs/>
                      <w:color w:val="auto"/>
                      <w:sz w:val="21"/>
                      <w:szCs w:val="21"/>
                    </w:rPr>
                    <w:t>mg/m</w:t>
                  </w:r>
                  <w:r>
                    <w:rPr>
                      <w:rFonts w:hint="default" w:ascii="Times New Roman" w:hAnsi="Times New Roman" w:cs="Times New Roman"/>
                      <w:b w:val="0"/>
                      <w:bCs/>
                      <w:color w:val="auto"/>
                      <w:sz w:val="21"/>
                      <w:szCs w:val="21"/>
                      <w:vertAlign w:val="superscript"/>
                    </w:rPr>
                    <w:t>3</w:t>
                  </w:r>
                </w:p>
              </w:tc>
            </w:tr>
            <w:tr w14:paraId="47C8FD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680" w:type="pct"/>
                  <w:noWrap w:val="0"/>
                  <w:vAlign w:val="center"/>
                </w:tcPr>
                <w:p w14:paraId="34A8832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2352" w:type="pct"/>
                  <w:noWrap w:val="0"/>
                  <w:vAlign w:val="center"/>
                </w:tcPr>
                <w:p w14:paraId="7042FB0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硫化氢</w:t>
                  </w:r>
                </w:p>
              </w:tc>
              <w:tc>
                <w:tcPr>
                  <w:tcW w:w="1966" w:type="pct"/>
                  <w:noWrap w:val="0"/>
                  <w:vAlign w:val="center"/>
                </w:tcPr>
                <w:p w14:paraId="2EF4E06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w:t>
                  </w:r>
                  <w:r>
                    <w:rPr>
                      <w:rFonts w:hint="default" w:ascii="Times New Roman" w:hAnsi="Times New Roman" w:cs="Times New Roman"/>
                      <w:b w:val="0"/>
                      <w:bCs/>
                      <w:color w:val="auto"/>
                      <w:sz w:val="21"/>
                      <w:szCs w:val="21"/>
                    </w:rPr>
                    <w:t>mg/m</w:t>
                  </w:r>
                  <w:r>
                    <w:rPr>
                      <w:rFonts w:hint="default" w:ascii="Times New Roman" w:hAnsi="Times New Roman" w:cs="Times New Roman"/>
                      <w:b w:val="0"/>
                      <w:bCs/>
                      <w:color w:val="auto"/>
                      <w:sz w:val="21"/>
                      <w:szCs w:val="21"/>
                      <w:vertAlign w:val="superscript"/>
                    </w:rPr>
                    <w:t>3</w:t>
                  </w:r>
                </w:p>
              </w:tc>
            </w:tr>
            <w:tr w14:paraId="094FED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680" w:type="pct"/>
                  <w:noWrap w:val="0"/>
                  <w:vAlign w:val="center"/>
                </w:tcPr>
                <w:p w14:paraId="3FFF92C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2352" w:type="pct"/>
                  <w:noWrap w:val="0"/>
                  <w:vAlign w:val="center"/>
                </w:tcPr>
                <w:p w14:paraId="5975B97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臭气浓度</w:t>
                  </w:r>
                </w:p>
              </w:tc>
              <w:tc>
                <w:tcPr>
                  <w:tcW w:w="1966" w:type="pct"/>
                  <w:noWrap w:val="0"/>
                  <w:vAlign w:val="center"/>
                </w:tcPr>
                <w:p w14:paraId="59A6D17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lang w:eastAsia="zh-CN"/>
                    </w:rPr>
                    <w:t>（</w:t>
                  </w:r>
                  <w:r>
                    <w:rPr>
                      <w:rFonts w:hint="default" w:ascii="Times New Roman" w:hAnsi="Times New Roman" w:cs="Times New Roman"/>
                      <w:b w:val="0"/>
                      <w:bCs/>
                      <w:color w:val="auto"/>
                      <w:sz w:val="21"/>
                      <w:szCs w:val="21"/>
                      <w:vertAlign w:val="baseline"/>
                      <w:lang w:val="en-US" w:eastAsia="zh-CN"/>
                    </w:rPr>
                    <w:t>无量纲</w:t>
                  </w:r>
                  <w:r>
                    <w:rPr>
                      <w:rFonts w:hint="eastAsia" w:ascii="Times New Roman" w:hAnsi="Times New Roman" w:cs="Times New Roman"/>
                      <w:color w:val="auto"/>
                      <w:sz w:val="21"/>
                      <w:szCs w:val="21"/>
                      <w:lang w:eastAsia="zh-CN"/>
                    </w:rPr>
                    <w:t>）</w:t>
                  </w:r>
                </w:p>
              </w:tc>
            </w:tr>
            <w:tr w14:paraId="1E90C5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680" w:type="pct"/>
                  <w:noWrap w:val="0"/>
                  <w:vAlign w:val="center"/>
                </w:tcPr>
                <w:p w14:paraId="296E2D2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2352" w:type="pct"/>
                  <w:noWrap w:val="0"/>
                  <w:vAlign w:val="center"/>
                </w:tcPr>
                <w:p w14:paraId="76C0631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甲烷 （指处理站内最高体积百分数／％）</w:t>
                  </w:r>
                </w:p>
              </w:tc>
              <w:tc>
                <w:tcPr>
                  <w:tcW w:w="1966" w:type="pct"/>
                  <w:noWrap w:val="0"/>
                  <w:vAlign w:val="center"/>
                </w:tcPr>
                <w:p w14:paraId="3811A439">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r>
          </w:tbl>
          <w:p w14:paraId="04177B7A">
            <w:pPr>
              <w:keepNext w:val="0"/>
              <w:keepLines w:val="0"/>
              <w:widowControl/>
              <w:suppressLineNumbers w:val="0"/>
              <w:ind w:firstLine="480" w:firstLineChars="200"/>
              <w:jc w:val="left"/>
              <w:rPr>
                <w:rFonts w:hint="default" w:ascii="Times New Roman Regular" w:hAnsi="Times New Roman Regular" w:eastAsia="宋体" w:cs="Times New Roman Regular"/>
                <w:color w:val="auto"/>
                <w:kern w:val="0"/>
                <w:sz w:val="24"/>
                <w:szCs w:val="24"/>
                <w:highlight w:val="none"/>
                <w:u w:val="none"/>
                <w:lang w:val="en-US" w:eastAsia="zh-CN" w:bidi="ar"/>
              </w:rPr>
            </w:pPr>
            <w:r>
              <w:rPr>
                <w:rFonts w:hint="default" w:ascii="Times New Roman Regular" w:hAnsi="Times New Roman Regular" w:eastAsia="宋体" w:cs="Times New Roman Regular"/>
                <w:color w:val="auto"/>
                <w:kern w:val="0"/>
                <w:sz w:val="24"/>
                <w:szCs w:val="24"/>
                <w:highlight w:val="none"/>
                <w:u w:val="none"/>
                <w:lang w:val="en-US" w:eastAsia="zh-CN" w:bidi="ar"/>
              </w:rPr>
              <w:t>食堂油烟执行《饮食业油烟排放标准（试行）》（GB18483-2001）中相关标准限值（2.0mg/m³）。具体见表3-</w:t>
            </w:r>
            <w:r>
              <w:rPr>
                <w:rFonts w:hint="eastAsia" w:ascii="Times New Roman Regular" w:hAnsi="Times New Roman Regular" w:cs="Times New Roman Regular"/>
                <w:color w:val="auto"/>
                <w:kern w:val="0"/>
                <w:sz w:val="24"/>
                <w:szCs w:val="24"/>
                <w:highlight w:val="none"/>
                <w:u w:val="none"/>
                <w:lang w:val="en-US" w:eastAsia="zh-CN" w:bidi="ar"/>
              </w:rPr>
              <w:t>6</w:t>
            </w:r>
            <w:r>
              <w:rPr>
                <w:rFonts w:hint="default" w:ascii="Times New Roman Regular" w:hAnsi="Times New Roman Regular" w:eastAsia="宋体" w:cs="Times New Roman Regular"/>
                <w:color w:val="auto"/>
                <w:kern w:val="0"/>
                <w:sz w:val="24"/>
                <w:szCs w:val="24"/>
                <w:highlight w:val="none"/>
                <w:u w:val="none"/>
                <w:lang w:val="en-US" w:eastAsia="zh-CN" w:bidi="ar"/>
              </w:rPr>
              <w:t>。</w:t>
            </w:r>
          </w:p>
          <w:p w14:paraId="3C7D1344">
            <w:pPr>
              <w:pStyle w:val="54"/>
              <w:widowControl w:val="0"/>
              <w:ind w:firstLine="0" w:firstLineChars="0"/>
              <w:jc w:val="center"/>
              <w:rPr>
                <w:rFonts w:hint="eastAsia" w:eastAsia="宋体" w:cs="Times New Roman"/>
                <w:b/>
                <w:color w:val="auto"/>
                <w:sz w:val="21"/>
                <w:szCs w:val="21"/>
                <w:highlight w:val="none"/>
                <w:u w:val="none"/>
                <w:lang w:eastAsia="zh-CN"/>
              </w:rPr>
            </w:pPr>
            <w:r>
              <w:rPr>
                <w:rFonts w:hint="eastAsia" w:cs="Times New Roman"/>
                <w:b/>
                <w:color w:val="auto"/>
                <w:sz w:val="21"/>
                <w:szCs w:val="21"/>
                <w:highlight w:val="none"/>
                <w:u w:val="none"/>
              </w:rPr>
              <w:t>表</w:t>
            </w:r>
            <w:r>
              <w:rPr>
                <w:rFonts w:cs="Times New Roman"/>
                <w:b/>
                <w:color w:val="auto"/>
                <w:sz w:val="21"/>
                <w:szCs w:val="21"/>
                <w:highlight w:val="none"/>
                <w:u w:val="none"/>
              </w:rPr>
              <w:t>3-</w:t>
            </w:r>
            <w:r>
              <w:rPr>
                <w:rFonts w:hint="eastAsia" w:cs="Times New Roman"/>
                <w:b/>
                <w:color w:val="auto"/>
                <w:sz w:val="21"/>
                <w:szCs w:val="21"/>
                <w:highlight w:val="none"/>
                <w:u w:val="none"/>
                <w:lang w:val="en-US" w:eastAsia="zh-CN"/>
              </w:rPr>
              <w:t>6</w:t>
            </w:r>
            <w:r>
              <w:rPr>
                <w:rFonts w:cs="Times New Roman"/>
                <w:b/>
                <w:color w:val="auto"/>
                <w:sz w:val="21"/>
                <w:szCs w:val="21"/>
                <w:highlight w:val="none"/>
                <w:u w:val="none"/>
              </w:rPr>
              <w:t xml:space="preserve">  </w:t>
            </w:r>
            <w:r>
              <w:rPr>
                <w:rFonts w:hint="eastAsia" w:cs="Times New Roman"/>
                <w:b/>
                <w:color w:val="auto"/>
                <w:sz w:val="21"/>
                <w:szCs w:val="21"/>
                <w:highlight w:val="none"/>
                <w:u w:val="none"/>
                <w:lang w:val="en-US" w:eastAsia="zh-CN"/>
              </w:rPr>
              <w:t xml:space="preserve"> 饮食业油烟排放标准</w:t>
            </w:r>
          </w:p>
          <w:tbl>
            <w:tblPr>
              <w:tblStyle w:val="34"/>
              <w:tblW w:w="5000" w:type="pct"/>
              <w:tblInd w:w="-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1"/>
              <w:gridCol w:w="1948"/>
              <w:gridCol w:w="2140"/>
              <w:gridCol w:w="2139"/>
            </w:tblGrid>
            <w:tr w14:paraId="2091A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732" w:type="pct"/>
                  <w:tcBorders>
                    <w:tl2br w:val="nil"/>
                    <w:tr2bl w:val="nil"/>
                  </w:tcBorders>
                  <w:noWrap w:val="0"/>
                  <w:vAlign w:val="center"/>
                </w:tcPr>
                <w:p w14:paraId="7EC9E0F1">
                  <w:pPr>
                    <w:pStyle w:val="59"/>
                    <w:widowControl w:val="0"/>
                    <w:jc w:val="center"/>
                    <w:rPr>
                      <w:rFonts w:hint="eastAsia" w:ascii="Times New Roman" w:hAnsi="Times New Roman" w:eastAsia="宋体" w:cs="Times New Roman"/>
                      <w:b/>
                      <w:bCs/>
                      <w:color w:val="auto"/>
                      <w:highlight w:val="none"/>
                      <w:u w:val="none"/>
                    </w:rPr>
                  </w:pPr>
                  <w:r>
                    <w:rPr>
                      <w:rFonts w:hint="eastAsia" w:ascii="Times New Roman" w:hAnsi="Times New Roman" w:eastAsia="宋体" w:cs="Times New Roman"/>
                      <w:b/>
                      <w:bCs/>
                      <w:color w:val="auto"/>
                      <w:highlight w:val="none"/>
                      <w:u w:val="none"/>
                    </w:rPr>
                    <w:t>规模</w:t>
                  </w:r>
                </w:p>
              </w:tc>
              <w:tc>
                <w:tcPr>
                  <w:tcW w:w="1022" w:type="pct"/>
                  <w:tcBorders>
                    <w:tl2br w:val="nil"/>
                    <w:tr2bl w:val="nil"/>
                  </w:tcBorders>
                  <w:noWrap w:val="0"/>
                  <w:vAlign w:val="center"/>
                </w:tcPr>
                <w:p w14:paraId="3704349E">
                  <w:pPr>
                    <w:pStyle w:val="59"/>
                    <w:widowControl w:val="0"/>
                    <w:jc w:val="center"/>
                    <w:rPr>
                      <w:rFonts w:hint="eastAsia" w:ascii="Times New Roman" w:hAnsi="Times New Roman" w:eastAsia="宋体" w:cs="Times New Roman"/>
                      <w:b/>
                      <w:bCs/>
                      <w:color w:val="auto"/>
                      <w:highlight w:val="none"/>
                      <w:u w:val="none"/>
                    </w:rPr>
                  </w:pPr>
                  <w:r>
                    <w:rPr>
                      <w:rFonts w:hint="eastAsia" w:ascii="Times New Roman" w:hAnsi="Times New Roman" w:eastAsia="宋体" w:cs="Times New Roman"/>
                      <w:b/>
                      <w:bCs/>
                      <w:color w:val="auto"/>
                      <w:highlight w:val="none"/>
                      <w:u w:val="none"/>
                    </w:rPr>
                    <w:t>小型</w:t>
                  </w:r>
                </w:p>
              </w:tc>
              <w:tc>
                <w:tcPr>
                  <w:tcW w:w="1123" w:type="pct"/>
                  <w:tcBorders>
                    <w:tl2br w:val="nil"/>
                    <w:tr2bl w:val="nil"/>
                  </w:tcBorders>
                  <w:noWrap w:val="0"/>
                  <w:vAlign w:val="center"/>
                </w:tcPr>
                <w:p w14:paraId="4C6E0CB6">
                  <w:pPr>
                    <w:pStyle w:val="59"/>
                    <w:widowControl w:val="0"/>
                    <w:jc w:val="center"/>
                    <w:rPr>
                      <w:rFonts w:hint="eastAsia" w:ascii="Times New Roman" w:hAnsi="Times New Roman" w:eastAsia="宋体" w:cs="Times New Roman"/>
                      <w:b/>
                      <w:bCs/>
                      <w:color w:val="auto"/>
                      <w:highlight w:val="none"/>
                      <w:u w:val="none"/>
                    </w:rPr>
                  </w:pPr>
                  <w:r>
                    <w:rPr>
                      <w:rFonts w:hint="eastAsia" w:ascii="Times New Roman" w:hAnsi="Times New Roman" w:eastAsia="宋体" w:cs="Times New Roman"/>
                      <w:b/>
                      <w:bCs/>
                      <w:color w:val="auto"/>
                      <w:highlight w:val="none"/>
                      <w:u w:val="none"/>
                    </w:rPr>
                    <w:t>中型</w:t>
                  </w:r>
                </w:p>
              </w:tc>
              <w:tc>
                <w:tcPr>
                  <w:tcW w:w="1122" w:type="pct"/>
                  <w:tcBorders>
                    <w:tl2br w:val="nil"/>
                    <w:tr2bl w:val="nil"/>
                  </w:tcBorders>
                  <w:noWrap w:val="0"/>
                  <w:vAlign w:val="center"/>
                </w:tcPr>
                <w:p w14:paraId="6B2ECBED">
                  <w:pPr>
                    <w:pStyle w:val="59"/>
                    <w:widowControl w:val="0"/>
                    <w:jc w:val="center"/>
                    <w:rPr>
                      <w:rFonts w:hint="eastAsia" w:ascii="Times New Roman" w:hAnsi="Times New Roman" w:eastAsia="宋体" w:cs="Times New Roman"/>
                      <w:b/>
                      <w:bCs/>
                      <w:color w:val="auto"/>
                      <w:highlight w:val="none"/>
                      <w:u w:val="none"/>
                    </w:rPr>
                  </w:pPr>
                  <w:r>
                    <w:rPr>
                      <w:rFonts w:hint="eastAsia" w:ascii="Times New Roman" w:hAnsi="Times New Roman" w:eastAsia="宋体" w:cs="Times New Roman"/>
                      <w:b/>
                      <w:bCs/>
                      <w:color w:val="auto"/>
                      <w:highlight w:val="none"/>
                      <w:u w:val="none"/>
                    </w:rPr>
                    <w:t>大型</w:t>
                  </w:r>
                </w:p>
              </w:tc>
            </w:tr>
            <w:tr w14:paraId="07058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732" w:type="pct"/>
                  <w:tcBorders>
                    <w:tl2br w:val="nil"/>
                    <w:tr2bl w:val="nil"/>
                  </w:tcBorders>
                  <w:noWrap w:val="0"/>
                  <w:vAlign w:val="center"/>
                </w:tcPr>
                <w:p w14:paraId="79B92097">
                  <w:pPr>
                    <w:pStyle w:val="59"/>
                    <w:widowControl w:val="0"/>
                    <w:jc w:val="center"/>
                    <w:rPr>
                      <w:rFonts w:hint="eastAsia" w:ascii="Times New Roman" w:hAnsi="Times New Roman" w:eastAsia="宋体" w:cs="Times New Roman"/>
                      <w:b w:val="0"/>
                      <w:bCs w:val="0"/>
                      <w:color w:val="auto"/>
                      <w:highlight w:val="none"/>
                      <w:u w:val="none"/>
                    </w:rPr>
                  </w:pPr>
                  <w:r>
                    <w:rPr>
                      <w:rFonts w:hint="eastAsia" w:ascii="Times New Roman" w:hAnsi="Times New Roman" w:eastAsia="宋体" w:cs="Times New Roman"/>
                      <w:b w:val="0"/>
                      <w:bCs w:val="0"/>
                      <w:color w:val="auto"/>
                      <w:highlight w:val="none"/>
                      <w:u w:val="none"/>
                    </w:rPr>
                    <w:t>基准灶头数</w:t>
                  </w:r>
                </w:p>
              </w:tc>
              <w:tc>
                <w:tcPr>
                  <w:tcW w:w="1022" w:type="pct"/>
                  <w:tcBorders>
                    <w:tl2br w:val="nil"/>
                    <w:tr2bl w:val="nil"/>
                  </w:tcBorders>
                  <w:noWrap w:val="0"/>
                  <w:vAlign w:val="center"/>
                </w:tcPr>
                <w:p w14:paraId="72B55D8B">
                  <w:pPr>
                    <w:pStyle w:val="59"/>
                    <w:widowControl w:val="0"/>
                    <w:jc w:val="center"/>
                    <w:rPr>
                      <w:rFonts w:hint="eastAsia" w:ascii="Times New Roman" w:hAnsi="Times New Roman" w:eastAsia="宋体" w:cs="Times New Roman"/>
                      <w:b w:val="0"/>
                      <w:bCs w:val="0"/>
                      <w:color w:val="auto"/>
                      <w:highlight w:val="none"/>
                      <w:u w:val="none"/>
                    </w:rPr>
                  </w:pPr>
                  <w:r>
                    <w:rPr>
                      <w:rFonts w:hint="eastAsia" w:ascii="Times New Roman" w:hAnsi="Times New Roman" w:eastAsia="宋体" w:cs="Times New Roman"/>
                      <w:b w:val="0"/>
                      <w:bCs w:val="0"/>
                      <w:color w:val="auto"/>
                      <w:highlight w:val="none"/>
                      <w:u w:val="none"/>
                    </w:rPr>
                    <w:t>≥1，＜3</w:t>
                  </w:r>
                </w:p>
              </w:tc>
              <w:tc>
                <w:tcPr>
                  <w:tcW w:w="1123" w:type="pct"/>
                  <w:tcBorders>
                    <w:tl2br w:val="nil"/>
                    <w:tr2bl w:val="nil"/>
                  </w:tcBorders>
                  <w:noWrap w:val="0"/>
                  <w:vAlign w:val="center"/>
                </w:tcPr>
                <w:p w14:paraId="3FD79635">
                  <w:pPr>
                    <w:pStyle w:val="59"/>
                    <w:widowControl w:val="0"/>
                    <w:jc w:val="center"/>
                    <w:rPr>
                      <w:rFonts w:hint="eastAsia" w:ascii="Times New Roman" w:hAnsi="Times New Roman" w:eastAsia="宋体" w:cs="Times New Roman"/>
                      <w:b w:val="0"/>
                      <w:bCs w:val="0"/>
                      <w:color w:val="auto"/>
                      <w:highlight w:val="none"/>
                      <w:u w:val="none"/>
                    </w:rPr>
                  </w:pPr>
                  <w:r>
                    <w:rPr>
                      <w:rFonts w:hint="eastAsia" w:ascii="Times New Roman" w:hAnsi="Times New Roman" w:eastAsia="宋体" w:cs="Times New Roman"/>
                      <w:b w:val="0"/>
                      <w:bCs w:val="0"/>
                      <w:color w:val="auto"/>
                      <w:highlight w:val="none"/>
                      <w:u w:val="none"/>
                    </w:rPr>
                    <w:t>≥3，＜6</w:t>
                  </w:r>
                </w:p>
              </w:tc>
              <w:tc>
                <w:tcPr>
                  <w:tcW w:w="1122" w:type="pct"/>
                  <w:tcBorders>
                    <w:tl2br w:val="nil"/>
                    <w:tr2bl w:val="nil"/>
                  </w:tcBorders>
                  <w:noWrap w:val="0"/>
                  <w:vAlign w:val="center"/>
                </w:tcPr>
                <w:p w14:paraId="6A12CAE4">
                  <w:pPr>
                    <w:pStyle w:val="59"/>
                    <w:widowControl w:val="0"/>
                    <w:jc w:val="center"/>
                    <w:rPr>
                      <w:rFonts w:hint="eastAsia" w:ascii="Times New Roman" w:hAnsi="Times New Roman" w:eastAsia="宋体" w:cs="Times New Roman"/>
                      <w:b w:val="0"/>
                      <w:bCs w:val="0"/>
                      <w:color w:val="auto"/>
                      <w:highlight w:val="none"/>
                      <w:u w:val="none"/>
                    </w:rPr>
                  </w:pPr>
                  <w:r>
                    <w:rPr>
                      <w:rFonts w:hint="eastAsia" w:ascii="Times New Roman" w:hAnsi="Times New Roman" w:eastAsia="宋体" w:cs="Times New Roman"/>
                      <w:b w:val="0"/>
                      <w:bCs w:val="0"/>
                      <w:color w:val="auto"/>
                      <w:highlight w:val="none"/>
                      <w:u w:val="none"/>
                    </w:rPr>
                    <w:t>≥6</w:t>
                  </w:r>
                </w:p>
              </w:tc>
            </w:tr>
            <w:tr w14:paraId="3235F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732" w:type="pct"/>
                  <w:tcBorders>
                    <w:tl2br w:val="nil"/>
                    <w:tr2bl w:val="nil"/>
                  </w:tcBorders>
                  <w:noWrap w:val="0"/>
                  <w:vAlign w:val="center"/>
                </w:tcPr>
                <w:p w14:paraId="57BDDC83">
                  <w:pPr>
                    <w:pStyle w:val="59"/>
                    <w:widowControl w:val="0"/>
                    <w:jc w:val="center"/>
                    <w:rPr>
                      <w:rFonts w:hint="eastAsia" w:ascii="Times New Roman" w:hAnsi="Times New Roman" w:eastAsia="宋体" w:cs="Times New Roman"/>
                      <w:b w:val="0"/>
                      <w:bCs w:val="0"/>
                      <w:color w:val="auto"/>
                      <w:highlight w:val="none"/>
                      <w:u w:val="none"/>
                    </w:rPr>
                  </w:pPr>
                  <w:r>
                    <w:rPr>
                      <w:rFonts w:hint="eastAsia" w:ascii="Times New Roman" w:hAnsi="Times New Roman" w:eastAsia="宋体" w:cs="Times New Roman"/>
                      <w:b w:val="0"/>
                      <w:bCs w:val="0"/>
                      <w:color w:val="auto"/>
                      <w:highlight w:val="none"/>
                      <w:u w:val="none"/>
                    </w:rPr>
                    <w:t>最高允许排放浓度（mg/m³）</w:t>
                  </w:r>
                </w:p>
              </w:tc>
              <w:tc>
                <w:tcPr>
                  <w:tcW w:w="3267" w:type="pct"/>
                  <w:gridSpan w:val="3"/>
                  <w:tcBorders>
                    <w:tl2br w:val="nil"/>
                    <w:tr2bl w:val="nil"/>
                  </w:tcBorders>
                  <w:noWrap w:val="0"/>
                  <w:vAlign w:val="center"/>
                </w:tcPr>
                <w:p w14:paraId="4BA59809">
                  <w:pPr>
                    <w:pStyle w:val="59"/>
                    <w:widowControl w:val="0"/>
                    <w:jc w:val="center"/>
                    <w:rPr>
                      <w:rFonts w:hint="eastAsia" w:ascii="Times New Roman" w:hAnsi="Times New Roman" w:eastAsia="宋体" w:cs="Times New Roman"/>
                      <w:b w:val="0"/>
                      <w:bCs w:val="0"/>
                      <w:color w:val="auto"/>
                      <w:highlight w:val="none"/>
                      <w:u w:val="none"/>
                    </w:rPr>
                  </w:pPr>
                  <w:r>
                    <w:rPr>
                      <w:rFonts w:hint="eastAsia" w:ascii="Times New Roman" w:hAnsi="Times New Roman" w:eastAsia="宋体" w:cs="Times New Roman"/>
                      <w:b w:val="0"/>
                      <w:bCs w:val="0"/>
                      <w:color w:val="auto"/>
                      <w:highlight w:val="none"/>
                      <w:u w:val="none"/>
                    </w:rPr>
                    <w:t>2.0</w:t>
                  </w:r>
                </w:p>
              </w:tc>
            </w:tr>
            <w:tr w14:paraId="79985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732" w:type="pct"/>
                  <w:tcBorders>
                    <w:tl2br w:val="nil"/>
                    <w:tr2bl w:val="nil"/>
                  </w:tcBorders>
                  <w:noWrap w:val="0"/>
                  <w:vAlign w:val="center"/>
                </w:tcPr>
                <w:p w14:paraId="158CF79D">
                  <w:pPr>
                    <w:pStyle w:val="59"/>
                    <w:widowControl w:val="0"/>
                    <w:jc w:val="center"/>
                    <w:rPr>
                      <w:rFonts w:hint="eastAsia" w:ascii="Times New Roman" w:hAnsi="Times New Roman" w:eastAsia="宋体" w:cs="Times New Roman"/>
                      <w:b w:val="0"/>
                      <w:bCs w:val="0"/>
                      <w:color w:val="auto"/>
                      <w:highlight w:val="none"/>
                      <w:u w:val="none"/>
                    </w:rPr>
                  </w:pPr>
                  <w:r>
                    <w:rPr>
                      <w:rFonts w:hint="eastAsia" w:ascii="Times New Roman" w:hAnsi="Times New Roman" w:eastAsia="宋体" w:cs="Times New Roman"/>
                      <w:b w:val="0"/>
                      <w:bCs w:val="0"/>
                      <w:color w:val="auto"/>
                      <w:highlight w:val="none"/>
                      <w:u w:val="none"/>
                    </w:rPr>
                    <w:t>净化设施最低去除效率（%）</w:t>
                  </w:r>
                </w:p>
              </w:tc>
              <w:tc>
                <w:tcPr>
                  <w:tcW w:w="1022" w:type="pct"/>
                  <w:tcBorders>
                    <w:tl2br w:val="nil"/>
                    <w:tr2bl w:val="nil"/>
                  </w:tcBorders>
                  <w:noWrap w:val="0"/>
                  <w:vAlign w:val="center"/>
                </w:tcPr>
                <w:p w14:paraId="5EE440A9">
                  <w:pPr>
                    <w:pStyle w:val="59"/>
                    <w:widowControl w:val="0"/>
                    <w:jc w:val="center"/>
                    <w:rPr>
                      <w:rFonts w:hint="eastAsia" w:ascii="Times New Roman" w:hAnsi="Times New Roman" w:eastAsia="宋体" w:cs="Times New Roman"/>
                      <w:b w:val="0"/>
                      <w:bCs w:val="0"/>
                      <w:color w:val="auto"/>
                      <w:highlight w:val="none"/>
                      <w:u w:val="none"/>
                    </w:rPr>
                  </w:pPr>
                  <w:r>
                    <w:rPr>
                      <w:rFonts w:hint="eastAsia" w:ascii="Times New Roman" w:hAnsi="Times New Roman" w:eastAsia="宋体" w:cs="Times New Roman"/>
                      <w:b w:val="0"/>
                      <w:bCs w:val="0"/>
                      <w:color w:val="auto"/>
                      <w:highlight w:val="none"/>
                      <w:u w:val="none"/>
                    </w:rPr>
                    <w:t>60</w:t>
                  </w:r>
                </w:p>
              </w:tc>
              <w:tc>
                <w:tcPr>
                  <w:tcW w:w="1123" w:type="pct"/>
                  <w:tcBorders>
                    <w:tl2br w:val="nil"/>
                    <w:tr2bl w:val="nil"/>
                  </w:tcBorders>
                  <w:noWrap w:val="0"/>
                  <w:vAlign w:val="center"/>
                </w:tcPr>
                <w:p w14:paraId="3095CE8D">
                  <w:pPr>
                    <w:pStyle w:val="59"/>
                    <w:widowControl w:val="0"/>
                    <w:jc w:val="center"/>
                    <w:rPr>
                      <w:rFonts w:hint="eastAsia" w:ascii="Times New Roman" w:hAnsi="Times New Roman" w:eastAsia="宋体" w:cs="Times New Roman"/>
                      <w:b w:val="0"/>
                      <w:bCs w:val="0"/>
                      <w:color w:val="auto"/>
                      <w:highlight w:val="none"/>
                      <w:u w:val="none"/>
                    </w:rPr>
                  </w:pPr>
                  <w:r>
                    <w:rPr>
                      <w:rFonts w:hint="eastAsia" w:ascii="Times New Roman" w:hAnsi="Times New Roman" w:eastAsia="宋体" w:cs="Times New Roman"/>
                      <w:b w:val="0"/>
                      <w:bCs w:val="0"/>
                      <w:color w:val="auto"/>
                      <w:highlight w:val="none"/>
                      <w:u w:val="none"/>
                    </w:rPr>
                    <w:t>75</w:t>
                  </w:r>
                </w:p>
              </w:tc>
              <w:tc>
                <w:tcPr>
                  <w:tcW w:w="1122" w:type="pct"/>
                  <w:tcBorders>
                    <w:tl2br w:val="nil"/>
                    <w:tr2bl w:val="nil"/>
                  </w:tcBorders>
                  <w:noWrap w:val="0"/>
                  <w:vAlign w:val="center"/>
                </w:tcPr>
                <w:p w14:paraId="536250C8">
                  <w:pPr>
                    <w:pStyle w:val="59"/>
                    <w:widowControl w:val="0"/>
                    <w:jc w:val="center"/>
                    <w:rPr>
                      <w:rFonts w:hint="eastAsia" w:ascii="Times New Roman" w:hAnsi="Times New Roman" w:eastAsia="宋体" w:cs="Times New Roman"/>
                      <w:b w:val="0"/>
                      <w:bCs w:val="0"/>
                      <w:color w:val="auto"/>
                      <w:highlight w:val="none"/>
                      <w:u w:val="none"/>
                    </w:rPr>
                  </w:pPr>
                  <w:r>
                    <w:rPr>
                      <w:rFonts w:hint="eastAsia" w:ascii="Times New Roman" w:hAnsi="Times New Roman" w:eastAsia="宋体" w:cs="Times New Roman"/>
                      <w:b w:val="0"/>
                      <w:bCs w:val="0"/>
                      <w:color w:val="auto"/>
                      <w:highlight w:val="none"/>
                      <w:u w:val="none"/>
                    </w:rPr>
                    <w:t>85</w:t>
                  </w:r>
                </w:p>
              </w:tc>
            </w:tr>
          </w:tbl>
          <w:p w14:paraId="4EA9909B">
            <w:pPr>
              <w:pStyle w:val="79"/>
              <w:autoSpaceDE/>
              <w:autoSpaceDN/>
              <w:adjustRightInd/>
              <w:snapToGrid/>
              <w:spacing w:line="360" w:lineRule="auto"/>
              <w:ind w:left="0" w:leftChars="0" w:firstLine="482" w:firstLineChars="200"/>
              <w:jc w:val="both"/>
              <w:rPr>
                <w:rFonts w:hint="default" w:ascii="Times New Roman" w:hAnsi="Times New Roman" w:eastAsia="宋体" w:cs="Times New Roman"/>
                <w:b/>
                <w:bCs/>
                <w:color w:val="auto"/>
                <w:kern w:val="2"/>
                <w:highlight w:val="none"/>
                <w:u w:val="none"/>
                <w:lang w:val="zh-CN" w:eastAsia="zh-CN" w:bidi="ar-SA"/>
              </w:rPr>
            </w:pPr>
            <w:r>
              <w:rPr>
                <w:rFonts w:hint="eastAsia" w:ascii="Times New Roman" w:hAnsi="Times New Roman" w:eastAsia="宋体" w:cs="Times New Roman"/>
                <w:b/>
                <w:bCs/>
                <w:color w:val="auto"/>
                <w:kern w:val="2"/>
                <w:highlight w:val="none"/>
                <w:u w:val="none"/>
                <w:lang w:val="en-US" w:eastAsia="zh-CN" w:bidi="ar-SA"/>
              </w:rPr>
              <w:t>（2）</w:t>
            </w:r>
            <w:r>
              <w:rPr>
                <w:rFonts w:hint="default" w:ascii="Times New Roman" w:hAnsi="Times New Roman" w:eastAsia="宋体" w:cs="Times New Roman"/>
                <w:b/>
                <w:bCs/>
                <w:color w:val="auto"/>
                <w:kern w:val="2"/>
                <w:highlight w:val="none"/>
                <w:u w:val="none"/>
                <w:lang w:val="zh-CN" w:eastAsia="zh-CN" w:bidi="ar-SA"/>
              </w:rPr>
              <w:t>废水</w:t>
            </w:r>
            <w:r>
              <w:rPr>
                <w:rFonts w:hint="eastAsia" w:ascii="Times New Roman" w:hAnsi="Times New Roman" w:eastAsia="宋体" w:cs="Times New Roman"/>
                <w:b/>
                <w:bCs/>
                <w:color w:val="auto"/>
                <w:kern w:val="2"/>
                <w:highlight w:val="none"/>
                <w:u w:val="none"/>
                <w:lang w:val="en-US" w:eastAsia="zh-CN" w:bidi="ar-SA"/>
              </w:rPr>
              <w:t>排放控制标准</w:t>
            </w:r>
          </w:p>
          <w:p w14:paraId="352824E8">
            <w:pPr>
              <w:bidi w:val="0"/>
              <w:spacing w:line="360" w:lineRule="auto"/>
              <w:ind w:firstLine="480" w:firstLineChars="200"/>
              <w:jc w:val="both"/>
              <w:rPr>
                <w:rFonts w:hint="default"/>
                <w:color w:val="auto"/>
                <w:sz w:val="24"/>
                <w:szCs w:val="32"/>
                <w:u w:val="none"/>
                <w:lang w:val="en-US" w:eastAsia="zh-CN"/>
              </w:rPr>
            </w:pPr>
            <w:r>
              <w:rPr>
                <w:rFonts w:hint="eastAsia"/>
                <w:color w:val="auto"/>
                <w:sz w:val="24"/>
                <w:szCs w:val="32"/>
                <w:u w:val="none"/>
                <w:lang w:val="en-US" w:eastAsia="zh-CN"/>
              </w:rPr>
              <w:t>综合废水执行《医疗机构水污染物排放标准》（GB18466-2005）表2综合医疗机构和其他医疗机构水污染物排放限值中的预处理标准后排入城镇污水管网。</w:t>
            </w:r>
          </w:p>
          <w:p w14:paraId="5DD7AD3B">
            <w:pPr>
              <w:pStyle w:val="54"/>
              <w:widowControl w:val="0"/>
              <w:ind w:firstLine="0" w:firstLineChars="0"/>
              <w:jc w:val="center"/>
              <w:rPr>
                <w:rFonts w:hint="default" w:ascii="Times New Roman" w:hAnsi="Times New Roman" w:eastAsia="宋体" w:cs="Times New Roman"/>
                <w:b/>
                <w:color w:val="auto"/>
                <w:sz w:val="21"/>
                <w:szCs w:val="21"/>
                <w:highlight w:val="none"/>
                <w:u w:val="none"/>
                <w:lang w:val="zh-CN" w:eastAsia="zh-CN"/>
              </w:rPr>
            </w:pPr>
            <w:r>
              <w:rPr>
                <w:rFonts w:hint="default" w:ascii="Times New Roman" w:hAnsi="Times New Roman" w:eastAsia="宋体" w:cs="Times New Roman"/>
                <w:b/>
                <w:color w:val="auto"/>
                <w:sz w:val="21"/>
                <w:szCs w:val="21"/>
                <w:highlight w:val="none"/>
                <w:u w:val="none"/>
                <w:lang w:val="zh-CN" w:eastAsia="zh-CN"/>
              </w:rPr>
              <w:t>表</w:t>
            </w:r>
            <w:r>
              <w:rPr>
                <w:rFonts w:hint="default" w:ascii="Times New Roman" w:hAnsi="Times New Roman" w:eastAsia="宋体" w:cs="Times New Roman"/>
                <w:b/>
                <w:color w:val="auto"/>
                <w:sz w:val="21"/>
                <w:szCs w:val="21"/>
                <w:highlight w:val="none"/>
                <w:u w:val="none"/>
                <w:lang w:val="en-US" w:eastAsia="zh-CN"/>
              </w:rPr>
              <w:t>3-</w:t>
            </w:r>
            <w:r>
              <w:rPr>
                <w:rFonts w:hint="eastAsia" w:cs="Times New Roman"/>
                <w:b/>
                <w:color w:val="auto"/>
                <w:sz w:val="21"/>
                <w:szCs w:val="21"/>
                <w:highlight w:val="none"/>
                <w:u w:val="none"/>
                <w:lang w:val="en-US" w:eastAsia="zh-CN"/>
              </w:rPr>
              <w:t xml:space="preserve">7 </w:t>
            </w:r>
            <w:r>
              <w:rPr>
                <w:rFonts w:hint="default" w:ascii="Times New Roman" w:hAnsi="Times New Roman" w:eastAsia="宋体" w:cs="Times New Roman"/>
                <w:b/>
                <w:color w:val="auto"/>
                <w:sz w:val="21"/>
                <w:szCs w:val="21"/>
                <w:highlight w:val="none"/>
                <w:u w:val="none"/>
                <w:lang w:val="zh-CN" w:eastAsia="zh-CN"/>
              </w:rPr>
              <w:t xml:space="preserve"> </w:t>
            </w:r>
            <w:r>
              <w:rPr>
                <w:rFonts w:hint="default" w:ascii="Times New Roman" w:hAnsi="Times New Roman" w:eastAsia="宋体" w:cs="Times New Roman"/>
                <w:b/>
                <w:color w:val="auto"/>
                <w:sz w:val="21"/>
                <w:szCs w:val="21"/>
                <w:highlight w:val="none"/>
                <w:u w:val="none"/>
                <w:lang w:val="en-US" w:eastAsia="zh-CN"/>
              </w:rPr>
              <w:t xml:space="preserve"> </w:t>
            </w:r>
            <w:r>
              <w:rPr>
                <w:rFonts w:hint="eastAsia" w:ascii="Times New Roman" w:hAnsi="Times New Roman" w:eastAsia="宋体" w:cs="Times New Roman"/>
                <w:b/>
                <w:color w:val="auto"/>
                <w:sz w:val="21"/>
                <w:szCs w:val="21"/>
                <w:highlight w:val="none"/>
                <w:u w:val="none"/>
                <w:lang w:val="en-US" w:eastAsia="zh-CN"/>
              </w:rPr>
              <w:t>本项目污水</w:t>
            </w:r>
            <w:r>
              <w:rPr>
                <w:rFonts w:hint="default" w:ascii="Times New Roman" w:hAnsi="Times New Roman" w:eastAsia="宋体" w:cs="Times New Roman"/>
                <w:b/>
                <w:color w:val="auto"/>
                <w:sz w:val="21"/>
                <w:szCs w:val="21"/>
                <w:highlight w:val="none"/>
                <w:u w:val="none"/>
                <w:lang w:val="en-US" w:eastAsia="zh-CN"/>
              </w:rPr>
              <w:t>排放标准</w:t>
            </w:r>
          </w:p>
          <w:tbl>
            <w:tblPr>
              <w:tblStyle w:val="93"/>
              <w:tblW w:w="4994" w:type="pct"/>
              <w:tblInd w:w="-30" w:type="dxa"/>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
            <w:tblGrid>
              <w:gridCol w:w="3652"/>
              <w:gridCol w:w="2079"/>
              <w:gridCol w:w="3787"/>
            </w:tblGrid>
            <w:tr w14:paraId="0A901920">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918" w:type="pct"/>
                  <w:noWrap w:val="0"/>
                  <w:vAlign w:val="center"/>
                </w:tcPr>
                <w:p w14:paraId="3BB65E7A">
                  <w:pPr>
                    <w:bidi w:val="0"/>
                    <w:jc w:val="center"/>
                    <w:rPr>
                      <w:rFonts w:hint="default"/>
                      <w:color w:val="auto"/>
                      <w:sz w:val="21"/>
                      <w:szCs w:val="21"/>
                      <w:u w:val="none"/>
                    </w:rPr>
                  </w:pPr>
                  <w:r>
                    <w:rPr>
                      <w:rFonts w:hint="default"/>
                      <w:color w:val="auto"/>
                      <w:sz w:val="21"/>
                      <w:szCs w:val="21"/>
                      <w:u w:val="none"/>
                    </w:rPr>
                    <w:t>控制项目</w:t>
                  </w:r>
                </w:p>
              </w:tc>
              <w:tc>
                <w:tcPr>
                  <w:tcW w:w="1092" w:type="pct"/>
                  <w:noWrap w:val="0"/>
                  <w:vAlign w:val="center"/>
                </w:tcPr>
                <w:p w14:paraId="544F9317">
                  <w:pPr>
                    <w:bidi w:val="0"/>
                    <w:jc w:val="center"/>
                    <w:rPr>
                      <w:rFonts w:hint="default"/>
                      <w:color w:val="auto"/>
                      <w:sz w:val="21"/>
                      <w:szCs w:val="21"/>
                      <w:u w:val="none"/>
                    </w:rPr>
                  </w:pPr>
                  <w:r>
                    <w:rPr>
                      <w:rFonts w:hint="default"/>
                      <w:color w:val="auto"/>
                      <w:sz w:val="21"/>
                      <w:szCs w:val="21"/>
                      <w:u w:val="none"/>
                    </w:rPr>
                    <w:t>预处理排放标准</w:t>
                  </w:r>
                </w:p>
              </w:tc>
              <w:tc>
                <w:tcPr>
                  <w:tcW w:w="1989" w:type="pct"/>
                  <w:noWrap w:val="0"/>
                  <w:vAlign w:val="center"/>
                </w:tcPr>
                <w:p w14:paraId="5287E802">
                  <w:pPr>
                    <w:bidi w:val="0"/>
                    <w:jc w:val="center"/>
                    <w:rPr>
                      <w:rFonts w:hint="default"/>
                      <w:color w:val="auto"/>
                      <w:sz w:val="21"/>
                      <w:szCs w:val="21"/>
                      <w:u w:val="none"/>
                    </w:rPr>
                  </w:pPr>
                  <w:r>
                    <w:rPr>
                      <w:rFonts w:hint="default"/>
                      <w:color w:val="auto"/>
                      <w:sz w:val="21"/>
                      <w:szCs w:val="21"/>
                      <w:u w:val="none"/>
                    </w:rPr>
                    <w:t>来源</w:t>
                  </w:r>
                </w:p>
              </w:tc>
            </w:tr>
            <w:tr w14:paraId="499492D6">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918" w:type="pct"/>
                  <w:noWrap w:val="0"/>
                  <w:vAlign w:val="center"/>
                </w:tcPr>
                <w:p w14:paraId="68F2D438">
                  <w:pPr>
                    <w:bidi w:val="0"/>
                    <w:jc w:val="center"/>
                    <w:rPr>
                      <w:rFonts w:hint="default"/>
                      <w:color w:val="auto"/>
                      <w:sz w:val="21"/>
                      <w:szCs w:val="21"/>
                      <w:u w:val="none"/>
                    </w:rPr>
                  </w:pPr>
                  <w:r>
                    <w:rPr>
                      <w:rFonts w:hint="default"/>
                      <w:color w:val="auto"/>
                      <w:sz w:val="21"/>
                      <w:szCs w:val="21"/>
                      <w:u w:val="none"/>
                    </w:rPr>
                    <w:t>pH（无量纲）</w:t>
                  </w:r>
                </w:p>
              </w:tc>
              <w:tc>
                <w:tcPr>
                  <w:tcW w:w="1092" w:type="pct"/>
                  <w:noWrap w:val="0"/>
                  <w:vAlign w:val="center"/>
                </w:tcPr>
                <w:p w14:paraId="2FEAF2BA">
                  <w:pPr>
                    <w:bidi w:val="0"/>
                    <w:jc w:val="center"/>
                    <w:rPr>
                      <w:rFonts w:hint="default"/>
                      <w:color w:val="auto"/>
                      <w:sz w:val="21"/>
                      <w:szCs w:val="21"/>
                      <w:u w:val="none"/>
                    </w:rPr>
                  </w:pPr>
                  <w:r>
                    <w:rPr>
                      <w:rFonts w:hint="default"/>
                      <w:color w:val="auto"/>
                      <w:sz w:val="21"/>
                      <w:szCs w:val="21"/>
                      <w:u w:val="none"/>
                    </w:rPr>
                    <w:t>6~9</w:t>
                  </w:r>
                </w:p>
              </w:tc>
              <w:tc>
                <w:tcPr>
                  <w:tcW w:w="1989" w:type="pct"/>
                  <w:vMerge w:val="restart"/>
                  <w:noWrap w:val="0"/>
                  <w:vAlign w:val="center"/>
                </w:tcPr>
                <w:p w14:paraId="218FFE7A">
                  <w:pPr>
                    <w:bidi w:val="0"/>
                    <w:jc w:val="center"/>
                    <w:rPr>
                      <w:rFonts w:hint="default"/>
                      <w:color w:val="auto"/>
                      <w:sz w:val="21"/>
                      <w:szCs w:val="21"/>
                      <w:u w:val="none"/>
                    </w:rPr>
                  </w:pPr>
                  <w:r>
                    <w:rPr>
                      <w:rFonts w:hint="default"/>
                      <w:color w:val="auto"/>
                      <w:sz w:val="21"/>
                      <w:szCs w:val="21"/>
                      <w:u w:val="none"/>
                    </w:rPr>
                    <w:t>《医疗机构水污染物排放标准》 （GB18466-2005）表2 综合医疗机构和其他医疗机构水污染物排放限值</w:t>
                  </w:r>
                  <w:r>
                    <w:rPr>
                      <w:rFonts w:hint="eastAsia"/>
                      <w:color w:val="auto"/>
                      <w:sz w:val="21"/>
                      <w:szCs w:val="21"/>
                      <w:u w:val="none"/>
                      <w:lang w:eastAsia="zh-CN"/>
                    </w:rPr>
                    <w:t>中的预处理标准</w:t>
                  </w:r>
                </w:p>
                <w:p w14:paraId="332833A4">
                  <w:pPr>
                    <w:bidi w:val="0"/>
                    <w:jc w:val="center"/>
                    <w:rPr>
                      <w:rFonts w:hint="default"/>
                      <w:color w:val="auto"/>
                      <w:sz w:val="21"/>
                      <w:szCs w:val="21"/>
                      <w:u w:val="none"/>
                    </w:rPr>
                  </w:pPr>
                </w:p>
              </w:tc>
            </w:tr>
            <w:tr w14:paraId="0E794781">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918" w:type="pct"/>
                  <w:noWrap w:val="0"/>
                  <w:vAlign w:val="center"/>
                </w:tcPr>
                <w:p w14:paraId="0ACCE172">
                  <w:pPr>
                    <w:bidi w:val="0"/>
                    <w:jc w:val="center"/>
                    <w:rPr>
                      <w:rFonts w:hint="eastAsia" w:eastAsia="宋体"/>
                      <w:color w:val="auto"/>
                      <w:sz w:val="21"/>
                      <w:szCs w:val="21"/>
                      <w:u w:val="none"/>
                      <w:lang w:val="en-US" w:eastAsia="zh-CN"/>
                    </w:rPr>
                  </w:pPr>
                  <w:r>
                    <w:rPr>
                      <w:rFonts w:hint="eastAsia"/>
                      <w:color w:val="auto"/>
                      <w:sz w:val="21"/>
                      <w:szCs w:val="21"/>
                      <w:u w:val="none"/>
                      <w:lang w:val="en-US" w:eastAsia="zh-CN"/>
                    </w:rPr>
                    <w:t>肠道致病菌</w:t>
                  </w:r>
                </w:p>
              </w:tc>
              <w:tc>
                <w:tcPr>
                  <w:tcW w:w="1092" w:type="pct"/>
                  <w:noWrap w:val="0"/>
                  <w:vAlign w:val="center"/>
                </w:tcPr>
                <w:p w14:paraId="1CB9FEF4">
                  <w:pPr>
                    <w:bidi w:val="0"/>
                    <w:jc w:val="center"/>
                    <w:rPr>
                      <w:rFonts w:hint="eastAsia" w:eastAsia="宋体"/>
                      <w:color w:val="auto"/>
                      <w:sz w:val="21"/>
                      <w:szCs w:val="21"/>
                      <w:u w:val="none"/>
                      <w:lang w:val="en-US" w:eastAsia="zh-CN"/>
                    </w:rPr>
                  </w:pPr>
                  <w:r>
                    <w:rPr>
                      <w:rFonts w:hint="eastAsia"/>
                      <w:color w:val="auto"/>
                      <w:sz w:val="21"/>
                      <w:szCs w:val="21"/>
                      <w:u w:val="none"/>
                      <w:lang w:val="en-US" w:eastAsia="zh-CN"/>
                    </w:rPr>
                    <w:t>-</w:t>
                  </w:r>
                </w:p>
              </w:tc>
              <w:tc>
                <w:tcPr>
                  <w:tcW w:w="1989" w:type="pct"/>
                  <w:vMerge w:val="continue"/>
                  <w:noWrap w:val="0"/>
                  <w:vAlign w:val="center"/>
                </w:tcPr>
                <w:p w14:paraId="64CEFB90">
                  <w:pPr>
                    <w:bidi w:val="0"/>
                    <w:jc w:val="center"/>
                    <w:rPr>
                      <w:rFonts w:hint="default"/>
                      <w:color w:val="auto"/>
                      <w:sz w:val="21"/>
                      <w:szCs w:val="21"/>
                      <w:u w:val="none"/>
                    </w:rPr>
                  </w:pPr>
                </w:p>
              </w:tc>
            </w:tr>
            <w:tr w14:paraId="3DEACCF8">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918" w:type="pct"/>
                  <w:noWrap w:val="0"/>
                  <w:vAlign w:val="center"/>
                </w:tcPr>
                <w:p w14:paraId="297B088A">
                  <w:pPr>
                    <w:bidi w:val="0"/>
                    <w:jc w:val="center"/>
                    <w:rPr>
                      <w:rFonts w:hint="eastAsia" w:eastAsia="宋体"/>
                      <w:color w:val="auto"/>
                      <w:sz w:val="21"/>
                      <w:szCs w:val="21"/>
                      <w:u w:val="none"/>
                      <w:lang w:eastAsia="zh-CN"/>
                    </w:rPr>
                  </w:pPr>
                  <w:r>
                    <w:rPr>
                      <w:rFonts w:hint="eastAsia"/>
                      <w:color w:val="auto"/>
                      <w:sz w:val="21"/>
                      <w:szCs w:val="21"/>
                      <w:u w:val="none"/>
                      <w:lang w:eastAsia="zh-CN"/>
                    </w:rPr>
                    <w:t>肠道病毒</w:t>
                  </w:r>
                </w:p>
              </w:tc>
              <w:tc>
                <w:tcPr>
                  <w:tcW w:w="1092" w:type="pct"/>
                  <w:noWrap w:val="0"/>
                  <w:vAlign w:val="center"/>
                </w:tcPr>
                <w:p w14:paraId="1CD8D447">
                  <w:pPr>
                    <w:bidi w:val="0"/>
                    <w:jc w:val="center"/>
                    <w:rPr>
                      <w:rFonts w:hint="eastAsia" w:eastAsia="宋体"/>
                      <w:color w:val="auto"/>
                      <w:sz w:val="21"/>
                      <w:szCs w:val="21"/>
                      <w:u w:val="none"/>
                      <w:lang w:val="en-US" w:eastAsia="zh-CN"/>
                    </w:rPr>
                  </w:pPr>
                  <w:r>
                    <w:rPr>
                      <w:rFonts w:hint="eastAsia"/>
                      <w:color w:val="auto"/>
                      <w:sz w:val="21"/>
                      <w:szCs w:val="21"/>
                      <w:u w:val="none"/>
                      <w:lang w:val="en-US" w:eastAsia="zh-CN"/>
                    </w:rPr>
                    <w:t>-</w:t>
                  </w:r>
                </w:p>
              </w:tc>
              <w:tc>
                <w:tcPr>
                  <w:tcW w:w="1989" w:type="pct"/>
                  <w:vMerge w:val="continue"/>
                  <w:noWrap w:val="0"/>
                  <w:vAlign w:val="center"/>
                </w:tcPr>
                <w:p w14:paraId="2DD66B9D">
                  <w:pPr>
                    <w:bidi w:val="0"/>
                    <w:jc w:val="center"/>
                    <w:rPr>
                      <w:rFonts w:hint="default"/>
                      <w:color w:val="auto"/>
                      <w:sz w:val="21"/>
                      <w:szCs w:val="21"/>
                      <w:u w:val="none"/>
                    </w:rPr>
                  </w:pPr>
                </w:p>
              </w:tc>
            </w:tr>
            <w:tr w14:paraId="507CB961">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9" w:hRule="atLeast"/>
              </w:trPr>
              <w:tc>
                <w:tcPr>
                  <w:tcW w:w="1918" w:type="pct"/>
                  <w:noWrap w:val="0"/>
                  <w:vAlign w:val="center"/>
                </w:tcPr>
                <w:p w14:paraId="1EDFAC34">
                  <w:pPr>
                    <w:bidi w:val="0"/>
                    <w:jc w:val="center"/>
                    <w:rPr>
                      <w:rFonts w:hint="default"/>
                      <w:color w:val="auto"/>
                      <w:sz w:val="21"/>
                      <w:szCs w:val="21"/>
                      <w:u w:val="none"/>
                    </w:rPr>
                  </w:pPr>
                  <w:r>
                    <w:rPr>
                      <w:rFonts w:hint="default"/>
                      <w:color w:val="auto"/>
                      <w:sz w:val="21"/>
                      <w:szCs w:val="21"/>
                      <w:u w:val="none"/>
                    </w:rPr>
                    <w:t>粪大肠菌群 （MPN/L）</w:t>
                  </w:r>
                </w:p>
              </w:tc>
              <w:tc>
                <w:tcPr>
                  <w:tcW w:w="1092" w:type="pct"/>
                  <w:noWrap w:val="0"/>
                  <w:vAlign w:val="center"/>
                </w:tcPr>
                <w:p w14:paraId="01AEFE0D">
                  <w:pPr>
                    <w:bidi w:val="0"/>
                    <w:jc w:val="center"/>
                    <w:rPr>
                      <w:rFonts w:hint="default"/>
                      <w:color w:val="auto"/>
                      <w:sz w:val="21"/>
                      <w:szCs w:val="21"/>
                      <w:u w:val="none"/>
                    </w:rPr>
                  </w:pPr>
                  <w:r>
                    <w:rPr>
                      <w:rFonts w:hint="default"/>
                      <w:color w:val="auto"/>
                      <w:sz w:val="21"/>
                      <w:szCs w:val="21"/>
                      <w:u w:val="none"/>
                    </w:rPr>
                    <w:t>5000</w:t>
                  </w:r>
                </w:p>
              </w:tc>
              <w:tc>
                <w:tcPr>
                  <w:tcW w:w="1989" w:type="pct"/>
                  <w:vMerge w:val="continue"/>
                  <w:noWrap w:val="0"/>
                  <w:vAlign w:val="center"/>
                </w:tcPr>
                <w:p w14:paraId="5E1BF0B6">
                  <w:pPr>
                    <w:bidi w:val="0"/>
                    <w:jc w:val="center"/>
                    <w:rPr>
                      <w:rFonts w:hint="default"/>
                      <w:color w:val="auto"/>
                      <w:sz w:val="21"/>
                      <w:szCs w:val="21"/>
                      <w:u w:val="none"/>
                    </w:rPr>
                  </w:pPr>
                </w:p>
              </w:tc>
            </w:tr>
            <w:tr w14:paraId="28838A04">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1918" w:type="pct"/>
                  <w:noWrap w:val="0"/>
                  <w:vAlign w:val="center"/>
                </w:tcPr>
                <w:p w14:paraId="2FFF476D">
                  <w:pPr>
                    <w:bidi w:val="0"/>
                    <w:jc w:val="center"/>
                    <w:rPr>
                      <w:rFonts w:hint="default"/>
                      <w:color w:val="auto"/>
                      <w:sz w:val="21"/>
                      <w:szCs w:val="21"/>
                      <w:u w:val="none"/>
                    </w:rPr>
                  </w:pPr>
                  <w:r>
                    <w:rPr>
                      <w:rFonts w:hint="default"/>
                      <w:color w:val="auto"/>
                      <w:sz w:val="21"/>
                      <w:szCs w:val="21"/>
                      <w:u w:val="none"/>
                    </w:rPr>
                    <w:t>COD （mg/L）</w:t>
                  </w:r>
                </w:p>
              </w:tc>
              <w:tc>
                <w:tcPr>
                  <w:tcW w:w="1092" w:type="pct"/>
                  <w:noWrap w:val="0"/>
                  <w:vAlign w:val="center"/>
                </w:tcPr>
                <w:p w14:paraId="59364FC8">
                  <w:pPr>
                    <w:bidi w:val="0"/>
                    <w:jc w:val="center"/>
                    <w:rPr>
                      <w:rFonts w:hint="default"/>
                      <w:color w:val="auto"/>
                      <w:sz w:val="21"/>
                      <w:szCs w:val="21"/>
                      <w:u w:val="none"/>
                    </w:rPr>
                  </w:pPr>
                  <w:r>
                    <w:rPr>
                      <w:rFonts w:hint="default"/>
                      <w:color w:val="auto"/>
                      <w:sz w:val="21"/>
                      <w:szCs w:val="21"/>
                      <w:u w:val="none"/>
                    </w:rPr>
                    <w:t>250</w:t>
                  </w:r>
                </w:p>
              </w:tc>
              <w:tc>
                <w:tcPr>
                  <w:tcW w:w="1989" w:type="pct"/>
                  <w:vMerge w:val="continue"/>
                  <w:noWrap w:val="0"/>
                  <w:vAlign w:val="center"/>
                </w:tcPr>
                <w:p w14:paraId="310C2AF2">
                  <w:pPr>
                    <w:bidi w:val="0"/>
                    <w:jc w:val="center"/>
                    <w:rPr>
                      <w:rFonts w:hint="default"/>
                      <w:color w:val="auto"/>
                      <w:sz w:val="21"/>
                      <w:szCs w:val="21"/>
                      <w:u w:val="none"/>
                    </w:rPr>
                  </w:pPr>
                </w:p>
              </w:tc>
            </w:tr>
            <w:tr w14:paraId="07CFA760">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1918" w:type="pct"/>
                  <w:noWrap w:val="0"/>
                  <w:vAlign w:val="center"/>
                </w:tcPr>
                <w:p w14:paraId="1A53FE84">
                  <w:pPr>
                    <w:bidi w:val="0"/>
                    <w:jc w:val="center"/>
                    <w:rPr>
                      <w:rFonts w:hint="default"/>
                      <w:color w:val="auto"/>
                      <w:sz w:val="21"/>
                      <w:szCs w:val="21"/>
                      <w:u w:val="none"/>
                    </w:rPr>
                  </w:pPr>
                  <w:r>
                    <w:rPr>
                      <w:rFonts w:hint="default"/>
                      <w:color w:val="auto"/>
                      <w:sz w:val="21"/>
                      <w:szCs w:val="21"/>
                      <w:u w:val="none"/>
                    </w:rPr>
                    <w:t>BOD</w:t>
                  </w:r>
                  <w:r>
                    <w:rPr>
                      <w:rFonts w:hint="default"/>
                      <w:color w:val="auto"/>
                      <w:sz w:val="21"/>
                      <w:szCs w:val="21"/>
                      <w:u w:val="none"/>
                      <w:vertAlign w:val="subscript"/>
                    </w:rPr>
                    <w:t>5</w:t>
                  </w:r>
                  <w:r>
                    <w:rPr>
                      <w:rFonts w:hint="default"/>
                      <w:color w:val="auto"/>
                      <w:sz w:val="21"/>
                      <w:szCs w:val="21"/>
                      <w:u w:val="none"/>
                    </w:rPr>
                    <w:t>（mg/L）</w:t>
                  </w:r>
                </w:p>
              </w:tc>
              <w:tc>
                <w:tcPr>
                  <w:tcW w:w="1092" w:type="pct"/>
                  <w:noWrap w:val="0"/>
                  <w:vAlign w:val="center"/>
                </w:tcPr>
                <w:p w14:paraId="51B65EE4">
                  <w:pPr>
                    <w:bidi w:val="0"/>
                    <w:jc w:val="center"/>
                    <w:rPr>
                      <w:rFonts w:hint="default"/>
                      <w:color w:val="auto"/>
                      <w:sz w:val="21"/>
                      <w:szCs w:val="21"/>
                      <w:u w:val="none"/>
                    </w:rPr>
                  </w:pPr>
                  <w:r>
                    <w:rPr>
                      <w:rFonts w:hint="default"/>
                      <w:color w:val="auto"/>
                      <w:sz w:val="21"/>
                      <w:szCs w:val="21"/>
                      <w:u w:val="none"/>
                    </w:rPr>
                    <w:t>100</w:t>
                  </w:r>
                </w:p>
              </w:tc>
              <w:tc>
                <w:tcPr>
                  <w:tcW w:w="1989" w:type="pct"/>
                  <w:vMerge w:val="continue"/>
                  <w:noWrap w:val="0"/>
                  <w:vAlign w:val="center"/>
                </w:tcPr>
                <w:p w14:paraId="52C21C19">
                  <w:pPr>
                    <w:bidi w:val="0"/>
                    <w:jc w:val="center"/>
                    <w:rPr>
                      <w:rFonts w:hint="default"/>
                      <w:color w:val="auto"/>
                      <w:sz w:val="21"/>
                      <w:szCs w:val="21"/>
                      <w:u w:val="none"/>
                    </w:rPr>
                  </w:pPr>
                </w:p>
              </w:tc>
            </w:tr>
            <w:tr w14:paraId="60D83459">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1918" w:type="pct"/>
                  <w:noWrap w:val="0"/>
                  <w:vAlign w:val="center"/>
                </w:tcPr>
                <w:p w14:paraId="0EE3B0F3">
                  <w:pPr>
                    <w:bidi w:val="0"/>
                    <w:jc w:val="center"/>
                    <w:rPr>
                      <w:rFonts w:hint="default"/>
                      <w:color w:val="auto"/>
                      <w:sz w:val="21"/>
                      <w:szCs w:val="21"/>
                      <w:u w:val="none"/>
                    </w:rPr>
                  </w:pPr>
                  <w:r>
                    <w:rPr>
                      <w:rFonts w:hint="default"/>
                      <w:color w:val="auto"/>
                      <w:sz w:val="21"/>
                      <w:szCs w:val="21"/>
                      <w:u w:val="none"/>
                    </w:rPr>
                    <w:t>SS（mg/L）</w:t>
                  </w:r>
                </w:p>
              </w:tc>
              <w:tc>
                <w:tcPr>
                  <w:tcW w:w="1092" w:type="pct"/>
                  <w:noWrap w:val="0"/>
                  <w:vAlign w:val="center"/>
                </w:tcPr>
                <w:p w14:paraId="708D891C">
                  <w:pPr>
                    <w:bidi w:val="0"/>
                    <w:jc w:val="center"/>
                    <w:rPr>
                      <w:rFonts w:hint="default"/>
                      <w:color w:val="auto"/>
                      <w:sz w:val="21"/>
                      <w:szCs w:val="21"/>
                      <w:u w:val="none"/>
                    </w:rPr>
                  </w:pPr>
                  <w:r>
                    <w:rPr>
                      <w:rFonts w:hint="default"/>
                      <w:color w:val="auto"/>
                      <w:sz w:val="21"/>
                      <w:szCs w:val="21"/>
                      <w:u w:val="none"/>
                    </w:rPr>
                    <w:t>60</w:t>
                  </w:r>
                </w:p>
              </w:tc>
              <w:tc>
                <w:tcPr>
                  <w:tcW w:w="1989" w:type="pct"/>
                  <w:vMerge w:val="continue"/>
                  <w:noWrap w:val="0"/>
                  <w:vAlign w:val="center"/>
                </w:tcPr>
                <w:p w14:paraId="5B1C70C2">
                  <w:pPr>
                    <w:bidi w:val="0"/>
                    <w:jc w:val="center"/>
                    <w:rPr>
                      <w:rFonts w:hint="default"/>
                      <w:color w:val="auto"/>
                      <w:sz w:val="21"/>
                      <w:szCs w:val="21"/>
                      <w:u w:val="none"/>
                    </w:rPr>
                  </w:pPr>
                </w:p>
              </w:tc>
            </w:tr>
            <w:tr w14:paraId="4D09A891">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1918" w:type="pct"/>
                  <w:noWrap w:val="0"/>
                  <w:vAlign w:val="center"/>
                </w:tcPr>
                <w:p w14:paraId="5D251008">
                  <w:pPr>
                    <w:bidi w:val="0"/>
                    <w:jc w:val="center"/>
                    <w:rPr>
                      <w:rFonts w:hint="eastAsia" w:eastAsia="宋体"/>
                      <w:color w:val="auto"/>
                      <w:sz w:val="21"/>
                      <w:szCs w:val="21"/>
                      <w:u w:val="none"/>
                      <w:lang w:eastAsia="zh-CN"/>
                    </w:rPr>
                  </w:pPr>
                  <w:r>
                    <w:rPr>
                      <w:rFonts w:hint="eastAsia"/>
                      <w:color w:val="auto"/>
                      <w:sz w:val="21"/>
                      <w:szCs w:val="21"/>
                      <w:u w:val="none"/>
                      <w:lang w:eastAsia="zh-CN"/>
                    </w:rPr>
                    <w:t>氨氮</w:t>
                  </w:r>
                </w:p>
              </w:tc>
              <w:tc>
                <w:tcPr>
                  <w:tcW w:w="1092" w:type="pct"/>
                  <w:noWrap w:val="0"/>
                  <w:vAlign w:val="center"/>
                </w:tcPr>
                <w:p w14:paraId="22C9D1ED">
                  <w:pPr>
                    <w:bidi w:val="0"/>
                    <w:jc w:val="center"/>
                    <w:rPr>
                      <w:rFonts w:hint="eastAsia" w:eastAsia="宋体"/>
                      <w:color w:val="auto"/>
                      <w:sz w:val="21"/>
                      <w:szCs w:val="21"/>
                      <w:u w:val="none"/>
                      <w:lang w:val="en-US" w:eastAsia="zh-CN"/>
                    </w:rPr>
                  </w:pPr>
                  <w:r>
                    <w:rPr>
                      <w:rFonts w:hint="eastAsia"/>
                      <w:color w:val="auto"/>
                      <w:sz w:val="21"/>
                      <w:szCs w:val="21"/>
                      <w:u w:val="none"/>
                      <w:lang w:val="en-US" w:eastAsia="zh-CN"/>
                    </w:rPr>
                    <w:t>-</w:t>
                  </w:r>
                </w:p>
              </w:tc>
              <w:tc>
                <w:tcPr>
                  <w:tcW w:w="1989" w:type="pct"/>
                  <w:vMerge w:val="continue"/>
                  <w:noWrap w:val="0"/>
                  <w:vAlign w:val="center"/>
                </w:tcPr>
                <w:p w14:paraId="540BA38D">
                  <w:pPr>
                    <w:bidi w:val="0"/>
                    <w:jc w:val="center"/>
                    <w:rPr>
                      <w:rFonts w:hint="default"/>
                      <w:color w:val="auto"/>
                      <w:sz w:val="21"/>
                      <w:szCs w:val="21"/>
                      <w:u w:val="none"/>
                    </w:rPr>
                  </w:pPr>
                </w:p>
              </w:tc>
            </w:tr>
            <w:tr w14:paraId="5F0D9CCF">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1918" w:type="pct"/>
                  <w:noWrap w:val="0"/>
                  <w:vAlign w:val="center"/>
                </w:tcPr>
                <w:p w14:paraId="3C8A920B">
                  <w:pPr>
                    <w:bidi w:val="0"/>
                    <w:jc w:val="center"/>
                    <w:rPr>
                      <w:rFonts w:hint="default"/>
                      <w:color w:val="auto"/>
                      <w:sz w:val="21"/>
                      <w:szCs w:val="21"/>
                      <w:u w:val="none"/>
                    </w:rPr>
                  </w:pPr>
                  <w:r>
                    <w:rPr>
                      <w:rFonts w:hint="default"/>
                      <w:color w:val="auto"/>
                      <w:sz w:val="21"/>
                      <w:szCs w:val="21"/>
                      <w:u w:val="none"/>
                    </w:rPr>
                    <w:t>动植物油（mg/L）</w:t>
                  </w:r>
                </w:p>
              </w:tc>
              <w:tc>
                <w:tcPr>
                  <w:tcW w:w="1092" w:type="pct"/>
                  <w:noWrap w:val="0"/>
                  <w:vAlign w:val="center"/>
                </w:tcPr>
                <w:p w14:paraId="38E6D625">
                  <w:pPr>
                    <w:bidi w:val="0"/>
                    <w:jc w:val="center"/>
                    <w:rPr>
                      <w:rFonts w:hint="default"/>
                      <w:color w:val="auto"/>
                      <w:sz w:val="21"/>
                      <w:szCs w:val="21"/>
                      <w:u w:val="none"/>
                    </w:rPr>
                  </w:pPr>
                  <w:r>
                    <w:rPr>
                      <w:rFonts w:hint="default"/>
                      <w:color w:val="auto"/>
                      <w:sz w:val="21"/>
                      <w:szCs w:val="21"/>
                      <w:u w:val="none"/>
                    </w:rPr>
                    <w:t>20</w:t>
                  </w:r>
                </w:p>
              </w:tc>
              <w:tc>
                <w:tcPr>
                  <w:tcW w:w="1989" w:type="pct"/>
                  <w:vMerge w:val="continue"/>
                  <w:noWrap w:val="0"/>
                  <w:vAlign w:val="center"/>
                </w:tcPr>
                <w:p w14:paraId="5A7DDBFC">
                  <w:pPr>
                    <w:bidi w:val="0"/>
                    <w:jc w:val="center"/>
                    <w:rPr>
                      <w:rFonts w:hint="default"/>
                      <w:color w:val="auto"/>
                      <w:sz w:val="21"/>
                      <w:szCs w:val="21"/>
                      <w:u w:val="none"/>
                    </w:rPr>
                  </w:pPr>
                </w:p>
              </w:tc>
            </w:tr>
            <w:tr w14:paraId="620C85C2">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1918" w:type="pct"/>
                  <w:noWrap w:val="0"/>
                  <w:vAlign w:val="center"/>
                </w:tcPr>
                <w:p w14:paraId="22B7DD1F">
                  <w:pPr>
                    <w:bidi w:val="0"/>
                    <w:jc w:val="center"/>
                    <w:rPr>
                      <w:rFonts w:hint="eastAsia" w:eastAsia="宋体"/>
                      <w:color w:val="auto"/>
                      <w:sz w:val="21"/>
                      <w:szCs w:val="21"/>
                      <w:u w:val="none"/>
                      <w:lang w:eastAsia="zh-CN"/>
                    </w:rPr>
                  </w:pPr>
                  <w:r>
                    <w:rPr>
                      <w:rFonts w:hint="eastAsia"/>
                      <w:color w:val="auto"/>
                      <w:sz w:val="21"/>
                      <w:szCs w:val="21"/>
                      <w:u w:val="none"/>
                      <w:lang w:eastAsia="zh-CN"/>
                    </w:rPr>
                    <w:t>石油类</w:t>
                  </w:r>
                </w:p>
              </w:tc>
              <w:tc>
                <w:tcPr>
                  <w:tcW w:w="1092" w:type="pct"/>
                  <w:noWrap w:val="0"/>
                  <w:vAlign w:val="center"/>
                </w:tcPr>
                <w:p w14:paraId="1E14F4EC">
                  <w:pPr>
                    <w:bidi w:val="0"/>
                    <w:jc w:val="center"/>
                    <w:rPr>
                      <w:rFonts w:hint="default" w:eastAsia="宋体"/>
                      <w:color w:val="auto"/>
                      <w:sz w:val="21"/>
                      <w:szCs w:val="21"/>
                      <w:u w:val="none"/>
                      <w:lang w:val="en-US" w:eastAsia="zh-CN"/>
                    </w:rPr>
                  </w:pPr>
                  <w:r>
                    <w:rPr>
                      <w:rFonts w:hint="eastAsia"/>
                      <w:color w:val="auto"/>
                      <w:sz w:val="21"/>
                      <w:szCs w:val="21"/>
                      <w:u w:val="none"/>
                      <w:lang w:val="en-US" w:eastAsia="zh-CN"/>
                    </w:rPr>
                    <w:t>20</w:t>
                  </w:r>
                </w:p>
              </w:tc>
              <w:tc>
                <w:tcPr>
                  <w:tcW w:w="1989" w:type="pct"/>
                  <w:vMerge w:val="continue"/>
                  <w:noWrap w:val="0"/>
                  <w:vAlign w:val="center"/>
                </w:tcPr>
                <w:p w14:paraId="60A34123">
                  <w:pPr>
                    <w:bidi w:val="0"/>
                    <w:jc w:val="center"/>
                    <w:rPr>
                      <w:rFonts w:hint="default"/>
                      <w:color w:val="auto"/>
                      <w:sz w:val="21"/>
                      <w:szCs w:val="21"/>
                      <w:u w:val="none"/>
                    </w:rPr>
                  </w:pPr>
                </w:p>
              </w:tc>
            </w:tr>
            <w:tr w14:paraId="5CA519A2">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1918" w:type="pct"/>
                  <w:noWrap w:val="0"/>
                  <w:vAlign w:val="center"/>
                </w:tcPr>
                <w:p w14:paraId="51993C66">
                  <w:pPr>
                    <w:bidi w:val="0"/>
                    <w:jc w:val="center"/>
                    <w:rPr>
                      <w:rFonts w:hint="default"/>
                      <w:color w:val="auto"/>
                      <w:sz w:val="21"/>
                      <w:szCs w:val="21"/>
                      <w:u w:val="none"/>
                    </w:rPr>
                  </w:pPr>
                  <w:r>
                    <w:rPr>
                      <w:rFonts w:hint="default"/>
                      <w:color w:val="auto"/>
                      <w:sz w:val="21"/>
                      <w:szCs w:val="21"/>
                      <w:u w:val="none"/>
                    </w:rPr>
                    <w:t>阴离子表面活性剂（mg/L）</w:t>
                  </w:r>
                </w:p>
              </w:tc>
              <w:tc>
                <w:tcPr>
                  <w:tcW w:w="1092" w:type="pct"/>
                  <w:noWrap w:val="0"/>
                  <w:vAlign w:val="center"/>
                </w:tcPr>
                <w:p w14:paraId="55ECBE9D">
                  <w:pPr>
                    <w:bidi w:val="0"/>
                    <w:jc w:val="center"/>
                    <w:rPr>
                      <w:rFonts w:hint="default"/>
                      <w:color w:val="auto"/>
                      <w:sz w:val="21"/>
                      <w:szCs w:val="21"/>
                      <w:u w:val="none"/>
                    </w:rPr>
                  </w:pPr>
                  <w:r>
                    <w:rPr>
                      <w:rFonts w:hint="default"/>
                      <w:color w:val="auto"/>
                      <w:sz w:val="21"/>
                      <w:szCs w:val="21"/>
                      <w:u w:val="none"/>
                    </w:rPr>
                    <w:t>10</w:t>
                  </w:r>
                </w:p>
              </w:tc>
              <w:tc>
                <w:tcPr>
                  <w:tcW w:w="1989" w:type="pct"/>
                  <w:vMerge w:val="continue"/>
                  <w:noWrap w:val="0"/>
                  <w:vAlign w:val="center"/>
                </w:tcPr>
                <w:p w14:paraId="03316D29">
                  <w:pPr>
                    <w:bidi w:val="0"/>
                    <w:jc w:val="center"/>
                    <w:rPr>
                      <w:rFonts w:hint="default"/>
                      <w:color w:val="auto"/>
                      <w:sz w:val="21"/>
                      <w:szCs w:val="21"/>
                      <w:u w:val="none"/>
                    </w:rPr>
                  </w:pPr>
                </w:p>
              </w:tc>
            </w:tr>
            <w:tr w14:paraId="73E84244">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1918" w:type="pct"/>
                  <w:noWrap w:val="0"/>
                  <w:vAlign w:val="center"/>
                </w:tcPr>
                <w:p w14:paraId="59CAC525">
                  <w:pPr>
                    <w:bidi w:val="0"/>
                    <w:jc w:val="center"/>
                    <w:rPr>
                      <w:rFonts w:hint="eastAsia" w:eastAsia="宋体"/>
                      <w:color w:val="auto"/>
                      <w:sz w:val="21"/>
                      <w:szCs w:val="21"/>
                      <w:u w:val="none"/>
                      <w:lang w:eastAsia="zh-CN"/>
                    </w:rPr>
                  </w:pPr>
                  <w:r>
                    <w:rPr>
                      <w:rFonts w:hint="eastAsia"/>
                      <w:color w:val="auto"/>
                      <w:sz w:val="21"/>
                      <w:szCs w:val="21"/>
                      <w:u w:val="none"/>
                      <w:lang w:eastAsia="zh-CN"/>
                    </w:rPr>
                    <w:t>挥发酚</w:t>
                  </w:r>
                </w:p>
              </w:tc>
              <w:tc>
                <w:tcPr>
                  <w:tcW w:w="1092" w:type="pct"/>
                  <w:noWrap w:val="0"/>
                  <w:vAlign w:val="center"/>
                </w:tcPr>
                <w:p w14:paraId="4F81536A">
                  <w:pPr>
                    <w:bidi w:val="0"/>
                    <w:jc w:val="center"/>
                    <w:rPr>
                      <w:rFonts w:hint="default" w:eastAsia="宋体"/>
                      <w:color w:val="auto"/>
                      <w:sz w:val="21"/>
                      <w:szCs w:val="21"/>
                      <w:u w:val="none"/>
                      <w:lang w:val="en-US" w:eastAsia="zh-CN"/>
                    </w:rPr>
                  </w:pPr>
                  <w:r>
                    <w:rPr>
                      <w:rFonts w:hint="eastAsia"/>
                      <w:color w:val="auto"/>
                      <w:sz w:val="21"/>
                      <w:szCs w:val="21"/>
                      <w:u w:val="none"/>
                      <w:lang w:val="en-US" w:eastAsia="zh-CN"/>
                    </w:rPr>
                    <w:t>1.0</w:t>
                  </w:r>
                </w:p>
              </w:tc>
              <w:tc>
                <w:tcPr>
                  <w:tcW w:w="1989" w:type="pct"/>
                  <w:vMerge w:val="continue"/>
                  <w:noWrap w:val="0"/>
                  <w:vAlign w:val="center"/>
                </w:tcPr>
                <w:p w14:paraId="09E39BE1">
                  <w:pPr>
                    <w:bidi w:val="0"/>
                    <w:jc w:val="center"/>
                    <w:rPr>
                      <w:rFonts w:hint="default"/>
                      <w:color w:val="auto"/>
                      <w:sz w:val="21"/>
                      <w:szCs w:val="21"/>
                      <w:u w:val="none"/>
                    </w:rPr>
                  </w:pPr>
                </w:p>
              </w:tc>
            </w:tr>
            <w:tr w14:paraId="2D52EF9C">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1918" w:type="pct"/>
                  <w:noWrap w:val="0"/>
                  <w:vAlign w:val="center"/>
                </w:tcPr>
                <w:p w14:paraId="620783D8">
                  <w:pPr>
                    <w:bidi w:val="0"/>
                    <w:jc w:val="center"/>
                    <w:rPr>
                      <w:rFonts w:hint="eastAsia" w:eastAsia="宋体"/>
                      <w:color w:val="auto"/>
                      <w:sz w:val="21"/>
                      <w:szCs w:val="21"/>
                      <w:u w:val="none"/>
                      <w:lang w:eastAsia="zh-CN"/>
                    </w:rPr>
                  </w:pPr>
                  <w:r>
                    <w:rPr>
                      <w:rFonts w:hint="eastAsia"/>
                      <w:color w:val="auto"/>
                      <w:sz w:val="21"/>
                      <w:szCs w:val="21"/>
                      <w:u w:val="none"/>
                      <w:lang w:eastAsia="zh-CN"/>
                    </w:rPr>
                    <w:t>色度</w:t>
                  </w:r>
                </w:p>
              </w:tc>
              <w:tc>
                <w:tcPr>
                  <w:tcW w:w="1092" w:type="pct"/>
                  <w:noWrap w:val="0"/>
                  <w:vAlign w:val="center"/>
                </w:tcPr>
                <w:p w14:paraId="6E0EC1B8">
                  <w:pPr>
                    <w:bidi w:val="0"/>
                    <w:jc w:val="center"/>
                    <w:rPr>
                      <w:rFonts w:hint="eastAsia" w:eastAsia="宋体"/>
                      <w:color w:val="auto"/>
                      <w:sz w:val="21"/>
                      <w:szCs w:val="21"/>
                      <w:u w:val="none"/>
                      <w:lang w:val="en-US" w:eastAsia="zh-CN"/>
                    </w:rPr>
                  </w:pPr>
                  <w:r>
                    <w:rPr>
                      <w:rFonts w:hint="eastAsia"/>
                      <w:color w:val="auto"/>
                      <w:sz w:val="21"/>
                      <w:szCs w:val="21"/>
                      <w:u w:val="none"/>
                      <w:lang w:val="en-US" w:eastAsia="zh-CN"/>
                    </w:rPr>
                    <w:t>-</w:t>
                  </w:r>
                </w:p>
              </w:tc>
              <w:tc>
                <w:tcPr>
                  <w:tcW w:w="1989" w:type="pct"/>
                  <w:vMerge w:val="continue"/>
                  <w:noWrap w:val="0"/>
                  <w:vAlign w:val="center"/>
                </w:tcPr>
                <w:p w14:paraId="0928A74B">
                  <w:pPr>
                    <w:bidi w:val="0"/>
                    <w:jc w:val="center"/>
                    <w:rPr>
                      <w:rFonts w:hint="default"/>
                      <w:color w:val="auto"/>
                      <w:sz w:val="21"/>
                      <w:szCs w:val="21"/>
                      <w:u w:val="none"/>
                    </w:rPr>
                  </w:pPr>
                </w:p>
              </w:tc>
            </w:tr>
            <w:tr w14:paraId="4157BB76">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1918" w:type="pct"/>
                  <w:noWrap w:val="0"/>
                  <w:vAlign w:val="center"/>
                </w:tcPr>
                <w:p w14:paraId="5E5D9E18">
                  <w:pPr>
                    <w:bidi w:val="0"/>
                    <w:jc w:val="center"/>
                    <w:rPr>
                      <w:rFonts w:hint="eastAsia" w:eastAsia="宋体"/>
                      <w:color w:val="auto"/>
                      <w:sz w:val="21"/>
                      <w:szCs w:val="21"/>
                      <w:u w:val="none"/>
                      <w:lang w:eastAsia="zh-CN"/>
                    </w:rPr>
                  </w:pPr>
                  <w:r>
                    <w:rPr>
                      <w:rFonts w:hint="eastAsia"/>
                      <w:color w:val="auto"/>
                      <w:sz w:val="21"/>
                      <w:szCs w:val="21"/>
                      <w:u w:val="none"/>
                      <w:lang w:eastAsia="zh-CN"/>
                    </w:rPr>
                    <w:t>总氰化物</w:t>
                  </w:r>
                </w:p>
              </w:tc>
              <w:tc>
                <w:tcPr>
                  <w:tcW w:w="1092" w:type="pct"/>
                  <w:noWrap w:val="0"/>
                  <w:vAlign w:val="center"/>
                </w:tcPr>
                <w:p w14:paraId="584263CD">
                  <w:pPr>
                    <w:bidi w:val="0"/>
                    <w:jc w:val="center"/>
                    <w:rPr>
                      <w:rFonts w:hint="default" w:eastAsia="宋体"/>
                      <w:color w:val="auto"/>
                      <w:sz w:val="21"/>
                      <w:szCs w:val="21"/>
                      <w:u w:val="none"/>
                      <w:lang w:val="en-US" w:eastAsia="zh-CN"/>
                    </w:rPr>
                  </w:pPr>
                  <w:r>
                    <w:rPr>
                      <w:rFonts w:hint="eastAsia"/>
                      <w:color w:val="auto"/>
                      <w:sz w:val="21"/>
                      <w:szCs w:val="21"/>
                      <w:u w:val="none"/>
                      <w:lang w:val="en-US" w:eastAsia="zh-CN"/>
                    </w:rPr>
                    <w:t>0.5</w:t>
                  </w:r>
                </w:p>
              </w:tc>
              <w:tc>
                <w:tcPr>
                  <w:tcW w:w="1989" w:type="pct"/>
                  <w:vMerge w:val="continue"/>
                  <w:noWrap w:val="0"/>
                  <w:vAlign w:val="center"/>
                </w:tcPr>
                <w:p w14:paraId="4824F4E8">
                  <w:pPr>
                    <w:bidi w:val="0"/>
                    <w:jc w:val="center"/>
                    <w:rPr>
                      <w:rFonts w:hint="default"/>
                      <w:color w:val="auto"/>
                      <w:sz w:val="21"/>
                      <w:szCs w:val="21"/>
                      <w:u w:val="none"/>
                    </w:rPr>
                  </w:pPr>
                </w:p>
              </w:tc>
            </w:tr>
            <w:tr w14:paraId="382ADC7C">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52" w:hRule="atLeast"/>
              </w:trPr>
              <w:tc>
                <w:tcPr>
                  <w:tcW w:w="1918" w:type="pct"/>
                  <w:vMerge w:val="restart"/>
                  <w:noWrap w:val="0"/>
                  <w:vAlign w:val="center"/>
                </w:tcPr>
                <w:p w14:paraId="646D299F">
                  <w:pPr>
                    <w:bidi w:val="0"/>
                    <w:jc w:val="center"/>
                    <w:rPr>
                      <w:rFonts w:hint="default"/>
                      <w:color w:val="auto"/>
                      <w:sz w:val="21"/>
                      <w:szCs w:val="21"/>
                      <w:u w:val="none"/>
                    </w:rPr>
                  </w:pPr>
                  <w:r>
                    <w:rPr>
                      <w:rFonts w:hint="default"/>
                      <w:color w:val="auto"/>
                      <w:sz w:val="21"/>
                      <w:szCs w:val="21"/>
                      <w:u w:val="none"/>
                    </w:rPr>
                    <w:t>总余氯（mg/L）</w:t>
                  </w:r>
                </w:p>
              </w:tc>
              <w:tc>
                <w:tcPr>
                  <w:tcW w:w="1092" w:type="pct"/>
                  <w:noWrap w:val="0"/>
                  <w:vAlign w:val="center"/>
                </w:tcPr>
                <w:p w14:paraId="33843B57">
                  <w:pPr>
                    <w:bidi w:val="0"/>
                    <w:jc w:val="center"/>
                    <w:rPr>
                      <w:rFonts w:hint="default"/>
                      <w:color w:val="auto"/>
                      <w:sz w:val="21"/>
                      <w:szCs w:val="21"/>
                      <w:u w:val="none"/>
                    </w:rPr>
                  </w:pPr>
                  <w:r>
                    <w:rPr>
                      <w:rFonts w:hint="default"/>
                      <w:color w:val="auto"/>
                      <w:sz w:val="21"/>
                      <w:szCs w:val="21"/>
                      <w:u w:val="none"/>
                    </w:rPr>
                    <w:t>2-8</w:t>
                  </w:r>
                </w:p>
              </w:tc>
              <w:tc>
                <w:tcPr>
                  <w:tcW w:w="1989" w:type="pct"/>
                  <w:vMerge w:val="continue"/>
                  <w:noWrap w:val="0"/>
                  <w:vAlign w:val="center"/>
                </w:tcPr>
                <w:p w14:paraId="1D1047C7">
                  <w:pPr>
                    <w:bidi w:val="0"/>
                    <w:jc w:val="center"/>
                    <w:rPr>
                      <w:rFonts w:hint="default"/>
                      <w:color w:val="auto"/>
                      <w:sz w:val="21"/>
                      <w:szCs w:val="21"/>
                      <w:u w:val="none"/>
                    </w:rPr>
                  </w:pPr>
                </w:p>
              </w:tc>
            </w:tr>
            <w:tr w14:paraId="162EAD83">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405" w:hRule="atLeast"/>
              </w:trPr>
              <w:tc>
                <w:tcPr>
                  <w:tcW w:w="5000" w:type="pct"/>
                  <w:gridSpan w:val="3"/>
                  <w:noWrap w:val="0"/>
                  <w:vAlign w:val="center"/>
                </w:tcPr>
                <w:p w14:paraId="1BF41675">
                  <w:pPr>
                    <w:bidi w:val="0"/>
                    <w:jc w:val="left"/>
                    <w:rPr>
                      <w:rFonts w:hint="default"/>
                      <w:color w:val="auto"/>
                      <w:sz w:val="21"/>
                      <w:szCs w:val="21"/>
                      <w:u w:val="none"/>
                    </w:rPr>
                  </w:pPr>
                  <w:r>
                    <w:rPr>
                      <w:rFonts w:hint="default"/>
                      <w:color w:val="auto"/>
                      <w:sz w:val="21"/>
                      <w:szCs w:val="21"/>
                      <w:u w:val="none"/>
                    </w:rPr>
                    <w:t>备注：1）采用含氯消毒剂消毒的工艺控制要求；预处理标准：消毒接触池接触时间 ≥ 1h，接触池出口总余氯 2～8mg/L；2）采用其他消毒剂对总余氯不作要求。</w:t>
                  </w:r>
                </w:p>
                <w:p w14:paraId="0F8F7AC2">
                  <w:pPr>
                    <w:bidi w:val="0"/>
                    <w:jc w:val="left"/>
                    <w:rPr>
                      <w:rFonts w:hint="eastAsia" w:eastAsia="宋体"/>
                      <w:color w:val="auto"/>
                      <w:sz w:val="21"/>
                      <w:szCs w:val="21"/>
                      <w:u w:val="none"/>
                      <w:lang w:val="en-US" w:eastAsia="zh-CN"/>
                    </w:rPr>
                  </w:pPr>
                  <w:r>
                    <w:rPr>
                      <w:rFonts w:hint="eastAsia"/>
                      <w:color w:val="auto"/>
                      <w:sz w:val="21"/>
                      <w:szCs w:val="21"/>
                      <w:u w:val="none"/>
                      <w:lang w:eastAsia="zh-CN"/>
                    </w:rPr>
                    <w:t>本项目不产生显影洗相废水、相关科室（牙科、检验科等）使用药剂不涉及重金属，按医疗污水填报，无须设置科室或设施排放口；未将相关重金属因子列为特征因子。</w:t>
                  </w:r>
                </w:p>
              </w:tc>
            </w:tr>
          </w:tbl>
          <w:p w14:paraId="5D724247">
            <w:pPr>
              <w:pStyle w:val="54"/>
              <w:widowControl w:val="0"/>
              <w:ind w:left="0" w:leftChars="0" w:firstLine="482" w:firstLineChars="200"/>
              <w:rPr>
                <w:b/>
                <w:bCs/>
                <w:color w:val="auto"/>
                <w:highlight w:val="none"/>
                <w:u w:val="none"/>
              </w:rPr>
            </w:pPr>
            <w:r>
              <w:rPr>
                <w:rFonts w:hint="eastAsia"/>
                <w:b/>
                <w:bCs/>
                <w:color w:val="auto"/>
                <w:highlight w:val="none"/>
                <w:u w:val="none"/>
                <w:lang w:eastAsia="zh-CN"/>
              </w:rPr>
              <w:t>（</w:t>
            </w:r>
            <w:r>
              <w:rPr>
                <w:rFonts w:hint="eastAsia"/>
                <w:b/>
                <w:bCs/>
                <w:color w:val="auto"/>
                <w:highlight w:val="none"/>
                <w:u w:val="none"/>
                <w:lang w:val="en-US" w:eastAsia="zh-CN"/>
              </w:rPr>
              <w:t>3）</w:t>
            </w:r>
            <w:r>
              <w:rPr>
                <w:rFonts w:hint="eastAsia"/>
                <w:b/>
                <w:bCs/>
                <w:color w:val="auto"/>
                <w:highlight w:val="none"/>
                <w:u w:val="none"/>
              </w:rPr>
              <w:t>噪声排放控制标准</w:t>
            </w:r>
          </w:p>
          <w:p w14:paraId="79DD84F1">
            <w:pPr>
              <w:numPr>
                <w:ilvl w:val="0"/>
                <w:numId w:val="0"/>
              </w:numPr>
              <w:spacing w:line="360" w:lineRule="auto"/>
              <w:ind w:firstLine="480" w:firstLineChars="200"/>
              <w:jc w:val="left"/>
              <w:rPr>
                <w:color w:val="auto"/>
                <w:highlight w:val="none"/>
                <w:u w:val="none"/>
              </w:rPr>
            </w:pPr>
            <w:r>
              <w:rPr>
                <w:rFonts w:ascii="Times New Roman" w:hAnsi="Times New Roman" w:eastAsia="宋体"/>
                <w:color w:val="auto"/>
                <w:highlight w:val="none"/>
                <w:u w:val="none"/>
              </w:rPr>
              <w:t>项</w:t>
            </w:r>
            <w:r>
              <w:rPr>
                <w:color w:val="auto"/>
                <w:highlight w:val="none"/>
                <w:u w:val="none"/>
              </w:rPr>
              <w:t>目运营期厂界</w:t>
            </w:r>
            <w:r>
              <w:rPr>
                <w:rFonts w:hint="eastAsia"/>
                <w:color w:val="auto"/>
                <w:highlight w:val="none"/>
                <w:u w:val="none"/>
              </w:rPr>
              <w:t>噪声</w:t>
            </w:r>
            <w:r>
              <w:rPr>
                <w:color w:val="auto"/>
                <w:highlight w:val="none"/>
                <w:u w:val="none"/>
              </w:rPr>
              <w:t>执行《工业企业厂界环境噪声排放标准》（GB12348-2008）中的</w:t>
            </w:r>
            <w:r>
              <w:rPr>
                <w:rFonts w:hint="eastAsia"/>
                <w:color w:val="auto"/>
                <w:highlight w:val="none"/>
                <w:u w:val="none"/>
                <w:lang w:val="en-US" w:eastAsia="zh-CN"/>
              </w:rPr>
              <w:t>2</w:t>
            </w:r>
            <w:r>
              <w:rPr>
                <w:color w:val="auto"/>
                <w:highlight w:val="none"/>
                <w:u w:val="none"/>
              </w:rPr>
              <w:t>类</w:t>
            </w:r>
            <w:r>
              <w:rPr>
                <w:rFonts w:hint="eastAsia"/>
                <w:color w:val="auto"/>
                <w:highlight w:val="none"/>
                <w:u w:val="none"/>
                <w:lang w:val="en-US" w:eastAsia="zh-CN"/>
              </w:rPr>
              <w:t>标准，</w:t>
            </w:r>
            <w:r>
              <w:rPr>
                <w:color w:val="auto"/>
                <w:highlight w:val="none"/>
                <w:u w:val="none"/>
              </w:rPr>
              <w:t>具体见下表。</w:t>
            </w:r>
          </w:p>
          <w:p w14:paraId="00EB737B">
            <w:pPr>
              <w:pStyle w:val="54"/>
              <w:widowControl w:val="0"/>
              <w:spacing w:line="360" w:lineRule="auto"/>
              <w:ind w:firstLine="0" w:firstLineChars="0"/>
              <w:jc w:val="center"/>
              <w:rPr>
                <w:b/>
                <w:bCs/>
                <w:color w:val="auto"/>
                <w:sz w:val="21"/>
                <w:szCs w:val="21"/>
                <w:highlight w:val="none"/>
                <w:u w:val="none"/>
              </w:rPr>
            </w:pPr>
            <w:r>
              <w:rPr>
                <w:rFonts w:hint="eastAsia"/>
                <w:b/>
                <w:bCs/>
                <w:color w:val="auto"/>
                <w:sz w:val="21"/>
                <w:szCs w:val="21"/>
                <w:highlight w:val="none"/>
                <w:u w:val="none"/>
              </w:rPr>
              <w:t>表3</w:t>
            </w:r>
            <w:r>
              <w:rPr>
                <w:b/>
                <w:bCs/>
                <w:color w:val="auto"/>
                <w:sz w:val="21"/>
                <w:szCs w:val="21"/>
                <w:highlight w:val="none"/>
                <w:u w:val="none"/>
              </w:rPr>
              <w:t>-</w:t>
            </w:r>
            <w:r>
              <w:rPr>
                <w:rFonts w:hint="eastAsia"/>
                <w:b/>
                <w:bCs/>
                <w:color w:val="auto"/>
                <w:sz w:val="21"/>
                <w:szCs w:val="21"/>
                <w:highlight w:val="none"/>
                <w:u w:val="none"/>
                <w:lang w:val="en-US" w:eastAsia="zh-CN"/>
              </w:rPr>
              <w:t>8</w:t>
            </w:r>
            <w:r>
              <w:rPr>
                <w:b/>
                <w:bCs/>
                <w:color w:val="auto"/>
                <w:sz w:val="21"/>
                <w:szCs w:val="21"/>
                <w:highlight w:val="none"/>
                <w:u w:val="none"/>
              </w:rPr>
              <w:t xml:space="preserve">  </w:t>
            </w:r>
            <w:r>
              <w:rPr>
                <w:rFonts w:hint="eastAsia"/>
                <w:b/>
                <w:bCs/>
                <w:color w:val="auto"/>
                <w:sz w:val="21"/>
                <w:szCs w:val="21"/>
                <w:highlight w:val="none"/>
                <w:u w:val="none"/>
                <w:lang w:val="en-US" w:eastAsia="zh-CN"/>
              </w:rPr>
              <w:t xml:space="preserve"> </w:t>
            </w:r>
            <w:r>
              <w:rPr>
                <w:rFonts w:hint="eastAsia"/>
                <w:b/>
                <w:bCs/>
                <w:color w:val="auto"/>
                <w:sz w:val="21"/>
                <w:szCs w:val="21"/>
                <w:highlight w:val="none"/>
                <w:u w:val="none"/>
              </w:rPr>
              <w:t>本项目</w:t>
            </w:r>
            <w:r>
              <w:rPr>
                <w:b/>
                <w:bCs/>
                <w:color w:val="auto"/>
                <w:sz w:val="21"/>
                <w:szCs w:val="21"/>
                <w:highlight w:val="none"/>
                <w:u w:val="none"/>
              </w:rPr>
              <w:t>噪声排放</w:t>
            </w:r>
            <w:r>
              <w:rPr>
                <w:rFonts w:hint="eastAsia"/>
                <w:b/>
                <w:bCs/>
                <w:color w:val="auto"/>
                <w:sz w:val="21"/>
                <w:szCs w:val="21"/>
                <w:highlight w:val="none"/>
                <w:u w:val="none"/>
              </w:rPr>
              <w:t>标准限值</w:t>
            </w:r>
          </w:p>
          <w:tbl>
            <w:tblPr>
              <w:tblStyle w:val="34"/>
              <w:tblW w:w="498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57" w:type="dxa"/>
                <w:bottom w:w="0" w:type="dxa"/>
                <w:right w:w="57" w:type="dxa"/>
              </w:tblCellMar>
            </w:tblPr>
            <w:tblGrid>
              <w:gridCol w:w="999"/>
              <w:gridCol w:w="971"/>
              <w:gridCol w:w="975"/>
              <w:gridCol w:w="6560"/>
            </w:tblGrid>
            <w:tr w14:paraId="7CFF67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401" w:hRule="atLeast"/>
                <w:jc w:val="center"/>
              </w:trPr>
              <w:tc>
                <w:tcPr>
                  <w:tcW w:w="525" w:type="pct"/>
                  <w:vMerge w:val="restart"/>
                  <w:vAlign w:val="center"/>
                </w:tcPr>
                <w:p w14:paraId="318A2E76">
                  <w:pPr>
                    <w:pStyle w:val="59"/>
                    <w:widowControl w:val="0"/>
                    <w:jc w:val="center"/>
                    <w:rPr>
                      <w:rFonts w:hint="eastAsia" w:ascii="Times New Roman" w:hAnsi="Times New Roman" w:eastAsia="宋体" w:cs="Times New Roman"/>
                      <w:b/>
                      <w:bCs/>
                      <w:color w:val="auto"/>
                      <w:highlight w:val="none"/>
                      <w:u w:val="none"/>
                      <w:lang w:val="en-US" w:eastAsia="zh-CN"/>
                    </w:rPr>
                  </w:pPr>
                  <w:r>
                    <w:rPr>
                      <w:rFonts w:hint="eastAsia" w:ascii="Times New Roman" w:hAnsi="Times New Roman" w:eastAsia="宋体" w:cs="Times New Roman"/>
                      <w:b/>
                      <w:bCs/>
                      <w:color w:val="auto"/>
                      <w:highlight w:val="none"/>
                      <w:u w:val="none"/>
                      <w:lang w:val="en-US" w:eastAsia="zh-CN"/>
                    </w:rPr>
                    <w:t>阶段</w:t>
                  </w:r>
                </w:p>
              </w:tc>
              <w:tc>
                <w:tcPr>
                  <w:tcW w:w="1023" w:type="pct"/>
                  <w:gridSpan w:val="2"/>
                  <w:vAlign w:val="center"/>
                </w:tcPr>
                <w:p w14:paraId="006D3339">
                  <w:pPr>
                    <w:pStyle w:val="59"/>
                    <w:widowControl w:val="0"/>
                    <w:jc w:val="center"/>
                    <w:rPr>
                      <w:rFonts w:hint="eastAsia" w:ascii="Times New Roman" w:hAnsi="Times New Roman" w:eastAsia="宋体" w:cs="Times New Roman"/>
                      <w:b/>
                      <w:bCs/>
                      <w:color w:val="auto"/>
                      <w:highlight w:val="none"/>
                      <w:u w:val="none"/>
                      <w:lang w:val="en-US" w:eastAsia="zh-CN"/>
                    </w:rPr>
                  </w:pPr>
                  <w:r>
                    <w:rPr>
                      <w:rFonts w:hint="eastAsia" w:ascii="Times New Roman" w:hAnsi="Times New Roman" w:eastAsia="宋体" w:cs="Times New Roman"/>
                      <w:b/>
                      <w:bCs/>
                      <w:color w:val="auto"/>
                      <w:highlight w:val="none"/>
                      <w:u w:val="none"/>
                      <w:lang w:val="en-US" w:eastAsia="zh-CN"/>
                    </w:rPr>
                    <w:t>标准值dB（A）</w:t>
                  </w:r>
                </w:p>
              </w:tc>
              <w:tc>
                <w:tcPr>
                  <w:tcW w:w="3451" w:type="pct"/>
                  <w:vMerge w:val="restart"/>
                  <w:vAlign w:val="center"/>
                </w:tcPr>
                <w:p w14:paraId="20D22A8A">
                  <w:pPr>
                    <w:pStyle w:val="59"/>
                    <w:widowControl w:val="0"/>
                    <w:jc w:val="center"/>
                    <w:rPr>
                      <w:rFonts w:hint="eastAsia" w:ascii="Times New Roman" w:hAnsi="Times New Roman" w:eastAsia="宋体" w:cs="Times New Roman"/>
                      <w:b/>
                      <w:bCs/>
                      <w:color w:val="auto"/>
                      <w:highlight w:val="none"/>
                      <w:u w:val="none"/>
                      <w:lang w:val="en-US" w:eastAsia="zh-CN"/>
                    </w:rPr>
                  </w:pPr>
                  <w:r>
                    <w:rPr>
                      <w:rFonts w:hint="eastAsia" w:ascii="Times New Roman" w:hAnsi="Times New Roman" w:eastAsia="宋体" w:cs="Times New Roman"/>
                      <w:b/>
                      <w:bCs/>
                      <w:color w:val="auto"/>
                      <w:highlight w:val="none"/>
                      <w:u w:val="none"/>
                      <w:lang w:val="en-US" w:eastAsia="zh-CN"/>
                    </w:rPr>
                    <w:t>评价标准</w:t>
                  </w:r>
                </w:p>
              </w:tc>
            </w:tr>
            <w:tr w14:paraId="6DF0D9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422" w:hRule="atLeast"/>
                <w:jc w:val="center"/>
              </w:trPr>
              <w:tc>
                <w:tcPr>
                  <w:tcW w:w="525" w:type="pct"/>
                  <w:vMerge w:val="continue"/>
                  <w:vAlign w:val="center"/>
                </w:tcPr>
                <w:p w14:paraId="41ED7894">
                  <w:pPr>
                    <w:pStyle w:val="59"/>
                    <w:widowControl w:val="0"/>
                    <w:jc w:val="center"/>
                    <w:rPr>
                      <w:rFonts w:hint="eastAsia" w:ascii="Times New Roman" w:hAnsi="Times New Roman" w:eastAsia="宋体" w:cs="Times New Roman"/>
                      <w:b/>
                      <w:bCs/>
                      <w:color w:val="auto"/>
                      <w:highlight w:val="none"/>
                      <w:u w:val="none"/>
                      <w:lang w:val="en-US" w:eastAsia="zh-CN"/>
                    </w:rPr>
                  </w:pPr>
                </w:p>
              </w:tc>
              <w:tc>
                <w:tcPr>
                  <w:tcW w:w="510" w:type="pct"/>
                  <w:vAlign w:val="center"/>
                </w:tcPr>
                <w:p w14:paraId="5CC8AB7A">
                  <w:pPr>
                    <w:pStyle w:val="59"/>
                    <w:widowControl w:val="0"/>
                    <w:jc w:val="center"/>
                    <w:rPr>
                      <w:rFonts w:hint="eastAsia" w:ascii="Times New Roman" w:hAnsi="Times New Roman" w:eastAsia="宋体" w:cs="Times New Roman"/>
                      <w:b/>
                      <w:bCs/>
                      <w:color w:val="auto"/>
                      <w:highlight w:val="none"/>
                      <w:u w:val="none"/>
                      <w:lang w:val="en-US" w:eastAsia="zh-CN"/>
                    </w:rPr>
                  </w:pPr>
                  <w:r>
                    <w:rPr>
                      <w:rFonts w:hint="eastAsia" w:ascii="Times New Roman" w:hAnsi="Times New Roman" w:eastAsia="宋体" w:cs="Times New Roman"/>
                      <w:b/>
                      <w:bCs/>
                      <w:color w:val="auto"/>
                      <w:highlight w:val="none"/>
                      <w:u w:val="none"/>
                      <w:lang w:val="en-US" w:eastAsia="zh-CN"/>
                    </w:rPr>
                    <w:t>昼间</w:t>
                  </w:r>
                </w:p>
              </w:tc>
              <w:tc>
                <w:tcPr>
                  <w:tcW w:w="512" w:type="pct"/>
                  <w:vAlign w:val="center"/>
                </w:tcPr>
                <w:p w14:paraId="3CE2D7EC">
                  <w:pPr>
                    <w:pStyle w:val="59"/>
                    <w:widowControl w:val="0"/>
                    <w:jc w:val="center"/>
                    <w:rPr>
                      <w:rFonts w:hint="eastAsia" w:ascii="Times New Roman" w:hAnsi="Times New Roman" w:eastAsia="宋体" w:cs="Times New Roman"/>
                      <w:b/>
                      <w:bCs/>
                      <w:color w:val="auto"/>
                      <w:highlight w:val="none"/>
                      <w:u w:val="none"/>
                      <w:lang w:val="en-US" w:eastAsia="zh-CN"/>
                    </w:rPr>
                  </w:pPr>
                  <w:r>
                    <w:rPr>
                      <w:rFonts w:hint="eastAsia" w:ascii="Times New Roman" w:hAnsi="Times New Roman" w:eastAsia="宋体" w:cs="Times New Roman"/>
                      <w:b/>
                      <w:bCs/>
                      <w:color w:val="auto"/>
                      <w:highlight w:val="none"/>
                      <w:u w:val="none"/>
                      <w:lang w:val="en-US" w:eastAsia="zh-CN"/>
                    </w:rPr>
                    <w:t>夜间</w:t>
                  </w:r>
                </w:p>
              </w:tc>
              <w:tc>
                <w:tcPr>
                  <w:tcW w:w="3451" w:type="pct"/>
                  <w:vMerge w:val="continue"/>
                  <w:vAlign w:val="center"/>
                </w:tcPr>
                <w:p w14:paraId="7BCFE853">
                  <w:pPr>
                    <w:pStyle w:val="59"/>
                    <w:widowControl w:val="0"/>
                    <w:jc w:val="center"/>
                    <w:rPr>
                      <w:rFonts w:hint="eastAsia" w:ascii="Times New Roman" w:hAnsi="Times New Roman" w:eastAsia="宋体" w:cs="Times New Roman"/>
                      <w:b/>
                      <w:bCs/>
                      <w:color w:val="auto"/>
                      <w:highlight w:val="none"/>
                      <w:u w:val="none"/>
                      <w:lang w:val="en-US" w:eastAsia="zh-CN"/>
                    </w:rPr>
                  </w:pPr>
                </w:p>
              </w:tc>
            </w:tr>
            <w:tr w14:paraId="2DE22F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783" w:hRule="atLeast"/>
                <w:jc w:val="center"/>
              </w:trPr>
              <w:tc>
                <w:tcPr>
                  <w:tcW w:w="525" w:type="pct"/>
                  <w:vAlign w:val="center"/>
                </w:tcPr>
                <w:p w14:paraId="644EBB88">
                  <w:pPr>
                    <w:pStyle w:val="59"/>
                    <w:widowControl w:val="0"/>
                    <w:jc w:val="center"/>
                    <w:rPr>
                      <w:rFonts w:hint="eastAsia" w:ascii="Times New Roman" w:hAnsi="Times New Roman" w:eastAsia="宋体" w:cs="Times New Roman"/>
                      <w:b w:val="0"/>
                      <w:bCs w:val="0"/>
                      <w:color w:val="auto"/>
                      <w:highlight w:val="none"/>
                      <w:u w:val="none"/>
                      <w:lang w:val="en-US" w:eastAsia="zh-CN"/>
                    </w:rPr>
                  </w:pPr>
                  <w:r>
                    <w:rPr>
                      <w:rFonts w:hint="eastAsia" w:ascii="Times New Roman" w:hAnsi="Times New Roman" w:eastAsia="宋体" w:cs="Times New Roman"/>
                      <w:b w:val="0"/>
                      <w:bCs w:val="0"/>
                      <w:color w:val="auto"/>
                      <w:highlight w:val="none"/>
                      <w:u w:val="none"/>
                      <w:lang w:val="en-US" w:eastAsia="zh-CN"/>
                    </w:rPr>
                    <w:t>运营期</w:t>
                  </w:r>
                </w:p>
              </w:tc>
              <w:tc>
                <w:tcPr>
                  <w:tcW w:w="510" w:type="pct"/>
                  <w:vAlign w:val="center"/>
                </w:tcPr>
                <w:p w14:paraId="517FE01E">
                  <w:pPr>
                    <w:pStyle w:val="59"/>
                    <w:widowControl w:val="0"/>
                    <w:jc w:val="center"/>
                    <w:rPr>
                      <w:rFonts w:hint="eastAsia" w:ascii="Times New Roman" w:hAnsi="Times New Roman" w:eastAsia="宋体" w:cs="Times New Roman"/>
                      <w:color w:val="auto"/>
                      <w:sz w:val="21"/>
                      <w:szCs w:val="21"/>
                      <w:u w:val="none"/>
                      <w:lang w:val="en-US" w:eastAsia="zh-CN" w:bidi="ar-SA"/>
                    </w:rPr>
                  </w:pPr>
                  <w:r>
                    <w:rPr>
                      <w:rFonts w:hint="eastAsia" w:ascii="Times New Roman" w:hAnsi="Times New Roman" w:eastAsia="宋体" w:cs="Times New Roman"/>
                      <w:b w:val="0"/>
                      <w:bCs w:val="0"/>
                      <w:color w:val="auto"/>
                      <w:highlight w:val="none"/>
                      <w:u w:val="none"/>
                      <w:lang w:val="en-US" w:eastAsia="zh-CN"/>
                    </w:rPr>
                    <w:t>60</w:t>
                  </w:r>
                </w:p>
              </w:tc>
              <w:tc>
                <w:tcPr>
                  <w:tcW w:w="512" w:type="pct"/>
                  <w:vAlign w:val="center"/>
                </w:tcPr>
                <w:p w14:paraId="129DA7B6">
                  <w:pPr>
                    <w:pStyle w:val="59"/>
                    <w:widowControl w:val="0"/>
                    <w:jc w:val="center"/>
                    <w:rPr>
                      <w:rFonts w:hint="eastAsia" w:ascii="Times New Roman" w:hAnsi="Times New Roman" w:eastAsia="宋体" w:cs="Times New Roman"/>
                      <w:color w:val="auto"/>
                      <w:sz w:val="21"/>
                      <w:szCs w:val="21"/>
                      <w:u w:val="none"/>
                      <w:lang w:val="en-US" w:eastAsia="zh-CN" w:bidi="ar-SA"/>
                    </w:rPr>
                  </w:pPr>
                  <w:r>
                    <w:rPr>
                      <w:rFonts w:hint="eastAsia" w:ascii="Times New Roman" w:hAnsi="Times New Roman" w:eastAsia="宋体" w:cs="Times New Roman"/>
                      <w:b w:val="0"/>
                      <w:bCs w:val="0"/>
                      <w:color w:val="auto"/>
                      <w:highlight w:val="none"/>
                      <w:u w:val="none"/>
                      <w:lang w:val="en-US" w:eastAsia="zh-CN"/>
                    </w:rPr>
                    <w:t>50</w:t>
                  </w:r>
                </w:p>
              </w:tc>
              <w:tc>
                <w:tcPr>
                  <w:tcW w:w="3451" w:type="pct"/>
                  <w:vAlign w:val="center"/>
                </w:tcPr>
                <w:p w14:paraId="7EE56342">
                  <w:pPr>
                    <w:pStyle w:val="59"/>
                    <w:widowControl w:val="0"/>
                    <w:jc w:val="center"/>
                    <w:rPr>
                      <w:rFonts w:hint="eastAsia" w:ascii="Times New Roman" w:hAnsi="Times New Roman" w:eastAsia="宋体" w:cs="Times New Roman"/>
                      <w:color w:val="auto"/>
                      <w:sz w:val="21"/>
                      <w:szCs w:val="21"/>
                      <w:u w:val="none"/>
                      <w:lang w:val="en-US" w:eastAsia="zh-CN" w:bidi="ar-SA"/>
                    </w:rPr>
                  </w:pPr>
                  <w:r>
                    <w:rPr>
                      <w:rFonts w:hint="eastAsia" w:ascii="Times New Roman" w:hAnsi="Times New Roman" w:eastAsia="宋体" w:cs="Times New Roman"/>
                      <w:b w:val="0"/>
                      <w:bCs w:val="0"/>
                      <w:color w:val="auto"/>
                      <w:highlight w:val="none"/>
                      <w:u w:val="none"/>
                      <w:lang w:val="en-US" w:eastAsia="zh-CN"/>
                    </w:rPr>
                    <w:t>《工业企业厂界环境噪声排放标准》（GB12348-2008）中2类标准</w:t>
                  </w:r>
                </w:p>
              </w:tc>
            </w:tr>
          </w:tbl>
          <w:p w14:paraId="03A260A8">
            <w:pPr>
              <w:pStyle w:val="54"/>
              <w:widowControl w:val="0"/>
              <w:ind w:firstLine="482"/>
              <w:rPr>
                <w:b/>
                <w:bCs/>
                <w:color w:val="auto"/>
                <w:highlight w:val="none"/>
                <w:u w:val="none"/>
              </w:rPr>
            </w:pPr>
            <w:r>
              <w:rPr>
                <w:rFonts w:hint="eastAsia"/>
                <w:b/>
                <w:bCs/>
                <w:color w:val="auto"/>
                <w:highlight w:val="none"/>
                <w:u w:val="none"/>
                <w:lang w:eastAsia="zh-CN"/>
              </w:rPr>
              <w:t>（</w:t>
            </w:r>
            <w:r>
              <w:rPr>
                <w:rFonts w:hint="eastAsia"/>
                <w:b/>
                <w:bCs/>
                <w:color w:val="auto"/>
                <w:highlight w:val="none"/>
                <w:u w:val="none"/>
                <w:lang w:val="en-US" w:eastAsia="zh-CN"/>
              </w:rPr>
              <w:t>4）</w:t>
            </w:r>
            <w:r>
              <w:rPr>
                <w:rFonts w:hint="eastAsia"/>
                <w:b/>
                <w:bCs/>
                <w:color w:val="auto"/>
                <w:highlight w:val="none"/>
                <w:u w:val="none"/>
              </w:rPr>
              <w:t>固体废物</w:t>
            </w:r>
          </w:p>
          <w:p w14:paraId="1F87F1F6">
            <w:pPr>
              <w:pStyle w:val="13"/>
              <w:numPr>
                <w:ilvl w:val="0"/>
                <w:numId w:val="0"/>
              </w:numPr>
              <w:adjustRightInd w:val="0"/>
              <w:spacing w:after="0" w:line="360" w:lineRule="auto"/>
              <w:ind w:right="113" w:rightChars="0" w:firstLine="720" w:firstLineChars="300"/>
              <w:jc w:val="both"/>
              <w:rPr>
                <w:rFonts w:hint="eastAsia"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sz w:val="24"/>
                <w:u w:val="none" w:color="auto"/>
                <w:lang w:val="en-US" w:eastAsia="zh-CN"/>
              </w:rPr>
              <w:t>医疗固废暂存、储运过程按照《医疗废物管理条例》</w:t>
            </w:r>
            <w:r>
              <w:rPr>
                <w:rFonts w:hint="default" w:ascii="Times New Roman" w:hAnsi="Times New Roman" w:eastAsia="宋体" w:cs="Times New Roman"/>
                <w:color w:val="auto"/>
                <w:sz w:val="24"/>
                <w:u w:val="none" w:color="auto"/>
                <w:lang w:val="en-US" w:eastAsia="zh-CN"/>
              </w:rPr>
              <w:t>(</w:t>
            </w:r>
            <w:r>
              <w:rPr>
                <w:rFonts w:hint="eastAsia" w:ascii="Times New Roman" w:hAnsi="Times New Roman" w:eastAsia="宋体" w:cs="Times New Roman"/>
                <w:color w:val="auto"/>
                <w:sz w:val="24"/>
                <w:u w:val="none" w:color="auto"/>
                <w:lang w:val="en-US" w:eastAsia="zh-CN"/>
              </w:rPr>
              <w:t>国务院</w:t>
            </w:r>
            <w:r>
              <w:rPr>
                <w:rFonts w:hint="default" w:ascii="Times New Roman" w:hAnsi="Times New Roman" w:eastAsia="宋体" w:cs="Times New Roman"/>
                <w:color w:val="auto"/>
                <w:sz w:val="24"/>
                <w:u w:val="none" w:color="auto"/>
                <w:lang w:val="en-US" w:eastAsia="zh-CN"/>
              </w:rPr>
              <w:t>2003-380</w:t>
            </w:r>
            <w:r>
              <w:rPr>
                <w:rFonts w:hint="eastAsia" w:ascii="Times New Roman" w:hAnsi="Times New Roman" w:eastAsia="宋体" w:cs="Times New Roman"/>
                <w:color w:val="auto"/>
                <w:sz w:val="24"/>
                <w:u w:val="none" w:color="auto"/>
                <w:lang w:val="en-US" w:eastAsia="zh-CN"/>
              </w:rPr>
              <w:t>号令</w:t>
            </w:r>
            <w:r>
              <w:rPr>
                <w:rFonts w:hint="default" w:ascii="Times New Roman" w:hAnsi="Times New Roman" w:eastAsia="宋体" w:cs="Times New Roman"/>
                <w:color w:val="auto"/>
                <w:sz w:val="24"/>
                <w:u w:val="none" w:color="auto"/>
                <w:lang w:val="en-US" w:eastAsia="zh-CN"/>
              </w:rPr>
              <w:t>)</w:t>
            </w:r>
            <w:r>
              <w:rPr>
                <w:rFonts w:hint="eastAsia" w:ascii="Times New Roman" w:hAnsi="Times New Roman" w:eastAsia="宋体" w:cs="Times New Roman"/>
                <w:color w:val="auto"/>
                <w:sz w:val="24"/>
                <w:u w:val="none" w:color="auto"/>
                <w:lang w:val="en-US" w:eastAsia="zh-CN"/>
              </w:rPr>
              <w:t>、《医疗卫生机构医疗废物管理方法》</w:t>
            </w:r>
            <w:r>
              <w:rPr>
                <w:rFonts w:hint="default" w:ascii="Times New Roman" w:hAnsi="Times New Roman" w:eastAsia="宋体" w:cs="Times New Roman"/>
                <w:color w:val="auto"/>
                <w:sz w:val="24"/>
                <w:u w:val="none" w:color="auto"/>
                <w:lang w:val="en-US" w:eastAsia="zh-CN"/>
              </w:rPr>
              <w:t>(</w:t>
            </w:r>
            <w:r>
              <w:rPr>
                <w:rFonts w:hint="eastAsia" w:ascii="Times New Roman" w:hAnsi="Times New Roman" w:eastAsia="宋体" w:cs="Times New Roman"/>
                <w:color w:val="auto"/>
                <w:sz w:val="24"/>
                <w:u w:val="none" w:color="auto"/>
                <w:lang w:val="en-US" w:eastAsia="zh-CN"/>
              </w:rPr>
              <w:t>中华人民共和国卫生部第</w:t>
            </w:r>
            <w:r>
              <w:rPr>
                <w:rFonts w:hint="default" w:ascii="Times New Roman" w:hAnsi="Times New Roman" w:eastAsia="宋体" w:cs="Times New Roman"/>
                <w:color w:val="auto"/>
                <w:sz w:val="24"/>
                <w:u w:val="none" w:color="auto"/>
                <w:lang w:val="en-US" w:eastAsia="zh-CN"/>
              </w:rPr>
              <w:t>36</w:t>
            </w:r>
            <w:r>
              <w:rPr>
                <w:rFonts w:hint="eastAsia" w:ascii="Times New Roman" w:hAnsi="Times New Roman" w:eastAsia="宋体" w:cs="Times New Roman"/>
                <w:color w:val="auto"/>
                <w:sz w:val="24"/>
                <w:u w:val="none" w:color="auto"/>
                <w:lang w:val="en-US" w:eastAsia="zh-CN"/>
              </w:rPr>
              <w:t>号令</w:t>
            </w:r>
            <w:r>
              <w:rPr>
                <w:rFonts w:hint="default" w:ascii="Times New Roman" w:hAnsi="Times New Roman" w:eastAsia="宋体" w:cs="Times New Roman"/>
                <w:color w:val="auto"/>
                <w:sz w:val="24"/>
                <w:u w:val="none" w:color="auto"/>
                <w:lang w:val="en-US" w:eastAsia="zh-CN"/>
              </w:rPr>
              <w:t>)</w:t>
            </w:r>
            <w:r>
              <w:rPr>
                <w:rFonts w:hint="eastAsia" w:ascii="Times New Roman" w:hAnsi="Times New Roman" w:eastAsia="宋体" w:cs="Times New Roman"/>
                <w:color w:val="auto"/>
                <w:sz w:val="24"/>
                <w:u w:val="none" w:color="auto"/>
                <w:lang w:val="en-US" w:eastAsia="zh-CN"/>
              </w:rPr>
              <w:t>、</w:t>
            </w:r>
            <w:r>
              <w:rPr>
                <w:color w:val="auto"/>
                <w:sz w:val="24"/>
                <w:u w:val="none" w:color="auto"/>
              </w:rPr>
              <w:t>《危险废物贮存污染控制标准》（</w:t>
            </w:r>
            <w:r>
              <w:rPr>
                <w:rFonts w:hint="eastAsia" w:ascii="Times New Roman" w:hAnsi="Times New Roman" w:cs="Times New Roman"/>
                <w:color w:val="auto"/>
                <w:kern w:val="2"/>
                <w:sz w:val="24"/>
                <w:u w:val="none" w:color="auto"/>
                <w:lang w:val="en-US" w:bidi="ar-SA"/>
              </w:rPr>
              <w:t>GB18597-20</w:t>
            </w:r>
            <w:r>
              <w:rPr>
                <w:rFonts w:hint="eastAsia" w:ascii="Times New Roman" w:hAnsi="Times New Roman" w:cs="Times New Roman"/>
                <w:color w:val="auto"/>
                <w:kern w:val="2"/>
                <w:sz w:val="24"/>
                <w:u w:val="none" w:color="auto"/>
                <w:lang w:val="en-US" w:eastAsia="zh-CN" w:bidi="ar-SA"/>
              </w:rPr>
              <w:t>23</w:t>
            </w:r>
            <w:r>
              <w:rPr>
                <w:color w:val="auto"/>
                <w:sz w:val="24"/>
                <w:u w:val="none" w:color="auto"/>
              </w:rPr>
              <w:t>）</w:t>
            </w:r>
            <w:r>
              <w:rPr>
                <w:rFonts w:hint="eastAsia" w:ascii="Times New Roman" w:hAnsi="Times New Roman" w:eastAsia="宋体" w:cs="Times New Roman"/>
                <w:color w:val="auto"/>
                <w:sz w:val="24"/>
                <w:u w:val="none" w:color="auto"/>
                <w:lang w:val="en-US" w:eastAsia="zh-CN"/>
              </w:rPr>
              <w:t>等相关要求执行；</w:t>
            </w:r>
            <w:r>
              <w:rPr>
                <w:rFonts w:hint="eastAsia" w:ascii="Times New Roman" w:hAnsi="Times New Roman" w:eastAsia="宋体" w:cs="Times New Roman"/>
                <w:color w:val="auto"/>
                <w:kern w:val="2"/>
                <w:sz w:val="24"/>
                <w:szCs w:val="24"/>
                <w:u w:val="none" w:color="auto"/>
                <w:lang w:val="en-US" w:eastAsia="zh-CN" w:bidi="ar-SA"/>
              </w:rPr>
              <w:t>医院内污水处理站污泥执行《医疗机构水污染物排放标准》（GB18466-2005）中表4限值要求。</w:t>
            </w:r>
          </w:p>
          <w:p w14:paraId="6EFE6BD0">
            <w:pPr>
              <w:pStyle w:val="54"/>
              <w:widowControl w:val="0"/>
              <w:adjustRightInd w:val="0"/>
              <w:spacing w:after="0" w:line="360" w:lineRule="auto"/>
              <w:ind w:right="113" w:rightChars="0" w:firstLine="0" w:firstLineChars="0"/>
              <w:jc w:val="center"/>
              <w:rPr>
                <w:rFonts w:hint="eastAsia" w:ascii="Times New Roman" w:hAnsi="Times New Roman" w:eastAsia="宋体"/>
                <w:b/>
                <w:bCs/>
                <w:color w:val="auto"/>
                <w:sz w:val="21"/>
                <w:szCs w:val="21"/>
                <w:highlight w:val="none"/>
                <w:u w:val="none" w:color="auto"/>
              </w:rPr>
            </w:pPr>
            <w:r>
              <w:rPr>
                <w:rFonts w:hint="eastAsia" w:ascii="Times New Roman" w:hAnsi="Times New Roman" w:eastAsia="宋体"/>
                <w:b/>
                <w:bCs/>
                <w:color w:val="auto"/>
                <w:sz w:val="21"/>
                <w:szCs w:val="21"/>
                <w:highlight w:val="none"/>
                <w:u w:val="none" w:color="auto"/>
              </w:rPr>
              <w:t>表3-</w:t>
            </w:r>
            <w:r>
              <w:rPr>
                <w:rFonts w:hint="eastAsia"/>
                <w:b/>
                <w:bCs/>
                <w:color w:val="auto"/>
                <w:sz w:val="21"/>
                <w:szCs w:val="21"/>
                <w:highlight w:val="none"/>
                <w:u w:val="none"/>
                <w:lang w:val="en-US" w:eastAsia="zh-CN"/>
              </w:rPr>
              <w:t>9</w:t>
            </w:r>
            <w:r>
              <w:rPr>
                <w:rFonts w:hint="eastAsia" w:ascii="Times New Roman" w:hAnsi="Times New Roman" w:eastAsia="宋体"/>
                <w:b/>
                <w:bCs/>
                <w:color w:val="auto"/>
                <w:sz w:val="21"/>
                <w:szCs w:val="21"/>
                <w:highlight w:val="none"/>
                <w:u w:val="none" w:color="auto"/>
              </w:rPr>
              <w:t xml:space="preserve"> 医疗机构污泥控制标准</w:t>
            </w:r>
          </w:p>
          <w:tbl>
            <w:tblPr>
              <w:tblStyle w:val="34"/>
              <w:tblW w:w="7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3"/>
              <w:gridCol w:w="4091"/>
            </w:tblGrid>
            <w:tr w14:paraId="57B3E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3" w:type="dxa"/>
                  <w:noWrap w:val="0"/>
                  <w:vAlign w:val="center"/>
                </w:tcPr>
                <w:p w14:paraId="5362D88C">
                  <w:pPr>
                    <w:pStyle w:val="109"/>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控制项目</w:t>
                  </w:r>
                </w:p>
              </w:tc>
              <w:tc>
                <w:tcPr>
                  <w:tcW w:w="4091" w:type="dxa"/>
                  <w:noWrap w:val="0"/>
                  <w:vAlign w:val="center"/>
                </w:tcPr>
                <w:p w14:paraId="63E3C9C5">
                  <w:pPr>
                    <w:pStyle w:val="109"/>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限值</w:t>
                  </w:r>
                </w:p>
              </w:tc>
            </w:tr>
            <w:tr w14:paraId="38760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3" w:type="dxa"/>
                  <w:noWrap w:val="0"/>
                  <w:vAlign w:val="center"/>
                </w:tcPr>
                <w:p w14:paraId="3D9EC1DE">
                  <w:pPr>
                    <w:pStyle w:val="109"/>
                    <w:spacing w:line="240" w:lineRule="auto"/>
                    <w:ind w:firstLine="0" w:firstLineChars="0"/>
                    <w:jc w:val="center"/>
                    <w:rPr>
                      <w:rFonts w:hint="eastAsia"/>
                      <w:color w:val="auto"/>
                      <w:sz w:val="21"/>
                      <w:szCs w:val="21"/>
                      <w:u w:val="none" w:color="auto"/>
                    </w:rPr>
                  </w:pPr>
                  <w:r>
                    <w:rPr>
                      <w:rFonts w:hint="eastAsia"/>
                      <w:color w:val="auto"/>
                      <w:sz w:val="21"/>
                      <w:szCs w:val="21"/>
                      <w:u w:val="none" w:color="auto"/>
                    </w:rPr>
                    <w:t>粪大肠杆菌数(MPN/g)</w:t>
                  </w:r>
                </w:p>
              </w:tc>
              <w:tc>
                <w:tcPr>
                  <w:tcW w:w="4091" w:type="dxa"/>
                  <w:noWrap w:val="0"/>
                  <w:vAlign w:val="center"/>
                </w:tcPr>
                <w:p w14:paraId="208CDAFC">
                  <w:pPr>
                    <w:pStyle w:val="109"/>
                    <w:spacing w:line="240" w:lineRule="auto"/>
                    <w:ind w:firstLine="0" w:firstLineChars="0"/>
                    <w:jc w:val="center"/>
                    <w:rPr>
                      <w:rFonts w:hint="eastAsia" w:eastAsia="宋体"/>
                      <w:color w:val="auto"/>
                      <w:sz w:val="21"/>
                      <w:szCs w:val="21"/>
                      <w:u w:val="none" w:color="auto"/>
                      <w:lang w:eastAsia="zh-CN"/>
                    </w:rPr>
                  </w:pPr>
                  <w:r>
                    <w:rPr>
                      <w:rFonts w:hint="eastAsia" w:eastAsia="宋体"/>
                      <w:color w:val="auto"/>
                      <w:sz w:val="21"/>
                      <w:szCs w:val="21"/>
                      <w:u w:val="none" w:color="auto"/>
                      <w:lang w:eastAsia="zh-CN"/>
                    </w:rPr>
                    <w:t>≤100</w:t>
                  </w:r>
                </w:p>
              </w:tc>
            </w:tr>
            <w:tr w14:paraId="2841E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3" w:type="dxa"/>
                  <w:noWrap w:val="0"/>
                  <w:vAlign w:val="center"/>
                </w:tcPr>
                <w:p w14:paraId="4CBB9F9B">
                  <w:pPr>
                    <w:pStyle w:val="109"/>
                    <w:spacing w:line="240" w:lineRule="auto"/>
                    <w:ind w:firstLine="0" w:firstLineChars="0"/>
                    <w:jc w:val="center"/>
                    <w:rPr>
                      <w:color w:val="auto"/>
                      <w:sz w:val="21"/>
                      <w:szCs w:val="21"/>
                      <w:u w:val="none" w:color="auto"/>
                    </w:rPr>
                  </w:pPr>
                  <w:r>
                    <w:rPr>
                      <w:rFonts w:hint="eastAsia"/>
                      <w:color w:val="auto"/>
                      <w:sz w:val="21"/>
                      <w:szCs w:val="21"/>
                      <w:u w:val="none" w:color="auto"/>
                    </w:rPr>
                    <w:t>蛔虫卵死亡率（%）</w:t>
                  </w:r>
                </w:p>
              </w:tc>
              <w:tc>
                <w:tcPr>
                  <w:tcW w:w="4091" w:type="dxa"/>
                  <w:noWrap w:val="0"/>
                  <w:vAlign w:val="center"/>
                </w:tcPr>
                <w:p w14:paraId="2BE6380E">
                  <w:pPr>
                    <w:pStyle w:val="109"/>
                    <w:spacing w:line="240" w:lineRule="auto"/>
                    <w:ind w:firstLine="0" w:firstLineChars="0"/>
                    <w:jc w:val="center"/>
                    <w:rPr>
                      <w:rFonts w:hint="default" w:eastAsia="宋体"/>
                      <w:color w:val="auto"/>
                      <w:sz w:val="21"/>
                      <w:szCs w:val="21"/>
                      <w:u w:val="none" w:color="auto"/>
                      <w:lang w:val="en-US" w:eastAsia="zh-CN"/>
                    </w:rPr>
                  </w:pPr>
                  <w:r>
                    <w:rPr>
                      <w:rFonts w:hint="default" w:eastAsia="宋体"/>
                      <w:color w:val="auto"/>
                      <w:sz w:val="21"/>
                      <w:szCs w:val="21"/>
                      <w:u w:val="none" w:color="auto"/>
                      <w:lang w:val="en-US" w:eastAsia="zh-CN"/>
                    </w:rPr>
                    <w:t>&gt;95</w:t>
                  </w:r>
                </w:p>
              </w:tc>
            </w:tr>
          </w:tbl>
          <w:p w14:paraId="607F42A8">
            <w:pPr>
              <w:pStyle w:val="54"/>
              <w:widowControl w:val="0"/>
              <w:ind w:firstLine="480"/>
              <w:rPr>
                <w:rFonts w:hint="eastAsia" w:hAnsi="宋体"/>
                <w:color w:val="auto"/>
                <w:highlight w:val="none"/>
                <w:u w:val="none"/>
                <w:lang w:eastAsia="zh-CN"/>
              </w:rPr>
            </w:pPr>
          </w:p>
        </w:tc>
      </w:tr>
      <w:tr w14:paraId="7D277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5" w:type="pct"/>
            <w:vAlign w:val="center"/>
          </w:tcPr>
          <w:p w14:paraId="5B7AA4AE">
            <w:pPr>
              <w:spacing w:line="240" w:lineRule="auto"/>
              <w:jc w:val="center"/>
              <w:rPr>
                <w:color w:val="auto"/>
                <w:highlight w:val="none"/>
                <w:u w:val="none"/>
                <w:lang w:val="en-US"/>
              </w:rPr>
            </w:pPr>
            <w:r>
              <w:rPr>
                <w:rFonts w:hint="eastAsia"/>
                <w:color w:val="auto"/>
                <w:highlight w:val="none"/>
                <w:u w:val="none"/>
                <w:lang w:val="en-US"/>
              </w:rPr>
              <w:t>总量控制指标</w:t>
            </w:r>
          </w:p>
        </w:tc>
        <w:tc>
          <w:tcPr>
            <w:tcW w:w="4704" w:type="pct"/>
            <w:vAlign w:val="center"/>
          </w:tcPr>
          <w:p w14:paraId="4401D570">
            <w:pPr>
              <w:spacing w:line="360" w:lineRule="auto"/>
              <w:ind w:firstLine="480" w:firstLineChars="200"/>
              <w:jc w:val="left"/>
              <w:rPr>
                <w:rFonts w:hint="eastAsia" w:ascii="Times New Roman" w:hAnsi="Times New Roman" w:eastAsia="宋体" w:cs="Times New Roman"/>
                <w:color w:val="FF0000"/>
                <w:sz w:val="24"/>
                <w:u w:val="single"/>
                <w:lang w:val="en-US" w:eastAsia="zh-CN"/>
              </w:rPr>
            </w:pPr>
            <w:r>
              <w:rPr>
                <w:rFonts w:hint="eastAsia"/>
                <w:color w:val="FF0000"/>
                <w:sz w:val="24"/>
                <w:u w:val="single"/>
                <w:lang w:val="en-US" w:eastAsia="zh-CN"/>
              </w:rPr>
              <w:t>根据《湖南省主要污染物排污权有偿使用和交易管理办法》（湘政办发〔2022〕23号）对化学需氧量、氨氮、二氧化硫、氮氧化物、铅、镉、砷、汞、铬、挥发性有机物、总磷等十</w:t>
            </w:r>
            <w:r>
              <w:rPr>
                <w:rFonts w:hint="eastAsia" w:ascii="Times New Roman" w:hAnsi="Times New Roman" w:eastAsia="宋体" w:cs="Times New Roman"/>
                <w:color w:val="FF0000"/>
                <w:sz w:val="24"/>
                <w:u w:val="single"/>
                <w:lang w:val="en-US" w:eastAsia="zh-CN"/>
              </w:rPr>
              <w:t>一类污染物实施排污权有偿使用和交易管理。化学需氧量、氨氮、二氧化硫、氮氧化物四类污染物的管理对象为本行政区域内纳入固定污染源排污许可分类管理名录的、除公共基础设施类之外的工业类排污单位。</w:t>
            </w:r>
          </w:p>
          <w:p w14:paraId="4378798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FF0000"/>
                <w:kern w:val="2"/>
                <w:sz w:val="24"/>
                <w:szCs w:val="24"/>
                <w:u w:val="single"/>
                <w:lang w:val="en-US" w:eastAsia="zh-CN" w:bidi="ar-SA"/>
              </w:rPr>
            </w:pPr>
            <w:r>
              <w:rPr>
                <w:rFonts w:hint="default" w:ascii="Times New Roman" w:hAnsi="Times New Roman" w:eastAsia="宋体" w:cs="Times New Roman"/>
                <w:color w:val="FF0000"/>
                <w:kern w:val="2"/>
                <w:sz w:val="24"/>
                <w:szCs w:val="24"/>
                <w:u w:val="single"/>
                <w:lang w:val="en-US" w:eastAsia="en-US" w:bidi="ar-SA"/>
              </w:rPr>
              <w:t>本项目</w:t>
            </w:r>
            <w:r>
              <w:rPr>
                <w:rFonts w:hint="eastAsia"/>
                <w:color w:val="FF0000"/>
                <w:u w:val="single"/>
                <w:lang w:eastAsia="zh-CN"/>
              </w:rPr>
              <w:t>为医院，不属于工业类排污单位，属于公共基础设施类，不纳入总量指标管理对象。</w:t>
            </w:r>
          </w:p>
          <w:p w14:paraId="6267F3C0">
            <w:pPr>
              <w:pStyle w:val="106"/>
              <w:bidi w:val="0"/>
              <w:ind w:left="0" w:leftChars="0" w:firstLine="0" w:firstLineChars="0"/>
              <w:jc w:val="left"/>
              <w:rPr>
                <w:rFonts w:hint="eastAsia" w:ascii="Times New Roman" w:hAnsi="Times New Roman" w:eastAsia="宋体" w:cs="Times New Roman"/>
                <w:color w:val="auto"/>
                <w:highlight w:val="none"/>
                <w:u w:val="none"/>
                <w:lang w:val="en-US" w:eastAsia="zh-CN"/>
              </w:rPr>
            </w:pPr>
          </w:p>
        </w:tc>
      </w:tr>
    </w:tbl>
    <w:p w14:paraId="4EFACF48">
      <w:pPr>
        <w:pStyle w:val="2"/>
        <w:rPr>
          <w:color w:val="auto"/>
          <w:highlight w:val="none"/>
          <w:u w:val="none"/>
          <w:lang w:val="en-US"/>
        </w:rPr>
      </w:pPr>
      <w:r>
        <w:rPr>
          <w:color w:val="auto"/>
          <w:highlight w:val="none"/>
          <w:u w:val="none"/>
          <w:lang w:val="en-US"/>
        </w:rPr>
        <w:br w:type="page"/>
      </w:r>
      <w:bookmarkStart w:id="7" w:name="_Toc134635718"/>
      <w:r>
        <w:rPr>
          <w:rFonts w:hint="eastAsia"/>
          <w:color w:val="auto"/>
          <w:highlight w:val="none"/>
          <w:u w:val="none"/>
          <w:lang w:val="en-US"/>
        </w:rPr>
        <w:t>四、主要环境影响和保护措施</w:t>
      </w:r>
      <w:bookmarkEnd w:id="7"/>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9378"/>
      </w:tblGrid>
      <w:tr w14:paraId="44AFB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68ECD6DF">
            <w:pPr>
              <w:spacing w:line="240" w:lineRule="auto"/>
              <w:jc w:val="center"/>
              <w:rPr>
                <w:color w:val="auto"/>
                <w:highlight w:val="none"/>
                <w:u w:val="none" w:color="auto"/>
                <w:lang w:val="en-US"/>
              </w:rPr>
            </w:pPr>
            <w:r>
              <w:rPr>
                <w:rFonts w:hint="eastAsia"/>
                <w:color w:val="auto"/>
                <w:highlight w:val="none"/>
                <w:u w:val="none" w:color="auto"/>
                <w:lang w:val="en-US"/>
              </w:rPr>
              <w:t>施工期环境保护措施</w:t>
            </w:r>
          </w:p>
        </w:tc>
        <w:tc>
          <w:tcPr>
            <w:tcW w:w="4709" w:type="pct"/>
            <w:vAlign w:val="center"/>
          </w:tcPr>
          <w:p w14:paraId="651E060B">
            <w:pPr>
              <w:widowControl/>
              <w:spacing w:line="360" w:lineRule="auto"/>
              <w:ind w:firstLine="482" w:firstLineChars="200"/>
              <w:jc w:val="left"/>
              <w:rPr>
                <w:rFonts w:hint="eastAsia" w:ascii="Times New Roman" w:hAnsi="Times New Roman" w:eastAsia="宋体" w:cs="Times New Roman"/>
                <w:b/>
                <w:color w:val="auto"/>
                <w:kern w:val="0"/>
                <w:sz w:val="24"/>
                <w:u w:val="none" w:color="auto"/>
                <w:lang w:eastAsia="zh-CN"/>
              </w:rPr>
            </w:pPr>
            <w:r>
              <w:rPr>
                <w:rFonts w:hint="eastAsia" w:ascii="Times New Roman" w:hAnsi="Times New Roman" w:eastAsia="宋体" w:cs="Times New Roman"/>
                <w:b/>
                <w:color w:val="auto"/>
                <w:kern w:val="0"/>
                <w:sz w:val="24"/>
                <w:u w:val="none" w:color="auto"/>
                <w:lang w:val="en-US" w:eastAsia="zh-CN"/>
              </w:rPr>
              <w:t>4</w:t>
            </w:r>
            <w:r>
              <w:rPr>
                <w:rFonts w:hint="default" w:ascii="Times New Roman" w:hAnsi="Times New Roman" w:eastAsia="宋体" w:cs="Times New Roman"/>
                <w:b/>
                <w:color w:val="auto"/>
                <w:kern w:val="0"/>
                <w:sz w:val="24"/>
                <w:u w:val="none" w:color="auto"/>
              </w:rPr>
              <w:t>.</w:t>
            </w:r>
            <w:r>
              <w:rPr>
                <w:rFonts w:hint="eastAsia" w:ascii="Times New Roman" w:hAnsi="Times New Roman" w:eastAsia="宋体" w:cs="Times New Roman"/>
                <w:b/>
                <w:color w:val="auto"/>
                <w:kern w:val="0"/>
                <w:sz w:val="24"/>
                <w:u w:val="none" w:color="auto"/>
                <w:lang w:val="en-US" w:eastAsia="zh-CN"/>
              </w:rPr>
              <w:t>1施工期</w:t>
            </w:r>
            <w:r>
              <w:rPr>
                <w:rFonts w:hint="eastAsia" w:ascii="Times New Roman" w:hAnsi="Times New Roman" w:eastAsia="宋体" w:cs="Times New Roman"/>
                <w:b/>
                <w:color w:val="auto"/>
                <w:kern w:val="0"/>
                <w:sz w:val="24"/>
                <w:u w:val="none" w:color="auto"/>
                <w:lang w:eastAsia="zh-CN"/>
              </w:rPr>
              <w:t>环境保护措施</w:t>
            </w:r>
          </w:p>
          <w:p w14:paraId="3F495C0F">
            <w:pPr>
              <w:widowControl/>
              <w:spacing w:line="360" w:lineRule="auto"/>
              <w:ind w:firstLine="482" w:firstLineChars="200"/>
              <w:jc w:val="left"/>
              <w:rPr>
                <w:rFonts w:hint="eastAsia" w:ascii="Times New Roman" w:hAnsi="Times New Roman" w:eastAsia="宋体" w:cs="Times New Roman"/>
                <w:b/>
                <w:color w:val="auto"/>
                <w:kern w:val="0"/>
                <w:sz w:val="24"/>
                <w:u w:val="none" w:color="auto"/>
                <w:lang w:eastAsia="zh-CN"/>
              </w:rPr>
            </w:pPr>
            <w:r>
              <w:rPr>
                <w:rFonts w:hint="eastAsia" w:ascii="Times New Roman" w:hAnsi="Times New Roman" w:eastAsia="宋体" w:cs="Times New Roman"/>
                <w:b/>
                <w:color w:val="auto"/>
                <w:kern w:val="0"/>
                <w:sz w:val="24"/>
                <w:u w:val="none" w:color="auto"/>
                <w:lang w:eastAsia="zh-CN"/>
              </w:rPr>
              <w:t>4.1.1 施工期大气环境保护措施</w:t>
            </w:r>
          </w:p>
          <w:p w14:paraId="5EBAE7A8">
            <w:pPr>
              <w:numPr>
                <w:ilvl w:val="0"/>
                <w:numId w:val="0"/>
              </w:numPr>
              <w:spacing w:line="360" w:lineRule="auto"/>
              <w:ind w:firstLine="480" w:firstLineChars="200"/>
              <w:jc w:val="left"/>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施工单位应严格遵守《怀化市扬尘污染防治条例》的相关要求，根据《怀化市扬尘污染防治条例》第十条工程施工应当符合下列一般要求：（一）施工工地周围按照规范要求设置硬质围挡；（二）施工工地出入口、内部主要道路、加工区和物料堆放场地硬化并辅以喷淋、洒水等有效措施；（三）有施工车辆出入的施工工地出口内侧建设冲洗平台，安装车辆冲洗设备，车辆冲洗干净后方可驶出，确实不具备建设冲洗平台设施条件的，采取其他有效措施防止运输车辆造成扬尘污染；（四）施工工地内的裸露地面绿化或者覆盖密闭式防尘网（布）；（五）施工过程中易产生扬尘环节实行湿法作业，但是按照规范要求不宜采取湿法作业的除外；（六）施工工地作业产生泥浆的，设置泥浆池、泥浆沟，确保泥浆不溢流。</w:t>
            </w:r>
          </w:p>
          <w:p w14:paraId="619F9972">
            <w:pPr>
              <w:numPr>
                <w:ilvl w:val="0"/>
                <w:numId w:val="0"/>
              </w:numPr>
              <w:spacing w:line="360" w:lineRule="auto"/>
              <w:ind w:firstLine="480" w:firstLineChars="200"/>
              <w:jc w:val="left"/>
              <w:rPr>
                <w:rFonts w:hint="default" w:ascii="Times New Roman" w:hAnsi="Times New Roman" w:eastAsia="宋体" w:cs="Times New Roman"/>
                <w:color w:val="auto"/>
                <w:sz w:val="24"/>
                <w:u w:val="none" w:color="auto"/>
                <w:lang w:val="en-US" w:eastAsia="zh-CN"/>
              </w:rPr>
            </w:pPr>
            <w:r>
              <w:rPr>
                <w:rFonts w:hint="eastAsia" w:ascii="Times New Roman" w:hAnsi="Times New Roman" w:eastAsia="宋体" w:cs="Times New Roman"/>
                <w:color w:val="auto"/>
                <w:sz w:val="24"/>
                <w:u w:val="none" w:color="auto"/>
                <w:lang w:eastAsia="zh-CN"/>
              </w:rPr>
              <w:t>此外，施工单位应严格落实建筑施工扬尘污染防治“</w:t>
            </w:r>
            <w:r>
              <w:rPr>
                <w:rFonts w:hint="eastAsia" w:ascii="Times New Roman" w:hAnsi="Times New Roman" w:eastAsia="宋体" w:cs="Times New Roman"/>
                <w:color w:val="auto"/>
                <w:sz w:val="24"/>
                <w:u w:val="none" w:color="auto"/>
                <w:lang w:val="en-US" w:eastAsia="zh-CN"/>
              </w:rPr>
              <w:t>8个100%</w:t>
            </w:r>
            <w:r>
              <w:rPr>
                <w:rFonts w:hint="eastAsia" w:ascii="Times New Roman" w:hAnsi="Times New Roman" w:eastAsia="宋体" w:cs="Times New Roman"/>
                <w:color w:val="auto"/>
                <w:sz w:val="24"/>
                <w:u w:val="none" w:color="auto"/>
                <w:lang w:eastAsia="zh-CN"/>
              </w:rPr>
              <w:t>”抑尘措施，即建筑施工工地围挡</w:t>
            </w:r>
            <w:r>
              <w:rPr>
                <w:rFonts w:hint="eastAsia" w:ascii="Times New Roman" w:hAnsi="Times New Roman" w:eastAsia="宋体" w:cs="Times New Roman"/>
                <w:color w:val="auto"/>
                <w:sz w:val="24"/>
                <w:u w:val="none" w:color="auto"/>
                <w:lang w:val="en-US" w:eastAsia="zh-CN"/>
              </w:rPr>
              <w:t>100%、路面硬化100%、洒水压尘100%、裸土100%覆盖、进出车辆 100%冲洗、渣土实施100%密闭运输、建筑垃圾100%规范管理、非道路移动机械尾气排放100%达标。建立健全公司级组织领导机构和考核制度，对本单位所有承建的工程项目实施定期检查、考核。</w:t>
            </w:r>
          </w:p>
          <w:p w14:paraId="53B2D64F">
            <w:pPr>
              <w:widowControl/>
              <w:spacing w:line="360" w:lineRule="auto"/>
              <w:ind w:firstLine="482" w:firstLineChars="200"/>
              <w:jc w:val="left"/>
              <w:rPr>
                <w:rFonts w:hint="default" w:ascii="Times New Roman" w:hAnsi="Times New Roman" w:eastAsia="宋体" w:cs="Times New Roman"/>
                <w:b/>
                <w:color w:val="auto"/>
                <w:kern w:val="0"/>
                <w:sz w:val="24"/>
                <w:u w:val="none" w:color="auto"/>
                <w:lang w:val="en-US" w:eastAsia="zh-CN"/>
              </w:rPr>
            </w:pPr>
            <w:r>
              <w:rPr>
                <w:rFonts w:hint="eastAsia" w:ascii="Times New Roman" w:hAnsi="Times New Roman" w:eastAsia="宋体" w:cs="Times New Roman"/>
                <w:b/>
                <w:color w:val="auto"/>
                <w:kern w:val="0"/>
                <w:sz w:val="24"/>
                <w:u w:val="none" w:color="auto"/>
                <w:lang w:val="en-US" w:eastAsia="zh-CN"/>
              </w:rPr>
              <w:t>4.1.2施工期废水环境保护措施</w:t>
            </w:r>
          </w:p>
          <w:p w14:paraId="384CA8E3">
            <w:pPr>
              <w:spacing w:line="360" w:lineRule="auto"/>
              <w:ind w:firstLine="480" w:firstLineChars="200"/>
              <w:jc w:val="both"/>
              <w:rPr>
                <w:rFonts w:hint="default" w:ascii="Times New Roman" w:hAnsi="Times New Roman" w:eastAsia="宋体" w:cs="Times New Roman"/>
                <w:color w:val="000000" w:themeColor="text1"/>
                <w:sz w:val="24"/>
                <w:u w:val="none" w:color="auto"/>
                <w14:textFill>
                  <w14:solidFill>
                    <w14:schemeClr w14:val="tx1"/>
                  </w14:solidFill>
                </w14:textFill>
              </w:rPr>
            </w:pPr>
            <w:r>
              <w:rPr>
                <w:rFonts w:hint="default" w:ascii="Times New Roman" w:hAnsi="Times New Roman" w:eastAsia="宋体" w:cs="Times New Roman"/>
                <w:color w:val="000000" w:themeColor="text1"/>
                <w:sz w:val="24"/>
                <w:u w:val="none" w:color="auto"/>
                <w14:textFill>
                  <w14:solidFill>
                    <w14:schemeClr w14:val="tx1"/>
                  </w14:solidFill>
                </w14:textFill>
              </w:rPr>
              <w:t>本项目施工期废水主要来自施工人员的生活污水、建筑施工废水。</w:t>
            </w:r>
          </w:p>
          <w:p w14:paraId="715075C6">
            <w:pPr>
              <w:spacing w:line="360" w:lineRule="auto"/>
              <w:ind w:firstLine="480" w:firstLineChars="200"/>
              <w:jc w:val="both"/>
              <w:rPr>
                <w:rFonts w:hint="default" w:ascii="Times New Roman" w:hAnsi="Times New Roman" w:eastAsia="宋体" w:cs="Times New Roman"/>
                <w:color w:val="000000" w:themeColor="text1"/>
                <w:sz w:val="24"/>
                <w:u w:val="none" w:color="auto"/>
                <w14:textFill>
                  <w14:solidFill>
                    <w14:schemeClr w14:val="tx1"/>
                  </w14:solidFill>
                </w14:textFill>
              </w:rPr>
            </w:pPr>
            <w:r>
              <w:rPr>
                <w:rFonts w:hint="default" w:ascii="Times New Roman" w:hAnsi="Times New Roman" w:eastAsia="宋体" w:cs="Times New Roman"/>
                <w:color w:val="000000" w:themeColor="text1"/>
                <w:sz w:val="24"/>
                <w:u w:val="none" w:color="auto"/>
                <w14:textFill>
                  <w14:solidFill>
                    <w14:schemeClr w14:val="tx1"/>
                  </w14:solidFill>
                </w14:textFill>
              </w:rPr>
              <w:t>施工人员生活污水包括粪便污水、清洗污水等，其主要污染因子为COD、BOD</w:t>
            </w:r>
            <w:r>
              <w:rPr>
                <w:rFonts w:hint="default" w:ascii="Times New Roman" w:hAnsi="Times New Roman" w:eastAsia="宋体" w:cs="Times New Roman"/>
                <w:color w:val="000000" w:themeColor="text1"/>
                <w:sz w:val="24"/>
                <w:u w:val="none" w:color="auto"/>
                <w:vertAlign w:val="subscript"/>
                <w14:textFill>
                  <w14:solidFill>
                    <w14:schemeClr w14:val="tx1"/>
                  </w14:solidFill>
                </w14:textFill>
              </w:rPr>
              <w:t>5</w:t>
            </w:r>
            <w:r>
              <w:rPr>
                <w:rFonts w:hint="default" w:ascii="Times New Roman" w:hAnsi="Times New Roman" w:eastAsia="宋体" w:cs="Times New Roman"/>
                <w:color w:val="000000" w:themeColor="text1"/>
                <w:sz w:val="24"/>
                <w:u w:val="none" w:color="auto"/>
                <w14:textFill>
                  <w14:solidFill>
                    <w14:schemeClr w14:val="tx1"/>
                  </w14:solidFill>
                </w14:textFill>
              </w:rPr>
              <w:t>、NH</w:t>
            </w:r>
            <w:r>
              <w:rPr>
                <w:rFonts w:hint="default" w:ascii="Times New Roman" w:hAnsi="Times New Roman" w:eastAsia="宋体" w:cs="Times New Roman"/>
                <w:color w:val="000000" w:themeColor="text1"/>
                <w:sz w:val="24"/>
                <w:u w:val="none" w:color="auto"/>
                <w:vertAlign w:val="subscript"/>
                <w14:textFill>
                  <w14:solidFill>
                    <w14:schemeClr w14:val="tx1"/>
                  </w14:solidFill>
                </w14:textFill>
              </w:rPr>
              <w:t>3</w:t>
            </w:r>
            <w:r>
              <w:rPr>
                <w:rFonts w:hint="default" w:ascii="Times New Roman" w:hAnsi="Times New Roman" w:eastAsia="宋体" w:cs="Times New Roman"/>
                <w:color w:val="000000" w:themeColor="text1"/>
                <w:sz w:val="24"/>
                <w:u w:val="none" w:color="auto"/>
                <w14:textFill>
                  <w14:solidFill>
                    <w14:schemeClr w14:val="tx1"/>
                  </w14:solidFill>
                </w14:textFill>
              </w:rPr>
              <w:t>-N、SS等，其中以粪便污水中的污染物含量最高。施工生活污水水质成分简单，经处理达标后</w:t>
            </w:r>
            <w:r>
              <w:rPr>
                <w:rFonts w:hint="eastAsia" w:cs="Times New Roman"/>
                <w:color w:val="000000" w:themeColor="text1"/>
                <w:sz w:val="24"/>
                <w:u w:val="none" w:color="auto"/>
                <w:lang w:eastAsia="zh-CN"/>
                <w14:textFill>
                  <w14:solidFill>
                    <w14:schemeClr w14:val="tx1"/>
                  </w14:solidFill>
                </w14:textFill>
              </w:rPr>
              <w:t>外排市政管网</w:t>
            </w:r>
            <w:r>
              <w:rPr>
                <w:rFonts w:hint="default" w:ascii="Times New Roman" w:hAnsi="Times New Roman" w:eastAsia="宋体" w:cs="Times New Roman"/>
                <w:color w:val="000000" w:themeColor="text1"/>
                <w:sz w:val="24"/>
                <w:u w:val="none" w:color="auto"/>
                <w14:textFill>
                  <w14:solidFill>
                    <w14:schemeClr w14:val="tx1"/>
                  </w14:solidFill>
                </w14:textFill>
              </w:rPr>
              <w:t>。</w:t>
            </w:r>
          </w:p>
          <w:p w14:paraId="0ECAA17D">
            <w:pPr>
              <w:spacing w:line="360" w:lineRule="auto"/>
              <w:ind w:firstLine="480" w:firstLineChars="200"/>
              <w:jc w:val="left"/>
              <w:rPr>
                <w:rFonts w:hint="default" w:ascii="Times New Roman" w:hAnsi="Times New Roman" w:eastAsia="宋体" w:cs="Times New Roman"/>
                <w:color w:val="000000" w:themeColor="text1"/>
                <w:sz w:val="24"/>
                <w:u w:val="none" w:color="auto"/>
                <w14:textFill>
                  <w14:solidFill>
                    <w14:schemeClr w14:val="tx1"/>
                  </w14:solidFill>
                </w14:textFill>
              </w:rPr>
            </w:pPr>
            <w:r>
              <w:rPr>
                <w:rFonts w:hint="default" w:ascii="Times New Roman" w:hAnsi="Times New Roman" w:eastAsia="宋体" w:cs="Times New Roman"/>
                <w:color w:val="000000" w:themeColor="text1"/>
                <w:sz w:val="24"/>
                <w:u w:val="none" w:color="auto"/>
                <w14:textFill>
                  <w14:solidFill>
                    <w14:schemeClr w14:val="tx1"/>
                  </w14:solidFill>
                </w14:textFill>
              </w:rPr>
              <w:t>建筑施工废水主要是施工期间产生的水泥搅拌等泥浆水，具有污水量小，泥沙含量高（泥沙含量与施工机械、工程性质及工程进度等有关，一般含量为80~120g/L）的特点，且废水含有少量的废机油等污染物。考虑建筑施工要求，该部分废水收集经沉淀后可回用于施工过程。</w:t>
            </w:r>
          </w:p>
          <w:p w14:paraId="5CFCE8C6">
            <w:pPr>
              <w:spacing w:line="360" w:lineRule="auto"/>
              <w:ind w:firstLine="480" w:firstLineChars="200"/>
              <w:jc w:val="left"/>
              <w:rPr>
                <w:rFonts w:hint="eastAsia" w:ascii="Times New Roman" w:hAnsi="Times New Roman" w:eastAsia="宋体" w:cs="Times New Roman"/>
                <w:color w:val="000000" w:themeColor="text1"/>
                <w:sz w:val="24"/>
                <w:u w:val="none" w:color="auto"/>
                <w:lang w:eastAsia="zh-CN"/>
                <w14:textFill>
                  <w14:solidFill>
                    <w14:schemeClr w14:val="tx1"/>
                  </w14:solidFill>
                </w14:textFill>
              </w:rPr>
            </w:pPr>
            <w:r>
              <w:rPr>
                <w:rFonts w:hint="default" w:ascii="Times New Roman" w:hAnsi="Times New Roman" w:eastAsia="宋体" w:cs="Times New Roman"/>
                <w:color w:val="000000" w:themeColor="text1"/>
                <w:sz w:val="24"/>
                <w:u w:val="none" w:color="auto"/>
                <w14:textFill>
                  <w14:solidFill>
                    <w14:schemeClr w14:val="tx1"/>
                  </w14:solidFill>
                </w14:textFill>
              </w:rPr>
              <w:t>考虑到项目施工期的长期行为，要求对施工场地所产生的废水应加强管理、控制。</w:t>
            </w:r>
          </w:p>
          <w:p w14:paraId="2E33039B">
            <w:pPr>
              <w:spacing w:line="360" w:lineRule="auto"/>
              <w:ind w:firstLine="480" w:firstLineChars="200"/>
              <w:jc w:val="left"/>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①严禁施工废水乱排、乱流污染道路和周围环境。</w:t>
            </w:r>
          </w:p>
          <w:p w14:paraId="6820B368">
            <w:pPr>
              <w:spacing w:line="360" w:lineRule="auto"/>
              <w:ind w:firstLine="480" w:firstLineChars="200"/>
              <w:jc w:val="left"/>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②场地内根据建设施工过程及地势开挖沉淀池，施工废水经沉淀池沉淀后回用于施工过程。</w:t>
            </w:r>
          </w:p>
          <w:p w14:paraId="6C81CAE3">
            <w:pPr>
              <w:spacing w:line="360" w:lineRule="auto"/>
              <w:ind w:firstLine="482" w:firstLineChars="200"/>
              <w:jc w:val="left"/>
              <w:rPr>
                <w:rFonts w:hint="default" w:ascii="Times New Roman" w:hAnsi="Times New Roman" w:eastAsia="宋体" w:cs="Times New Roman"/>
                <w:b/>
                <w:bCs/>
                <w:color w:val="auto"/>
                <w:sz w:val="24"/>
                <w:u w:val="none" w:color="auto"/>
              </w:rPr>
            </w:pPr>
            <w:r>
              <w:rPr>
                <w:rFonts w:hint="default" w:ascii="Times New Roman" w:hAnsi="Times New Roman" w:eastAsia="宋体" w:cs="Times New Roman"/>
                <w:b/>
                <w:bCs/>
                <w:color w:val="auto"/>
                <w:sz w:val="24"/>
                <w:u w:val="none" w:color="auto"/>
              </w:rPr>
              <w:t>4.1.3 施工期声环境保护措施</w:t>
            </w:r>
          </w:p>
          <w:p w14:paraId="69F7DA55">
            <w:pPr>
              <w:spacing w:line="360" w:lineRule="auto"/>
              <w:ind w:firstLine="480" w:firstLineChars="200"/>
              <w:jc w:val="left"/>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建设单位应要求施工单位所使用的主要施工机械应为低噪声机械设备，并按时对所有施工机械进行检修，严格按操作规程使用各类机械。</w:t>
            </w:r>
          </w:p>
          <w:p w14:paraId="7425D7A4">
            <w:pPr>
              <w:spacing w:line="360" w:lineRule="auto"/>
              <w:ind w:firstLine="480" w:firstLineChars="200"/>
              <w:jc w:val="left"/>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尽量采用各种隔声降噪措施，在用地范围四周设置施工围墙以减轻施工噪声对附近居民区的影响；同时尽可能利用噪声距离衰减措施，在不影响施工的条件下，尽量将强噪声设备布局在项目的北侧，做到最大限度减少施工噪声对周边居民的影响。</w:t>
            </w:r>
          </w:p>
          <w:p w14:paraId="185CA9F6">
            <w:pPr>
              <w:spacing w:line="360" w:lineRule="auto"/>
              <w:ind w:firstLine="480" w:firstLineChars="200"/>
              <w:jc w:val="left"/>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施工期噪声应按《建筑施工场界环境噪声排放标准》（GB12523-2011）进行控制，应合理安排施工时间，尽量避免高噪声设备同时施工，应限制夜间高噪声设备的施工时间，在夜间10点至次日早上6点禁止施工。另外，施工过程中业主应充分协调好关系，确保不发生环境纠纷。</w:t>
            </w:r>
          </w:p>
          <w:p w14:paraId="74F2CA6C">
            <w:pPr>
              <w:spacing w:line="360" w:lineRule="auto"/>
              <w:ind w:firstLine="480" w:firstLineChars="200"/>
              <w:jc w:val="left"/>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物料运输车辆采取减速缓行、禁止鸣笛等措施，以减小运输车辆噪声对周边居民的影响。</w:t>
            </w:r>
          </w:p>
          <w:p w14:paraId="4FFA9AD2">
            <w:pPr>
              <w:spacing w:line="360" w:lineRule="auto"/>
              <w:ind w:firstLine="482" w:firstLineChars="200"/>
              <w:jc w:val="left"/>
              <w:rPr>
                <w:rFonts w:hint="default" w:ascii="Times New Roman" w:hAnsi="Times New Roman" w:eastAsia="宋体" w:cs="Times New Roman"/>
                <w:color w:val="auto"/>
                <w:sz w:val="24"/>
                <w:u w:val="none" w:color="auto"/>
              </w:rPr>
            </w:pPr>
            <w:r>
              <w:rPr>
                <w:rFonts w:hint="default" w:ascii="Times New Roman" w:hAnsi="Times New Roman" w:eastAsia="宋体" w:cs="Times New Roman"/>
                <w:b/>
                <w:bCs/>
                <w:color w:val="auto"/>
                <w:sz w:val="24"/>
                <w:u w:val="none" w:color="auto"/>
              </w:rPr>
              <w:t>4.1.4 施工期固体环境保护措施</w:t>
            </w:r>
          </w:p>
          <w:p w14:paraId="40F62077">
            <w:pPr>
              <w:spacing w:line="360" w:lineRule="auto"/>
              <w:ind w:firstLine="480" w:firstLineChars="200"/>
              <w:jc w:val="left"/>
              <w:rPr>
                <w:rFonts w:hint="default" w:ascii="Times New Roman" w:hAnsi="Times New Roman" w:eastAsia="宋体" w:cs="Times New Roman"/>
                <w:color w:val="auto"/>
                <w:sz w:val="24"/>
                <w:u w:val="none" w:color="auto"/>
              </w:rPr>
            </w:pPr>
            <w:bookmarkStart w:id="8" w:name="OLE_LINK4"/>
            <w:r>
              <w:rPr>
                <w:rFonts w:hint="default" w:ascii="Times New Roman" w:hAnsi="Times New Roman" w:eastAsia="宋体" w:cs="Times New Roman"/>
                <w:color w:val="auto"/>
                <w:sz w:val="24"/>
                <w:u w:val="none" w:color="auto"/>
              </w:rPr>
              <w:t>项目施工期固体废物主要是施工弃土弃渣、建筑材料废弃物、施工人员生活垃圾。</w:t>
            </w:r>
          </w:p>
          <w:p w14:paraId="0BAA5F33">
            <w:pPr>
              <w:spacing w:line="360" w:lineRule="auto"/>
              <w:ind w:firstLine="480" w:firstLineChars="200"/>
              <w:jc w:val="left"/>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（1）弃土弃渣项目施工期土地平整的挖方全部用于场地的填埋，挖填基本能达到平衡，无外运弃土。表土剥离产生的表土和妥善堆存，用于建设后期环境绿化，不外排。</w:t>
            </w:r>
          </w:p>
          <w:p w14:paraId="75C85B9A">
            <w:pPr>
              <w:spacing w:line="360" w:lineRule="auto"/>
              <w:ind w:firstLine="480" w:firstLineChars="200"/>
              <w:jc w:val="left"/>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（2）</w:t>
            </w:r>
            <w:r>
              <w:rPr>
                <w:rFonts w:hint="eastAsia" w:ascii="Times New Roman" w:hAnsi="Times New Roman" w:eastAsia="宋体" w:cs="Times New Roman"/>
                <w:color w:val="auto"/>
                <w:sz w:val="24"/>
                <w:u w:val="none" w:color="auto"/>
                <w:lang w:eastAsia="zh-CN"/>
              </w:rPr>
              <w:t>建筑垃圾</w:t>
            </w:r>
            <w:r>
              <w:rPr>
                <w:rFonts w:hint="default" w:ascii="Times New Roman" w:hAnsi="Times New Roman" w:eastAsia="宋体" w:cs="Times New Roman"/>
                <w:color w:val="auto"/>
                <w:sz w:val="24"/>
                <w:u w:val="none" w:color="auto"/>
              </w:rPr>
              <w:t>包括混凝土碎块、废弃钢筋、废弃瓷砖、废弃建筑包装材料等房屋主体施工产生建筑垃圾。施工完成后集中收集，包装材料、木材边角料、金属类等可回收利用废物回收利用，碎砖、碎瓷片、混凝土块等不可回收废物用于场区内填塘、场区内消纳。</w:t>
            </w:r>
          </w:p>
          <w:p w14:paraId="708E88A3">
            <w:pPr>
              <w:spacing w:line="360" w:lineRule="auto"/>
              <w:ind w:firstLine="480" w:firstLineChars="200"/>
              <w:jc w:val="left"/>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（3）施工人员产生的生活垃圾应设置专门的垃圾收集点，并采取密闭措施，定期交环卫部门统一处置，不会对周边环境产生污染影响。</w:t>
            </w:r>
          </w:p>
          <w:bookmarkEnd w:id="8"/>
          <w:p w14:paraId="2FC4888E">
            <w:pPr>
              <w:spacing w:line="360" w:lineRule="auto"/>
              <w:ind w:firstLine="482" w:firstLineChars="200"/>
              <w:jc w:val="left"/>
              <w:rPr>
                <w:rFonts w:hint="default" w:ascii="Times New Roman" w:hAnsi="Times New Roman" w:eastAsia="宋体" w:cs="Times New Roman"/>
                <w:b/>
                <w:bCs/>
                <w:color w:val="auto"/>
                <w:sz w:val="24"/>
                <w:u w:val="none" w:color="auto"/>
                <w:lang w:val="en-US"/>
              </w:rPr>
            </w:pPr>
            <w:r>
              <w:rPr>
                <w:rFonts w:hint="default" w:ascii="Times New Roman" w:hAnsi="Times New Roman" w:eastAsia="宋体" w:cs="Times New Roman"/>
                <w:b/>
                <w:bCs/>
                <w:color w:val="auto"/>
                <w:sz w:val="24"/>
                <w:u w:val="none" w:color="auto"/>
                <w:lang w:val="en-US"/>
              </w:rPr>
              <w:t>4.1.5 施工期生态环境保护措施</w:t>
            </w:r>
          </w:p>
          <w:p w14:paraId="74AC6B1E">
            <w:pPr>
              <w:spacing w:line="360" w:lineRule="auto"/>
              <w:ind w:firstLine="480" w:firstLineChars="200"/>
              <w:jc w:val="left"/>
              <w:rPr>
                <w:rFonts w:hint="default" w:ascii="Times New Roman" w:hAnsi="Times New Roman" w:eastAsia="宋体" w:cs="Times New Roman"/>
                <w:color w:val="auto"/>
                <w:sz w:val="24"/>
                <w:u w:val="none" w:color="auto"/>
                <w:lang w:val="en-US"/>
              </w:rPr>
            </w:pPr>
            <w:r>
              <w:rPr>
                <w:rFonts w:hint="default" w:ascii="Times New Roman" w:hAnsi="Times New Roman" w:eastAsia="宋体" w:cs="Times New Roman"/>
                <w:color w:val="auto"/>
                <w:sz w:val="24"/>
                <w:u w:val="none" w:color="auto"/>
                <w:lang w:val="en-US"/>
              </w:rPr>
              <w:t>结合现场调查，项目周边主要为</w:t>
            </w:r>
            <w:r>
              <w:rPr>
                <w:rFonts w:hint="eastAsia" w:cs="Times New Roman"/>
                <w:color w:val="auto"/>
                <w:sz w:val="24"/>
                <w:u w:val="none" w:color="auto"/>
                <w:lang w:val="en-US" w:eastAsia="zh-CN"/>
              </w:rPr>
              <w:t>居民区和道路</w:t>
            </w:r>
            <w:r>
              <w:rPr>
                <w:rFonts w:hint="default" w:ascii="Times New Roman" w:hAnsi="Times New Roman" w:eastAsia="宋体" w:cs="Times New Roman"/>
                <w:color w:val="auto"/>
                <w:sz w:val="24"/>
                <w:u w:val="none" w:color="auto"/>
                <w:lang w:val="en-US"/>
              </w:rPr>
              <w:t>，</w:t>
            </w:r>
            <w:r>
              <w:rPr>
                <w:rFonts w:hint="eastAsia" w:cs="Times New Roman"/>
                <w:color w:val="auto"/>
                <w:sz w:val="24"/>
                <w:u w:val="none" w:color="auto"/>
                <w:lang w:val="en-US" w:eastAsia="zh-CN"/>
              </w:rPr>
              <w:t>项目用地性质为医疗卫生用地，用地现状为荒地和水田，已完成征收工作，预计在本季水稻收获后进行建设。</w:t>
            </w:r>
            <w:r>
              <w:rPr>
                <w:rFonts w:hint="default" w:ascii="Times New Roman" w:hAnsi="Times New Roman" w:eastAsia="宋体" w:cs="Times New Roman"/>
                <w:color w:val="auto"/>
                <w:sz w:val="24"/>
                <w:u w:val="none" w:color="auto"/>
                <w:lang w:val="en-US"/>
              </w:rPr>
              <w:t>本项目的施工建设会造成植被破坏影响，现场水土流失影响等。</w:t>
            </w:r>
          </w:p>
          <w:p w14:paraId="69B251F2">
            <w:pPr>
              <w:numPr>
                <w:ilvl w:val="0"/>
                <w:numId w:val="2"/>
              </w:numPr>
              <w:spacing w:line="360" w:lineRule="auto"/>
              <w:ind w:firstLine="480" w:firstLineChars="200"/>
              <w:jc w:val="left"/>
              <w:rPr>
                <w:rFonts w:hint="default" w:ascii="Times New Roman" w:hAnsi="Times New Roman" w:eastAsia="宋体" w:cs="Times New Roman"/>
                <w:color w:val="auto"/>
                <w:sz w:val="24"/>
                <w:u w:val="none" w:color="auto"/>
                <w:lang w:val="en-US"/>
              </w:rPr>
            </w:pPr>
            <w:r>
              <w:rPr>
                <w:rFonts w:hint="default" w:ascii="Times New Roman" w:hAnsi="Times New Roman" w:eastAsia="宋体" w:cs="Times New Roman"/>
                <w:color w:val="auto"/>
                <w:sz w:val="24"/>
                <w:u w:val="none" w:color="auto"/>
                <w:lang w:val="en-US"/>
              </w:rPr>
              <w:t>建设项目占用</w:t>
            </w:r>
            <w:r>
              <w:rPr>
                <w:rFonts w:hint="eastAsia" w:cs="Times New Roman"/>
                <w:color w:val="auto"/>
                <w:sz w:val="24"/>
                <w:u w:val="none" w:color="auto"/>
                <w:lang w:val="en-US" w:eastAsia="zh-CN"/>
              </w:rPr>
              <w:t>现状</w:t>
            </w:r>
            <w:r>
              <w:rPr>
                <w:rFonts w:hint="eastAsia" w:ascii="Times New Roman" w:hAnsi="Times New Roman" w:eastAsia="宋体" w:cs="Times New Roman"/>
                <w:color w:val="auto"/>
                <w:sz w:val="24"/>
                <w:u w:val="none" w:color="auto"/>
                <w:lang w:val="en-US" w:eastAsia="zh-CN"/>
              </w:rPr>
              <w:t>为</w:t>
            </w:r>
            <w:r>
              <w:rPr>
                <w:rFonts w:hint="eastAsia" w:cs="Times New Roman"/>
                <w:color w:val="auto"/>
                <w:sz w:val="24"/>
                <w:u w:val="none" w:color="auto"/>
                <w:lang w:val="en-US" w:eastAsia="zh-CN"/>
              </w:rPr>
              <w:t>荒地和水田</w:t>
            </w:r>
            <w:r>
              <w:rPr>
                <w:rFonts w:hint="default" w:ascii="Times New Roman" w:hAnsi="Times New Roman" w:eastAsia="宋体" w:cs="Times New Roman"/>
                <w:color w:val="auto"/>
                <w:sz w:val="24"/>
                <w:u w:val="none" w:color="auto"/>
                <w:lang w:val="en-US"/>
              </w:rPr>
              <w:t>等，为</w:t>
            </w:r>
            <w:r>
              <w:rPr>
                <w:rFonts w:hint="eastAsia" w:cs="Times New Roman"/>
                <w:color w:val="auto"/>
                <w:sz w:val="24"/>
                <w:u w:val="none" w:color="auto"/>
                <w:lang w:val="en-US" w:eastAsia="zh-CN"/>
              </w:rPr>
              <w:t>保护表土</w:t>
            </w:r>
            <w:r>
              <w:rPr>
                <w:rFonts w:hint="default" w:ascii="Times New Roman" w:hAnsi="Times New Roman" w:eastAsia="宋体" w:cs="Times New Roman"/>
                <w:color w:val="auto"/>
                <w:sz w:val="24"/>
                <w:u w:val="none" w:color="auto"/>
                <w:lang w:val="en-US"/>
              </w:rPr>
              <w:t>，本环评要求建设单位</w:t>
            </w:r>
            <w:r>
              <w:rPr>
                <w:rFonts w:hint="eastAsia" w:cs="Times New Roman"/>
                <w:color w:val="auto"/>
                <w:sz w:val="24"/>
                <w:u w:val="none" w:color="auto"/>
                <w:lang w:val="en-US" w:eastAsia="zh-CN"/>
              </w:rPr>
              <w:t>在进行建设之前进行表土剥离，妥善保存，可在项目建成后回用于绿化覆土</w:t>
            </w:r>
            <w:r>
              <w:rPr>
                <w:rFonts w:hint="default" w:ascii="Times New Roman" w:hAnsi="Times New Roman" w:eastAsia="宋体" w:cs="Times New Roman"/>
                <w:color w:val="auto"/>
                <w:sz w:val="24"/>
                <w:u w:val="none" w:color="auto"/>
                <w:lang w:val="en-US"/>
              </w:rPr>
              <w:t>。</w:t>
            </w:r>
          </w:p>
          <w:p w14:paraId="2979C5EF">
            <w:pPr>
              <w:numPr>
                <w:ilvl w:val="0"/>
                <w:numId w:val="2"/>
              </w:numPr>
              <w:spacing w:line="360" w:lineRule="auto"/>
              <w:ind w:firstLine="480" w:firstLineChars="200"/>
              <w:jc w:val="both"/>
              <w:rPr>
                <w:rFonts w:hint="default" w:ascii="Times New Roman" w:hAnsi="Times New Roman" w:eastAsia="宋体" w:cs="Times New Roman"/>
                <w:color w:val="auto"/>
                <w:sz w:val="24"/>
                <w:u w:val="none" w:color="auto"/>
                <w:lang w:val="en-US"/>
              </w:rPr>
            </w:pPr>
            <w:r>
              <w:rPr>
                <w:rFonts w:hint="default" w:ascii="Times New Roman" w:hAnsi="Times New Roman" w:eastAsia="宋体" w:cs="Times New Roman"/>
                <w:color w:val="auto"/>
                <w:sz w:val="24"/>
                <w:u w:val="none" w:color="auto"/>
                <w:lang w:val="en-US"/>
              </w:rPr>
              <w:t>根据现场</w:t>
            </w:r>
            <w:r>
              <w:rPr>
                <w:rFonts w:hint="eastAsia" w:ascii="Times New Roman" w:hAnsi="Times New Roman" w:eastAsia="宋体" w:cs="Times New Roman"/>
                <w:color w:val="auto"/>
                <w:sz w:val="24"/>
                <w:u w:val="none" w:color="auto"/>
                <w:lang w:val="en-US" w:eastAsia="zh-CN"/>
              </w:rPr>
              <w:t>勘探</w:t>
            </w:r>
            <w:r>
              <w:rPr>
                <w:rFonts w:hint="default" w:ascii="Times New Roman" w:hAnsi="Times New Roman" w:eastAsia="宋体" w:cs="Times New Roman"/>
                <w:color w:val="auto"/>
                <w:sz w:val="24"/>
                <w:u w:val="none" w:color="auto"/>
                <w:lang w:val="en-US"/>
              </w:rPr>
              <w:t>，项目</w:t>
            </w:r>
            <w:r>
              <w:rPr>
                <w:rFonts w:hint="eastAsia" w:cs="Times New Roman"/>
                <w:color w:val="auto"/>
                <w:sz w:val="24"/>
                <w:u w:val="none" w:color="auto"/>
                <w:lang w:val="en-US" w:eastAsia="zh-CN"/>
              </w:rPr>
              <w:t>用地周边有少量林木，均为人工种植的常见树种，不涉及古树名木，在施工期间禁止砍伐树木</w:t>
            </w:r>
            <w:r>
              <w:rPr>
                <w:rFonts w:hint="default" w:ascii="Times New Roman" w:hAnsi="Times New Roman" w:eastAsia="宋体" w:cs="Times New Roman"/>
                <w:color w:val="auto"/>
                <w:sz w:val="24"/>
                <w:u w:val="none" w:color="auto"/>
                <w:lang w:val="en-US"/>
              </w:rPr>
              <w:t>。</w:t>
            </w:r>
          </w:p>
          <w:p w14:paraId="18F131D5">
            <w:pPr>
              <w:numPr>
                <w:ilvl w:val="0"/>
                <w:numId w:val="2"/>
              </w:numPr>
              <w:spacing w:line="360" w:lineRule="auto"/>
              <w:ind w:firstLine="480" w:firstLineChars="200"/>
              <w:jc w:val="both"/>
              <w:rPr>
                <w:rFonts w:hint="default" w:ascii="Times New Roman" w:hAnsi="Times New Roman" w:eastAsia="宋体" w:cs="Times New Roman"/>
                <w:color w:val="auto"/>
                <w:sz w:val="24"/>
                <w:u w:val="none" w:color="auto"/>
                <w:lang w:val="en-US"/>
              </w:rPr>
            </w:pPr>
            <w:r>
              <w:rPr>
                <w:rFonts w:hint="default" w:ascii="Times New Roman" w:hAnsi="Times New Roman" w:eastAsia="宋体" w:cs="Times New Roman"/>
                <w:color w:val="auto"/>
                <w:sz w:val="24"/>
                <w:u w:val="none" w:color="auto"/>
                <w:lang w:val="en-US"/>
              </w:rPr>
              <w:t>水土流失的影响施工期导致水土流失的主要原因是降雨、地表开挖和弃土填埋，夏季暴雨较集中，降雨大，降雨时间长，这些气象条件给项目建设施工期的水土流失带来不利影响。应采取必要的措施加以控制。水土流失防治措施如下：①施工中，尽量缩小施工作业范围，减轻对地上植被的破坏。②严格实行土壤的分层开挖、分层堆放、分层回填（底土在下、表土在上）的操作规程，尽量保持植被原有的生长条件，以利植被尽快恢复。回填时，还应留足适宜的堆积层，防止因降水造成地表下陷和水土流失。③提高施工作业效率，缩短施工时间。④严明施工队伍纪律，严禁施工人员砍伐树木和采摘花果，约束其在施工期间的活动范围。⑤控制施工期间作业时间，避开雨季施工。⑥弃石方应妥善处理。总之，施工中要尽量减轻对地表植被的破坏，施工后，应采取人工种树种草的措施，加快植被的恢复过程，同时，采取一定的工程措施进行防护，降低水土流失。</w:t>
            </w:r>
          </w:p>
          <w:p w14:paraId="74D8A11B">
            <w:pPr>
              <w:numPr>
                <w:ilvl w:val="0"/>
                <w:numId w:val="2"/>
              </w:numPr>
              <w:spacing w:line="360" w:lineRule="auto"/>
              <w:ind w:firstLine="480" w:firstLineChars="200"/>
              <w:jc w:val="both"/>
              <w:rPr>
                <w:color w:val="auto"/>
                <w:highlight w:val="none"/>
                <w:u w:val="none" w:color="auto"/>
                <w:lang w:val="en-US"/>
              </w:rPr>
            </w:pPr>
            <w:r>
              <w:rPr>
                <w:rFonts w:hint="default" w:ascii="Times New Roman" w:hAnsi="Times New Roman" w:eastAsia="宋体" w:cs="Times New Roman"/>
                <w:color w:val="auto"/>
                <w:sz w:val="24"/>
                <w:u w:val="none" w:color="auto"/>
                <w:lang w:val="en-US"/>
              </w:rPr>
              <w:t>所有施工设施均在占地范围内；施工固废不得堆放在农田内，施工废水不得排放至农田范围。</w:t>
            </w:r>
          </w:p>
        </w:tc>
      </w:tr>
      <w:tr w14:paraId="423D6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3" w:hRule="atLeast"/>
        </w:trPr>
        <w:tc>
          <w:tcPr>
            <w:tcW w:w="290" w:type="pct"/>
            <w:vAlign w:val="center"/>
          </w:tcPr>
          <w:p w14:paraId="3E7E3983">
            <w:pPr>
              <w:spacing w:line="240" w:lineRule="auto"/>
              <w:jc w:val="center"/>
              <w:rPr>
                <w:color w:val="auto"/>
                <w:highlight w:val="none"/>
                <w:u w:val="none" w:color="auto"/>
                <w:lang w:val="en-US"/>
              </w:rPr>
            </w:pPr>
            <w:r>
              <w:rPr>
                <w:rFonts w:hint="eastAsia"/>
                <w:color w:val="auto"/>
                <w:highlight w:val="none"/>
                <w:u w:val="none" w:color="auto"/>
                <w:lang w:val="en-US"/>
              </w:rPr>
              <w:t>运营期环境影响和保护措施</w:t>
            </w:r>
          </w:p>
        </w:tc>
        <w:tc>
          <w:tcPr>
            <w:tcW w:w="4709" w:type="pct"/>
          </w:tcPr>
          <w:p w14:paraId="2EBB590E">
            <w:pPr>
              <w:pStyle w:val="54"/>
              <w:widowControl w:val="0"/>
              <w:ind w:firstLine="482"/>
              <w:rPr>
                <w:b/>
                <w:bCs/>
                <w:color w:val="auto"/>
                <w:highlight w:val="none"/>
                <w:u w:val="none" w:color="auto"/>
              </w:rPr>
            </w:pPr>
            <w:r>
              <w:rPr>
                <w:rFonts w:hint="eastAsia"/>
                <w:b/>
                <w:bCs/>
                <w:color w:val="auto"/>
                <w:highlight w:val="none"/>
                <w:u w:val="none" w:color="auto"/>
              </w:rPr>
              <w:t>4.</w:t>
            </w:r>
            <w:r>
              <w:rPr>
                <w:rFonts w:hint="eastAsia"/>
                <w:b/>
                <w:bCs/>
                <w:color w:val="auto"/>
                <w:highlight w:val="none"/>
                <w:u w:val="none" w:color="auto"/>
                <w:lang w:val="en-US" w:eastAsia="zh-CN"/>
              </w:rPr>
              <w:t>2</w:t>
            </w:r>
            <w:r>
              <w:rPr>
                <w:rFonts w:hint="eastAsia"/>
                <w:b/>
                <w:bCs/>
                <w:color w:val="auto"/>
                <w:highlight w:val="none"/>
                <w:u w:val="none" w:color="auto"/>
              </w:rPr>
              <w:t>运营期大气环境影响和保护措施</w:t>
            </w:r>
          </w:p>
          <w:p w14:paraId="0D6663D2">
            <w:pPr>
              <w:pStyle w:val="54"/>
              <w:widowControl w:val="0"/>
              <w:ind w:firstLine="482"/>
              <w:rPr>
                <w:rFonts w:hint="default" w:eastAsia="宋体"/>
                <w:b/>
                <w:bCs/>
                <w:color w:val="auto"/>
                <w:highlight w:val="none"/>
                <w:u w:val="none" w:color="auto"/>
                <w:lang w:val="en-US" w:eastAsia="zh-CN"/>
              </w:rPr>
            </w:pPr>
            <w:r>
              <w:rPr>
                <w:rFonts w:hint="eastAsia"/>
                <w:b/>
                <w:bCs/>
                <w:color w:val="auto"/>
                <w:highlight w:val="none"/>
                <w:u w:val="none" w:color="auto"/>
                <w:lang w:val="en-US" w:eastAsia="zh-CN"/>
              </w:rPr>
              <w:t>4.2.1废气污染源强核算</w:t>
            </w:r>
          </w:p>
          <w:p w14:paraId="78C6BAD3">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highlight w:val="none"/>
                <w:u w:val="none" w:color="auto"/>
                <w:lang w:val="en-US" w:eastAsia="zh-CN" w:bidi="ar"/>
              </w:rPr>
            </w:pPr>
            <w:r>
              <w:rPr>
                <w:rFonts w:hint="eastAsia" w:ascii="Times New Roman" w:hAnsi="Times New Roman" w:eastAsia="宋体" w:cs="Times New Roman"/>
                <w:color w:val="auto"/>
                <w:kern w:val="0"/>
                <w:sz w:val="24"/>
                <w:szCs w:val="24"/>
                <w:highlight w:val="none"/>
                <w:u w:val="none" w:color="auto"/>
                <w:lang w:val="en-US" w:eastAsia="zh-CN" w:bidi="ar"/>
              </w:rPr>
              <w:t>本项目运营期产生的废气主要为污水处理站恶臭、</w:t>
            </w:r>
            <w:r>
              <w:rPr>
                <w:rFonts w:hint="default" w:ascii="Times New Roman" w:hAnsi="Times New Roman" w:eastAsia="宋体" w:cs="Times New Roman"/>
                <w:color w:val="auto"/>
                <w:kern w:val="0"/>
                <w:sz w:val="24"/>
                <w:szCs w:val="24"/>
                <w:highlight w:val="none"/>
                <w:u w:val="none" w:color="auto"/>
                <w:lang w:val="en-US" w:eastAsia="zh-CN" w:bidi="ar"/>
              </w:rPr>
              <w:t>医疗废物暂存间恶臭</w:t>
            </w:r>
            <w:r>
              <w:rPr>
                <w:rFonts w:hint="eastAsia" w:ascii="Times New Roman" w:hAnsi="Times New Roman" w:eastAsia="宋体" w:cs="Times New Roman"/>
                <w:color w:val="auto"/>
                <w:kern w:val="0"/>
                <w:sz w:val="24"/>
                <w:szCs w:val="24"/>
                <w:highlight w:val="none"/>
                <w:u w:val="none" w:color="auto"/>
                <w:lang w:val="en-US" w:eastAsia="zh-CN" w:bidi="ar"/>
              </w:rPr>
              <w:t>及食堂油烟</w:t>
            </w:r>
            <w:r>
              <w:rPr>
                <w:rFonts w:hint="eastAsia" w:cs="Times New Roman"/>
                <w:color w:val="auto"/>
                <w:kern w:val="0"/>
                <w:sz w:val="24"/>
                <w:szCs w:val="24"/>
                <w:highlight w:val="none"/>
                <w:u w:val="none" w:color="auto"/>
                <w:lang w:val="en-US" w:eastAsia="zh-CN" w:bidi="ar"/>
              </w:rPr>
              <w:t>、</w:t>
            </w:r>
            <w:r>
              <w:rPr>
                <w:rFonts w:hint="eastAsia" w:cs="Times New Roman"/>
                <w:color w:val="auto"/>
                <w:u w:val="none" w:color="auto"/>
                <w:lang w:val="en-US" w:eastAsia="zh-CN" w:bidi="ar"/>
              </w:rPr>
              <w:t>停车场汽车尾气、柴油发电机尾气</w:t>
            </w:r>
            <w:r>
              <w:rPr>
                <w:rFonts w:hint="eastAsia" w:ascii="Times New Roman" w:hAnsi="Times New Roman" w:eastAsia="宋体" w:cs="Times New Roman"/>
                <w:color w:val="auto"/>
                <w:kern w:val="0"/>
                <w:sz w:val="24"/>
                <w:szCs w:val="24"/>
                <w:highlight w:val="none"/>
                <w:u w:val="none" w:color="auto"/>
                <w:lang w:val="en-US" w:eastAsia="zh-CN" w:bidi="ar"/>
              </w:rPr>
              <w:t>。</w:t>
            </w:r>
          </w:p>
          <w:p w14:paraId="6106F3A4">
            <w:pPr>
              <w:keepNext w:val="0"/>
              <w:keepLines w:val="0"/>
              <w:widowControl w:val="0"/>
              <w:suppressLineNumbers w:val="0"/>
              <w:autoSpaceDE/>
              <w:autoSpaceDN/>
              <w:spacing w:line="360" w:lineRule="auto"/>
              <w:ind w:firstLine="480" w:firstLineChars="0"/>
              <w:jc w:val="left"/>
              <w:rPr>
                <w:rFonts w:hint="eastAsia" w:ascii="Times New Roman" w:hAnsi="Times New Roman" w:eastAsia="宋体" w:cs="Times New Roman"/>
                <w:b w:val="0"/>
                <w:bCs w:val="0"/>
                <w:color w:val="auto"/>
                <w:kern w:val="0"/>
                <w:sz w:val="24"/>
                <w:szCs w:val="22"/>
                <w:highlight w:val="none"/>
                <w:u w:val="none" w:color="auto"/>
                <w:lang w:val="en-US" w:eastAsia="zh-CN" w:bidi="ar"/>
              </w:rPr>
            </w:pPr>
            <w:r>
              <w:rPr>
                <w:rFonts w:hint="eastAsia" w:ascii="Times New Roman" w:hAnsi="Times New Roman" w:eastAsia="宋体" w:cs="Times New Roman"/>
                <w:b w:val="0"/>
                <w:bCs w:val="0"/>
                <w:color w:val="auto"/>
                <w:kern w:val="0"/>
                <w:sz w:val="24"/>
                <w:szCs w:val="22"/>
                <w:highlight w:val="none"/>
                <w:u w:val="none" w:color="auto"/>
                <w:lang w:val="en-US" w:eastAsia="zh-CN" w:bidi="ar"/>
              </w:rPr>
              <w:t>（1）污水处理站恶臭</w:t>
            </w:r>
          </w:p>
          <w:p w14:paraId="313E422F">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highlight w:val="none"/>
                <w:u w:val="none" w:color="auto"/>
                <w:lang w:val="en-US" w:eastAsia="zh-CN" w:bidi="ar"/>
              </w:rPr>
            </w:pPr>
            <w:r>
              <w:rPr>
                <w:rFonts w:hint="eastAsia" w:ascii="Times New Roman" w:hAnsi="Times New Roman" w:eastAsia="宋体" w:cs="Times New Roman"/>
                <w:color w:val="auto"/>
                <w:kern w:val="0"/>
                <w:sz w:val="24"/>
                <w:szCs w:val="24"/>
                <w:highlight w:val="none"/>
                <w:u w:val="none" w:color="auto"/>
                <w:lang w:val="en-US" w:eastAsia="zh-CN" w:bidi="ar"/>
              </w:rPr>
              <w:t>本项目污水处理站在运行期间将产生一定的恶臭气体，主要来源于污水、污泥中有机物的分解、发酵过程中散发的化学物质，</w:t>
            </w:r>
            <w:r>
              <w:rPr>
                <w:rFonts w:hint="default" w:ascii="Times New Roman" w:hAnsi="Times New Roman" w:eastAsia="宋体" w:cs="Times New Roman"/>
                <w:color w:val="auto"/>
                <w:kern w:val="0"/>
                <w:sz w:val="24"/>
                <w:szCs w:val="24"/>
                <w:highlight w:val="none"/>
                <w:u w:val="none" w:color="auto"/>
                <w:lang w:val="en-US" w:eastAsia="zh-CN" w:bidi="ar"/>
              </w:rPr>
              <w:t>其主要成分为H</w:t>
            </w:r>
            <w:r>
              <w:rPr>
                <w:rFonts w:hint="default" w:ascii="Times New Roman" w:hAnsi="Times New Roman" w:eastAsia="宋体" w:cs="Times New Roman"/>
                <w:color w:val="auto"/>
                <w:kern w:val="0"/>
                <w:sz w:val="24"/>
                <w:szCs w:val="24"/>
                <w:highlight w:val="none"/>
                <w:u w:val="none" w:color="auto"/>
                <w:vertAlign w:val="subscript"/>
                <w:lang w:val="en-US" w:eastAsia="zh-CN" w:bidi="ar"/>
              </w:rPr>
              <w:t>2</w:t>
            </w:r>
            <w:r>
              <w:rPr>
                <w:rFonts w:hint="default" w:ascii="Times New Roman" w:hAnsi="Times New Roman" w:eastAsia="宋体" w:cs="Times New Roman"/>
                <w:color w:val="auto"/>
                <w:kern w:val="0"/>
                <w:sz w:val="24"/>
                <w:szCs w:val="24"/>
                <w:highlight w:val="none"/>
                <w:u w:val="none" w:color="auto"/>
                <w:lang w:val="en-US" w:eastAsia="zh-CN" w:bidi="ar"/>
              </w:rPr>
              <w:t>S、NH</w:t>
            </w:r>
            <w:r>
              <w:rPr>
                <w:rFonts w:hint="default" w:ascii="Times New Roman" w:hAnsi="Times New Roman" w:eastAsia="宋体" w:cs="Times New Roman"/>
                <w:color w:val="auto"/>
                <w:kern w:val="0"/>
                <w:sz w:val="24"/>
                <w:szCs w:val="24"/>
                <w:highlight w:val="none"/>
                <w:u w:val="none" w:color="auto"/>
                <w:vertAlign w:val="subscript"/>
                <w:lang w:val="en-US" w:eastAsia="zh-CN" w:bidi="ar"/>
              </w:rPr>
              <w:t>3</w:t>
            </w:r>
            <w:r>
              <w:rPr>
                <w:rFonts w:hint="default" w:ascii="Times New Roman" w:hAnsi="Times New Roman" w:eastAsia="宋体" w:cs="Times New Roman"/>
                <w:color w:val="auto"/>
                <w:kern w:val="0"/>
                <w:sz w:val="24"/>
                <w:szCs w:val="24"/>
                <w:highlight w:val="none"/>
                <w:u w:val="none" w:color="auto"/>
                <w:lang w:val="en-US" w:eastAsia="zh-CN" w:bidi="ar"/>
              </w:rPr>
              <w:t>、臭气浓度，产生量小。主要性质见下表。</w:t>
            </w:r>
          </w:p>
          <w:p w14:paraId="4C8977E2">
            <w:pPr>
              <w:jc w:val="center"/>
              <w:rPr>
                <w:rFonts w:hint="default"/>
                <w:b/>
                <w:bCs/>
                <w:color w:val="auto"/>
                <w:sz w:val="21"/>
                <w:szCs w:val="21"/>
                <w:highlight w:val="none"/>
                <w:u w:val="none" w:color="auto"/>
                <w:lang w:val="en-US" w:eastAsia="zh-CN"/>
              </w:rPr>
            </w:pPr>
            <w:r>
              <w:rPr>
                <w:rFonts w:hint="default"/>
                <w:b/>
                <w:bCs/>
                <w:color w:val="auto"/>
                <w:sz w:val="21"/>
                <w:szCs w:val="21"/>
                <w:highlight w:val="none"/>
                <w:u w:val="none" w:color="auto"/>
                <w:lang w:val="en-US" w:eastAsia="zh-CN"/>
              </w:rPr>
              <w:t>表4-</w:t>
            </w:r>
            <w:r>
              <w:rPr>
                <w:rFonts w:hint="eastAsia"/>
                <w:b/>
                <w:bCs/>
                <w:color w:val="auto"/>
                <w:sz w:val="21"/>
                <w:szCs w:val="21"/>
                <w:highlight w:val="none"/>
                <w:u w:val="none" w:color="auto"/>
                <w:lang w:val="en-US" w:eastAsia="zh-CN"/>
              </w:rPr>
              <w:t>1</w:t>
            </w:r>
            <w:r>
              <w:rPr>
                <w:rFonts w:hint="default"/>
                <w:b/>
                <w:bCs/>
                <w:color w:val="auto"/>
                <w:sz w:val="21"/>
                <w:szCs w:val="21"/>
                <w:highlight w:val="none"/>
                <w:u w:val="none" w:color="auto"/>
                <w:lang w:val="en-US" w:eastAsia="zh-CN"/>
              </w:rPr>
              <w:t xml:space="preserve">    恶臭污染物的主要性质</w:t>
            </w:r>
          </w:p>
          <w:tbl>
            <w:tblPr>
              <w:tblStyle w:val="34"/>
              <w:tblW w:w="49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083"/>
              <w:gridCol w:w="3515"/>
              <w:gridCol w:w="2547"/>
            </w:tblGrid>
            <w:tr w14:paraId="3C39F3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8" w:hRule="atLeast"/>
                <w:jc w:val="center"/>
              </w:trPr>
              <w:tc>
                <w:tcPr>
                  <w:tcW w:w="1685" w:type="pct"/>
                  <w:tcBorders>
                    <w:tl2br w:val="nil"/>
                    <w:tr2bl w:val="nil"/>
                  </w:tcBorders>
                  <w:noWrap w:val="0"/>
                  <w:vAlign w:val="center"/>
                </w:tcPr>
                <w:p w14:paraId="4DFC026C">
                  <w:pPr>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项目</w:t>
                  </w:r>
                </w:p>
              </w:tc>
              <w:tc>
                <w:tcPr>
                  <w:tcW w:w="1921" w:type="pct"/>
                  <w:tcBorders>
                    <w:tl2br w:val="nil"/>
                    <w:tr2bl w:val="nil"/>
                  </w:tcBorders>
                  <w:noWrap w:val="0"/>
                  <w:vAlign w:val="center"/>
                </w:tcPr>
                <w:p w14:paraId="12B180C0">
                  <w:pPr>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kern w:val="0"/>
                      <w:sz w:val="21"/>
                      <w:szCs w:val="21"/>
                      <w:highlight w:val="none"/>
                      <w:u w:val="none" w:color="auto"/>
                      <w:lang w:bidi="ar"/>
                    </w:rPr>
                    <w:t>H</w:t>
                  </w:r>
                  <w:r>
                    <w:rPr>
                      <w:rFonts w:hint="default" w:ascii="Times New Roman" w:hAnsi="Times New Roman" w:cs="Times New Roman"/>
                      <w:color w:val="auto"/>
                      <w:kern w:val="0"/>
                      <w:sz w:val="21"/>
                      <w:szCs w:val="21"/>
                      <w:highlight w:val="none"/>
                      <w:u w:val="none" w:color="auto"/>
                      <w:vertAlign w:val="subscript"/>
                      <w:lang w:bidi="ar"/>
                    </w:rPr>
                    <w:t>2</w:t>
                  </w:r>
                  <w:r>
                    <w:rPr>
                      <w:rFonts w:hint="default" w:ascii="Times New Roman" w:hAnsi="Times New Roman" w:cs="Times New Roman"/>
                      <w:color w:val="auto"/>
                      <w:kern w:val="0"/>
                      <w:sz w:val="21"/>
                      <w:szCs w:val="21"/>
                      <w:highlight w:val="none"/>
                      <w:u w:val="none" w:color="auto"/>
                      <w:lang w:bidi="ar"/>
                    </w:rPr>
                    <w:t>S</w:t>
                  </w:r>
                </w:p>
              </w:tc>
              <w:tc>
                <w:tcPr>
                  <w:tcW w:w="1392" w:type="pct"/>
                  <w:tcBorders>
                    <w:tl2br w:val="nil"/>
                    <w:tr2bl w:val="nil"/>
                  </w:tcBorders>
                  <w:noWrap w:val="0"/>
                  <w:vAlign w:val="center"/>
                </w:tcPr>
                <w:p w14:paraId="338473FD">
                  <w:pPr>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kern w:val="0"/>
                      <w:sz w:val="21"/>
                      <w:szCs w:val="21"/>
                      <w:highlight w:val="none"/>
                      <w:u w:val="none" w:color="auto"/>
                      <w:lang w:bidi="ar"/>
                    </w:rPr>
                    <w:t>NH</w:t>
                  </w:r>
                  <w:r>
                    <w:rPr>
                      <w:rFonts w:hint="default" w:ascii="Times New Roman" w:hAnsi="Times New Roman" w:cs="Times New Roman"/>
                      <w:color w:val="auto"/>
                      <w:kern w:val="0"/>
                      <w:sz w:val="21"/>
                      <w:szCs w:val="21"/>
                      <w:highlight w:val="none"/>
                      <w:u w:val="none" w:color="auto"/>
                      <w:vertAlign w:val="subscript"/>
                      <w:lang w:bidi="ar"/>
                    </w:rPr>
                    <w:t>3</w:t>
                  </w:r>
                </w:p>
              </w:tc>
            </w:tr>
            <w:tr w14:paraId="7A04B3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685" w:type="pct"/>
                  <w:tcBorders>
                    <w:tl2br w:val="nil"/>
                    <w:tr2bl w:val="nil"/>
                  </w:tcBorders>
                  <w:noWrap w:val="0"/>
                  <w:vAlign w:val="center"/>
                </w:tcPr>
                <w:p w14:paraId="08DAAA66">
                  <w:pPr>
                    <w:widowControl/>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kern w:val="0"/>
                      <w:sz w:val="21"/>
                      <w:szCs w:val="21"/>
                      <w:highlight w:val="none"/>
                      <w:u w:val="none" w:color="auto"/>
                      <w:lang w:bidi="ar"/>
                    </w:rPr>
                    <w:t>颜色</w:t>
                  </w:r>
                </w:p>
              </w:tc>
              <w:tc>
                <w:tcPr>
                  <w:tcW w:w="1921" w:type="pct"/>
                  <w:tcBorders>
                    <w:tl2br w:val="nil"/>
                    <w:tr2bl w:val="nil"/>
                  </w:tcBorders>
                  <w:noWrap w:val="0"/>
                  <w:vAlign w:val="center"/>
                </w:tcPr>
                <w:p w14:paraId="26D74940">
                  <w:pPr>
                    <w:widowControl/>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kern w:val="0"/>
                      <w:sz w:val="21"/>
                      <w:szCs w:val="21"/>
                      <w:highlight w:val="none"/>
                      <w:u w:val="none" w:color="auto"/>
                      <w:lang w:bidi="ar"/>
                    </w:rPr>
                    <w:t>无</w:t>
                  </w:r>
                </w:p>
              </w:tc>
              <w:tc>
                <w:tcPr>
                  <w:tcW w:w="1392" w:type="pct"/>
                  <w:tcBorders>
                    <w:tl2br w:val="nil"/>
                    <w:tr2bl w:val="nil"/>
                  </w:tcBorders>
                  <w:noWrap w:val="0"/>
                  <w:vAlign w:val="center"/>
                </w:tcPr>
                <w:p w14:paraId="3BEC803C">
                  <w:pPr>
                    <w:widowControl/>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kern w:val="0"/>
                      <w:sz w:val="21"/>
                      <w:szCs w:val="21"/>
                      <w:highlight w:val="none"/>
                      <w:u w:val="none" w:color="auto"/>
                      <w:lang w:bidi="ar"/>
                    </w:rPr>
                    <w:t>无</w:t>
                  </w:r>
                </w:p>
              </w:tc>
            </w:tr>
            <w:tr w14:paraId="7EB3C9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685" w:type="pct"/>
                  <w:tcBorders>
                    <w:tl2br w:val="nil"/>
                    <w:tr2bl w:val="nil"/>
                  </w:tcBorders>
                  <w:noWrap w:val="0"/>
                  <w:vAlign w:val="center"/>
                </w:tcPr>
                <w:p w14:paraId="7E6B978B">
                  <w:pPr>
                    <w:widowControl/>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kern w:val="0"/>
                      <w:sz w:val="21"/>
                      <w:szCs w:val="21"/>
                      <w:highlight w:val="none"/>
                      <w:u w:val="none" w:color="auto"/>
                      <w:lang w:bidi="ar"/>
                    </w:rPr>
                    <w:t>常温下状态</w:t>
                  </w:r>
                </w:p>
              </w:tc>
              <w:tc>
                <w:tcPr>
                  <w:tcW w:w="1921" w:type="pct"/>
                  <w:tcBorders>
                    <w:tl2br w:val="nil"/>
                    <w:tr2bl w:val="nil"/>
                  </w:tcBorders>
                  <w:noWrap w:val="0"/>
                  <w:vAlign w:val="center"/>
                </w:tcPr>
                <w:p w14:paraId="6911EC26">
                  <w:pPr>
                    <w:widowControl/>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kern w:val="0"/>
                      <w:sz w:val="21"/>
                      <w:szCs w:val="21"/>
                      <w:highlight w:val="none"/>
                      <w:u w:val="none" w:color="auto"/>
                      <w:lang w:bidi="ar"/>
                    </w:rPr>
                    <w:t>气体</w:t>
                  </w:r>
                </w:p>
              </w:tc>
              <w:tc>
                <w:tcPr>
                  <w:tcW w:w="1392" w:type="pct"/>
                  <w:tcBorders>
                    <w:tl2br w:val="nil"/>
                    <w:tr2bl w:val="nil"/>
                  </w:tcBorders>
                  <w:noWrap w:val="0"/>
                  <w:vAlign w:val="center"/>
                </w:tcPr>
                <w:p w14:paraId="1E88903F">
                  <w:pPr>
                    <w:widowControl/>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kern w:val="0"/>
                      <w:sz w:val="21"/>
                      <w:szCs w:val="21"/>
                      <w:highlight w:val="none"/>
                      <w:u w:val="none" w:color="auto"/>
                      <w:lang w:bidi="ar"/>
                    </w:rPr>
                    <w:t>气体</w:t>
                  </w:r>
                </w:p>
              </w:tc>
            </w:tr>
            <w:tr w14:paraId="3A829C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0" w:hRule="atLeast"/>
                <w:jc w:val="center"/>
              </w:trPr>
              <w:tc>
                <w:tcPr>
                  <w:tcW w:w="1685" w:type="pct"/>
                  <w:tcBorders>
                    <w:tl2br w:val="nil"/>
                    <w:tr2bl w:val="nil"/>
                  </w:tcBorders>
                  <w:noWrap w:val="0"/>
                  <w:vAlign w:val="center"/>
                </w:tcPr>
                <w:p w14:paraId="2CE10C2E">
                  <w:pPr>
                    <w:widowControl/>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kern w:val="0"/>
                      <w:sz w:val="21"/>
                      <w:szCs w:val="21"/>
                      <w:highlight w:val="none"/>
                      <w:u w:val="none" w:color="auto"/>
                      <w:lang w:bidi="ar"/>
                    </w:rPr>
                    <w:t>气味</w:t>
                  </w:r>
                </w:p>
              </w:tc>
              <w:tc>
                <w:tcPr>
                  <w:tcW w:w="1921" w:type="pct"/>
                  <w:tcBorders>
                    <w:tl2br w:val="nil"/>
                    <w:tr2bl w:val="nil"/>
                  </w:tcBorders>
                  <w:noWrap w:val="0"/>
                  <w:vAlign w:val="center"/>
                </w:tcPr>
                <w:p w14:paraId="1D36DB7C">
                  <w:pPr>
                    <w:widowControl/>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kern w:val="0"/>
                      <w:sz w:val="21"/>
                      <w:szCs w:val="21"/>
                      <w:highlight w:val="none"/>
                      <w:u w:val="none" w:color="auto"/>
                      <w:lang w:bidi="ar"/>
                    </w:rPr>
                    <w:t>恶臭，具有臭鸡蛋气味</w:t>
                  </w:r>
                </w:p>
              </w:tc>
              <w:tc>
                <w:tcPr>
                  <w:tcW w:w="1392" w:type="pct"/>
                  <w:tcBorders>
                    <w:tl2br w:val="nil"/>
                    <w:tr2bl w:val="nil"/>
                  </w:tcBorders>
                  <w:noWrap w:val="0"/>
                  <w:vAlign w:val="center"/>
                </w:tcPr>
                <w:p w14:paraId="2F91FAA9">
                  <w:pPr>
                    <w:widowControl/>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kern w:val="0"/>
                      <w:sz w:val="21"/>
                      <w:szCs w:val="21"/>
                      <w:highlight w:val="none"/>
                      <w:u w:val="none" w:color="auto"/>
                      <w:lang w:bidi="ar"/>
                    </w:rPr>
                    <w:t>强烈刺激性气味</w:t>
                  </w:r>
                </w:p>
              </w:tc>
            </w:tr>
            <w:tr w14:paraId="2122F1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685" w:type="pct"/>
                  <w:tcBorders>
                    <w:tl2br w:val="nil"/>
                    <w:tr2bl w:val="nil"/>
                  </w:tcBorders>
                  <w:noWrap w:val="0"/>
                  <w:vAlign w:val="center"/>
                </w:tcPr>
                <w:p w14:paraId="6D90148E">
                  <w:pPr>
                    <w:widowControl/>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kern w:val="0"/>
                      <w:sz w:val="21"/>
                      <w:szCs w:val="21"/>
                      <w:highlight w:val="none"/>
                      <w:u w:val="none" w:color="auto"/>
                      <w:lang w:bidi="ar"/>
                    </w:rPr>
                    <w:t>嗅觉阈值（mg/m</w:t>
                  </w:r>
                  <w:r>
                    <w:rPr>
                      <w:rFonts w:hint="default" w:ascii="Times New Roman" w:hAnsi="Times New Roman" w:cs="Times New Roman"/>
                      <w:color w:val="auto"/>
                      <w:kern w:val="0"/>
                      <w:sz w:val="21"/>
                      <w:szCs w:val="21"/>
                      <w:highlight w:val="none"/>
                      <w:u w:val="none" w:color="auto"/>
                      <w:vertAlign w:val="superscript"/>
                      <w:lang w:bidi="ar"/>
                    </w:rPr>
                    <w:t>3</w:t>
                  </w:r>
                  <w:r>
                    <w:rPr>
                      <w:rFonts w:hint="default" w:ascii="Times New Roman" w:hAnsi="Times New Roman" w:cs="Times New Roman"/>
                      <w:color w:val="auto"/>
                      <w:kern w:val="0"/>
                      <w:sz w:val="21"/>
                      <w:szCs w:val="21"/>
                      <w:highlight w:val="none"/>
                      <w:u w:val="none" w:color="auto"/>
                      <w:lang w:bidi="ar"/>
                    </w:rPr>
                    <w:t>）</w:t>
                  </w:r>
                </w:p>
              </w:tc>
              <w:tc>
                <w:tcPr>
                  <w:tcW w:w="1921" w:type="pct"/>
                  <w:tcBorders>
                    <w:tl2br w:val="nil"/>
                    <w:tr2bl w:val="nil"/>
                  </w:tcBorders>
                  <w:noWrap w:val="0"/>
                  <w:vAlign w:val="center"/>
                </w:tcPr>
                <w:p w14:paraId="17D966B4">
                  <w:pPr>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0.0005</w:t>
                  </w:r>
                </w:p>
              </w:tc>
              <w:tc>
                <w:tcPr>
                  <w:tcW w:w="1392" w:type="pct"/>
                  <w:tcBorders>
                    <w:tl2br w:val="nil"/>
                    <w:tr2bl w:val="nil"/>
                  </w:tcBorders>
                  <w:noWrap w:val="0"/>
                  <w:vAlign w:val="center"/>
                </w:tcPr>
                <w:p w14:paraId="182C81E7">
                  <w:pPr>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0.1</w:t>
                  </w:r>
                </w:p>
              </w:tc>
            </w:tr>
            <w:tr w14:paraId="7EC77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685" w:type="pct"/>
                  <w:tcBorders>
                    <w:tl2br w:val="nil"/>
                    <w:tr2bl w:val="nil"/>
                  </w:tcBorders>
                  <w:noWrap w:val="0"/>
                  <w:vAlign w:val="center"/>
                </w:tcPr>
                <w:p w14:paraId="2978E893">
                  <w:pPr>
                    <w:widowControl/>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kern w:val="0"/>
                      <w:sz w:val="21"/>
                      <w:szCs w:val="21"/>
                      <w:highlight w:val="none"/>
                      <w:u w:val="none" w:color="auto"/>
                      <w:lang w:bidi="ar"/>
                    </w:rPr>
                    <w:t>密度（g/L）</w:t>
                  </w:r>
                </w:p>
              </w:tc>
              <w:tc>
                <w:tcPr>
                  <w:tcW w:w="1921" w:type="pct"/>
                  <w:tcBorders>
                    <w:tl2br w:val="nil"/>
                    <w:tr2bl w:val="nil"/>
                  </w:tcBorders>
                  <w:noWrap w:val="0"/>
                  <w:vAlign w:val="center"/>
                </w:tcPr>
                <w:p w14:paraId="11F4BB8A">
                  <w:pPr>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1.539</w:t>
                  </w:r>
                </w:p>
              </w:tc>
              <w:tc>
                <w:tcPr>
                  <w:tcW w:w="1392" w:type="pct"/>
                  <w:tcBorders>
                    <w:tl2br w:val="nil"/>
                    <w:tr2bl w:val="nil"/>
                  </w:tcBorders>
                  <w:noWrap w:val="0"/>
                  <w:vAlign w:val="center"/>
                </w:tcPr>
                <w:p w14:paraId="4197E7CF">
                  <w:pPr>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0.771</w:t>
                  </w:r>
                </w:p>
              </w:tc>
            </w:tr>
            <w:tr w14:paraId="07F3D9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685" w:type="pct"/>
                  <w:tcBorders>
                    <w:tl2br w:val="nil"/>
                    <w:tr2bl w:val="nil"/>
                  </w:tcBorders>
                  <w:noWrap w:val="0"/>
                  <w:vAlign w:val="center"/>
                </w:tcPr>
                <w:p w14:paraId="7221DD67">
                  <w:pPr>
                    <w:widowControl/>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kern w:val="0"/>
                      <w:sz w:val="21"/>
                      <w:szCs w:val="21"/>
                      <w:highlight w:val="none"/>
                      <w:u w:val="none" w:color="auto"/>
                      <w:lang w:bidi="ar"/>
                    </w:rPr>
                    <w:t>熔点</w:t>
                  </w:r>
                </w:p>
              </w:tc>
              <w:tc>
                <w:tcPr>
                  <w:tcW w:w="1921" w:type="pct"/>
                  <w:tcBorders>
                    <w:tl2br w:val="nil"/>
                    <w:tr2bl w:val="nil"/>
                  </w:tcBorders>
                  <w:noWrap w:val="0"/>
                  <w:vAlign w:val="center"/>
                </w:tcPr>
                <w:p w14:paraId="7F04149F">
                  <w:pPr>
                    <w:widowControl/>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-85.5</w:t>
                  </w:r>
                  <w:r>
                    <w:rPr>
                      <w:rFonts w:hint="default" w:ascii="Times New Roman" w:hAnsi="Times New Roman" w:cs="Times New Roman"/>
                      <w:color w:val="auto"/>
                      <w:kern w:val="0"/>
                      <w:sz w:val="21"/>
                      <w:szCs w:val="21"/>
                      <w:highlight w:val="none"/>
                      <w:u w:val="none" w:color="auto"/>
                      <w:lang w:bidi="ar"/>
                    </w:rPr>
                    <w:t>℃</w:t>
                  </w:r>
                </w:p>
              </w:tc>
              <w:tc>
                <w:tcPr>
                  <w:tcW w:w="1392" w:type="pct"/>
                  <w:tcBorders>
                    <w:tl2br w:val="nil"/>
                    <w:tr2bl w:val="nil"/>
                  </w:tcBorders>
                  <w:noWrap w:val="0"/>
                  <w:vAlign w:val="center"/>
                </w:tcPr>
                <w:p w14:paraId="61770651">
                  <w:pPr>
                    <w:widowControl/>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-77.7</w:t>
                  </w:r>
                  <w:r>
                    <w:rPr>
                      <w:rFonts w:hint="default" w:ascii="Times New Roman" w:hAnsi="Times New Roman" w:cs="Times New Roman"/>
                      <w:color w:val="auto"/>
                      <w:kern w:val="0"/>
                      <w:sz w:val="21"/>
                      <w:szCs w:val="21"/>
                      <w:highlight w:val="none"/>
                      <w:u w:val="none" w:color="auto"/>
                      <w:lang w:bidi="ar"/>
                    </w:rPr>
                    <w:t>℃</w:t>
                  </w:r>
                </w:p>
              </w:tc>
            </w:tr>
            <w:tr w14:paraId="5E15DA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685" w:type="pct"/>
                  <w:tcBorders>
                    <w:tl2br w:val="nil"/>
                    <w:tr2bl w:val="nil"/>
                  </w:tcBorders>
                  <w:noWrap w:val="0"/>
                  <w:vAlign w:val="center"/>
                </w:tcPr>
                <w:p w14:paraId="7AFAF233">
                  <w:pPr>
                    <w:widowControl/>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kern w:val="0"/>
                      <w:sz w:val="21"/>
                      <w:szCs w:val="21"/>
                      <w:highlight w:val="none"/>
                      <w:u w:val="none" w:color="auto"/>
                      <w:lang w:bidi="ar"/>
                    </w:rPr>
                    <w:t>沸点</w:t>
                  </w:r>
                </w:p>
              </w:tc>
              <w:tc>
                <w:tcPr>
                  <w:tcW w:w="1921" w:type="pct"/>
                  <w:tcBorders>
                    <w:tl2br w:val="nil"/>
                    <w:tr2bl w:val="nil"/>
                  </w:tcBorders>
                  <w:noWrap w:val="0"/>
                  <w:vAlign w:val="center"/>
                </w:tcPr>
                <w:p w14:paraId="08384FFE">
                  <w:pPr>
                    <w:widowControl/>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kern w:val="0"/>
                      <w:sz w:val="21"/>
                      <w:szCs w:val="21"/>
                      <w:highlight w:val="none"/>
                      <w:u w:val="none" w:color="auto"/>
                      <w:lang w:bidi="ar"/>
                    </w:rPr>
                    <w:t>-60.7℃</w:t>
                  </w:r>
                </w:p>
              </w:tc>
              <w:tc>
                <w:tcPr>
                  <w:tcW w:w="1392" w:type="pct"/>
                  <w:tcBorders>
                    <w:tl2br w:val="nil"/>
                    <w:tr2bl w:val="nil"/>
                  </w:tcBorders>
                  <w:noWrap w:val="0"/>
                  <w:vAlign w:val="center"/>
                </w:tcPr>
                <w:p w14:paraId="2AD31F74">
                  <w:pPr>
                    <w:widowControl/>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-33.5</w:t>
                  </w:r>
                  <w:r>
                    <w:rPr>
                      <w:rFonts w:hint="default" w:ascii="Times New Roman" w:hAnsi="Times New Roman" w:cs="Times New Roman"/>
                      <w:color w:val="auto"/>
                      <w:kern w:val="0"/>
                      <w:sz w:val="21"/>
                      <w:szCs w:val="21"/>
                      <w:highlight w:val="none"/>
                      <w:u w:val="none" w:color="auto"/>
                      <w:lang w:bidi="ar"/>
                    </w:rPr>
                    <w:t>℃</w:t>
                  </w:r>
                </w:p>
              </w:tc>
            </w:tr>
          </w:tbl>
          <w:p w14:paraId="630947EE">
            <w:pPr>
              <w:keepNext w:val="0"/>
              <w:keepLines w:val="0"/>
              <w:widowControl/>
              <w:suppressLineNumbers w:val="0"/>
              <w:ind w:firstLine="480" w:firstLineChars="200"/>
              <w:jc w:val="left"/>
              <w:rPr>
                <w:rFonts w:hint="eastAsia" w:ascii="宋体" w:hAnsi="宋体" w:eastAsia="宋体" w:cs="宋体"/>
                <w:color w:val="auto"/>
                <w:kern w:val="0"/>
                <w:sz w:val="24"/>
                <w:szCs w:val="24"/>
                <w:highlight w:val="none"/>
                <w:u w:val="none" w:color="auto"/>
                <w:lang w:val="en-US" w:eastAsia="zh-CN" w:bidi="ar"/>
              </w:rPr>
            </w:pPr>
            <w:r>
              <w:rPr>
                <w:rFonts w:hint="default" w:ascii="Times New Roman Regular" w:hAnsi="Times New Roman Regular" w:eastAsia="宋体" w:cs="Times New Roman Regular"/>
                <w:color w:val="auto"/>
                <w:kern w:val="0"/>
                <w:sz w:val="24"/>
                <w:szCs w:val="24"/>
                <w:highlight w:val="none"/>
                <w:u w:val="none" w:color="auto"/>
                <w:lang w:val="en-US" w:eastAsia="zh-CN" w:bidi="ar"/>
              </w:rPr>
              <w:t>由于污水处理站臭气散发不稳定，与气候、气象条件等诸多因素有关。</w:t>
            </w:r>
            <w:r>
              <w:rPr>
                <w:rFonts w:hint="eastAsia" w:ascii="Times New Roman Regular" w:hAnsi="Times New Roman Regular" w:cs="Times New Roman Regular"/>
                <w:color w:val="auto"/>
                <w:kern w:val="0"/>
                <w:sz w:val="24"/>
                <w:szCs w:val="24"/>
                <w:highlight w:val="none"/>
                <w:u w:val="none" w:color="auto"/>
                <w:lang w:val="en-US" w:eastAsia="zh-CN" w:bidi="ar"/>
              </w:rPr>
              <w:t>参照</w:t>
            </w:r>
            <w:r>
              <w:rPr>
                <w:rFonts w:hint="default" w:ascii="Times New Roman Regular" w:hAnsi="Times New Roman Regular" w:eastAsia="宋体" w:cs="Times New Roman Regular"/>
                <w:color w:val="auto"/>
                <w:kern w:val="0"/>
                <w:sz w:val="24"/>
                <w:szCs w:val="24"/>
                <w:highlight w:val="none"/>
                <w:u w:val="none" w:color="auto"/>
                <w:lang w:val="en-US" w:eastAsia="zh-CN" w:bidi="ar"/>
              </w:rPr>
              <w:t>美国EPA对城市</w:t>
            </w:r>
            <w:r>
              <w:rPr>
                <w:rFonts w:hint="eastAsia" w:ascii="Times New Roman Regular" w:hAnsi="Times New Roman Regular" w:cs="Times New Roman Regular"/>
                <w:color w:val="auto"/>
                <w:kern w:val="0"/>
                <w:sz w:val="24"/>
                <w:szCs w:val="24"/>
                <w:highlight w:val="none"/>
                <w:u w:val="none" w:color="auto"/>
                <w:lang w:val="en-US" w:eastAsia="zh-CN" w:bidi="ar"/>
              </w:rPr>
              <w:t>污水处理厂</w:t>
            </w:r>
            <w:r>
              <w:rPr>
                <w:rFonts w:hint="default" w:ascii="Times New Roman Regular" w:hAnsi="Times New Roman Regular" w:eastAsia="宋体" w:cs="Times New Roman Regular"/>
                <w:color w:val="auto"/>
                <w:kern w:val="0"/>
                <w:sz w:val="24"/>
                <w:szCs w:val="24"/>
                <w:highlight w:val="none"/>
                <w:u w:val="none" w:color="auto"/>
                <w:lang w:val="en-US" w:eastAsia="zh-CN" w:bidi="ar"/>
              </w:rPr>
              <w:t>恶臭污染物产生情况的研究，每去除1g的BOD</w:t>
            </w:r>
            <w:r>
              <w:rPr>
                <w:rFonts w:hint="default" w:ascii="Times New Roman Regular" w:hAnsi="Times New Roman Regular" w:eastAsia="宋体" w:cs="Times New Roman Regular"/>
                <w:color w:val="auto"/>
                <w:kern w:val="0"/>
                <w:sz w:val="24"/>
                <w:szCs w:val="24"/>
                <w:highlight w:val="none"/>
                <w:u w:val="none" w:color="auto"/>
                <w:vertAlign w:val="subscript"/>
                <w:lang w:val="en-US" w:eastAsia="zh-CN" w:bidi="ar"/>
              </w:rPr>
              <w:t>5</w:t>
            </w:r>
            <w:r>
              <w:rPr>
                <w:rFonts w:hint="default" w:ascii="Times New Roman Regular" w:hAnsi="Times New Roman Regular" w:eastAsia="宋体" w:cs="Times New Roman Regular"/>
                <w:color w:val="auto"/>
                <w:kern w:val="0"/>
                <w:sz w:val="24"/>
                <w:szCs w:val="24"/>
                <w:highlight w:val="none"/>
                <w:u w:val="none" w:color="auto"/>
                <w:lang w:val="en-US" w:eastAsia="zh-CN" w:bidi="ar"/>
              </w:rPr>
              <w:t>可产生0.0031g的NH</w:t>
            </w:r>
            <w:r>
              <w:rPr>
                <w:rFonts w:hint="default" w:ascii="Times New Roman Regular" w:hAnsi="Times New Roman Regular" w:eastAsia="宋体" w:cs="Times New Roman Regular"/>
                <w:color w:val="auto"/>
                <w:kern w:val="0"/>
                <w:sz w:val="24"/>
                <w:szCs w:val="24"/>
                <w:highlight w:val="none"/>
                <w:u w:val="none" w:color="auto"/>
                <w:vertAlign w:val="subscript"/>
                <w:lang w:val="en-US" w:eastAsia="zh-CN" w:bidi="ar"/>
              </w:rPr>
              <w:t>3</w:t>
            </w:r>
            <w:r>
              <w:rPr>
                <w:rFonts w:hint="default" w:ascii="Times New Roman Regular" w:hAnsi="Times New Roman Regular" w:eastAsia="宋体" w:cs="Times New Roman Regular"/>
                <w:color w:val="auto"/>
                <w:kern w:val="0"/>
                <w:sz w:val="24"/>
                <w:szCs w:val="24"/>
                <w:highlight w:val="none"/>
                <w:u w:val="none" w:color="auto"/>
                <w:lang w:val="en-US" w:eastAsia="zh-CN" w:bidi="ar"/>
              </w:rPr>
              <w:t>、0.00012g的H</w:t>
            </w:r>
            <w:r>
              <w:rPr>
                <w:rFonts w:hint="default" w:ascii="Times New Roman Regular" w:hAnsi="Times New Roman Regular" w:eastAsia="宋体" w:cs="Times New Roman Regular"/>
                <w:color w:val="auto"/>
                <w:kern w:val="0"/>
                <w:sz w:val="24"/>
                <w:szCs w:val="24"/>
                <w:highlight w:val="none"/>
                <w:u w:val="none" w:color="auto"/>
                <w:vertAlign w:val="subscript"/>
                <w:lang w:val="en-US" w:eastAsia="zh-CN" w:bidi="ar"/>
              </w:rPr>
              <w:t>2</w:t>
            </w:r>
            <w:r>
              <w:rPr>
                <w:rFonts w:hint="default" w:ascii="Times New Roman Regular" w:hAnsi="Times New Roman Regular" w:eastAsia="宋体" w:cs="Times New Roman Regular"/>
                <w:color w:val="auto"/>
                <w:kern w:val="0"/>
                <w:sz w:val="24"/>
                <w:szCs w:val="24"/>
                <w:highlight w:val="none"/>
                <w:u w:val="none" w:color="auto"/>
                <w:lang w:val="en-US" w:eastAsia="zh-CN" w:bidi="ar"/>
              </w:rPr>
              <w:t>S，</w:t>
            </w:r>
            <w:r>
              <w:rPr>
                <w:color w:val="auto"/>
                <w:sz w:val="24"/>
                <w:highlight w:val="none"/>
                <w:u w:val="none" w:color="auto"/>
              </w:rPr>
              <w:t>本项目</w:t>
            </w:r>
            <w:r>
              <w:rPr>
                <w:rFonts w:hint="eastAsia"/>
                <w:color w:val="auto"/>
                <w:sz w:val="24"/>
                <w:highlight w:val="none"/>
                <w:u w:val="none" w:color="auto"/>
                <w:lang w:eastAsia="zh-CN"/>
              </w:rPr>
              <w:t>医疗</w:t>
            </w:r>
            <w:r>
              <w:rPr>
                <w:color w:val="auto"/>
                <w:sz w:val="24"/>
                <w:highlight w:val="none"/>
                <w:u w:val="none" w:color="auto"/>
              </w:rPr>
              <w:t>废水产生总量为</w:t>
            </w:r>
            <w:r>
              <w:rPr>
                <w:rFonts w:hint="eastAsia" w:ascii="Times New Roman Regular" w:hAnsi="Times New Roman Regular" w:cs="Times New Roman Regular"/>
                <w:color w:val="auto"/>
                <w:kern w:val="0"/>
                <w:sz w:val="24"/>
                <w:szCs w:val="24"/>
                <w:highlight w:val="none"/>
                <w:u w:val="none" w:color="auto"/>
                <w:lang w:val="en-US" w:eastAsia="zh-CN" w:bidi="ar"/>
              </w:rPr>
              <w:t>44192.375</w:t>
            </w:r>
            <w:r>
              <w:rPr>
                <w:rFonts w:hint="default" w:ascii="Times New Roman" w:hAnsi="Times New Roman" w:eastAsia="宋体" w:cs="Times New Roman"/>
                <w:color w:val="auto"/>
                <w:kern w:val="0"/>
                <w:sz w:val="24"/>
                <w:szCs w:val="24"/>
                <w:highlight w:val="none"/>
                <w:u w:val="none" w:color="auto"/>
                <w:lang w:val="en-US" w:eastAsia="zh-CN" w:bidi="ar"/>
              </w:rPr>
              <w:t>m</w:t>
            </w:r>
            <w:r>
              <w:rPr>
                <w:rFonts w:hint="default" w:ascii="Times New Roman" w:hAnsi="Times New Roman" w:eastAsia="宋体" w:cs="Times New Roman"/>
                <w:color w:val="auto"/>
                <w:kern w:val="0"/>
                <w:sz w:val="24"/>
                <w:szCs w:val="24"/>
                <w:highlight w:val="none"/>
                <w:u w:val="none" w:color="auto"/>
                <w:vertAlign w:val="superscript"/>
                <w:lang w:val="en-US" w:eastAsia="zh-CN" w:bidi="ar"/>
              </w:rPr>
              <w:t>3</w:t>
            </w:r>
            <w:r>
              <w:rPr>
                <w:rFonts w:hint="default" w:ascii="Times New Roman" w:hAnsi="Times New Roman" w:eastAsia="宋体" w:cs="Times New Roman"/>
                <w:color w:val="auto"/>
                <w:kern w:val="0"/>
                <w:sz w:val="24"/>
                <w:szCs w:val="24"/>
                <w:highlight w:val="none"/>
                <w:u w:val="none" w:color="auto"/>
                <w:lang w:val="en-US" w:eastAsia="zh-CN" w:bidi="ar"/>
              </w:rPr>
              <w:t>/a</w:t>
            </w:r>
            <w:r>
              <w:rPr>
                <w:color w:val="auto"/>
                <w:sz w:val="24"/>
                <w:highlight w:val="none"/>
                <w:u w:val="none" w:color="auto"/>
              </w:rPr>
              <w:t>，BOD</w:t>
            </w:r>
            <w:r>
              <w:rPr>
                <w:color w:val="auto"/>
                <w:sz w:val="24"/>
                <w:highlight w:val="none"/>
                <w:u w:val="none" w:color="auto"/>
                <w:vertAlign w:val="subscript"/>
              </w:rPr>
              <w:t>5</w:t>
            </w:r>
            <w:r>
              <w:rPr>
                <w:color w:val="auto"/>
                <w:sz w:val="24"/>
                <w:highlight w:val="none"/>
                <w:u w:val="none" w:color="auto"/>
              </w:rPr>
              <w:t>去除量为</w:t>
            </w:r>
            <w:r>
              <w:rPr>
                <w:rFonts w:hint="eastAsia"/>
                <w:color w:val="auto"/>
                <w:sz w:val="24"/>
                <w:highlight w:val="none"/>
                <w:u w:val="none" w:color="auto"/>
                <w:lang w:val="en-US" w:eastAsia="zh-CN"/>
              </w:rPr>
              <w:t>6.63</w:t>
            </w:r>
            <w:r>
              <w:rPr>
                <w:color w:val="auto"/>
                <w:sz w:val="24"/>
                <w:highlight w:val="none"/>
                <w:u w:val="none" w:color="auto"/>
              </w:rPr>
              <w:t>t/a，由此计算得出NH</w:t>
            </w:r>
            <w:r>
              <w:rPr>
                <w:color w:val="auto"/>
                <w:sz w:val="24"/>
                <w:highlight w:val="none"/>
                <w:u w:val="none" w:color="auto"/>
                <w:vertAlign w:val="subscript"/>
              </w:rPr>
              <w:t>3</w:t>
            </w:r>
            <w:r>
              <w:rPr>
                <w:color w:val="auto"/>
                <w:sz w:val="24"/>
                <w:highlight w:val="none"/>
                <w:u w:val="none" w:color="auto"/>
              </w:rPr>
              <w:t>产生量为</w:t>
            </w:r>
            <w:r>
              <w:rPr>
                <w:rFonts w:hint="eastAsia"/>
                <w:color w:val="auto"/>
                <w:sz w:val="24"/>
                <w:highlight w:val="none"/>
                <w:u w:val="none" w:color="auto"/>
                <w:lang w:val="en-US" w:eastAsia="zh-CN"/>
              </w:rPr>
              <w:t>0.021</w:t>
            </w:r>
            <w:r>
              <w:rPr>
                <w:color w:val="auto"/>
                <w:sz w:val="24"/>
                <w:highlight w:val="none"/>
                <w:u w:val="none" w:color="auto"/>
              </w:rPr>
              <w:t>t/a，H</w:t>
            </w:r>
            <w:r>
              <w:rPr>
                <w:color w:val="auto"/>
                <w:sz w:val="24"/>
                <w:highlight w:val="none"/>
                <w:u w:val="none" w:color="auto"/>
                <w:vertAlign w:val="subscript"/>
              </w:rPr>
              <w:t>2</w:t>
            </w:r>
            <w:r>
              <w:rPr>
                <w:color w:val="auto"/>
                <w:sz w:val="24"/>
                <w:highlight w:val="none"/>
                <w:u w:val="none" w:color="auto"/>
              </w:rPr>
              <w:t>S产生量为0.000</w:t>
            </w:r>
            <w:r>
              <w:rPr>
                <w:rFonts w:hint="eastAsia"/>
                <w:color w:val="auto"/>
                <w:sz w:val="24"/>
                <w:highlight w:val="none"/>
                <w:u w:val="none" w:color="auto"/>
                <w:lang w:val="en-US" w:eastAsia="zh-CN"/>
              </w:rPr>
              <w:t>88</w:t>
            </w:r>
            <w:r>
              <w:rPr>
                <w:color w:val="auto"/>
                <w:sz w:val="24"/>
                <w:highlight w:val="none"/>
                <w:u w:val="none" w:color="auto"/>
              </w:rPr>
              <w:t>t/a。</w:t>
            </w:r>
          </w:p>
          <w:p w14:paraId="1E5F2213">
            <w:pPr>
              <w:pStyle w:val="129"/>
              <w:keepNext w:val="0"/>
              <w:keepLines w:val="0"/>
              <w:suppressLineNumbers w:val="0"/>
              <w:spacing w:before="0" w:beforeAutospacing="0" w:after="0" w:afterAutospacing="0" w:line="360" w:lineRule="auto"/>
              <w:ind w:left="0" w:leftChars="0" w:right="0" w:firstLine="480" w:firstLineChars="200"/>
              <w:jc w:val="both"/>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本项目污水处理设施废气产排污情况详见表4-</w:t>
            </w:r>
            <w:r>
              <w:rPr>
                <w:rFonts w:hint="eastAsia" w:cs="Times New Roman"/>
                <w:color w:val="auto"/>
                <w:sz w:val="24"/>
                <w:szCs w:val="24"/>
                <w:highlight w:val="none"/>
                <w:u w:val="none" w:color="auto"/>
                <w:lang w:val="en-US" w:eastAsia="zh-CN"/>
              </w:rPr>
              <w:t>2</w:t>
            </w:r>
            <w:r>
              <w:rPr>
                <w:rFonts w:hint="eastAsia" w:ascii="Times New Roman" w:hAnsi="Times New Roman" w:eastAsia="宋体" w:cs="Times New Roman"/>
                <w:color w:val="auto"/>
                <w:sz w:val="24"/>
                <w:szCs w:val="24"/>
                <w:highlight w:val="none"/>
                <w:u w:val="none" w:color="auto"/>
                <w:lang w:val="en-US" w:eastAsia="zh-CN"/>
              </w:rPr>
              <w:t>。</w:t>
            </w:r>
          </w:p>
          <w:p w14:paraId="65392273">
            <w:pPr>
              <w:pStyle w:val="13"/>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表4-</w:t>
            </w:r>
            <w:r>
              <w:rPr>
                <w:rFonts w:hint="eastAsia" w:ascii="Times New Roman" w:hAnsi="Times New Roman" w:cs="Times New Roman"/>
                <w:b/>
                <w:bCs/>
                <w:color w:val="auto"/>
                <w:sz w:val="21"/>
                <w:szCs w:val="21"/>
                <w:u w:val="none" w:color="auto"/>
                <w:lang w:val="en-US" w:eastAsia="zh-CN"/>
              </w:rPr>
              <w:t>2</w:t>
            </w:r>
            <w:r>
              <w:rPr>
                <w:rFonts w:hint="eastAsia" w:ascii="Times New Roman" w:hAnsi="Times New Roman" w:eastAsia="宋体" w:cs="Times New Roman"/>
                <w:b/>
                <w:bCs/>
                <w:color w:val="auto"/>
                <w:sz w:val="21"/>
                <w:szCs w:val="21"/>
                <w:u w:val="none" w:color="auto"/>
                <w:lang w:val="en-US" w:eastAsia="zh-CN"/>
              </w:rPr>
              <w:t xml:space="preserve"> 项目污水处理设施废气污染源产排污情况一览表</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855"/>
              <w:gridCol w:w="1118"/>
              <w:gridCol w:w="1327"/>
              <w:gridCol w:w="1603"/>
              <w:gridCol w:w="1133"/>
              <w:gridCol w:w="1063"/>
              <w:gridCol w:w="1264"/>
            </w:tblGrid>
            <w:tr w14:paraId="3871F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pct"/>
                  <w:vMerge w:val="restart"/>
                  <w:noWrap w:val="0"/>
                  <w:vAlign w:val="center"/>
                </w:tcPr>
                <w:p w14:paraId="7371D181">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i w:val="0"/>
                      <w:color w:val="auto"/>
                      <w:sz w:val="21"/>
                      <w:szCs w:val="21"/>
                      <w:u w:val="none" w:color="auto"/>
                      <w:lang w:val="en-US" w:eastAsia="zh-CN"/>
                    </w:rPr>
                  </w:pPr>
                  <w:r>
                    <w:rPr>
                      <w:rFonts w:hint="default" w:ascii="Times New Roman" w:hAnsi="Times New Roman" w:eastAsia="宋体" w:cs="Times New Roman"/>
                      <w:b w:val="0"/>
                      <w:bCs/>
                      <w:i w:val="0"/>
                      <w:color w:val="auto"/>
                      <w:sz w:val="21"/>
                      <w:szCs w:val="21"/>
                      <w:u w:val="none" w:color="auto"/>
                      <w:lang w:val="en-US" w:eastAsia="zh-CN"/>
                    </w:rPr>
                    <w:t>产污环节</w:t>
                  </w:r>
                </w:p>
              </w:tc>
              <w:tc>
                <w:tcPr>
                  <w:tcW w:w="467" w:type="pct"/>
                  <w:vMerge w:val="restart"/>
                  <w:noWrap w:val="0"/>
                  <w:vAlign w:val="center"/>
                </w:tcPr>
                <w:p w14:paraId="7C1501AC">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i w:val="0"/>
                      <w:color w:val="auto"/>
                      <w:sz w:val="21"/>
                      <w:szCs w:val="21"/>
                      <w:u w:val="none" w:color="auto"/>
                      <w:lang w:val="en-US" w:eastAsia="zh-CN"/>
                    </w:rPr>
                  </w:pPr>
                  <w:r>
                    <w:rPr>
                      <w:rFonts w:hint="default" w:ascii="Times New Roman" w:hAnsi="Times New Roman" w:eastAsia="宋体" w:cs="Times New Roman"/>
                      <w:b w:val="0"/>
                      <w:bCs/>
                      <w:i w:val="0"/>
                      <w:color w:val="auto"/>
                      <w:sz w:val="21"/>
                      <w:szCs w:val="21"/>
                      <w:u w:val="none" w:color="auto"/>
                      <w:lang w:val="en-US" w:eastAsia="zh-CN"/>
                    </w:rPr>
                    <w:t>污染物</w:t>
                  </w:r>
                </w:p>
              </w:tc>
              <w:tc>
                <w:tcPr>
                  <w:tcW w:w="1336" w:type="pct"/>
                  <w:gridSpan w:val="2"/>
                  <w:noWrap w:val="0"/>
                  <w:vAlign w:val="center"/>
                </w:tcPr>
                <w:p w14:paraId="64C2A979">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i w:val="0"/>
                      <w:color w:val="auto"/>
                      <w:sz w:val="21"/>
                      <w:szCs w:val="21"/>
                      <w:u w:val="none" w:color="auto"/>
                      <w:lang w:val="en-US" w:eastAsia="zh-CN"/>
                    </w:rPr>
                  </w:pPr>
                  <w:r>
                    <w:rPr>
                      <w:rFonts w:hint="default" w:ascii="Times New Roman" w:hAnsi="Times New Roman" w:eastAsia="宋体" w:cs="Times New Roman"/>
                      <w:b w:val="0"/>
                      <w:bCs/>
                      <w:i w:val="0"/>
                      <w:color w:val="auto"/>
                      <w:sz w:val="21"/>
                      <w:szCs w:val="21"/>
                      <w:u w:val="none" w:color="auto"/>
                      <w:lang w:val="en-US" w:eastAsia="zh-CN"/>
                    </w:rPr>
                    <w:t>污染源产生情况</w:t>
                  </w:r>
                </w:p>
              </w:tc>
              <w:tc>
                <w:tcPr>
                  <w:tcW w:w="876" w:type="pct"/>
                  <w:vMerge w:val="restart"/>
                  <w:noWrap w:val="0"/>
                  <w:vAlign w:val="center"/>
                </w:tcPr>
                <w:p w14:paraId="43571268">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i w:val="0"/>
                      <w:color w:val="auto"/>
                      <w:sz w:val="21"/>
                      <w:szCs w:val="21"/>
                      <w:u w:val="none" w:color="auto"/>
                      <w:lang w:val="en-US" w:eastAsia="zh-CN"/>
                    </w:rPr>
                  </w:pPr>
                  <w:r>
                    <w:rPr>
                      <w:rFonts w:hint="default" w:ascii="Times New Roman" w:hAnsi="Times New Roman" w:eastAsia="宋体" w:cs="Times New Roman"/>
                      <w:b w:val="0"/>
                      <w:bCs/>
                      <w:i w:val="0"/>
                      <w:color w:val="auto"/>
                      <w:sz w:val="21"/>
                      <w:szCs w:val="21"/>
                      <w:u w:val="none" w:color="auto"/>
                      <w:lang w:val="en-US" w:eastAsia="zh-CN"/>
                    </w:rPr>
                    <w:t>处理措施及处理效率</w:t>
                  </w:r>
                </w:p>
              </w:tc>
              <w:tc>
                <w:tcPr>
                  <w:tcW w:w="1890" w:type="pct"/>
                  <w:gridSpan w:val="3"/>
                  <w:noWrap w:val="0"/>
                  <w:vAlign w:val="center"/>
                </w:tcPr>
                <w:p w14:paraId="0E3710F2">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i w:val="0"/>
                      <w:color w:val="auto"/>
                      <w:sz w:val="21"/>
                      <w:szCs w:val="21"/>
                      <w:u w:val="none" w:color="auto"/>
                      <w:lang w:val="en-US" w:eastAsia="zh-CN"/>
                    </w:rPr>
                  </w:pPr>
                  <w:r>
                    <w:rPr>
                      <w:rFonts w:hint="default" w:ascii="Times New Roman" w:hAnsi="Times New Roman" w:eastAsia="宋体" w:cs="Times New Roman"/>
                      <w:b w:val="0"/>
                      <w:bCs/>
                      <w:i w:val="0"/>
                      <w:color w:val="auto"/>
                      <w:sz w:val="21"/>
                      <w:szCs w:val="21"/>
                      <w:u w:val="none" w:color="auto"/>
                      <w:lang w:val="en-US" w:eastAsia="zh-CN"/>
                    </w:rPr>
                    <w:t>污染源排放情况</w:t>
                  </w:r>
                </w:p>
              </w:tc>
            </w:tr>
            <w:tr w14:paraId="669D7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pct"/>
                  <w:vMerge w:val="continue"/>
                  <w:noWrap w:val="0"/>
                  <w:vAlign w:val="center"/>
                </w:tcPr>
                <w:p w14:paraId="156E085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val="0"/>
                      <w:bCs/>
                      <w:i w:val="0"/>
                      <w:color w:val="auto"/>
                      <w:sz w:val="21"/>
                      <w:szCs w:val="21"/>
                      <w:u w:val="none" w:color="auto"/>
                      <w:lang w:val="en-US" w:eastAsia="zh-CN"/>
                    </w:rPr>
                  </w:pPr>
                </w:p>
              </w:tc>
              <w:tc>
                <w:tcPr>
                  <w:tcW w:w="467" w:type="pct"/>
                  <w:vMerge w:val="continue"/>
                  <w:noWrap w:val="0"/>
                  <w:vAlign w:val="center"/>
                </w:tcPr>
                <w:p w14:paraId="2DF6DD8E">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val="0"/>
                      <w:bCs/>
                      <w:i w:val="0"/>
                      <w:color w:val="auto"/>
                      <w:sz w:val="21"/>
                      <w:szCs w:val="21"/>
                      <w:u w:val="none" w:color="auto"/>
                      <w:lang w:val="en-US" w:eastAsia="zh-CN"/>
                    </w:rPr>
                  </w:pPr>
                </w:p>
              </w:tc>
              <w:tc>
                <w:tcPr>
                  <w:tcW w:w="611" w:type="pct"/>
                  <w:noWrap w:val="0"/>
                  <w:vAlign w:val="center"/>
                </w:tcPr>
                <w:p w14:paraId="589AA51C">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val="0"/>
                      <w:bCs/>
                      <w:i w:val="0"/>
                      <w:color w:val="auto"/>
                      <w:sz w:val="21"/>
                      <w:szCs w:val="21"/>
                      <w:u w:val="none" w:color="auto"/>
                      <w:lang w:val="en-US" w:eastAsia="zh-CN"/>
                    </w:rPr>
                  </w:pPr>
                  <w:r>
                    <w:rPr>
                      <w:rFonts w:hint="default" w:ascii="Times New Roman" w:hAnsi="Times New Roman" w:eastAsia="宋体" w:cs="Times New Roman"/>
                      <w:b w:val="0"/>
                      <w:bCs/>
                      <w:i w:val="0"/>
                      <w:color w:val="auto"/>
                      <w:sz w:val="21"/>
                      <w:szCs w:val="21"/>
                      <w:u w:val="none" w:color="auto"/>
                      <w:lang w:val="en-US" w:eastAsia="zh-CN"/>
                    </w:rPr>
                    <w:t>产生量（</w:t>
                  </w:r>
                  <w:r>
                    <w:rPr>
                      <w:rFonts w:hint="eastAsia" w:ascii="Times New Roman" w:hAnsi="Times New Roman" w:eastAsia="宋体" w:cs="Times New Roman"/>
                      <w:b w:val="0"/>
                      <w:bCs/>
                      <w:i w:val="0"/>
                      <w:color w:val="auto"/>
                      <w:sz w:val="21"/>
                      <w:szCs w:val="21"/>
                      <w:u w:val="none" w:color="auto"/>
                      <w:lang w:val="en-US" w:eastAsia="zh-CN"/>
                    </w:rPr>
                    <w:t>t</w:t>
                  </w:r>
                  <w:r>
                    <w:rPr>
                      <w:rFonts w:hint="default" w:ascii="Times New Roman" w:hAnsi="Times New Roman" w:eastAsia="宋体" w:cs="Times New Roman"/>
                      <w:b w:val="0"/>
                      <w:bCs/>
                      <w:i w:val="0"/>
                      <w:color w:val="auto"/>
                      <w:sz w:val="21"/>
                      <w:szCs w:val="21"/>
                      <w:u w:val="none" w:color="auto"/>
                      <w:lang w:val="en-US" w:eastAsia="zh-CN"/>
                    </w:rPr>
                    <w:t>/a）</w:t>
                  </w:r>
                </w:p>
              </w:tc>
              <w:tc>
                <w:tcPr>
                  <w:tcW w:w="725" w:type="pct"/>
                  <w:noWrap w:val="0"/>
                  <w:vAlign w:val="center"/>
                </w:tcPr>
                <w:p w14:paraId="7B7F6598">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val="0"/>
                      <w:bCs/>
                      <w:i w:val="0"/>
                      <w:color w:val="auto"/>
                      <w:sz w:val="21"/>
                      <w:szCs w:val="21"/>
                      <w:u w:val="none" w:color="auto"/>
                      <w:lang w:val="en-US" w:eastAsia="zh-CN"/>
                    </w:rPr>
                  </w:pPr>
                  <w:r>
                    <w:rPr>
                      <w:rFonts w:hint="default" w:ascii="Times New Roman" w:hAnsi="Times New Roman" w:eastAsia="宋体" w:cs="Times New Roman"/>
                      <w:b w:val="0"/>
                      <w:bCs/>
                      <w:i w:val="0"/>
                      <w:color w:val="auto"/>
                      <w:sz w:val="21"/>
                      <w:szCs w:val="21"/>
                      <w:u w:val="none" w:color="auto"/>
                      <w:lang w:val="en-US" w:eastAsia="zh-CN"/>
                    </w:rPr>
                    <w:t>产生速率（kg/h）</w:t>
                  </w:r>
                </w:p>
              </w:tc>
              <w:tc>
                <w:tcPr>
                  <w:tcW w:w="876" w:type="pct"/>
                  <w:vMerge w:val="continue"/>
                  <w:noWrap w:val="0"/>
                  <w:vAlign w:val="center"/>
                </w:tcPr>
                <w:p w14:paraId="31190871">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val="0"/>
                      <w:bCs/>
                      <w:i w:val="0"/>
                      <w:color w:val="auto"/>
                      <w:sz w:val="21"/>
                      <w:szCs w:val="21"/>
                      <w:u w:val="none" w:color="auto"/>
                      <w:lang w:val="en-US" w:eastAsia="zh-CN"/>
                    </w:rPr>
                  </w:pPr>
                </w:p>
              </w:tc>
              <w:tc>
                <w:tcPr>
                  <w:tcW w:w="1200" w:type="pct"/>
                  <w:gridSpan w:val="2"/>
                  <w:noWrap w:val="0"/>
                  <w:vAlign w:val="center"/>
                </w:tcPr>
                <w:p w14:paraId="7AA08546">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val="0"/>
                      <w:bCs/>
                      <w:i w:val="0"/>
                      <w:color w:val="auto"/>
                      <w:sz w:val="21"/>
                      <w:szCs w:val="21"/>
                      <w:u w:val="none" w:color="auto"/>
                      <w:lang w:val="en-US" w:eastAsia="zh-CN"/>
                    </w:rPr>
                  </w:pPr>
                  <w:r>
                    <w:rPr>
                      <w:rFonts w:hint="default" w:ascii="Times New Roman" w:hAnsi="Times New Roman" w:eastAsia="宋体" w:cs="Times New Roman"/>
                      <w:b w:val="0"/>
                      <w:bCs/>
                      <w:i w:val="0"/>
                      <w:color w:val="auto"/>
                      <w:sz w:val="21"/>
                      <w:szCs w:val="21"/>
                      <w:u w:val="none" w:color="auto"/>
                      <w:lang w:val="en-US" w:eastAsia="zh-CN"/>
                    </w:rPr>
                    <w:t>排放量（t/a）</w:t>
                  </w:r>
                </w:p>
              </w:tc>
              <w:tc>
                <w:tcPr>
                  <w:tcW w:w="689" w:type="pct"/>
                  <w:noWrap w:val="0"/>
                  <w:vAlign w:val="center"/>
                </w:tcPr>
                <w:p w14:paraId="0171ABD7">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val="0"/>
                      <w:bCs/>
                      <w:i w:val="0"/>
                      <w:color w:val="auto"/>
                      <w:sz w:val="21"/>
                      <w:szCs w:val="21"/>
                      <w:u w:val="none" w:color="auto"/>
                      <w:lang w:val="en-US" w:eastAsia="zh-CN"/>
                    </w:rPr>
                  </w:pPr>
                  <w:r>
                    <w:rPr>
                      <w:rFonts w:hint="default" w:ascii="Times New Roman" w:hAnsi="Times New Roman" w:eastAsia="宋体" w:cs="Times New Roman"/>
                      <w:b w:val="0"/>
                      <w:bCs/>
                      <w:i w:val="0"/>
                      <w:color w:val="auto"/>
                      <w:sz w:val="21"/>
                      <w:szCs w:val="21"/>
                      <w:u w:val="none" w:color="auto"/>
                      <w:lang w:val="en-US" w:eastAsia="zh-CN"/>
                    </w:rPr>
                    <w:t>排放速率</w:t>
                  </w:r>
                </w:p>
                <w:p w14:paraId="75FEB4D9">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val="0"/>
                      <w:bCs/>
                      <w:i w:val="0"/>
                      <w:color w:val="auto"/>
                      <w:sz w:val="21"/>
                      <w:szCs w:val="21"/>
                      <w:u w:val="none" w:color="auto"/>
                      <w:lang w:val="en-US" w:eastAsia="zh-CN"/>
                    </w:rPr>
                  </w:pPr>
                  <w:r>
                    <w:rPr>
                      <w:rFonts w:hint="default" w:ascii="Times New Roman" w:hAnsi="Times New Roman" w:eastAsia="宋体" w:cs="Times New Roman"/>
                      <w:b w:val="0"/>
                      <w:bCs/>
                      <w:i w:val="0"/>
                      <w:color w:val="auto"/>
                      <w:sz w:val="21"/>
                      <w:szCs w:val="21"/>
                      <w:u w:val="none" w:color="auto"/>
                      <w:lang w:val="en-US" w:eastAsia="zh-CN"/>
                    </w:rPr>
                    <w:t>（kg/h）</w:t>
                  </w:r>
                </w:p>
              </w:tc>
            </w:tr>
            <w:tr w14:paraId="09632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429" w:type="pct"/>
                  <w:vMerge w:val="restart"/>
                  <w:noWrap w:val="0"/>
                  <w:vAlign w:val="center"/>
                </w:tcPr>
                <w:p w14:paraId="05119E03">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val="0"/>
                      <w:bCs/>
                      <w:i w:val="0"/>
                      <w:color w:val="auto"/>
                      <w:sz w:val="21"/>
                      <w:szCs w:val="21"/>
                      <w:u w:val="none" w:color="auto"/>
                      <w:lang w:val="en-US" w:eastAsia="zh-CN"/>
                    </w:rPr>
                  </w:pPr>
                  <w:r>
                    <w:rPr>
                      <w:rFonts w:hint="eastAsia" w:ascii="Times New Roman" w:hAnsi="Times New Roman" w:eastAsia="宋体" w:cs="Times New Roman"/>
                      <w:b w:val="0"/>
                      <w:bCs/>
                      <w:i w:val="0"/>
                      <w:color w:val="auto"/>
                      <w:sz w:val="21"/>
                      <w:szCs w:val="21"/>
                      <w:u w:val="none" w:color="auto"/>
                      <w:lang w:val="en-US" w:eastAsia="zh-CN"/>
                    </w:rPr>
                    <w:t>污水处理设施</w:t>
                  </w:r>
                </w:p>
              </w:tc>
              <w:tc>
                <w:tcPr>
                  <w:tcW w:w="467" w:type="pct"/>
                  <w:noWrap w:val="0"/>
                  <w:vAlign w:val="center"/>
                </w:tcPr>
                <w:p w14:paraId="253FB20B">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val="0"/>
                      <w:bCs/>
                      <w:i w:val="0"/>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NH</w:t>
                  </w:r>
                  <w:r>
                    <w:rPr>
                      <w:rFonts w:hint="default" w:ascii="Times New Roman" w:hAnsi="Times New Roman" w:cs="Times New Roman"/>
                      <w:color w:val="auto"/>
                      <w:sz w:val="21"/>
                      <w:szCs w:val="21"/>
                      <w:u w:val="none" w:color="auto"/>
                      <w:vertAlign w:val="subscript"/>
                      <w:lang w:val="en-US" w:eastAsia="zh-CN"/>
                    </w:rPr>
                    <w:t>3</w:t>
                  </w:r>
                </w:p>
              </w:tc>
              <w:tc>
                <w:tcPr>
                  <w:tcW w:w="611" w:type="pct"/>
                  <w:noWrap w:val="0"/>
                  <w:vAlign w:val="center"/>
                </w:tcPr>
                <w:p w14:paraId="6DE53B17">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val="0"/>
                      <w:bCs/>
                      <w:i w:val="0"/>
                      <w:color w:val="auto"/>
                      <w:sz w:val="21"/>
                      <w:szCs w:val="21"/>
                      <w:u w:val="none" w:color="auto"/>
                      <w:lang w:val="en-US" w:eastAsia="zh-CN"/>
                    </w:rPr>
                  </w:pPr>
                  <w:r>
                    <w:rPr>
                      <w:rFonts w:hint="eastAsia" w:ascii="Times New Roman" w:hAnsi="Times New Roman" w:eastAsia="宋体" w:cs="Times New Roman"/>
                      <w:b w:val="0"/>
                      <w:bCs/>
                      <w:i w:val="0"/>
                      <w:color w:val="auto"/>
                      <w:sz w:val="21"/>
                      <w:szCs w:val="21"/>
                      <w:u w:val="none" w:color="auto"/>
                      <w:lang w:val="en-US" w:eastAsia="zh-CN"/>
                    </w:rPr>
                    <w:t>0.02</w:t>
                  </w:r>
                  <w:r>
                    <w:rPr>
                      <w:rFonts w:hint="eastAsia" w:cs="Times New Roman"/>
                      <w:b w:val="0"/>
                      <w:bCs/>
                      <w:i w:val="0"/>
                      <w:color w:val="auto"/>
                      <w:sz w:val="21"/>
                      <w:szCs w:val="21"/>
                      <w:u w:val="none" w:color="auto"/>
                      <w:lang w:val="en-US" w:eastAsia="zh-CN"/>
                    </w:rPr>
                    <w:t>1</w:t>
                  </w:r>
                </w:p>
              </w:tc>
              <w:tc>
                <w:tcPr>
                  <w:tcW w:w="725" w:type="pct"/>
                  <w:noWrap w:val="0"/>
                  <w:vAlign w:val="center"/>
                </w:tcPr>
                <w:p w14:paraId="322B73DB">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val="0"/>
                      <w:bCs/>
                      <w:i w:val="0"/>
                      <w:color w:val="auto"/>
                      <w:sz w:val="21"/>
                      <w:szCs w:val="21"/>
                      <w:u w:val="none" w:color="auto"/>
                      <w:lang w:val="en-US" w:eastAsia="zh-CN"/>
                    </w:rPr>
                  </w:pPr>
                  <w:r>
                    <w:rPr>
                      <w:rFonts w:hint="eastAsia" w:ascii="Times New Roman" w:hAnsi="Times New Roman" w:eastAsia="宋体" w:cs="Times New Roman"/>
                      <w:b w:val="0"/>
                      <w:bCs/>
                      <w:i w:val="0"/>
                      <w:color w:val="auto"/>
                      <w:sz w:val="21"/>
                      <w:szCs w:val="21"/>
                      <w:u w:val="none" w:color="auto"/>
                      <w:lang w:val="en-US" w:eastAsia="zh-CN"/>
                    </w:rPr>
                    <w:t>0.002</w:t>
                  </w:r>
                  <w:r>
                    <w:rPr>
                      <w:rFonts w:hint="eastAsia" w:cs="Times New Roman"/>
                      <w:b w:val="0"/>
                      <w:bCs/>
                      <w:i w:val="0"/>
                      <w:color w:val="auto"/>
                      <w:sz w:val="21"/>
                      <w:szCs w:val="21"/>
                      <w:u w:val="none" w:color="auto"/>
                      <w:lang w:val="en-US" w:eastAsia="zh-CN"/>
                    </w:rPr>
                    <w:t>4</w:t>
                  </w:r>
                </w:p>
              </w:tc>
              <w:tc>
                <w:tcPr>
                  <w:tcW w:w="876" w:type="pct"/>
                  <w:vMerge w:val="restart"/>
                  <w:noWrap w:val="0"/>
                  <w:vAlign w:val="center"/>
                </w:tcPr>
                <w:p w14:paraId="2B7410EF">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b w:val="0"/>
                      <w:bCs/>
                      <w:i w:val="0"/>
                      <w:color w:val="auto"/>
                      <w:sz w:val="21"/>
                      <w:szCs w:val="21"/>
                      <w:u w:val="none" w:color="auto"/>
                      <w:lang w:val="en-US" w:eastAsia="zh-CN"/>
                    </w:rPr>
                  </w:pPr>
                  <w:r>
                    <w:rPr>
                      <w:rFonts w:hint="eastAsia" w:ascii="Times New Roman" w:hAnsi="Times New Roman" w:eastAsia="宋体" w:cs="Times New Roman"/>
                      <w:b w:val="0"/>
                      <w:bCs/>
                      <w:i w:val="0"/>
                      <w:color w:val="auto"/>
                      <w:sz w:val="21"/>
                      <w:szCs w:val="21"/>
                      <w:u w:val="none" w:color="auto"/>
                      <w:lang w:val="en-US" w:eastAsia="zh-CN"/>
                    </w:rPr>
                    <w:t>封闭、喷洒除臭剂、植被</w:t>
                  </w:r>
                </w:p>
                <w:p w14:paraId="54299ECC">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val="0"/>
                      <w:bCs/>
                      <w:i w:val="0"/>
                      <w:color w:val="auto"/>
                      <w:sz w:val="21"/>
                      <w:szCs w:val="21"/>
                      <w:u w:val="none" w:color="auto"/>
                      <w:lang w:val="en-US" w:eastAsia="zh-CN"/>
                    </w:rPr>
                  </w:pPr>
                  <w:r>
                    <w:rPr>
                      <w:rFonts w:hint="eastAsia" w:ascii="Times New Roman" w:hAnsi="Times New Roman" w:eastAsia="宋体" w:cs="Times New Roman"/>
                      <w:b w:val="0"/>
                      <w:bCs/>
                      <w:i w:val="0"/>
                      <w:color w:val="auto"/>
                      <w:sz w:val="21"/>
                      <w:szCs w:val="21"/>
                      <w:u w:val="none" w:color="auto"/>
                      <w:lang w:val="en-US" w:eastAsia="zh-CN"/>
                    </w:rPr>
                    <w:t>吸附</w:t>
                  </w:r>
                  <w:r>
                    <w:rPr>
                      <w:rFonts w:hint="eastAsia" w:cs="Times New Roman"/>
                      <w:b w:val="0"/>
                      <w:bCs/>
                      <w:i w:val="0"/>
                      <w:color w:val="auto"/>
                      <w:sz w:val="21"/>
                      <w:szCs w:val="21"/>
                      <w:u w:val="none" w:color="auto"/>
                      <w:lang w:val="en-US" w:eastAsia="zh-CN"/>
                    </w:rPr>
                    <w:t>，处理效率按30%计</w:t>
                  </w:r>
                </w:p>
              </w:tc>
              <w:tc>
                <w:tcPr>
                  <w:tcW w:w="619" w:type="pct"/>
                  <w:noWrap w:val="0"/>
                  <w:vAlign w:val="center"/>
                </w:tcPr>
                <w:p w14:paraId="2BA7F9D2">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val="0"/>
                      <w:bCs/>
                      <w:i w:val="0"/>
                      <w:color w:val="auto"/>
                      <w:sz w:val="21"/>
                      <w:szCs w:val="21"/>
                      <w:u w:val="none" w:color="auto"/>
                      <w:lang w:val="en-US" w:eastAsia="zh-CN"/>
                    </w:rPr>
                  </w:pPr>
                  <w:r>
                    <w:rPr>
                      <w:rFonts w:hint="eastAsia" w:ascii="Times New Roman" w:hAnsi="Times New Roman" w:eastAsia="宋体" w:cs="Times New Roman"/>
                      <w:b w:val="0"/>
                      <w:bCs/>
                      <w:i w:val="0"/>
                      <w:color w:val="auto"/>
                      <w:sz w:val="21"/>
                      <w:szCs w:val="21"/>
                      <w:u w:val="none" w:color="auto"/>
                      <w:lang w:val="en-US" w:eastAsia="zh-CN"/>
                    </w:rPr>
                    <w:t>无组织</w:t>
                  </w:r>
                </w:p>
              </w:tc>
              <w:tc>
                <w:tcPr>
                  <w:tcW w:w="1065" w:type="dxa"/>
                  <w:noWrap w:val="0"/>
                  <w:vAlign w:val="center"/>
                </w:tcPr>
                <w:p w14:paraId="6359CD3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val="0"/>
                      <w:bCs/>
                      <w:i w:val="0"/>
                      <w:color w:val="auto"/>
                      <w:sz w:val="21"/>
                      <w:szCs w:val="21"/>
                      <w:u w:val="none" w:color="auto"/>
                      <w:lang w:val="en-US" w:eastAsia="zh-CN"/>
                    </w:rPr>
                  </w:pPr>
                  <w:r>
                    <w:rPr>
                      <w:rFonts w:hint="eastAsia" w:cs="Times New Roman"/>
                      <w:b w:val="0"/>
                      <w:bCs/>
                      <w:i w:val="0"/>
                      <w:color w:val="auto"/>
                      <w:sz w:val="21"/>
                      <w:szCs w:val="21"/>
                      <w:u w:val="none" w:color="auto"/>
                      <w:lang w:val="en-US" w:eastAsia="zh-CN"/>
                    </w:rPr>
                    <w:t>0.0147</w:t>
                  </w:r>
                </w:p>
              </w:tc>
              <w:tc>
                <w:tcPr>
                  <w:tcW w:w="1264" w:type="dxa"/>
                  <w:noWrap w:val="0"/>
                  <w:vAlign w:val="center"/>
                </w:tcPr>
                <w:p w14:paraId="1C61AE43">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val="0"/>
                      <w:bCs/>
                      <w:i w:val="0"/>
                      <w:color w:val="auto"/>
                      <w:sz w:val="21"/>
                      <w:szCs w:val="21"/>
                      <w:u w:val="none" w:color="auto"/>
                      <w:lang w:val="en-US" w:eastAsia="zh-CN"/>
                    </w:rPr>
                  </w:pPr>
                  <w:r>
                    <w:rPr>
                      <w:rFonts w:hint="eastAsia" w:ascii="Times New Roman" w:hAnsi="Times New Roman" w:eastAsia="宋体" w:cs="Times New Roman"/>
                      <w:b w:val="0"/>
                      <w:bCs/>
                      <w:i w:val="0"/>
                      <w:color w:val="auto"/>
                      <w:sz w:val="21"/>
                      <w:szCs w:val="21"/>
                      <w:u w:val="none" w:color="auto"/>
                      <w:lang w:val="en-US" w:eastAsia="zh-CN"/>
                    </w:rPr>
                    <w:t>0.00</w:t>
                  </w:r>
                  <w:r>
                    <w:rPr>
                      <w:rFonts w:hint="eastAsia" w:cs="Times New Roman"/>
                      <w:b w:val="0"/>
                      <w:bCs/>
                      <w:i w:val="0"/>
                      <w:color w:val="auto"/>
                      <w:sz w:val="21"/>
                      <w:szCs w:val="21"/>
                      <w:u w:val="none" w:color="auto"/>
                      <w:lang w:val="en-US" w:eastAsia="zh-CN"/>
                    </w:rPr>
                    <w:t>17</w:t>
                  </w:r>
                </w:p>
              </w:tc>
            </w:tr>
            <w:tr w14:paraId="3AC33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429" w:type="pct"/>
                  <w:vMerge w:val="continue"/>
                  <w:noWrap w:val="0"/>
                  <w:vAlign w:val="center"/>
                </w:tcPr>
                <w:p w14:paraId="6C95BD7D">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val="0"/>
                      <w:bCs/>
                      <w:i w:val="0"/>
                      <w:color w:val="auto"/>
                      <w:sz w:val="21"/>
                      <w:szCs w:val="21"/>
                      <w:u w:val="none" w:color="auto"/>
                      <w:lang w:val="en-US" w:eastAsia="zh-CN"/>
                    </w:rPr>
                  </w:pPr>
                </w:p>
              </w:tc>
              <w:tc>
                <w:tcPr>
                  <w:tcW w:w="467" w:type="pct"/>
                  <w:noWrap w:val="0"/>
                  <w:vAlign w:val="center"/>
                </w:tcPr>
                <w:p w14:paraId="24500A90">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val="0"/>
                      <w:bCs/>
                      <w:i w:val="0"/>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H</w:t>
                  </w:r>
                  <w:r>
                    <w:rPr>
                      <w:rFonts w:hint="default" w:ascii="Times New Roman" w:hAnsi="Times New Roman" w:cs="Times New Roman"/>
                      <w:color w:val="auto"/>
                      <w:sz w:val="21"/>
                      <w:szCs w:val="21"/>
                      <w:u w:val="none" w:color="auto"/>
                      <w:vertAlign w:val="subscript"/>
                      <w:lang w:val="en-US" w:eastAsia="zh-CN"/>
                    </w:rPr>
                    <w:t>2</w:t>
                  </w:r>
                  <w:r>
                    <w:rPr>
                      <w:rFonts w:hint="default" w:ascii="Times New Roman" w:hAnsi="Times New Roman" w:cs="Times New Roman"/>
                      <w:color w:val="auto"/>
                      <w:sz w:val="21"/>
                      <w:szCs w:val="21"/>
                      <w:u w:val="none" w:color="auto"/>
                      <w:lang w:val="en-US" w:eastAsia="zh-CN"/>
                    </w:rPr>
                    <w:t>S</w:t>
                  </w:r>
                </w:p>
              </w:tc>
              <w:tc>
                <w:tcPr>
                  <w:tcW w:w="611" w:type="pct"/>
                  <w:noWrap w:val="0"/>
                  <w:vAlign w:val="center"/>
                </w:tcPr>
                <w:p w14:paraId="03A5A098">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val="0"/>
                      <w:bCs/>
                      <w:i w:val="0"/>
                      <w:color w:val="auto"/>
                      <w:sz w:val="21"/>
                      <w:szCs w:val="21"/>
                      <w:u w:val="none" w:color="auto"/>
                      <w:lang w:val="en-US" w:eastAsia="zh-CN"/>
                    </w:rPr>
                  </w:pPr>
                  <w:r>
                    <w:rPr>
                      <w:rFonts w:hint="eastAsia" w:ascii="Times New Roman" w:hAnsi="Times New Roman" w:eastAsia="宋体" w:cs="Times New Roman"/>
                      <w:b w:val="0"/>
                      <w:bCs/>
                      <w:i w:val="0"/>
                      <w:color w:val="auto"/>
                      <w:sz w:val="21"/>
                      <w:szCs w:val="21"/>
                      <w:u w:val="none" w:color="auto"/>
                      <w:lang w:val="en-US" w:eastAsia="zh-CN"/>
                    </w:rPr>
                    <w:t>0.00088</w:t>
                  </w:r>
                </w:p>
              </w:tc>
              <w:tc>
                <w:tcPr>
                  <w:tcW w:w="725" w:type="pct"/>
                  <w:noWrap w:val="0"/>
                  <w:vAlign w:val="center"/>
                </w:tcPr>
                <w:p w14:paraId="43CF9F7C">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val="0"/>
                      <w:bCs/>
                      <w:i w:val="0"/>
                      <w:color w:val="auto"/>
                      <w:sz w:val="21"/>
                      <w:szCs w:val="21"/>
                      <w:u w:val="none" w:color="auto"/>
                      <w:lang w:val="en-US" w:eastAsia="zh-CN"/>
                    </w:rPr>
                  </w:pPr>
                  <w:r>
                    <w:rPr>
                      <w:rFonts w:hint="eastAsia" w:ascii="Times New Roman" w:hAnsi="Times New Roman" w:eastAsia="宋体" w:cs="Times New Roman"/>
                      <w:b w:val="0"/>
                      <w:bCs/>
                      <w:i w:val="0"/>
                      <w:color w:val="auto"/>
                      <w:sz w:val="21"/>
                      <w:szCs w:val="21"/>
                      <w:u w:val="none" w:color="auto"/>
                      <w:lang w:val="en-US" w:eastAsia="zh-CN"/>
                    </w:rPr>
                    <w:t>0.0001</w:t>
                  </w:r>
                </w:p>
              </w:tc>
              <w:tc>
                <w:tcPr>
                  <w:tcW w:w="876" w:type="pct"/>
                  <w:vMerge w:val="continue"/>
                  <w:noWrap w:val="0"/>
                  <w:vAlign w:val="center"/>
                </w:tcPr>
                <w:p w14:paraId="78BCFBEC">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val="0"/>
                      <w:bCs/>
                      <w:i w:val="0"/>
                      <w:color w:val="auto"/>
                      <w:sz w:val="21"/>
                      <w:szCs w:val="21"/>
                      <w:u w:val="none" w:color="auto"/>
                      <w:lang w:val="en-US" w:eastAsia="zh-CN"/>
                    </w:rPr>
                  </w:pPr>
                </w:p>
              </w:tc>
              <w:tc>
                <w:tcPr>
                  <w:tcW w:w="619" w:type="pct"/>
                  <w:noWrap w:val="0"/>
                  <w:vAlign w:val="center"/>
                </w:tcPr>
                <w:p w14:paraId="15B8C940">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b w:val="0"/>
                      <w:bCs/>
                      <w:i w:val="0"/>
                      <w:color w:val="auto"/>
                      <w:sz w:val="21"/>
                      <w:szCs w:val="21"/>
                      <w:u w:val="none" w:color="auto"/>
                      <w:lang w:val="en-US" w:eastAsia="zh-CN"/>
                    </w:rPr>
                  </w:pPr>
                  <w:r>
                    <w:rPr>
                      <w:rFonts w:hint="eastAsia" w:ascii="Times New Roman" w:hAnsi="Times New Roman" w:eastAsia="宋体" w:cs="Times New Roman"/>
                      <w:b w:val="0"/>
                      <w:bCs/>
                      <w:i w:val="0"/>
                      <w:color w:val="auto"/>
                      <w:sz w:val="21"/>
                      <w:szCs w:val="21"/>
                      <w:u w:val="none" w:color="auto"/>
                      <w:lang w:val="en-US" w:eastAsia="zh-CN"/>
                    </w:rPr>
                    <w:t>无组织</w:t>
                  </w:r>
                </w:p>
              </w:tc>
              <w:tc>
                <w:tcPr>
                  <w:tcW w:w="1065" w:type="dxa"/>
                  <w:noWrap w:val="0"/>
                  <w:vAlign w:val="center"/>
                </w:tcPr>
                <w:p w14:paraId="14DD4439">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val="0"/>
                      <w:bCs/>
                      <w:i w:val="0"/>
                      <w:color w:val="auto"/>
                      <w:sz w:val="21"/>
                      <w:szCs w:val="21"/>
                      <w:u w:val="none" w:color="auto"/>
                      <w:lang w:val="en-US" w:eastAsia="zh-CN"/>
                    </w:rPr>
                  </w:pPr>
                  <w:r>
                    <w:rPr>
                      <w:rFonts w:hint="eastAsia" w:cs="Times New Roman"/>
                      <w:b w:val="0"/>
                      <w:bCs/>
                      <w:i w:val="0"/>
                      <w:color w:val="auto"/>
                      <w:sz w:val="21"/>
                      <w:szCs w:val="21"/>
                      <w:u w:val="none" w:color="auto"/>
                      <w:lang w:val="en-US" w:eastAsia="zh-CN"/>
                    </w:rPr>
                    <w:t>0.000616</w:t>
                  </w:r>
                </w:p>
              </w:tc>
              <w:tc>
                <w:tcPr>
                  <w:tcW w:w="1264" w:type="dxa"/>
                  <w:noWrap w:val="0"/>
                  <w:vAlign w:val="center"/>
                </w:tcPr>
                <w:p w14:paraId="3C3A5CB3">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val="0"/>
                      <w:bCs/>
                      <w:i w:val="0"/>
                      <w:color w:val="auto"/>
                      <w:sz w:val="21"/>
                      <w:szCs w:val="21"/>
                      <w:u w:val="none" w:color="auto"/>
                      <w:lang w:val="en-US" w:eastAsia="zh-CN"/>
                    </w:rPr>
                  </w:pPr>
                  <w:r>
                    <w:rPr>
                      <w:rFonts w:hint="eastAsia" w:ascii="Times New Roman" w:hAnsi="Times New Roman" w:eastAsia="宋体" w:cs="Times New Roman"/>
                      <w:b w:val="0"/>
                      <w:bCs/>
                      <w:i w:val="0"/>
                      <w:color w:val="auto"/>
                      <w:sz w:val="21"/>
                      <w:szCs w:val="21"/>
                      <w:u w:val="none" w:color="auto"/>
                      <w:lang w:val="en-US" w:eastAsia="zh-CN"/>
                    </w:rPr>
                    <w:t>0.000</w:t>
                  </w:r>
                  <w:r>
                    <w:rPr>
                      <w:rFonts w:hint="eastAsia" w:cs="Times New Roman"/>
                      <w:b w:val="0"/>
                      <w:bCs/>
                      <w:i w:val="0"/>
                      <w:color w:val="auto"/>
                      <w:sz w:val="21"/>
                      <w:szCs w:val="21"/>
                      <w:u w:val="none" w:color="auto"/>
                      <w:lang w:val="en-US" w:eastAsia="zh-CN"/>
                    </w:rPr>
                    <w:t>07</w:t>
                  </w:r>
                </w:p>
              </w:tc>
            </w:tr>
          </w:tbl>
          <w:p w14:paraId="537ABB43">
            <w:pPr>
              <w:keepNext w:val="0"/>
              <w:keepLines w:val="0"/>
              <w:pageBreakBefore w:val="0"/>
              <w:widowControl w:val="0"/>
              <w:kinsoku/>
              <w:wordWrap/>
              <w:overflowPunct/>
              <w:topLinePunct w:val="0"/>
              <w:autoSpaceDE/>
              <w:autoSpaceDN/>
              <w:bidi w:val="0"/>
              <w:spacing w:line="360" w:lineRule="auto"/>
              <w:ind w:firstLine="480"/>
              <w:jc w:val="both"/>
              <w:textAlignment w:val="auto"/>
              <w:rPr>
                <w:rFonts w:hint="eastAsia" w:ascii="Times New Roman" w:hAnsi="Times New Roman" w:eastAsia="宋体" w:cs="Times New Roman"/>
                <w:color w:val="auto"/>
                <w:sz w:val="24"/>
                <w:szCs w:val="22"/>
                <w:u w:val="none" w:color="auto"/>
                <w:lang w:val="en-US" w:eastAsia="zh-CN"/>
              </w:rPr>
            </w:pPr>
            <w:r>
              <w:rPr>
                <w:rFonts w:hint="eastAsia" w:ascii="Times New Roman" w:hAnsi="Times New Roman" w:eastAsia="宋体" w:cs="Times New Roman"/>
                <w:color w:val="auto"/>
                <w:sz w:val="24"/>
                <w:szCs w:val="22"/>
                <w:u w:val="none" w:color="auto"/>
                <w:lang w:val="en-US" w:eastAsia="zh-CN"/>
              </w:rPr>
              <w:t>（2）检验室</w:t>
            </w:r>
            <w:r>
              <w:rPr>
                <w:rFonts w:hint="default" w:ascii="Times New Roman" w:hAnsi="Times New Roman" w:eastAsia="宋体" w:cs="Times New Roman"/>
                <w:color w:val="auto"/>
                <w:sz w:val="24"/>
                <w:szCs w:val="22"/>
                <w:u w:val="none" w:color="auto"/>
                <w:lang w:val="en-US" w:eastAsia="zh-CN"/>
              </w:rPr>
              <w:t>废气</w:t>
            </w:r>
          </w:p>
          <w:p w14:paraId="0A1BBCC0">
            <w:pPr>
              <w:keepNext w:val="0"/>
              <w:keepLines w:val="0"/>
              <w:pageBreakBefore w:val="0"/>
              <w:widowControl w:val="0"/>
              <w:kinsoku/>
              <w:wordWrap/>
              <w:overflowPunct/>
              <w:topLinePunct w:val="0"/>
              <w:autoSpaceDE/>
              <w:autoSpaceDN/>
              <w:bidi w:val="0"/>
              <w:spacing w:line="360" w:lineRule="auto"/>
              <w:ind w:firstLine="480"/>
              <w:jc w:val="both"/>
              <w:textAlignment w:val="auto"/>
              <w:rPr>
                <w:rFonts w:hint="default" w:ascii="Times New Roman" w:hAnsi="Times New Roman" w:cs="Times New Roman"/>
                <w:color w:val="auto"/>
                <w:sz w:val="24"/>
                <w:szCs w:val="22"/>
                <w:u w:val="none" w:color="auto"/>
                <w:lang w:val="en-US" w:eastAsia="zh-CN"/>
              </w:rPr>
            </w:pPr>
            <w:r>
              <w:rPr>
                <w:rFonts w:hint="default" w:ascii="Times New Roman" w:hAnsi="Times New Roman" w:eastAsia="宋体" w:cs="Times New Roman"/>
                <w:color w:val="auto"/>
                <w:sz w:val="24"/>
                <w:szCs w:val="22"/>
                <w:u w:val="none" w:color="auto"/>
                <w:lang w:val="en-US" w:eastAsia="zh-CN"/>
              </w:rPr>
              <w:t>本项目</w:t>
            </w:r>
            <w:r>
              <w:rPr>
                <w:rFonts w:hint="eastAsia" w:ascii="Times New Roman" w:hAnsi="Times New Roman" w:cs="Times New Roman"/>
                <w:color w:val="auto"/>
                <w:sz w:val="24"/>
                <w:szCs w:val="22"/>
                <w:u w:val="none" w:color="auto"/>
                <w:lang w:val="en-US" w:eastAsia="zh-CN"/>
              </w:rPr>
              <w:t>检验</w:t>
            </w:r>
            <w:r>
              <w:rPr>
                <w:rFonts w:hint="default" w:ascii="Times New Roman" w:hAnsi="Times New Roman" w:cs="Times New Roman"/>
                <w:color w:val="auto"/>
                <w:sz w:val="24"/>
                <w:szCs w:val="22"/>
                <w:u w:val="none" w:color="auto"/>
                <w:lang w:val="en-US" w:eastAsia="zh-CN"/>
              </w:rPr>
              <w:t>室使用</w:t>
            </w:r>
            <w:r>
              <w:rPr>
                <w:rFonts w:hint="eastAsia" w:ascii="Times New Roman" w:hAnsi="Times New Roman" w:cs="Times New Roman"/>
                <w:color w:val="auto"/>
                <w:sz w:val="24"/>
                <w:szCs w:val="22"/>
                <w:u w:val="none" w:color="auto"/>
                <w:lang w:val="en-US" w:eastAsia="zh-CN"/>
              </w:rPr>
              <w:t>的</w:t>
            </w:r>
            <w:r>
              <w:rPr>
                <w:rFonts w:hint="default" w:ascii="Times New Roman" w:hAnsi="Times New Roman" w:cs="Times New Roman"/>
                <w:color w:val="auto"/>
                <w:sz w:val="24"/>
                <w:szCs w:val="22"/>
                <w:u w:val="none" w:color="auto"/>
                <w:lang w:val="en-US" w:eastAsia="zh-CN"/>
              </w:rPr>
              <w:t>试剂均单独分装，且保存在冰柜内，使用时按需取出。简单化验时使用药剂量较少，且化验时间短，药剂每次使用后立即封盖，可避免药剂挥发和受污染。简单化验过程为滴加药剂进样品进行混合后，置于密封仪器或设备内进行检测和观察。复杂化验采用全自动分析设备，只需将药剂和样品放进设备内，即可自动进行化验得出结果，整个过程均由密闭的设备内进行，因此无废气外溢。项目不涉及使用过氯酸、三氯乙酸等化学清洗剂，不使用氰化物、重铬酸钾、三氧化铬等化学品。但医院仍需做好</w:t>
            </w:r>
            <w:r>
              <w:rPr>
                <w:rFonts w:hint="eastAsia" w:ascii="Times New Roman" w:hAnsi="Times New Roman" w:cs="Times New Roman"/>
                <w:color w:val="auto"/>
                <w:sz w:val="24"/>
                <w:szCs w:val="22"/>
                <w:u w:val="none" w:color="auto"/>
                <w:lang w:val="en-US" w:eastAsia="zh-CN"/>
              </w:rPr>
              <w:t>检验室</w:t>
            </w:r>
            <w:r>
              <w:rPr>
                <w:rFonts w:hint="default" w:ascii="Times New Roman" w:hAnsi="Times New Roman" w:cs="Times New Roman"/>
                <w:color w:val="auto"/>
                <w:sz w:val="24"/>
                <w:szCs w:val="22"/>
                <w:u w:val="none" w:color="auto"/>
                <w:lang w:val="en-US" w:eastAsia="zh-CN"/>
              </w:rPr>
              <w:t>内的消毒卫生工作，确保采取通风扩散稀释后，不会对周围环境造成明显影响。</w:t>
            </w:r>
          </w:p>
          <w:p w14:paraId="26426C47">
            <w:pPr>
              <w:keepNext w:val="0"/>
              <w:keepLines w:val="0"/>
              <w:pageBreakBefore w:val="0"/>
              <w:widowControl w:val="0"/>
              <w:kinsoku/>
              <w:wordWrap/>
              <w:overflowPunct/>
              <w:topLinePunct w:val="0"/>
              <w:autoSpaceDE/>
              <w:autoSpaceDN/>
              <w:bidi w:val="0"/>
              <w:spacing w:line="360" w:lineRule="auto"/>
              <w:ind w:firstLine="480"/>
              <w:jc w:val="both"/>
              <w:textAlignment w:val="auto"/>
              <w:rPr>
                <w:rFonts w:hint="default" w:ascii="Times New Roman" w:hAnsi="Times New Roman" w:cs="Times New Roman"/>
                <w:color w:val="auto"/>
                <w:sz w:val="24"/>
                <w:szCs w:val="22"/>
                <w:u w:val="none" w:color="auto"/>
                <w:lang w:val="en-US" w:eastAsia="zh-CN"/>
              </w:rPr>
            </w:pPr>
            <w:r>
              <w:rPr>
                <w:rFonts w:hint="default" w:ascii="Times New Roman" w:hAnsi="Times New Roman" w:cs="Times New Roman"/>
                <w:color w:val="auto"/>
                <w:sz w:val="24"/>
                <w:szCs w:val="22"/>
                <w:u w:val="none" w:color="auto"/>
                <w:lang w:val="en-US" w:eastAsia="zh-CN"/>
              </w:rPr>
              <w:t>（</w:t>
            </w:r>
            <w:r>
              <w:rPr>
                <w:rFonts w:hint="eastAsia" w:ascii="Times New Roman" w:hAnsi="Times New Roman" w:cs="Times New Roman"/>
                <w:color w:val="auto"/>
                <w:sz w:val="24"/>
                <w:szCs w:val="22"/>
                <w:u w:val="none" w:color="auto"/>
                <w:lang w:val="en-US" w:eastAsia="zh-CN"/>
              </w:rPr>
              <w:t>3</w:t>
            </w:r>
            <w:r>
              <w:rPr>
                <w:rFonts w:hint="default" w:ascii="Times New Roman" w:hAnsi="Times New Roman" w:cs="Times New Roman"/>
                <w:color w:val="auto"/>
                <w:sz w:val="24"/>
                <w:szCs w:val="22"/>
                <w:u w:val="none" w:color="auto"/>
                <w:lang w:val="en-US" w:eastAsia="zh-CN"/>
              </w:rPr>
              <w:t>）带病原微生物的气溶胶</w:t>
            </w:r>
          </w:p>
          <w:p w14:paraId="3DD1D5B6">
            <w:pPr>
              <w:keepNext w:val="0"/>
              <w:keepLines w:val="0"/>
              <w:pageBreakBefore w:val="0"/>
              <w:widowControl w:val="0"/>
              <w:kinsoku/>
              <w:wordWrap/>
              <w:overflowPunct/>
              <w:topLinePunct w:val="0"/>
              <w:autoSpaceDE/>
              <w:autoSpaceDN/>
              <w:bidi w:val="0"/>
              <w:spacing w:line="360" w:lineRule="auto"/>
              <w:ind w:firstLine="480"/>
              <w:jc w:val="both"/>
              <w:textAlignment w:val="auto"/>
              <w:rPr>
                <w:rFonts w:hint="default" w:ascii="Times New Roman" w:hAnsi="Times New Roman" w:cs="Times New Roman"/>
                <w:color w:val="auto"/>
                <w:sz w:val="24"/>
                <w:szCs w:val="22"/>
                <w:u w:val="none" w:color="auto"/>
                <w:lang w:val="en-US" w:eastAsia="zh-CN"/>
              </w:rPr>
            </w:pPr>
            <w:r>
              <w:rPr>
                <w:rFonts w:hint="default" w:ascii="Times New Roman" w:hAnsi="Times New Roman" w:cs="Times New Roman"/>
                <w:color w:val="auto"/>
                <w:sz w:val="24"/>
                <w:szCs w:val="22"/>
                <w:u w:val="none" w:color="auto"/>
                <w:lang w:val="en-US" w:eastAsia="zh-CN"/>
              </w:rPr>
              <w:t>本项目病房等在</w:t>
            </w:r>
            <w:r>
              <w:rPr>
                <w:rFonts w:hint="eastAsia" w:ascii="Times New Roman" w:hAnsi="Times New Roman" w:cs="Times New Roman"/>
                <w:color w:val="auto"/>
                <w:sz w:val="24"/>
                <w:szCs w:val="22"/>
                <w:u w:val="none" w:color="auto"/>
                <w:lang w:val="en-US" w:eastAsia="zh-CN"/>
              </w:rPr>
              <w:t>使用</w:t>
            </w:r>
            <w:r>
              <w:rPr>
                <w:rFonts w:hint="default" w:ascii="Times New Roman" w:hAnsi="Times New Roman" w:cs="Times New Roman"/>
                <w:color w:val="auto"/>
                <w:sz w:val="24"/>
                <w:szCs w:val="22"/>
                <w:u w:val="none" w:color="auto"/>
                <w:lang w:val="en-US" w:eastAsia="zh-CN"/>
              </w:rPr>
              <w:t>过程中可能会产生带病原微生物的气溶胶。医院应从源头控制带病原微生物的气溶胶的排放，定时对病房等进行消毒，确保室内通风次数，保证其空气环境质量。医院室内空气经通风系统</w:t>
            </w:r>
            <w:r>
              <w:rPr>
                <w:rFonts w:hint="eastAsia" w:ascii="Times New Roman" w:hAnsi="Times New Roman" w:cs="Times New Roman"/>
                <w:color w:val="auto"/>
                <w:sz w:val="24"/>
                <w:szCs w:val="22"/>
                <w:u w:val="none" w:color="auto"/>
                <w:lang w:val="en-US" w:eastAsia="zh-CN"/>
              </w:rPr>
              <w:t>消毒</w:t>
            </w:r>
            <w:r>
              <w:rPr>
                <w:rFonts w:hint="default" w:ascii="Times New Roman" w:hAnsi="Times New Roman" w:cs="Times New Roman"/>
                <w:color w:val="auto"/>
                <w:sz w:val="24"/>
                <w:szCs w:val="22"/>
                <w:u w:val="none" w:color="auto"/>
                <w:lang w:val="en-US" w:eastAsia="zh-CN"/>
              </w:rPr>
              <w:t>处理后排放。</w:t>
            </w:r>
          </w:p>
          <w:p w14:paraId="07026DA0">
            <w:pPr>
              <w:keepNext w:val="0"/>
              <w:keepLines w:val="0"/>
              <w:pageBreakBefore w:val="0"/>
              <w:widowControl w:val="0"/>
              <w:kinsoku/>
              <w:wordWrap/>
              <w:overflowPunct/>
              <w:topLinePunct w:val="0"/>
              <w:autoSpaceDE/>
              <w:autoSpaceDN/>
              <w:bidi w:val="0"/>
              <w:spacing w:line="360" w:lineRule="auto"/>
              <w:ind w:firstLine="480"/>
              <w:jc w:val="both"/>
              <w:textAlignment w:val="auto"/>
              <w:rPr>
                <w:rFonts w:hint="default" w:ascii="Times New Roman" w:hAnsi="Times New Roman" w:eastAsia="宋体" w:cs="Times New Roman"/>
                <w:color w:val="auto"/>
                <w:sz w:val="24"/>
                <w:szCs w:val="22"/>
                <w:u w:val="none" w:color="auto"/>
                <w:lang w:val="en-US" w:eastAsia="zh-CN"/>
              </w:rPr>
            </w:pPr>
            <w:r>
              <w:rPr>
                <w:rFonts w:hint="eastAsia" w:ascii="Times New Roman" w:hAnsi="Times New Roman" w:eastAsia="宋体" w:cs="Times New Roman"/>
                <w:color w:val="auto"/>
                <w:sz w:val="24"/>
                <w:szCs w:val="22"/>
                <w:u w:val="none" w:color="auto"/>
                <w:lang w:val="en-US" w:eastAsia="zh-CN"/>
              </w:rPr>
              <w:t xml:space="preserve">（4）柴油发电机废气 </w:t>
            </w:r>
          </w:p>
          <w:p w14:paraId="72AEFF5B">
            <w:pPr>
              <w:keepNext w:val="0"/>
              <w:keepLines w:val="0"/>
              <w:pageBreakBefore w:val="0"/>
              <w:widowControl w:val="0"/>
              <w:kinsoku/>
              <w:wordWrap/>
              <w:overflowPunct/>
              <w:topLinePunct w:val="0"/>
              <w:autoSpaceDE/>
              <w:autoSpaceDN/>
              <w:bidi w:val="0"/>
              <w:spacing w:line="360" w:lineRule="auto"/>
              <w:ind w:firstLine="480"/>
              <w:jc w:val="both"/>
              <w:textAlignment w:val="auto"/>
              <w:rPr>
                <w:rFonts w:hint="eastAsia" w:ascii="Times New Roman" w:hAnsi="Times New Roman" w:eastAsia="宋体" w:cs="Times New Roman"/>
                <w:color w:val="auto"/>
                <w:sz w:val="24"/>
                <w:szCs w:val="22"/>
                <w:u w:val="none" w:color="auto"/>
                <w:lang w:val="en-US" w:eastAsia="zh-CN"/>
              </w:rPr>
            </w:pPr>
            <w:r>
              <w:rPr>
                <w:rFonts w:hint="eastAsia" w:ascii="Times New Roman" w:hAnsi="Times New Roman" w:eastAsia="宋体" w:cs="Times New Roman"/>
                <w:color w:val="auto"/>
                <w:sz w:val="24"/>
                <w:szCs w:val="22"/>
                <w:u w:val="none" w:color="auto"/>
                <w:lang w:val="en-US" w:eastAsia="zh-CN"/>
              </w:rPr>
              <w:t>当城市片区电网停电时，柴油发电机房的柴油发电机将投入运行，为医院提供必要的照明和动力短时供电。柴油发电机使用过程会产生废气，主要污染物为</w:t>
            </w:r>
            <w:r>
              <w:rPr>
                <w:rFonts w:hint="eastAsia" w:cs="Times New Roman"/>
                <w:color w:val="auto"/>
                <w:sz w:val="24"/>
                <w:szCs w:val="24"/>
                <w:highlight w:val="none"/>
                <w:u w:val="none"/>
                <w:lang w:val="en-US" w:eastAsia="zh-CN"/>
              </w:rPr>
              <w:t>颗粒物</w:t>
            </w:r>
            <w:r>
              <w:rPr>
                <w:rFonts w:hint="eastAsia" w:ascii="Times New Roman" w:hAnsi="Times New Roman" w:cs="Times New Roman"/>
                <w:color w:val="auto"/>
                <w:sz w:val="24"/>
                <w:szCs w:val="24"/>
                <w:highlight w:val="none"/>
                <w:u w:val="none"/>
                <w:lang w:val="en-US" w:eastAsia="zh-CN"/>
              </w:rPr>
              <w:t>、</w:t>
            </w:r>
            <w:r>
              <w:rPr>
                <w:rFonts w:hint="default" w:ascii="Times New Roman" w:hAnsi="Times New Roman" w:cs="Times New Roman"/>
                <w:color w:val="auto"/>
                <w:sz w:val="24"/>
                <w:szCs w:val="24"/>
                <w:highlight w:val="none"/>
                <w:u w:val="none"/>
                <w:lang w:val="en-US" w:eastAsia="zh-CN"/>
              </w:rPr>
              <w:t>NOx、SO</w:t>
            </w:r>
            <w:r>
              <w:rPr>
                <w:rFonts w:hint="default" w:ascii="Times New Roman" w:hAnsi="Times New Roman" w:cs="Times New Roman"/>
                <w:color w:val="auto"/>
                <w:sz w:val="24"/>
                <w:szCs w:val="24"/>
                <w:highlight w:val="none"/>
                <w:u w:val="none"/>
                <w:vertAlign w:val="subscript"/>
                <w:lang w:val="en-US" w:eastAsia="zh-CN"/>
              </w:rPr>
              <w:t>2</w:t>
            </w:r>
            <w:r>
              <w:rPr>
                <w:rFonts w:hint="eastAsia" w:ascii="Times New Roman" w:hAnsi="Times New Roman" w:eastAsia="宋体" w:cs="Times New Roman"/>
                <w:color w:val="auto"/>
                <w:sz w:val="24"/>
                <w:szCs w:val="22"/>
                <w:u w:val="none" w:color="auto"/>
                <w:lang w:val="en-US" w:eastAsia="zh-CN"/>
              </w:rPr>
              <w:t>，柴油发电机废气经机械通风系统排放，本环评不</w:t>
            </w:r>
            <w:r>
              <w:rPr>
                <w:rFonts w:hint="eastAsia" w:cs="Times New Roman"/>
                <w:color w:val="auto"/>
                <w:sz w:val="24"/>
                <w:szCs w:val="22"/>
                <w:u w:val="none" w:color="auto"/>
                <w:lang w:val="en-US" w:eastAsia="zh-CN"/>
              </w:rPr>
              <w:t>做</w:t>
            </w:r>
            <w:r>
              <w:rPr>
                <w:rFonts w:hint="eastAsia" w:ascii="Times New Roman" w:hAnsi="Times New Roman" w:eastAsia="宋体" w:cs="Times New Roman"/>
                <w:color w:val="auto"/>
                <w:sz w:val="24"/>
                <w:szCs w:val="22"/>
                <w:u w:val="none" w:color="auto"/>
                <w:lang w:val="en-US" w:eastAsia="zh-CN"/>
              </w:rPr>
              <w:t>定量分析。</w:t>
            </w:r>
          </w:p>
          <w:p w14:paraId="5EA2ABD2">
            <w:pPr>
              <w:keepNext w:val="0"/>
              <w:keepLines w:val="0"/>
              <w:pageBreakBefore w:val="0"/>
              <w:widowControl w:val="0"/>
              <w:kinsoku/>
              <w:wordWrap/>
              <w:overflowPunct/>
              <w:topLinePunct w:val="0"/>
              <w:autoSpaceDE/>
              <w:autoSpaceDN/>
              <w:bidi w:val="0"/>
              <w:spacing w:line="360" w:lineRule="auto"/>
              <w:ind w:firstLine="480"/>
              <w:jc w:val="both"/>
              <w:textAlignment w:val="auto"/>
              <w:rPr>
                <w:rFonts w:hint="default" w:ascii="Times New Roman" w:hAnsi="Times New Roman" w:eastAsia="宋体" w:cs="Times New Roman"/>
                <w:color w:val="auto"/>
                <w:sz w:val="24"/>
                <w:szCs w:val="22"/>
                <w:u w:val="none" w:color="auto"/>
                <w:lang w:val="en-US" w:eastAsia="zh-CN"/>
              </w:rPr>
            </w:pPr>
            <w:r>
              <w:rPr>
                <w:rFonts w:hint="eastAsia" w:ascii="宋体" w:hAnsi="宋体" w:eastAsia="宋体" w:cs="宋体"/>
                <w:color w:val="auto"/>
                <w:kern w:val="0"/>
                <w:sz w:val="24"/>
                <w:szCs w:val="24"/>
                <w:highlight w:val="none"/>
                <w:u w:val="none" w:color="auto"/>
                <w:lang w:val="en-US" w:eastAsia="zh-CN" w:bidi="ar"/>
              </w:rPr>
              <w:t>（</w:t>
            </w:r>
            <w:r>
              <w:rPr>
                <w:rFonts w:hint="eastAsia" w:ascii="Times New Roman" w:hAnsi="Times New Roman" w:eastAsia="宋体" w:cs="Times New Roman"/>
                <w:color w:val="auto"/>
                <w:sz w:val="24"/>
                <w:szCs w:val="22"/>
                <w:u w:val="none" w:color="auto"/>
                <w:lang w:val="en-US" w:eastAsia="zh-CN"/>
              </w:rPr>
              <w:t>5）</w:t>
            </w:r>
            <w:r>
              <w:rPr>
                <w:rFonts w:hint="eastAsia" w:cs="Times New Roman"/>
                <w:color w:val="auto"/>
                <w:sz w:val="24"/>
                <w:szCs w:val="22"/>
                <w:u w:val="none" w:color="auto"/>
                <w:lang w:val="en-US" w:eastAsia="zh-CN"/>
              </w:rPr>
              <w:t>中药煎药室废气</w:t>
            </w:r>
          </w:p>
          <w:p w14:paraId="6F1C972F">
            <w:pPr>
              <w:keepNext w:val="0"/>
              <w:keepLines w:val="0"/>
              <w:pageBreakBefore w:val="0"/>
              <w:widowControl w:val="0"/>
              <w:kinsoku/>
              <w:wordWrap/>
              <w:overflowPunct/>
              <w:topLinePunct w:val="0"/>
              <w:autoSpaceDE/>
              <w:autoSpaceDN/>
              <w:bidi w:val="0"/>
              <w:spacing w:line="360" w:lineRule="auto"/>
              <w:ind w:firstLine="480"/>
              <w:jc w:val="both"/>
              <w:textAlignment w:val="auto"/>
              <w:rPr>
                <w:rFonts w:hint="eastAsia" w:cs="Times New Roman"/>
                <w:color w:val="auto"/>
                <w:sz w:val="24"/>
                <w:szCs w:val="22"/>
                <w:u w:val="none" w:color="auto"/>
                <w:lang w:val="en-US" w:eastAsia="zh-CN"/>
              </w:rPr>
            </w:pPr>
            <w:r>
              <w:rPr>
                <w:rFonts w:hint="eastAsia" w:cs="Times New Roman"/>
                <w:color w:val="auto"/>
                <w:sz w:val="24"/>
                <w:szCs w:val="22"/>
                <w:u w:val="none" w:color="auto"/>
                <w:lang w:val="en-US" w:eastAsia="zh-CN"/>
              </w:rPr>
              <w:t>中药煎药室废气主要是煎煮中药产生的异味，</w:t>
            </w:r>
            <w:r>
              <w:rPr>
                <w:rFonts w:hint="eastAsia" w:ascii="Times New Roman" w:hAnsi="Times New Roman" w:eastAsia="宋体" w:cs="Times New Roman"/>
                <w:color w:val="auto"/>
                <w:sz w:val="24"/>
                <w:szCs w:val="22"/>
                <w:u w:val="none" w:color="auto"/>
                <w:lang w:val="en-US" w:eastAsia="zh-CN"/>
              </w:rPr>
              <w:t>本环评不</w:t>
            </w:r>
            <w:r>
              <w:rPr>
                <w:rFonts w:hint="eastAsia" w:cs="Times New Roman"/>
                <w:color w:val="auto"/>
                <w:sz w:val="24"/>
                <w:szCs w:val="22"/>
                <w:u w:val="none" w:color="auto"/>
                <w:lang w:val="en-US" w:eastAsia="zh-CN"/>
              </w:rPr>
              <w:t>做</w:t>
            </w:r>
            <w:r>
              <w:rPr>
                <w:rFonts w:hint="eastAsia" w:ascii="Times New Roman" w:hAnsi="Times New Roman" w:eastAsia="宋体" w:cs="Times New Roman"/>
                <w:color w:val="auto"/>
                <w:sz w:val="24"/>
                <w:szCs w:val="22"/>
                <w:u w:val="none" w:color="auto"/>
                <w:lang w:val="en-US" w:eastAsia="zh-CN"/>
              </w:rPr>
              <w:t>定量分析</w:t>
            </w:r>
            <w:r>
              <w:rPr>
                <w:rFonts w:hint="eastAsia" w:cs="Times New Roman"/>
                <w:color w:val="auto"/>
                <w:sz w:val="24"/>
                <w:szCs w:val="22"/>
                <w:u w:val="none" w:color="auto"/>
                <w:lang w:val="en-US" w:eastAsia="zh-CN"/>
              </w:rPr>
              <w:t>，加强煎药室通风。</w:t>
            </w:r>
          </w:p>
          <w:p w14:paraId="4B43FED7">
            <w:pPr>
              <w:keepNext w:val="0"/>
              <w:keepLines w:val="0"/>
              <w:pageBreakBefore w:val="0"/>
              <w:widowControl w:val="0"/>
              <w:kinsoku/>
              <w:wordWrap/>
              <w:overflowPunct/>
              <w:topLinePunct w:val="0"/>
              <w:autoSpaceDE/>
              <w:autoSpaceDN/>
              <w:bidi w:val="0"/>
              <w:spacing w:line="360" w:lineRule="auto"/>
              <w:ind w:firstLine="480"/>
              <w:jc w:val="both"/>
              <w:textAlignment w:val="auto"/>
              <w:rPr>
                <w:rFonts w:hint="default" w:ascii="Times New Roman" w:hAnsi="Times New Roman" w:eastAsia="宋体" w:cs="Times New Roman"/>
                <w:color w:val="auto"/>
                <w:sz w:val="24"/>
                <w:szCs w:val="22"/>
                <w:u w:val="none" w:color="auto"/>
                <w:lang w:val="en-US" w:eastAsia="zh-CN"/>
              </w:rPr>
            </w:pPr>
            <w:r>
              <w:rPr>
                <w:rFonts w:hint="eastAsia" w:ascii="宋体" w:hAnsi="宋体" w:eastAsia="宋体" w:cs="宋体"/>
                <w:color w:val="auto"/>
                <w:kern w:val="0"/>
                <w:sz w:val="24"/>
                <w:szCs w:val="24"/>
                <w:highlight w:val="none"/>
                <w:u w:val="none" w:color="auto"/>
                <w:lang w:val="en-US" w:eastAsia="zh-CN" w:bidi="ar"/>
              </w:rPr>
              <w:t>（</w:t>
            </w:r>
            <w:r>
              <w:rPr>
                <w:rFonts w:hint="eastAsia" w:cs="Times New Roman"/>
                <w:color w:val="auto"/>
                <w:sz w:val="24"/>
                <w:szCs w:val="22"/>
                <w:u w:val="none" w:color="auto"/>
                <w:lang w:val="en-US" w:eastAsia="zh-CN"/>
              </w:rPr>
              <w:t>6</w:t>
            </w:r>
            <w:r>
              <w:rPr>
                <w:rFonts w:hint="eastAsia" w:ascii="Times New Roman" w:hAnsi="Times New Roman" w:eastAsia="宋体" w:cs="Times New Roman"/>
                <w:color w:val="auto"/>
                <w:sz w:val="24"/>
                <w:szCs w:val="22"/>
                <w:u w:val="none" w:color="auto"/>
                <w:lang w:val="en-US" w:eastAsia="zh-CN"/>
              </w:rPr>
              <w:t>）食堂油烟</w:t>
            </w:r>
          </w:p>
          <w:p w14:paraId="652FFEE4">
            <w:pPr>
              <w:keepNext w:val="0"/>
              <w:keepLines w:val="0"/>
              <w:pageBreakBefore w:val="0"/>
              <w:widowControl w:val="0"/>
              <w:kinsoku/>
              <w:wordWrap/>
              <w:overflowPunct/>
              <w:topLinePunct w:val="0"/>
              <w:autoSpaceDE/>
              <w:autoSpaceDN/>
              <w:bidi w:val="0"/>
              <w:spacing w:line="360" w:lineRule="auto"/>
              <w:ind w:firstLine="480"/>
              <w:jc w:val="both"/>
              <w:textAlignment w:val="auto"/>
              <w:rPr>
                <w:rFonts w:hint="default" w:ascii="Times New Roman" w:hAnsi="Times New Roman" w:eastAsia="宋体" w:cs="Times New Roman"/>
                <w:color w:val="auto"/>
                <w:sz w:val="24"/>
                <w:szCs w:val="22"/>
                <w:u w:val="none" w:color="auto"/>
                <w:lang w:val="en-US" w:eastAsia="zh-CN"/>
              </w:rPr>
            </w:pPr>
            <w:r>
              <w:rPr>
                <w:rFonts w:hint="eastAsia" w:ascii="Times New Roman" w:hAnsi="Times New Roman" w:eastAsia="宋体" w:cs="Times New Roman"/>
                <w:color w:val="auto"/>
                <w:sz w:val="24"/>
                <w:szCs w:val="22"/>
                <w:u w:val="none" w:color="auto"/>
                <w:lang w:val="en-US" w:eastAsia="zh-CN"/>
              </w:rPr>
              <w:t>本项目设有食堂</w:t>
            </w:r>
            <w:r>
              <w:rPr>
                <w:rFonts w:hint="default" w:ascii="Times New Roman" w:hAnsi="Times New Roman" w:eastAsia="宋体" w:cs="Times New Roman"/>
                <w:color w:val="auto"/>
                <w:sz w:val="24"/>
                <w:szCs w:val="22"/>
                <w:u w:val="none" w:color="auto"/>
                <w:lang w:val="en-US" w:eastAsia="zh-CN"/>
              </w:rPr>
              <w:t>，</w:t>
            </w:r>
            <w:r>
              <w:rPr>
                <w:rFonts w:hint="eastAsia" w:ascii="Times New Roman" w:hAnsi="Times New Roman" w:eastAsia="宋体" w:cs="Times New Roman"/>
                <w:color w:val="auto"/>
                <w:sz w:val="24"/>
                <w:szCs w:val="22"/>
                <w:u w:val="none" w:color="auto"/>
                <w:lang w:val="en-US" w:eastAsia="zh-CN"/>
              </w:rPr>
              <w:t>使用液化气等清洁能源，项目</w:t>
            </w:r>
            <w:r>
              <w:rPr>
                <w:rFonts w:hint="default" w:ascii="Times New Roman" w:hAnsi="Times New Roman" w:eastAsia="宋体" w:cs="Times New Roman"/>
                <w:color w:val="auto"/>
                <w:sz w:val="24"/>
                <w:szCs w:val="22"/>
                <w:u w:val="none" w:color="auto"/>
                <w:lang w:val="en-US" w:eastAsia="zh-CN"/>
              </w:rPr>
              <w:t>食堂</w:t>
            </w:r>
            <w:r>
              <w:rPr>
                <w:rFonts w:hint="eastAsia" w:ascii="Times New Roman" w:hAnsi="Times New Roman" w:eastAsia="宋体" w:cs="Times New Roman"/>
                <w:color w:val="auto"/>
                <w:sz w:val="24"/>
                <w:szCs w:val="22"/>
                <w:u w:val="none" w:color="auto"/>
                <w:lang w:val="en-US" w:eastAsia="zh-CN"/>
              </w:rPr>
              <w:t>每日最大</w:t>
            </w:r>
            <w:r>
              <w:rPr>
                <w:rFonts w:hint="default" w:ascii="Times New Roman" w:hAnsi="Times New Roman" w:eastAsia="宋体" w:cs="Times New Roman"/>
                <w:color w:val="auto"/>
                <w:sz w:val="24"/>
                <w:szCs w:val="22"/>
                <w:u w:val="none" w:color="auto"/>
                <w:lang w:val="en-US" w:eastAsia="zh-CN"/>
              </w:rPr>
              <w:t>就餐人数</w:t>
            </w:r>
            <w:r>
              <w:rPr>
                <w:rFonts w:hint="eastAsia" w:ascii="Times New Roman" w:hAnsi="Times New Roman" w:eastAsia="宋体" w:cs="Times New Roman"/>
                <w:color w:val="auto"/>
                <w:sz w:val="24"/>
                <w:szCs w:val="22"/>
                <w:u w:val="none" w:color="auto"/>
                <w:lang w:val="en-US" w:eastAsia="zh-CN"/>
              </w:rPr>
              <w:t>按800</w:t>
            </w:r>
            <w:r>
              <w:rPr>
                <w:rFonts w:hint="default" w:ascii="Times New Roman" w:hAnsi="Times New Roman" w:eastAsia="宋体" w:cs="Times New Roman"/>
                <w:color w:val="auto"/>
                <w:sz w:val="24"/>
                <w:szCs w:val="22"/>
                <w:u w:val="none" w:color="auto"/>
                <w:lang w:val="en-US" w:eastAsia="zh-CN"/>
              </w:rPr>
              <w:t>人</w:t>
            </w:r>
            <w:r>
              <w:rPr>
                <w:rFonts w:hint="eastAsia" w:ascii="Times New Roman" w:hAnsi="Times New Roman" w:eastAsia="宋体" w:cs="Times New Roman"/>
                <w:color w:val="auto"/>
                <w:sz w:val="24"/>
                <w:szCs w:val="22"/>
                <w:u w:val="none" w:color="auto"/>
                <w:lang w:val="en-US" w:eastAsia="zh-CN"/>
              </w:rPr>
              <w:t>计</w:t>
            </w:r>
            <w:r>
              <w:rPr>
                <w:rFonts w:hint="default" w:ascii="Times New Roman" w:hAnsi="Times New Roman" w:eastAsia="宋体" w:cs="Times New Roman"/>
                <w:color w:val="auto"/>
                <w:sz w:val="24"/>
                <w:szCs w:val="22"/>
                <w:u w:val="none" w:color="auto"/>
                <w:lang w:val="en-US" w:eastAsia="zh-CN"/>
              </w:rPr>
              <w:t>，</w:t>
            </w:r>
            <w:r>
              <w:rPr>
                <w:rFonts w:hint="eastAsia" w:ascii="Times New Roman" w:hAnsi="Times New Roman" w:eastAsia="宋体" w:cs="Times New Roman"/>
                <w:color w:val="auto"/>
                <w:sz w:val="24"/>
                <w:szCs w:val="22"/>
                <w:u w:val="none" w:color="auto"/>
                <w:lang w:val="en-US" w:eastAsia="zh-CN"/>
              </w:rPr>
              <w:t>年运营365天，每年运行2190小时，每天运行6小时（主要集中在</w:t>
            </w:r>
            <w:r>
              <w:rPr>
                <w:rFonts w:hint="default" w:ascii="Times New Roman" w:hAnsi="Times New Roman" w:eastAsia="宋体" w:cs="Times New Roman"/>
                <w:color w:val="auto"/>
                <w:sz w:val="24"/>
                <w:szCs w:val="22"/>
                <w:u w:val="none" w:color="auto"/>
                <w:lang w:val="en-US" w:eastAsia="zh-CN"/>
              </w:rPr>
              <w:t>6:00~8:00</w:t>
            </w:r>
            <w:r>
              <w:rPr>
                <w:rFonts w:hint="eastAsia" w:ascii="Times New Roman" w:hAnsi="Times New Roman" w:eastAsia="宋体" w:cs="Times New Roman"/>
                <w:color w:val="auto"/>
                <w:sz w:val="24"/>
                <w:szCs w:val="22"/>
                <w:u w:val="none" w:color="auto"/>
                <w:lang w:val="en-US" w:eastAsia="zh-CN"/>
              </w:rPr>
              <w:t>、</w:t>
            </w:r>
            <w:r>
              <w:rPr>
                <w:rFonts w:hint="default" w:ascii="Times New Roman" w:hAnsi="Times New Roman" w:eastAsia="宋体" w:cs="Times New Roman"/>
                <w:color w:val="auto"/>
                <w:sz w:val="24"/>
                <w:szCs w:val="22"/>
                <w:u w:val="none" w:color="auto"/>
                <w:lang w:val="en-US" w:eastAsia="zh-CN"/>
              </w:rPr>
              <w:t>10:00~12:00</w:t>
            </w:r>
            <w:r>
              <w:rPr>
                <w:rFonts w:hint="eastAsia" w:ascii="Times New Roman" w:hAnsi="Times New Roman" w:eastAsia="宋体" w:cs="Times New Roman"/>
                <w:color w:val="auto"/>
                <w:sz w:val="24"/>
                <w:szCs w:val="22"/>
                <w:u w:val="none" w:color="auto"/>
                <w:lang w:val="en-US" w:eastAsia="zh-CN"/>
              </w:rPr>
              <w:t>、15:00~17:00三个时间段）。本环评采用一般厨房的食用油耗油系数，即</w:t>
            </w:r>
            <w:r>
              <w:rPr>
                <w:rFonts w:hint="default" w:ascii="Times New Roman" w:hAnsi="Times New Roman" w:eastAsia="宋体" w:cs="Times New Roman"/>
                <w:color w:val="auto"/>
                <w:sz w:val="24"/>
                <w:szCs w:val="22"/>
                <w:u w:val="none" w:color="auto"/>
                <w:lang w:val="en-US" w:eastAsia="zh-CN"/>
              </w:rPr>
              <w:t>30g/</w:t>
            </w:r>
            <w:r>
              <w:rPr>
                <w:rFonts w:hint="eastAsia" w:ascii="Times New Roman" w:hAnsi="Times New Roman" w:eastAsia="宋体" w:cs="Times New Roman"/>
                <w:color w:val="auto"/>
                <w:sz w:val="24"/>
                <w:szCs w:val="22"/>
                <w:u w:val="none" w:color="auto"/>
                <w:lang w:val="en-US" w:eastAsia="zh-CN"/>
              </w:rPr>
              <w:t>人</w:t>
            </w:r>
            <w:r>
              <w:rPr>
                <w:rFonts w:hint="default" w:ascii="Times New Roman" w:hAnsi="Times New Roman" w:eastAsia="宋体" w:cs="Times New Roman"/>
                <w:color w:val="auto"/>
                <w:sz w:val="24"/>
                <w:szCs w:val="22"/>
                <w:u w:val="none" w:color="auto"/>
                <w:lang w:val="en-US" w:eastAsia="zh-CN"/>
              </w:rPr>
              <w:t>*d</w:t>
            </w:r>
            <w:r>
              <w:rPr>
                <w:rFonts w:hint="eastAsia" w:ascii="Times New Roman" w:hAnsi="Times New Roman" w:eastAsia="宋体" w:cs="Times New Roman"/>
                <w:color w:val="auto"/>
                <w:sz w:val="24"/>
                <w:szCs w:val="22"/>
                <w:u w:val="none" w:color="auto"/>
                <w:lang w:val="en-US" w:eastAsia="zh-CN"/>
              </w:rPr>
              <w:t>，一般情况下油烟挥发量占总耗油量的</w:t>
            </w:r>
            <w:r>
              <w:rPr>
                <w:rFonts w:hint="default" w:ascii="Times New Roman" w:hAnsi="Times New Roman" w:eastAsia="宋体" w:cs="Times New Roman"/>
                <w:color w:val="auto"/>
                <w:sz w:val="24"/>
                <w:szCs w:val="22"/>
                <w:u w:val="none" w:color="auto"/>
                <w:lang w:val="en-US" w:eastAsia="zh-CN"/>
              </w:rPr>
              <w:t>1</w:t>
            </w:r>
            <w:r>
              <w:rPr>
                <w:rFonts w:hint="eastAsia" w:cs="Times New Roman"/>
                <w:color w:val="auto"/>
                <w:sz w:val="24"/>
                <w:szCs w:val="22"/>
                <w:u w:val="none" w:color="auto"/>
                <w:lang w:val="en-US" w:eastAsia="zh-CN"/>
              </w:rPr>
              <w:t>%～</w:t>
            </w:r>
            <w:r>
              <w:rPr>
                <w:rFonts w:hint="default" w:ascii="Times New Roman" w:hAnsi="Times New Roman" w:eastAsia="宋体" w:cs="Times New Roman"/>
                <w:color w:val="auto"/>
                <w:sz w:val="24"/>
                <w:szCs w:val="22"/>
                <w:u w:val="none" w:color="auto"/>
                <w:lang w:val="en-US" w:eastAsia="zh-CN"/>
              </w:rPr>
              <w:t>3%</w:t>
            </w:r>
            <w:r>
              <w:rPr>
                <w:rFonts w:hint="eastAsia" w:ascii="Times New Roman" w:hAnsi="Times New Roman" w:eastAsia="宋体" w:cs="Times New Roman"/>
                <w:color w:val="auto"/>
                <w:sz w:val="24"/>
                <w:szCs w:val="22"/>
                <w:u w:val="none" w:color="auto"/>
                <w:lang w:val="en-US" w:eastAsia="zh-CN"/>
              </w:rPr>
              <w:t>，本环评取</w:t>
            </w:r>
            <w:r>
              <w:rPr>
                <w:rFonts w:hint="default" w:ascii="Times New Roman" w:hAnsi="Times New Roman" w:eastAsia="宋体" w:cs="Times New Roman"/>
                <w:color w:val="auto"/>
                <w:sz w:val="24"/>
                <w:szCs w:val="22"/>
                <w:u w:val="none" w:color="auto"/>
                <w:lang w:val="en-US" w:eastAsia="zh-CN"/>
              </w:rPr>
              <w:t>3%</w:t>
            </w:r>
            <w:r>
              <w:rPr>
                <w:rFonts w:hint="eastAsia" w:ascii="Times New Roman" w:hAnsi="Times New Roman" w:eastAsia="宋体" w:cs="Times New Roman"/>
                <w:color w:val="auto"/>
                <w:sz w:val="24"/>
                <w:szCs w:val="22"/>
                <w:u w:val="none" w:color="auto"/>
                <w:lang w:val="en-US" w:eastAsia="zh-CN"/>
              </w:rPr>
              <w:t>，则食堂油烟日产生量为0.72</w:t>
            </w:r>
            <w:r>
              <w:rPr>
                <w:rFonts w:hint="default" w:ascii="Times New Roman" w:hAnsi="Times New Roman" w:eastAsia="宋体" w:cs="Times New Roman"/>
                <w:color w:val="auto"/>
                <w:sz w:val="24"/>
                <w:szCs w:val="22"/>
                <w:u w:val="none" w:color="auto"/>
                <w:lang w:val="en-US" w:eastAsia="zh-CN"/>
              </w:rPr>
              <w:t>kg/d</w:t>
            </w:r>
            <w:r>
              <w:rPr>
                <w:rFonts w:hint="eastAsia" w:ascii="Times New Roman" w:hAnsi="Times New Roman" w:eastAsia="宋体" w:cs="Times New Roman"/>
                <w:color w:val="auto"/>
                <w:sz w:val="24"/>
                <w:szCs w:val="22"/>
                <w:u w:val="none" w:color="auto"/>
                <w:lang w:val="en-US" w:eastAsia="zh-CN"/>
              </w:rPr>
              <w:t>，年产生量约为262.8</w:t>
            </w:r>
            <w:r>
              <w:rPr>
                <w:rFonts w:hint="default" w:ascii="Times New Roman" w:hAnsi="Times New Roman" w:eastAsia="宋体" w:cs="Times New Roman"/>
                <w:color w:val="auto"/>
                <w:sz w:val="24"/>
                <w:szCs w:val="22"/>
                <w:u w:val="none" w:color="auto"/>
                <w:lang w:val="en-US" w:eastAsia="zh-CN"/>
              </w:rPr>
              <w:t>kg/a</w:t>
            </w:r>
            <w:r>
              <w:rPr>
                <w:rFonts w:hint="eastAsia" w:ascii="Times New Roman" w:hAnsi="Times New Roman" w:eastAsia="宋体" w:cs="Times New Roman"/>
                <w:color w:val="auto"/>
                <w:sz w:val="24"/>
                <w:szCs w:val="22"/>
                <w:u w:val="none" w:color="auto"/>
                <w:lang w:val="en-US" w:eastAsia="zh-CN"/>
              </w:rPr>
              <w:t>，灶头基准排风量为12</w:t>
            </w:r>
            <w:r>
              <w:rPr>
                <w:rFonts w:hint="default" w:ascii="Times New Roman" w:hAnsi="Times New Roman" w:eastAsia="宋体" w:cs="Times New Roman"/>
                <w:color w:val="auto"/>
                <w:sz w:val="24"/>
                <w:szCs w:val="22"/>
                <w:u w:val="none" w:color="auto"/>
                <w:lang w:val="en-US" w:eastAsia="zh-CN"/>
              </w:rPr>
              <w:t>000m</w:t>
            </w:r>
            <w:r>
              <w:rPr>
                <w:rFonts w:hint="eastAsia" w:ascii="Times New Roman" w:hAnsi="Times New Roman" w:eastAsia="宋体" w:cs="Times New Roman"/>
                <w:color w:val="auto"/>
                <w:sz w:val="24"/>
                <w:szCs w:val="22"/>
                <w:u w:val="none" w:color="auto"/>
                <w:vertAlign w:val="superscript"/>
                <w:lang w:val="en-US" w:eastAsia="zh-CN"/>
              </w:rPr>
              <w:t>3</w:t>
            </w:r>
            <w:r>
              <w:rPr>
                <w:rFonts w:hint="default" w:ascii="Times New Roman" w:hAnsi="Times New Roman" w:eastAsia="宋体" w:cs="Times New Roman"/>
                <w:color w:val="auto"/>
                <w:sz w:val="24"/>
                <w:szCs w:val="22"/>
                <w:u w:val="none" w:color="auto"/>
                <w:lang w:val="en-US" w:eastAsia="zh-CN"/>
              </w:rPr>
              <w:t>/h</w:t>
            </w:r>
            <w:r>
              <w:rPr>
                <w:rFonts w:hint="eastAsia" w:ascii="Times New Roman" w:hAnsi="Times New Roman" w:eastAsia="宋体" w:cs="Times New Roman"/>
                <w:color w:val="auto"/>
                <w:sz w:val="24"/>
                <w:szCs w:val="22"/>
                <w:u w:val="none" w:color="auto"/>
                <w:lang w:val="en-US" w:eastAsia="zh-CN"/>
              </w:rPr>
              <w:t>，</w:t>
            </w:r>
            <w:r>
              <w:rPr>
                <w:rFonts w:hint="default" w:ascii="Times New Roman" w:hAnsi="Times New Roman" w:eastAsia="宋体" w:cs="Times New Roman"/>
                <w:color w:val="auto"/>
                <w:sz w:val="24"/>
                <w:szCs w:val="22"/>
                <w:u w:val="none" w:color="auto"/>
                <w:lang w:val="en-US" w:eastAsia="zh-CN"/>
              </w:rPr>
              <w:t>油烟</w:t>
            </w:r>
            <w:r>
              <w:rPr>
                <w:rFonts w:hint="eastAsia" w:ascii="Times New Roman" w:hAnsi="Times New Roman" w:eastAsia="宋体" w:cs="Times New Roman"/>
                <w:color w:val="auto"/>
                <w:sz w:val="24"/>
                <w:szCs w:val="22"/>
                <w:u w:val="none" w:color="auto"/>
                <w:lang w:val="en-US" w:eastAsia="zh-CN"/>
              </w:rPr>
              <w:t>产生速率0.12</w:t>
            </w:r>
            <w:r>
              <w:rPr>
                <w:rFonts w:hint="default" w:ascii="Times New Roman" w:hAnsi="Times New Roman" w:eastAsia="宋体" w:cs="Times New Roman"/>
                <w:color w:val="auto"/>
                <w:sz w:val="24"/>
                <w:szCs w:val="22"/>
                <w:u w:val="none" w:color="auto"/>
                <w:lang w:val="en-US" w:eastAsia="zh-CN"/>
              </w:rPr>
              <w:t>kg/h</w:t>
            </w:r>
            <w:r>
              <w:rPr>
                <w:rFonts w:hint="eastAsia" w:ascii="Times New Roman" w:hAnsi="Times New Roman" w:eastAsia="宋体" w:cs="Times New Roman"/>
                <w:color w:val="auto"/>
                <w:sz w:val="24"/>
                <w:szCs w:val="22"/>
                <w:u w:val="none" w:color="auto"/>
                <w:lang w:val="en-US" w:eastAsia="zh-CN"/>
              </w:rPr>
              <w:t>，油烟净化器处理效率为85</w:t>
            </w:r>
            <w:r>
              <w:rPr>
                <w:rFonts w:hint="default" w:ascii="Times New Roman" w:hAnsi="Times New Roman" w:eastAsia="宋体" w:cs="Times New Roman"/>
                <w:color w:val="auto"/>
                <w:sz w:val="24"/>
                <w:szCs w:val="22"/>
                <w:u w:val="none" w:color="auto"/>
                <w:lang w:val="en-US" w:eastAsia="zh-CN"/>
              </w:rPr>
              <w:t>%</w:t>
            </w:r>
            <w:r>
              <w:rPr>
                <w:rFonts w:hint="eastAsia" w:ascii="Times New Roman" w:hAnsi="Times New Roman" w:eastAsia="宋体" w:cs="Times New Roman"/>
                <w:color w:val="auto"/>
                <w:sz w:val="24"/>
                <w:szCs w:val="22"/>
                <w:u w:val="none" w:color="auto"/>
                <w:lang w:val="en-US" w:eastAsia="zh-CN"/>
              </w:rPr>
              <w:t>，经处理后的食堂油烟排放量为39.42</w:t>
            </w:r>
            <w:r>
              <w:rPr>
                <w:rFonts w:hint="default" w:ascii="Times New Roman" w:hAnsi="Times New Roman" w:eastAsia="宋体" w:cs="Times New Roman"/>
                <w:color w:val="auto"/>
                <w:sz w:val="24"/>
                <w:szCs w:val="22"/>
                <w:u w:val="none" w:color="auto"/>
                <w:lang w:val="en-US" w:eastAsia="zh-CN"/>
              </w:rPr>
              <w:t>kg/a</w:t>
            </w:r>
            <w:r>
              <w:rPr>
                <w:rFonts w:hint="eastAsia" w:ascii="Times New Roman" w:hAnsi="Times New Roman" w:eastAsia="宋体" w:cs="Times New Roman"/>
                <w:color w:val="auto"/>
                <w:sz w:val="24"/>
                <w:szCs w:val="22"/>
                <w:u w:val="none" w:color="auto"/>
                <w:lang w:val="en-US" w:eastAsia="zh-CN"/>
              </w:rPr>
              <w:t>，排放速率为0.018</w:t>
            </w:r>
            <w:r>
              <w:rPr>
                <w:rFonts w:hint="default" w:ascii="Times New Roman" w:hAnsi="Times New Roman" w:eastAsia="宋体" w:cs="Times New Roman"/>
                <w:color w:val="auto"/>
                <w:sz w:val="24"/>
                <w:szCs w:val="22"/>
                <w:u w:val="none" w:color="auto"/>
                <w:lang w:val="en-US" w:eastAsia="zh-CN"/>
              </w:rPr>
              <w:t>kg/h</w:t>
            </w:r>
            <w:r>
              <w:rPr>
                <w:rFonts w:hint="eastAsia" w:ascii="Times New Roman" w:hAnsi="Times New Roman" w:eastAsia="宋体" w:cs="Times New Roman"/>
                <w:color w:val="auto"/>
                <w:sz w:val="24"/>
                <w:szCs w:val="22"/>
                <w:u w:val="none" w:color="auto"/>
                <w:lang w:val="en-US" w:eastAsia="zh-CN"/>
              </w:rPr>
              <w:t>，排放浓度为1.5</w:t>
            </w:r>
            <w:r>
              <w:rPr>
                <w:rFonts w:hint="default" w:ascii="Times New Roman" w:hAnsi="Times New Roman" w:eastAsia="宋体" w:cs="Times New Roman"/>
                <w:color w:val="auto"/>
                <w:sz w:val="24"/>
                <w:szCs w:val="22"/>
                <w:u w:val="none" w:color="auto"/>
                <w:lang w:val="en-US" w:eastAsia="zh-CN"/>
              </w:rPr>
              <w:t>mg/m</w:t>
            </w:r>
            <w:r>
              <w:rPr>
                <w:rFonts w:hint="eastAsia" w:ascii="Times New Roman" w:hAnsi="Times New Roman" w:eastAsia="宋体" w:cs="Times New Roman"/>
                <w:color w:val="auto"/>
                <w:sz w:val="24"/>
                <w:szCs w:val="22"/>
                <w:u w:val="none" w:color="auto"/>
                <w:vertAlign w:val="superscript"/>
                <w:lang w:val="en-US" w:eastAsia="zh-CN"/>
              </w:rPr>
              <w:t>3</w:t>
            </w:r>
            <w:r>
              <w:rPr>
                <w:rFonts w:hint="eastAsia" w:ascii="Times New Roman" w:hAnsi="Times New Roman" w:eastAsia="宋体" w:cs="Times New Roman"/>
                <w:color w:val="auto"/>
                <w:sz w:val="24"/>
                <w:szCs w:val="22"/>
                <w:u w:val="none" w:color="auto"/>
                <w:lang w:val="en-US" w:eastAsia="zh-CN"/>
              </w:rPr>
              <w:t>，排放浓度符合《饮食业油烟排放标准（试行）》（GB18483-2001）中2.0</w:t>
            </w:r>
            <w:r>
              <w:rPr>
                <w:rFonts w:hint="default" w:ascii="Times New Roman" w:hAnsi="Times New Roman" w:eastAsia="宋体" w:cs="Times New Roman"/>
                <w:color w:val="auto"/>
                <w:sz w:val="24"/>
                <w:szCs w:val="22"/>
                <w:u w:val="none" w:color="auto"/>
                <w:lang w:val="en-US" w:eastAsia="zh-CN"/>
              </w:rPr>
              <w:t>mg/m</w:t>
            </w:r>
            <w:r>
              <w:rPr>
                <w:rFonts w:hint="eastAsia" w:ascii="Times New Roman" w:hAnsi="Times New Roman" w:eastAsia="宋体" w:cs="Times New Roman"/>
                <w:color w:val="auto"/>
                <w:sz w:val="24"/>
                <w:szCs w:val="22"/>
                <w:u w:val="none" w:color="auto"/>
                <w:vertAlign w:val="superscript"/>
                <w:lang w:val="en-US" w:eastAsia="zh-CN"/>
              </w:rPr>
              <w:t>3</w:t>
            </w:r>
            <w:r>
              <w:rPr>
                <w:rFonts w:hint="eastAsia" w:ascii="Times New Roman" w:hAnsi="Times New Roman" w:eastAsia="宋体" w:cs="Times New Roman"/>
                <w:color w:val="auto"/>
                <w:sz w:val="24"/>
                <w:szCs w:val="22"/>
                <w:u w:val="none" w:color="auto"/>
                <w:lang w:val="en-US" w:eastAsia="zh-CN"/>
              </w:rPr>
              <w:t>排放限值要求。</w:t>
            </w:r>
          </w:p>
          <w:p w14:paraId="330EC3C5">
            <w:pPr>
              <w:keepNext w:val="0"/>
              <w:keepLines w:val="0"/>
              <w:pageBreakBefore w:val="0"/>
              <w:widowControl w:val="0"/>
              <w:kinsoku/>
              <w:wordWrap/>
              <w:overflowPunct/>
              <w:topLinePunct w:val="0"/>
              <w:autoSpaceDE/>
              <w:autoSpaceDN/>
              <w:bidi w:val="0"/>
              <w:spacing w:line="360" w:lineRule="auto"/>
              <w:ind w:firstLine="480"/>
              <w:jc w:val="both"/>
              <w:textAlignment w:val="auto"/>
              <w:rPr>
                <w:rFonts w:hint="eastAsia" w:ascii="Times New Roman" w:hAnsi="Times New Roman" w:eastAsia="宋体" w:cs="Times New Roman"/>
                <w:color w:val="auto"/>
                <w:sz w:val="24"/>
                <w:szCs w:val="22"/>
                <w:u w:val="none" w:color="auto"/>
                <w:lang w:val="en-US" w:eastAsia="zh-CN"/>
              </w:rPr>
            </w:pPr>
            <w:r>
              <w:rPr>
                <w:rFonts w:hint="eastAsia" w:ascii="Times New Roman" w:hAnsi="Times New Roman" w:eastAsia="宋体" w:cs="Times New Roman"/>
                <w:color w:val="auto"/>
                <w:sz w:val="24"/>
                <w:szCs w:val="22"/>
                <w:u w:val="none" w:color="auto"/>
                <w:lang w:val="en-US" w:eastAsia="zh-CN"/>
              </w:rPr>
              <w:t>2、达标排放情况</w:t>
            </w:r>
          </w:p>
          <w:p w14:paraId="3F801548">
            <w:pPr>
              <w:keepNext w:val="0"/>
              <w:keepLines w:val="0"/>
              <w:pageBreakBefore w:val="0"/>
              <w:widowControl w:val="0"/>
              <w:kinsoku/>
              <w:wordWrap/>
              <w:overflowPunct/>
              <w:topLinePunct w:val="0"/>
              <w:autoSpaceDE/>
              <w:autoSpaceDN/>
              <w:bidi w:val="0"/>
              <w:spacing w:line="360" w:lineRule="auto"/>
              <w:ind w:firstLine="480"/>
              <w:jc w:val="both"/>
              <w:textAlignment w:val="auto"/>
              <w:rPr>
                <w:rFonts w:hint="eastAsia" w:ascii="Times New Roman" w:hAnsi="Times New Roman" w:eastAsia="宋体" w:cs="Times New Roman"/>
                <w:color w:val="auto"/>
                <w:sz w:val="24"/>
                <w:szCs w:val="22"/>
                <w:u w:val="none" w:color="auto"/>
                <w:lang w:val="en-US" w:eastAsia="zh-CN"/>
              </w:rPr>
            </w:pPr>
            <w:r>
              <w:rPr>
                <w:rFonts w:hint="eastAsia" w:ascii="Times New Roman" w:hAnsi="Times New Roman" w:eastAsia="宋体" w:cs="Times New Roman"/>
                <w:color w:val="auto"/>
                <w:sz w:val="24"/>
                <w:szCs w:val="22"/>
                <w:u w:val="none" w:color="auto"/>
                <w:lang w:val="en-US" w:eastAsia="zh-CN"/>
              </w:rPr>
              <w:t>本项目废水处理站产生的恶臭浓度较低，在场内呈无组织形式排放，废水处理设施采用封闭式结构，为防止病菌通过空气传播和污水气味对环境的影响，只留必要的检修孔，并定期投加除臭剂。废水处理站废气满足《医疗机构水污染排放物标准》（</w:t>
            </w:r>
            <w:r>
              <w:rPr>
                <w:rFonts w:hint="default" w:ascii="Times New Roman" w:hAnsi="Times New Roman" w:eastAsia="宋体" w:cs="Times New Roman"/>
                <w:color w:val="auto"/>
                <w:sz w:val="24"/>
                <w:szCs w:val="22"/>
                <w:u w:val="none" w:color="auto"/>
                <w:lang w:val="en-US" w:eastAsia="zh-CN"/>
              </w:rPr>
              <w:t>GB18466-2005</w:t>
            </w:r>
            <w:r>
              <w:rPr>
                <w:rFonts w:hint="eastAsia" w:ascii="Times New Roman" w:hAnsi="Times New Roman" w:eastAsia="宋体" w:cs="Times New Roman"/>
                <w:color w:val="auto"/>
                <w:sz w:val="24"/>
                <w:szCs w:val="22"/>
                <w:u w:val="none" w:color="auto"/>
                <w:lang w:val="en-US" w:eastAsia="zh-CN"/>
              </w:rPr>
              <w:t>）中表</w:t>
            </w:r>
            <w:r>
              <w:rPr>
                <w:rFonts w:hint="default" w:ascii="Times New Roman" w:hAnsi="Times New Roman" w:eastAsia="宋体" w:cs="Times New Roman"/>
                <w:color w:val="auto"/>
                <w:sz w:val="24"/>
                <w:szCs w:val="22"/>
                <w:u w:val="none" w:color="auto"/>
                <w:lang w:val="en-US" w:eastAsia="zh-CN"/>
              </w:rPr>
              <w:t>3</w:t>
            </w:r>
            <w:r>
              <w:rPr>
                <w:rFonts w:hint="eastAsia" w:ascii="Times New Roman" w:hAnsi="Times New Roman" w:eastAsia="宋体" w:cs="Times New Roman"/>
                <w:color w:val="auto"/>
                <w:sz w:val="24"/>
                <w:szCs w:val="22"/>
                <w:u w:val="none" w:color="auto"/>
                <w:lang w:val="en-US" w:eastAsia="zh-CN"/>
              </w:rPr>
              <w:t>关于废气排放的规定（</w:t>
            </w:r>
            <w:r>
              <w:rPr>
                <w:rFonts w:hint="default" w:ascii="Times New Roman" w:hAnsi="Times New Roman" w:eastAsia="宋体" w:cs="Times New Roman"/>
                <w:color w:val="auto"/>
                <w:sz w:val="24"/>
                <w:szCs w:val="22"/>
                <w:u w:val="none" w:color="auto"/>
                <w:lang w:val="en-US" w:eastAsia="zh-CN"/>
              </w:rPr>
              <w:t>NH</w:t>
            </w:r>
            <w:r>
              <w:rPr>
                <w:rFonts w:hint="default" w:ascii="Times New Roman" w:hAnsi="Times New Roman" w:eastAsia="宋体" w:cs="Times New Roman"/>
                <w:color w:val="auto"/>
                <w:sz w:val="24"/>
                <w:szCs w:val="22"/>
                <w:u w:val="none" w:color="auto"/>
                <w:vertAlign w:val="subscript"/>
                <w:lang w:val="en-US" w:eastAsia="zh-CN"/>
              </w:rPr>
              <w:t>3</w:t>
            </w:r>
            <w:r>
              <w:rPr>
                <w:rFonts w:hint="default" w:ascii="Times New Roman" w:hAnsi="Times New Roman" w:eastAsia="宋体" w:cs="Times New Roman"/>
                <w:color w:val="auto"/>
                <w:sz w:val="24"/>
                <w:szCs w:val="22"/>
                <w:u w:val="none" w:color="auto"/>
                <w:lang w:val="en-US" w:eastAsia="zh-CN"/>
              </w:rPr>
              <w:t>1.0mg/m</w:t>
            </w:r>
            <w:r>
              <w:rPr>
                <w:rFonts w:hint="default" w:ascii="Times New Roman" w:hAnsi="Times New Roman" w:eastAsia="宋体" w:cs="Times New Roman"/>
                <w:color w:val="auto"/>
                <w:sz w:val="24"/>
                <w:szCs w:val="22"/>
                <w:u w:val="none" w:color="auto"/>
                <w:vertAlign w:val="superscript"/>
                <w:lang w:val="en-US" w:eastAsia="zh-CN"/>
              </w:rPr>
              <w:t>3</w:t>
            </w:r>
            <w:r>
              <w:rPr>
                <w:rFonts w:hint="eastAsia" w:ascii="Times New Roman" w:hAnsi="Times New Roman" w:eastAsia="宋体" w:cs="Times New Roman"/>
                <w:color w:val="auto"/>
                <w:sz w:val="24"/>
                <w:szCs w:val="22"/>
                <w:u w:val="none" w:color="auto"/>
                <w:lang w:val="en-US" w:eastAsia="zh-CN"/>
              </w:rPr>
              <w:t>、</w:t>
            </w:r>
            <w:r>
              <w:rPr>
                <w:rFonts w:hint="default" w:ascii="Times New Roman" w:hAnsi="Times New Roman" w:eastAsia="宋体" w:cs="Times New Roman"/>
                <w:color w:val="auto"/>
                <w:sz w:val="24"/>
                <w:szCs w:val="22"/>
                <w:u w:val="none" w:color="auto"/>
                <w:lang w:val="en-US" w:eastAsia="zh-CN"/>
              </w:rPr>
              <w:t>H</w:t>
            </w:r>
            <w:r>
              <w:rPr>
                <w:rFonts w:hint="default" w:ascii="Times New Roman" w:hAnsi="Times New Roman" w:eastAsia="宋体" w:cs="Times New Roman"/>
                <w:color w:val="auto"/>
                <w:sz w:val="24"/>
                <w:szCs w:val="22"/>
                <w:u w:val="none" w:color="auto"/>
                <w:vertAlign w:val="subscript"/>
                <w:lang w:val="en-US" w:eastAsia="zh-CN"/>
              </w:rPr>
              <w:t>2</w:t>
            </w:r>
            <w:r>
              <w:rPr>
                <w:rFonts w:hint="default" w:ascii="Times New Roman" w:hAnsi="Times New Roman" w:eastAsia="宋体" w:cs="Times New Roman"/>
                <w:color w:val="auto"/>
                <w:sz w:val="24"/>
                <w:szCs w:val="22"/>
                <w:u w:val="none" w:color="auto"/>
                <w:lang w:val="en-US" w:eastAsia="zh-CN"/>
              </w:rPr>
              <w:t>S0.03mg/m</w:t>
            </w:r>
            <w:r>
              <w:rPr>
                <w:rFonts w:hint="default" w:ascii="Times New Roman" w:hAnsi="Times New Roman" w:eastAsia="宋体" w:cs="Times New Roman"/>
                <w:color w:val="auto"/>
                <w:sz w:val="24"/>
                <w:szCs w:val="22"/>
                <w:u w:val="none" w:color="auto"/>
                <w:vertAlign w:val="superscript"/>
                <w:lang w:val="en-US" w:eastAsia="zh-CN"/>
              </w:rPr>
              <w:t>3</w:t>
            </w:r>
            <w:r>
              <w:rPr>
                <w:rFonts w:hint="eastAsia" w:ascii="Times New Roman" w:hAnsi="Times New Roman" w:eastAsia="宋体" w:cs="Times New Roman"/>
                <w:color w:val="auto"/>
                <w:sz w:val="24"/>
                <w:szCs w:val="22"/>
                <w:u w:val="none" w:color="auto"/>
                <w:lang w:val="en-US" w:eastAsia="zh-CN"/>
              </w:rPr>
              <w:t>、臭气浓度（无量纲）</w:t>
            </w:r>
            <w:r>
              <w:rPr>
                <w:rFonts w:hint="default" w:ascii="Times New Roman" w:hAnsi="Times New Roman" w:eastAsia="宋体" w:cs="Times New Roman"/>
                <w:color w:val="auto"/>
                <w:sz w:val="24"/>
                <w:szCs w:val="22"/>
                <w:u w:val="none" w:color="auto"/>
                <w:lang w:val="en-US" w:eastAsia="zh-CN"/>
              </w:rPr>
              <w:t>10</w:t>
            </w:r>
            <w:r>
              <w:rPr>
                <w:rFonts w:hint="eastAsia" w:ascii="Times New Roman" w:hAnsi="Times New Roman" w:eastAsia="宋体" w:cs="Times New Roman"/>
                <w:color w:val="auto"/>
                <w:sz w:val="24"/>
                <w:szCs w:val="22"/>
                <w:u w:val="none" w:color="auto"/>
                <w:lang w:val="en-US" w:eastAsia="zh-CN"/>
              </w:rPr>
              <w:t>），对外环境空气基本无影响，可以满足相应的要求。</w:t>
            </w:r>
          </w:p>
          <w:p w14:paraId="1DB9321F">
            <w:pPr>
              <w:keepNext w:val="0"/>
              <w:keepLines w:val="0"/>
              <w:widowControl/>
              <w:suppressLineNumbers w:val="0"/>
              <w:ind w:firstLine="482" w:firstLineChars="200"/>
              <w:jc w:val="left"/>
              <w:rPr>
                <w:color w:val="auto"/>
                <w:highlight w:val="none"/>
                <w:u w:val="none" w:color="auto"/>
              </w:rPr>
            </w:pPr>
            <w:r>
              <w:rPr>
                <w:rFonts w:hint="eastAsia" w:cs="Times New Roman"/>
                <w:b/>
                <w:bCs/>
                <w:color w:val="auto"/>
                <w:kern w:val="0"/>
                <w:sz w:val="24"/>
                <w:szCs w:val="24"/>
                <w:highlight w:val="none"/>
                <w:u w:val="none" w:color="auto"/>
                <w:lang w:val="en-US" w:eastAsia="zh-CN" w:bidi="ar"/>
              </w:rPr>
              <w:t>4.2.2</w:t>
            </w:r>
            <w:r>
              <w:rPr>
                <w:rFonts w:hint="eastAsia" w:ascii="宋体" w:hAnsi="宋体" w:cs="宋体"/>
                <w:b/>
                <w:bCs/>
                <w:color w:val="auto"/>
                <w:kern w:val="0"/>
                <w:sz w:val="24"/>
                <w:szCs w:val="24"/>
                <w:highlight w:val="none"/>
                <w:u w:val="none" w:color="auto"/>
                <w:lang w:val="en-US" w:eastAsia="zh-CN" w:bidi="ar"/>
              </w:rPr>
              <w:t>废气治理设</w:t>
            </w:r>
            <w:r>
              <w:rPr>
                <w:rFonts w:hint="eastAsia" w:ascii="宋体" w:hAnsi="宋体" w:eastAsia="宋体" w:cs="宋体"/>
                <w:b/>
                <w:bCs/>
                <w:color w:val="auto"/>
                <w:kern w:val="0"/>
                <w:sz w:val="24"/>
                <w:szCs w:val="24"/>
                <w:highlight w:val="none"/>
                <w:u w:val="none" w:color="auto"/>
                <w:lang w:val="en-US" w:eastAsia="zh-CN" w:bidi="ar"/>
              </w:rPr>
              <w:t>施可行性分析</w:t>
            </w:r>
          </w:p>
          <w:p w14:paraId="0A711282">
            <w:pPr>
              <w:keepNext w:val="0"/>
              <w:keepLines w:val="0"/>
              <w:widowControl/>
              <w:suppressLineNumbers w:val="0"/>
              <w:ind w:firstLine="482" w:firstLineChars="200"/>
              <w:jc w:val="left"/>
              <w:rPr>
                <w:rFonts w:hint="default" w:ascii="宋体" w:hAnsi="宋体" w:eastAsia="宋体" w:cs="宋体"/>
                <w:b/>
                <w:bCs/>
                <w:color w:val="auto"/>
                <w:kern w:val="0"/>
                <w:sz w:val="24"/>
                <w:szCs w:val="24"/>
                <w:highlight w:val="none"/>
                <w:u w:val="none" w:color="auto"/>
                <w:lang w:val="en-US" w:eastAsia="zh-CN" w:bidi="ar"/>
              </w:rPr>
            </w:pPr>
            <w:r>
              <w:rPr>
                <w:rFonts w:hint="default" w:ascii="Times New Roman Regular" w:hAnsi="Times New Roman Regular" w:cs="Times New Roman Regular"/>
                <w:b/>
                <w:bCs w:val="0"/>
                <w:color w:val="auto"/>
                <w:kern w:val="0"/>
                <w:sz w:val="24"/>
                <w:szCs w:val="24"/>
                <w:highlight w:val="none"/>
                <w:u w:val="none" w:color="auto"/>
                <w:lang w:val="en-US" w:eastAsia="zh-CN" w:bidi="ar"/>
              </w:rPr>
              <w:t>（1）</w:t>
            </w:r>
            <w:r>
              <w:rPr>
                <w:rFonts w:hint="eastAsia" w:ascii="宋体" w:hAnsi="宋体" w:cs="宋体"/>
                <w:b/>
                <w:bCs/>
                <w:color w:val="auto"/>
                <w:kern w:val="0"/>
                <w:sz w:val="24"/>
                <w:szCs w:val="24"/>
                <w:highlight w:val="none"/>
                <w:u w:val="none" w:color="auto"/>
                <w:lang w:val="en-US" w:eastAsia="zh-CN" w:bidi="ar"/>
              </w:rPr>
              <w:t>污水处理站恶臭防治措施可行性分析</w:t>
            </w:r>
          </w:p>
          <w:p w14:paraId="407297B9">
            <w:pPr>
              <w:keepNext w:val="0"/>
              <w:keepLines w:val="0"/>
              <w:widowControl/>
              <w:suppressLineNumbers w:val="0"/>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本项目运营期产生的污水处理站恶臭气体通过加盖密闭、投加除臭剂等措施，减少其对周边环境的影响，其可行性简要分析如下：</w:t>
            </w:r>
          </w:p>
          <w:p w14:paraId="23F02649">
            <w:pPr>
              <w:keepNext w:val="0"/>
              <w:keepLines w:val="0"/>
              <w:widowControl/>
              <w:suppressLineNumbers w:val="0"/>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根据《排污许可证申请与核发技术规范 医疗机构（</w:t>
            </w:r>
            <w:r>
              <w:rPr>
                <w:rFonts w:hint="default" w:ascii="Times New Roman" w:hAnsi="Times New Roman" w:eastAsia="宋体" w:cs="Times New Roman"/>
                <w:color w:val="auto"/>
                <w:kern w:val="0"/>
                <w:sz w:val="24"/>
                <w:szCs w:val="24"/>
                <w:highlight w:val="none"/>
                <w:u w:val="none" w:color="auto"/>
                <w:lang w:val="en-US" w:eastAsia="zh-CN" w:bidi="ar"/>
              </w:rPr>
              <w:t>HJ1105-2020</w:t>
            </w:r>
            <w:r>
              <w:rPr>
                <w:rFonts w:hint="eastAsia" w:ascii="宋体" w:hAnsi="宋体" w:eastAsia="宋体" w:cs="宋体"/>
                <w:color w:val="auto"/>
                <w:kern w:val="0"/>
                <w:sz w:val="24"/>
                <w:szCs w:val="24"/>
                <w:highlight w:val="none"/>
                <w:u w:val="none" w:color="auto"/>
                <w:lang w:val="en-US" w:eastAsia="zh-CN" w:bidi="ar"/>
              </w:rPr>
              <w:t>）》附录</w:t>
            </w:r>
            <w:r>
              <w:rPr>
                <w:rFonts w:hint="default" w:ascii="Times New Roman" w:hAnsi="Times New Roman" w:eastAsia="宋体" w:cs="Times New Roman"/>
                <w:color w:val="auto"/>
                <w:kern w:val="0"/>
                <w:sz w:val="24"/>
                <w:szCs w:val="24"/>
                <w:highlight w:val="none"/>
                <w:u w:val="none" w:color="auto"/>
                <w:lang w:val="en-US" w:eastAsia="zh-CN" w:bidi="ar"/>
              </w:rPr>
              <w:t>A</w:t>
            </w:r>
            <w:r>
              <w:rPr>
                <w:rFonts w:hint="eastAsia" w:ascii="宋体" w:hAnsi="宋体" w:eastAsia="宋体" w:cs="宋体"/>
                <w:color w:val="auto"/>
                <w:kern w:val="0"/>
                <w:sz w:val="24"/>
                <w:szCs w:val="24"/>
                <w:highlight w:val="none"/>
                <w:u w:val="none" w:color="auto"/>
                <w:lang w:val="en-US" w:eastAsia="zh-CN" w:bidi="ar"/>
              </w:rPr>
              <w:t>表</w:t>
            </w:r>
            <w:r>
              <w:rPr>
                <w:rFonts w:hint="default" w:ascii="Times New Roman" w:hAnsi="Times New Roman" w:eastAsia="宋体" w:cs="Times New Roman"/>
                <w:color w:val="auto"/>
                <w:kern w:val="0"/>
                <w:sz w:val="24"/>
                <w:szCs w:val="24"/>
                <w:highlight w:val="none"/>
                <w:u w:val="none" w:color="auto"/>
                <w:lang w:val="en-US" w:eastAsia="zh-CN" w:bidi="ar"/>
              </w:rPr>
              <w:t>A.1</w:t>
            </w:r>
            <w:r>
              <w:rPr>
                <w:rFonts w:hint="eastAsia" w:ascii="宋体" w:hAnsi="宋体" w:eastAsia="宋体" w:cs="宋体"/>
                <w:color w:val="auto"/>
                <w:kern w:val="0"/>
                <w:sz w:val="24"/>
                <w:szCs w:val="24"/>
                <w:highlight w:val="none"/>
                <w:u w:val="none" w:color="auto"/>
                <w:lang w:val="en-US" w:eastAsia="zh-CN" w:bidi="ar"/>
              </w:rPr>
              <w:t>医疗机构排污单位废气治理可行技术参照表中的相关要求，本项目运营期采取的恶臭气体污染防治措施是可行的。根据源强分析，污染物产排量较少，通过以上防范措施</w:t>
            </w:r>
            <w:r>
              <w:rPr>
                <w:rFonts w:hint="eastAsia" w:ascii="宋体" w:hAnsi="宋体" w:cs="宋体"/>
                <w:color w:val="auto"/>
                <w:kern w:val="0"/>
                <w:sz w:val="24"/>
                <w:szCs w:val="24"/>
                <w:highlight w:val="none"/>
                <w:u w:val="none" w:color="auto"/>
                <w:lang w:val="en-US" w:eastAsia="zh-CN" w:bidi="ar"/>
              </w:rPr>
              <w:t>并经过现场检测，污水处理站周边</w:t>
            </w:r>
            <w:r>
              <w:rPr>
                <w:rFonts w:hint="eastAsia" w:ascii="宋体" w:hAnsi="宋体" w:eastAsia="宋体" w:cs="宋体"/>
                <w:color w:val="auto"/>
                <w:kern w:val="0"/>
                <w:sz w:val="24"/>
                <w:szCs w:val="24"/>
                <w:highlight w:val="none"/>
                <w:u w:val="none" w:color="auto"/>
                <w:lang w:val="en-US" w:eastAsia="zh-CN" w:bidi="ar"/>
              </w:rPr>
              <w:t>恶臭气体能达标排放。</w:t>
            </w:r>
          </w:p>
          <w:p w14:paraId="216671FA">
            <w:pPr>
              <w:keepNext w:val="0"/>
              <w:keepLines w:val="0"/>
              <w:widowControl/>
              <w:suppressLineNumbers w:val="0"/>
              <w:jc w:val="center"/>
              <w:rPr>
                <w:rFonts w:hint="default" w:ascii="Times New Roman" w:hAnsi="Times New Roman" w:cs="Times New Roman"/>
                <w:color w:val="auto"/>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val="en-US" w:eastAsia="zh-CN" w:bidi="ar"/>
              </w:rPr>
              <w:t>表4-</w:t>
            </w:r>
            <w:r>
              <w:rPr>
                <w:rFonts w:hint="eastAsia" w:cs="Times New Roman"/>
                <w:b/>
                <w:bCs/>
                <w:color w:val="auto"/>
                <w:kern w:val="0"/>
                <w:sz w:val="21"/>
                <w:szCs w:val="21"/>
                <w:highlight w:val="none"/>
                <w:u w:val="none" w:color="auto"/>
                <w:lang w:val="en-US" w:eastAsia="zh-CN" w:bidi="ar"/>
              </w:rPr>
              <w:t>3</w:t>
            </w:r>
            <w:r>
              <w:rPr>
                <w:rFonts w:hint="default" w:ascii="Times New Roman" w:hAnsi="Times New Roman" w:eastAsia="宋体" w:cs="Times New Roman"/>
                <w:b/>
                <w:bCs/>
                <w:color w:val="auto"/>
                <w:kern w:val="0"/>
                <w:sz w:val="21"/>
                <w:szCs w:val="21"/>
                <w:highlight w:val="none"/>
                <w:u w:val="none" w:color="auto"/>
                <w:lang w:val="en-US" w:eastAsia="zh-CN" w:bidi="ar"/>
              </w:rPr>
              <w:t xml:space="preserve">   医疗机构排污单位废气治理可行技术参照表</w:t>
            </w:r>
          </w:p>
          <w:tbl>
            <w:tblPr>
              <w:tblStyle w:val="35"/>
              <w:tblW w:w="4996"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5"/>
              <w:gridCol w:w="1992"/>
              <w:gridCol w:w="2165"/>
              <w:gridCol w:w="1713"/>
              <w:gridCol w:w="1550"/>
            </w:tblGrid>
            <w:tr w14:paraId="35899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3" w:type="pct"/>
                  <w:vAlign w:val="center"/>
                </w:tcPr>
                <w:p w14:paraId="00D76BD2">
                  <w:pPr>
                    <w:jc w:val="center"/>
                    <w:rPr>
                      <w:rFonts w:hint="default" w:ascii="Times New Roman" w:hAnsi="Times New Roman" w:cs="Times New Roman"/>
                      <w:b/>
                      <w:bCs/>
                      <w:color w:val="auto"/>
                      <w:sz w:val="21"/>
                      <w:szCs w:val="21"/>
                      <w:highlight w:val="none"/>
                      <w:u w:val="none" w:color="auto"/>
                      <w:lang w:val="en-US" w:eastAsia="zh-CN"/>
                    </w:rPr>
                  </w:pPr>
                  <w:r>
                    <w:rPr>
                      <w:rFonts w:hint="default" w:ascii="Times New Roman" w:hAnsi="Times New Roman" w:cs="Times New Roman"/>
                      <w:b/>
                      <w:bCs/>
                      <w:color w:val="auto"/>
                      <w:sz w:val="21"/>
                      <w:szCs w:val="21"/>
                      <w:highlight w:val="none"/>
                      <w:u w:val="none" w:color="auto"/>
                      <w:lang w:val="en-US" w:eastAsia="zh-CN"/>
                    </w:rPr>
                    <w:t>污染物产生设施</w:t>
                  </w:r>
                </w:p>
              </w:tc>
              <w:tc>
                <w:tcPr>
                  <w:tcW w:w="1089" w:type="pct"/>
                  <w:vAlign w:val="center"/>
                </w:tcPr>
                <w:p w14:paraId="1D23ECB0">
                  <w:pPr>
                    <w:jc w:val="center"/>
                    <w:rPr>
                      <w:rFonts w:hint="default" w:ascii="Times New Roman" w:hAnsi="Times New Roman" w:cs="Times New Roman"/>
                      <w:b/>
                      <w:bCs/>
                      <w:color w:val="auto"/>
                      <w:sz w:val="21"/>
                      <w:szCs w:val="21"/>
                      <w:highlight w:val="none"/>
                      <w:u w:val="none" w:color="auto"/>
                      <w:lang w:val="en-US" w:eastAsia="zh-CN"/>
                    </w:rPr>
                  </w:pPr>
                  <w:r>
                    <w:rPr>
                      <w:rFonts w:hint="default" w:ascii="Times New Roman" w:hAnsi="Times New Roman" w:cs="Times New Roman"/>
                      <w:b/>
                      <w:bCs/>
                      <w:color w:val="auto"/>
                      <w:sz w:val="21"/>
                      <w:szCs w:val="21"/>
                      <w:highlight w:val="none"/>
                      <w:u w:val="none" w:color="auto"/>
                      <w:lang w:val="en-US" w:eastAsia="zh-CN"/>
                    </w:rPr>
                    <w:t>污染物种类</w:t>
                  </w:r>
                </w:p>
              </w:tc>
              <w:tc>
                <w:tcPr>
                  <w:tcW w:w="1183" w:type="pct"/>
                  <w:vAlign w:val="center"/>
                </w:tcPr>
                <w:p w14:paraId="3BB11E57">
                  <w:pPr>
                    <w:jc w:val="center"/>
                    <w:rPr>
                      <w:rFonts w:hint="default" w:ascii="Times New Roman" w:hAnsi="Times New Roman" w:cs="Times New Roman"/>
                      <w:b/>
                      <w:bCs/>
                      <w:color w:val="auto"/>
                      <w:sz w:val="21"/>
                      <w:szCs w:val="21"/>
                      <w:highlight w:val="none"/>
                      <w:u w:val="none" w:color="auto"/>
                      <w:lang w:val="en-US" w:eastAsia="zh-CN"/>
                    </w:rPr>
                  </w:pPr>
                  <w:r>
                    <w:rPr>
                      <w:rFonts w:hint="default" w:ascii="Times New Roman" w:hAnsi="Times New Roman" w:cs="Times New Roman"/>
                      <w:b/>
                      <w:bCs/>
                      <w:color w:val="auto"/>
                      <w:sz w:val="21"/>
                      <w:szCs w:val="21"/>
                      <w:highlight w:val="none"/>
                      <w:u w:val="none" w:color="auto"/>
                      <w:lang w:val="en-US" w:eastAsia="zh-CN"/>
                    </w:rPr>
                    <w:t>可行技术</w:t>
                  </w:r>
                </w:p>
              </w:tc>
              <w:tc>
                <w:tcPr>
                  <w:tcW w:w="936" w:type="pct"/>
                  <w:vAlign w:val="center"/>
                </w:tcPr>
                <w:p w14:paraId="62415C59">
                  <w:pPr>
                    <w:jc w:val="center"/>
                    <w:rPr>
                      <w:rFonts w:hint="default" w:ascii="Times New Roman" w:hAnsi="Times New Roman" w:eastAsia="宋体" w:cs="Times New Roman"/>
                      <w:b/>
                      <w:bCs/>
                      <w:color w:val="auto"/>
                      <w:sz w:val="21"/>
                      <w:szCs w:val="21"/>
                      <w:highlight w:val="none"/>
                      <w:u w:val="none" w:color="auto"/>
                      <w:lang w:val="en-US" w:eastAsia="zh-CN"/>
                    </w:rPr>
                  </w:pPr>
                  <w:r>
                    <w:rPr>
                      <w:rFonts w:hint="eastAsia"/>
                      <w:b/>
                      <w:bCs/>
                      <w:color w:val="auto"/>
                      <w:sz w:val="21"/>
                      <w:szCs w:val="21"/>
                      <w:highlight w:val="none"/>
                      <w:u w:val="none" w:color="auto"/>
                      <w:lang w:val="en-US" w:eastAsia="zh-CN"/>
                    </w:rPr>
                    <w:t>本项目情况</w:t>
                  </w:r>
                </w:p>
              </w:tc>
              <w:tc>
                <w:tcPr>
                  <w:tcW w:w="847" w:type="pct"/>
                  <w:vAlign w:val="center"/>
                </w:tcPr>
                <w:p w14:paraId="558A9BE5">
                  <w:pPr>
                    <w:jc w:val="center"/>
                    <w:rPr>
                      <w:rFonts w:hint="default" w:eastAsia="宋体"/>
                      <w:b/>
                      <w:bCs/>
                      <w:color w:val="auto"/>
                      <w:sz w:val="21"/>
                      <w:szCs w:val="21"/>
                      <w:highlight w:val="none"/>
                      <w:u w:val="none" w:color="auto"/>
                      <w:lang w:val="en-US" w:eastAsia="zh-CN"/>
                    </w:rPr>
                  </w:pPr>
                  <w:r>
                    <w:rPr>
                      <w:rFonts w:hint="eastAsia"/>
                      <w:b/>
                      <w:bCs/>
                      <w:color w:val="auto"/>
                      <w:sz w:val="21"/>
                      <w:szCs w:val="21"/>
                      <w:highlight w:val="none"/>
                      <w:u w:val="none" w:color="auto"/>
                      <w:lang w:val="en-US" w:eastAsia="zh-CN"/>
                    </w:rPr>
                    <w:t>是否技术可行</w:t>
                  </w:r>
                </w:p>
              </w:tc>
            </w:tr>
            <w:tr w14:paraId="4CACC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3" w:type="pct"/>
                  <w:vAlign w:val="center"/>
                </w:tcPr>
                <w:p w14:paraId="625D538A">
                  <w:pPr>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val="en-US" w:eastAsia="zh-CN"/>
                    </w:rPr>
                    <w:t>污水处理站</w:t>
                  </w:r>
                </w:p>
              </w:tc>
              <w:tc>
                <w:tcPr>
                  <w:tcW w:w="1089" w:type="pct"/>
                  <w:vAlign w:val="center"/>
                </w:tcPr>
                <w:p w14:paraId="70883927">
                  <w:pPr>
                    <w:spacing w:line="240" w:lineRule="auto"/>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val="en-US" w:eastAsia="zh-CN"/>
                    </w:rPr>
                    <w:t>氨、硫化氢、臭气浓度、甲烷、氯气</w:t>
                  </w:r>
                </w:p>
              </w:tc>
              <w:tc>
                <w:tcPr>
                  <w:tcW w:w="1183" w:type="pct"/>
                  <w:vAlign w:val="center"/>
                </w:tcPr>
                <w:p w14:paraId="089E8168">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产生恶臭区域加罩或加盖，投放除臭剂</w:t>
                  </w:r>
                </w:p>
              </w:tc>
              <w:tc>
                <w:tcPr>
                  <w:tcW w:w="936" w:type="pct"/>
                  <w:vAlign w:val="center"/>
                </w:tcPr>
                <w:p w14:paraId="09B6ECD2">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加盖密闭，投加生物除臭剂</w:t>
                  </w:r>
                </w:p>
              </w:tc>
              <w:tc>
                <w:tcPr>
                  <w:tcW w:w="847" w:type="pct"/>
                  <w:vAlign w:val="center"/>
                </w:tcPr>
                <w:p w14:paraId="47FB7CF0">
                  <w:pPr>
                    <w:spacing w:line="240" w:lineRule="auto"/>
                    <w:jc w:val="center"/>
                    <w:rPr>
                      <w:rFonts w:hint="eastAsia"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是</w:t>
                  </w:r>
                </w:p>
              </w:tc>
            </w:tr>
          </w:tbl>
          <w:p w14:paraId="18CB3955">
            <w:pPr>
              <w:keepNext w:val="0"/>
              <w:keepLines w:val="0"/>
              <w:widowControl/>
              <w:suppressLineNumbers w:val="0"/>
              <w:ind w:firstLine="482" w:firstLineChars="200"/>
              <w:jc w:val="left"/>
              <w:rPr>
                <w:color w:val="auto"/>
                <w:highlight w:val="none"/>
                <w:u w:val="none" w:color="auto"/>
              </w:rPr>
            </w:pPr>
            <w:r>
              <w:rPr>
                <w:rFonts w:hint="eastAsia" w:cs="Times New Roman"/>
                <w:b/>
                <w:bCs/>
                <w:color w:val="auto"/>
                <w:kern w:val="0"/>
                <w:sz w:val="24"/>
                <w:szCs w:val="24"/>
                <w:highlight w:val="none"/>
                <w:u w:val="none" w:color="auto"/>
                <w:lang w:val="en-US" w:eastAsia="zh-CN" w:bidi="ar"/>
              </w:rPr>
              <w:t>4.2.3</w:t>
            </w:r>
            <w:r>
              <w:rPr>
                <w:rFonts w:hint="eastAsia" w:ascii="宋体" w:hAnsi="宋体" w:eastAsia="宋体" w:cs="宋体"/>
                <w:b/>
                <w:bCs/>
                <w:color w:val="auto"/>
                <w:kern w:val="0"/>
                <w:sz w:val="24"/>
                <w:szCs w:val="24"/>
                <w:highlight w:val="none"/>
                <w:u w:val="none" w:color="auto"/>
                <w:lang w:val="en-US" w:eastAsia="zh-CN" w:bidi="ar"/>
              </w:rPr>
              <w:t>废气排污监测计划</w:t>
            </w:r>
          </w:p>
          <w:p w14:paraId="77646D2B">
            <w:pPr>
              <w:keepNext w:val="0"/>
              <w:keepLines w:val="0"/>
              <w:widowControl/>
              <w:suppressLineNumbers w:val="0"/>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本项目依据《排污许可证申请与核发技术规范</w:t>
            </w:r>
            <w:r>
              <w:rPr>
                <w:rFonts w:hint="eastAsia" w:ascii="宋体" w:hAnsi="宋体" w:cs="宋体"/>
                <w:color w:val="auto"/>
                <w:kern w:val="0"/>
                <w:sz w:val="24"/>
                <w:szCs w:val="24"/>
                <w:highlight w:val="none"/>
                <w:u w:val="none" w:color="auto"/>
                <w:lang w:val="en-US" w:eastAsia="zh-CN" w:bidi="ar"/>
              </w:rPr>
              <w:t xml:space="preserve"> </w:t>
            </w:r>
            <w:r>
              <w:rPr>
                <w:rFonts w:hint="eastAsia" w:ascii="宋体" w:hAnsi="宋体" w:eastAsia="宋体" w:cs="宋体"/>
                <w:color w:val="auto"/>
                <w:kern w:val="0"/>
                <w:sz w:val="24"/>
                <w:szCs w:val="24"/>
                <w:highlight w:val="none"/>
                <w:u w:val="none" w:color="auto"/>
                <w:lang w:val="en-US" w:eastAsia="zh-CN" w:bidi="ar"/>
              </w:rPr>
              <w:t>医疗机构》（</w:t>
            </w:r>
            <w:r>
              <w:rPr>
                <w:rFonts w:hint="default" w:ascii="Times New Roman" w:hAnsi="Times New Roman" w:eastAsia="宋体" w:cs="Times New Roman"/>
                <w:color w:val="auto"/>
                <w:kern w:val="0"/>
                <w:sz w:val="24"/>
                <w:szCs w:val="24"/>
                <w:highlight w:val="none"/>
                <w:u w:val="none" w:color="auto"/>
                <w:lang w:val="en-US" w:eastAsia="zh-CN" w:bidi="ar"/>
              </w:rPr>
              <w:t>HJ1105-2020</w:t>
            </w:r>
            <w:r>
              <w:rPr>
                <w:rFonts w:hint="eastAsia" w:ascii="宋体" w:hAnsi="宋体" w:eastAsia="宋体" w:cs="宋体"/>
                <w:color w:val="auto"/>
                <w:kern w:val="0"/>
                <w:sz w:val="24"/>
                <w:szCs w:val="24"/>
                <w:highlight w:val="none"/>
                <w:u w:val="none" w:color="auto"/>
                <w:lang w:val="en-US" w:eastAsia="zh-CN" w:bidi="ar"/>
              </w:rPr>
              <w:t>）确定监测计划，项目运营期废气监测点位、监测指标及最低监测频次按下表执行。</w:t>
            </w:r>
          </w:p>
          <w:p w14:paraId="69C931B0">
            <w:pPr>
              <w:keepNext w:val="0"/>
              <w:keepLines w:val="0"/>
              <w:widowControl/>
              <w:suppressLineNumbers w:val="0"/>
              <w:jc w:val="center"/>
              <w:rPr>
                <w:color w:val="auto"/>
                <w:sz w:val="21"/>
                <w:szCs w:val="21"/>
                <w:highlight w:val="none"/>
                <w:u w:val="none" w:color="auto"/>
              </w:rPr>
            </w:pPr>
            <w:r>
              <w:rPr>
                <w:rFonts w:hint="eastAsia" w:ascii="宋体" w:hAnsi="宋体" w:eastAsia="宋体" w:cs="宋体"/>
                <w:b/>
                <w:bCs/>
                <w:color w:val="auto"/>
                <w:kern w:val="0"/>
                <w:sz w:val="21"/>
                <w:szCs w:val="21"/>
                <w:highlight w:val="none"/>
                <w:u w:val="none" w:color="auto"/>
                <w:lang w:val="en-US" w:eastAsia="zh-CN" w:bidi="ar"/>
              </w:rPr>
              <w:t>表</w:t>
            </w:r>
            <w:r>
              <w:rPr>
                <w:rFonts w:hint="default" w:ascii="Times New Roman" w:hAnsi="Times New Roman" w:eastAsia="宋体" w:cs="Times New Roman"/>
                <w:b/>
                <w:bCs/>
                <w:color w:val="auto"/>
                <w:kern w:val="0"/>
                <w:sz w:val="21"/>
                <w:szCs w:val="21"/>
                <w:highlight w:val="none"/>
                <w:u w:val="none" w:color="auto"/>
                <w:lang w:val="en-US" w:eastAsia="zh-CN" w:bidi="ar"/>
              </w:rPr>
              <w:t>4-</w:t>
            </w:r>
            <w:r>
              <w:rPr>
                <w:rFonts w:hint="eastAsia" w:cs="Times New Roman"/>
                <w:b/>
                <w:bCs/>
                <w:color w:val="auto"/>
                <w:kern w:val="0"/>
                <w:sz w:val="21"/>
                <w:szCs w:val="21"/>
                <w:highlight w:val="none"/>
                <w:u w:val="none" w:color="auto"/>
                <w:lang w:val="en-US" w:eastAsia="zh-CN" w:bidi="ar"/>
              </w:rPr>
              <w:t>4</w:t>
            </w:r>
            <w:r>
              <w:rPr>
                <w:rFonts w:hint="default" w:ascii="Times New Roman" w:hAnsi="Times New Roman" w:eastAsia="宋体" w:cs="Times New Roman"/>
                <w:b/>
                <w:bCs/>
                <w:color w:val="auto"/>
                <w:kern w:val="0"/>
                <w:sz w:val="21"/>
                <w:szCs w:val="21"/>
                <w:highlight w:val="none"/>
                <w:u w:val="none" w:color="auto"/>
                <w:lang w:val="en-US" w:eastAsia="zh-CN" w:bidi="ar"/>
              </w:rPr>
              <w:t xml:space="preserve"> </w:t>
            </w:r>
            <w:r>
              <w:rPr>
                <w:rFonts w:hint="eastAsia" w:ascii="Times New Roman" w:hAnsi="Times New Roman" w:eastAsia="宋体" w:cs="Times New Roman"/>
                <w:b/>
                <w:bCs/>
                <w:color w:val="auto"/>
                <w:kern w:val="0"/>
                <w:sz w:val="21"/>
                <w:szCs w:val="21"/>
                <w:highlight w:val="none"/>
                <w:u w:val="none" w:color="auto"/>
                <w:lang w:val="en-US" w:eastAsia="zh-CN" w:bidi="ar"/>
              </w:rPr>
              <w:t xml:space="preserve">  </w:t>
            </w:r>
            <w:r>
              <w:rPr>
                <w:rFonts w:hint="eastAsia" w:ascii="宋体" w:hAnsi="宋体" w:eastAsia="宋体" w:cs="宋体"/>
                <w:b/>
                <w:bCs/>
                <w:color w:val="auto"/>
                <w:kern w:val="0"/>
                <w:sz w:val="21"/>
                <w:szCs w:val="21"/>
                <w:highlight w:val="none"/>
                <w:u w:val="none" w:color="auto"/>
                <w:lang w:val="en-US" w:eastAsia="zh-CN" w:bidi="ar"/>
              </w:rPr>
              <w:t>项目废气监测计划内容一览表</w:t>
            </w:r>
          </w:p>
          <w:tbl>
            <w:tblPr>
              <w:tblStyle w:val="35"/>
              <w:tblW w:w="4997"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696"/>
              <w:gridCol w:w="2379"/>
              <w:gridCol w:w="1493"/>
              <w:gridCol w:w="2675"/>
            </w:tblGrid>
            <w:tr w14:paraId="31A11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pct"/>
                  <w:gridSpan w:val="2"/>
                  <w:vAlign w:val="center"/>
                </w:tcPr>
                <w:p w14:paraId="1727648E">
                  <w:pPr>
                    <w:spacing w:line="240" w:lineRule="auto"/>
                    <w:jc w:val="center"/>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lang w:val="en-US" w:eastAsia="zh-CN"/>
                    </w:rPr>
                    <w:t>监测点</w:t>
                  </w:r>
                </w:p>
              </w:tc>
              <w:tc>
                <w:tcPr>
                  <w:tcW w:w="1300" w:type="pct"/>
                  <w:vAlign w:val="center"/>
                </w:tcPr>
                <w:p w14:paraId="7453B964">
                  <w:pPr>
                    <w:spacing w:line="360" w:lineRule="auto"/>
                    <w:jc w:val="center"/>
                    <w:rPr>
                      <w:rFonts w:hint="default" w:ascii="Times New Roman" w:hAnsi="Times New Roman" w:cs="Times New Roman"/>
                      <w:b/>
                      <w:bCs/>
                      <w:color w:val="auto"/>
                      <w:sz w:val="21"/>
                      <w:szCs w:val="21"/>
                      <w:highlight w:val="none"/>
                      <w:u w:val="none" w:color="auto"/>
                      <w:lang w:val="en-US" w:eastAsia="zh-CN"/>
                    </w:rPr>
                  </w:pPr>
                  <w:r>
                    <w:rPr>
                      <w:rFonts w:hint="default" w:ascii="Times New Roman" w:hAnsi="Times New Roman" w:cs="Times New Roman"/>
                      <w:b/>
                      <w:bCs/>
                      <w:color w:val="auto"/>
                      <w:sz w:val="21"/>
                      <w:szCs w:val="21"/>
                      <w:highlight w:val="none"/>
                      <w:u w:val="none" w:color="auto"/>
                      <w:lang w:val="en-US" w:eastAsia="zh-CN"/>
                    </w:rPr>
                    <w:t>监测项目</w:t>
                  </w:r>
                </w:p>
              </w:tc>
              <w:tc>
                <w:tcPr>
                  <w:tcW w:w="816" w:type="pct"/>
                  <w:vAlign w:val="center"/>
                </w:tcPr>
                <w:p w14:paraId="1ADFC4D5">
                  <w:pPr>
                    <w:spacing w:line="360" w:lineRule="auto"/>
                    <w:jc w:val="center"/>
                    <w:rPr>
                      <w:rFonts w:hint="default" w:ascii="Times New Roman" w:hAnsi="Times New Roman" w:cs="Times New Roman"/>
                      <w:b/>
                      <w:bCs/>
                      <w:color w:val="auto"/>
                      <w:sz w:val="21"/>
                      <w:szCs w:val="21"/>
                      <w:highlight w:val="none"/>
                      <w:u w:val="none" w:color="auto"/>
                      <w:lang w:val="en-US" w:eastAsia="zh-CN"/>
                    </w:rPr>
                  </w:pPr>
                  <w:r>
                    <w:rPr>
                      <w:rFonts w:hint="default" w:ascii="Times New Roman" w:hAnsi="Times New Roman" w:cs="Times New Roman"/>
                      <w:b/>
                      <w:bCs/>
                      <w:color w:val="auto"/>
                      <w:sz w:val="21"/>
                      <w:szCs w:val="21"/>
                      <w:highlight w:val="none"/>
                      <w:u w:val="none" w:color="auto"/>
                      <w:lang w:val="en-US" w:eastAsia="zh-CN"/>
                    </w:rPr>
                    <w:t>监测频次</w:t>
                  </w:r>
                </w:p>
              </w:tc>
              <w:tc>
                <w:tcPr>
                  <w:tcW w:w="1462" w:type="pct"/>
                  <w:vAlign w:val="center"/>
                </w:tcPr>
                <w:p w14:paraId="748014AD">
                  <w:pPr>
                    <w:spacing w:line="360" w:lineRule="auto"/>
                    <w:jc w:val="center"/>
                    <w:rPr>
                      <w:rFonts w:hint="default" w:ascii="Times New Roman" w:hAnsi="Times New Roman" w:cs="Times New Roman"/>
                      <w:b/>
                      <w:bCs/>
                      <w:color w:val="auto"/>
                      <w:sz w:val="21"/>
                      <w:szCs w:val="21"/>
                      <w:highlight w:val="none"/>
                      <w:u w:val="none" w:color="auto"/>
                      <w:lang w:val="en-US" w:eastAsia="zh-CN"/>
                    </w:rPr>
                  </w:pPr>
                  <w:r>
                    <w:rPr>
                      <w:rFonts w:hint="default" w:ascii="Times New Roman" w:hAnsi="Times New Roman" w:cs="Times New Roman"/>
                      <w:b/>
                      <w:bCs/>
                      <w:color w:val="auto"/>
                      <w:sz w:val="21"/>
                      <w:szCs w:val="21"/>
                      <w:highlight w:val="none"/>
                      <w:u w:val="none" w:color="auto"/>
                      <w:lang w:val="en-US" w:eastAsia="zh-CN"/>
                    </w:rPr>
                    <w:t>执行标准</w:t>
                  </w:r>
                </w:p>
              </w:tc>
            </w:tr>
            <w:tr w14:paraId="76996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 w:type="pct"/>
                  <w:vAlign w:val="center"/>
                </w:tcPr>
                <w:p w14:paraId="520607E1">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无组织</w:t>
                  </w:r>
                </w:p>
              </w:tc>
              <w:tc>
                <w:tcPr>
                  <w:tcW w:w="927" w:type="pct"/>
                  <w:vAlign w:val="center"/>
                </w:tcPr>
                <w:p w14:paraId="1584EDDD">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污水处理站周界</w:t>
                  </w:r>
                </w:p>
              </w:tc>
              <w:tc>
                <w:tcPr>
                  <w:tcW w:w="1300" w:type="pct"/>
                  <w:vAlign w:val="center"/>
                </w:tcPr>
                <w:p w14:paraId="360E11BB">
                  <w:pPr>
                    <w:spacing w:line="240" w:lineRule="auto"/>
                    <w:jc w:val="center"/>
                    <w:rPr>
                      <w:rFonts w:hint="default" w:ascii="Times New Roman" w:hAnsi="Times New Roman" w:cs="Times New Roman"/>
                      <w:color w:val="auto"/>
                      <w:sz w:val="21"/>
                      <w:szCs w:val="21"/>
                      <w:highlight w:val="none"/>
                      <w:u w:val="none" w:color="auto"/>
                      <w:lang w:val="en-US"/>
                    </w:rPr>
                  </w:pPr>
                  <w:r>
                    <w:rPr>
                      <w:rFonts w:hint="default" w:ascii="Times New Roman" w:hAnsi="Times New Roman" w:cs="Times New Roman"/>
                      <w:color w:val="auto"/>
                      <w:sz w:val="21"/>
                      <w:szCs w:val="21"/>
                      <w:highlight w:val="none"/>
                      <w:u w:val="none" w:color="auto"/>
                      <w:lang w:val="en-US" w:eastAsia="zh-CN"/>
                    </w:rPr>
                    <w:t>氨、硫化氢、臭气浓度</w:t>
                  </w:r>
                  <w:r>
                    <w:rPr>
                      <w:rFonts w:hint="eastAsia" w:cs="Times New Roman"/>
                      <w:color w:val="auto"/>
                      <w:sz w:val="21"/>
                      <w:szCs w:val="21"/>
                      <w:highlight w:val="none"/>
                      <w:u w:val="none" w:color="auto"/>
                      <w:lang w:val="en-US" w:eastAsia="zh-CN"/>
                    </w:rPr>
                    <w:t>、甲烷</w:t>
                  </w:r>
                </w:p>
              </w:tc>
              <w:tc>
                <w:tcPr>
                  <w:tcW w:w="816" w:type="pct"/>
                  <w:vAlign w:val="center"/>
                </w:tcPr>
                <w:p w14:paraId="1541168F">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每季度一次</w:t>
                  </w:r>
                </w:p>
              </w:tc>
              <w:tc>
                <w:tcPr>
                  <w:tcW w:w="1462" w:type="pct"/>
                  <w:vAlign w:val="center"/>
                </w:tcPr>
                <w:p w14:paraId="0F5141D2">
                  <w:pPr>
                    <w:spacing w:line="240" w:lineRule="auto"/>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val="en-US" w:eastAsia="zh-CN"/>
                    </w:rPr>
                    <w:t>《医疗机构水污染物排放标准》（GB18466-2005）</w:t>
                  </w:r>
                </w:p>
              </w:tc>
            </w:tr>
          </w:tbl>
          <w:p w14:paraId="652A1D58">
            <w:pPr>
              <w:pStyle w:val="54"/>
              <w:widowControl w:val="0"/>
              <w:ind w:firstLine="482"/>
              <w:rPr>
                <w:b/>
                <w:bCs/>
                <w:color w:val="auto"/>
                <w:highlight w:val="none"/>
                <w:u w:val="none" w:color="auto"/>
              </w:rPr>
            </w:pPr>
            <w:r>
              <w:rPr>
                <w:rFonts w:hint="eastAsia"/>
                <w:b/>
                <w:bCs/>
                <w:color w:val="auto"/>
                <w:highlight w:val="none"/>
                <w:u w:val="none" w:color="auto"/>
              </w:rPr>
              <w:t>4</w:t>
            </w:r>
            <w:r>
              <w:rPr>
                <w:b/>
                <w:bCs/>
                <w:color w:val="auto"/>
                <w:highlight w:val="none"/>
                <w:u w:val="none" w:color="auto"/>
              </w:rPr>
              <w:t>.</w:t>
            </w:r>
            <w:r>
              <w:rPr>
                <w:rFonts w:hint="eastAsia"/>
                <w:b/>
                <w:bCs/>
                <w:color w:val="auto"/>
                <w:highlight w:val="none"/>
                <w:u w:val="none" w:color="auto"/>
                <w:lang w:val="en-US" w:eastAsia="zh-CN"/>
              </w:rPr>
              <w:t>3</w:t>
            </w:r>
            <w:r>
              <w:rPr>
                <w:rFonts w:hint="eastAsia"/>
                <w:b/>
                <w:bCs/>
                <w:color w:val="auto"/>
                <w:highlight w:val="none"/>
                <w:u w:val="none" w:color="auto"/>
              </w:rPr>
              <w:t>运营期水环境影响和保护措施</w:t>
            </w:r>
          </w:p>
          <w:p w14:paraId="5938C2D6">
            <w:pPr>
              <w:pStyle w:val="109"/>
              <w:keepNext w:val="0"/>
              <w:keepLines w:val="0"/>
              <w:pageBreakBefore w:val="0"/>
              <w:widowControl w:val="0"/>
              <w:kinsoku/>
              <w:wordWrap/>
              <w:overflowPunct/>
              <w:topLinePunct w:val="0"/>
              <w:autoSpaceDE/>
              <w:autoSpaceDN/>
              <w:bidi w:val="0"/>
              <w:spacing w:line="360" w:lineRule="auto"/>
              <w:ind w:firstLine="482" w:firstLineChars="200"/>
              <w:jc w:val="left"/>
              <w:rPr>
                <w:rFonts w:hint="default" w:ascii="Times New Roman" w:hAnsi="Times New Roman" w:eastAsia="宋体" w:cs="Times New Roman"/>
                <w:b/>
                <w:bCs/>
                <w:i w:val="0"/>
                <w:iCs w:val="0"/>
                <w:caps w:val="0"/>
                <w:color w:val="auto"/>
                <w:spacing w:val="0"/>
                <w:sz w:val="24"/>
                <w:szCs w:val="24"/>
                <w:highlight w:val="none"/>
                <w:u w:val="none" w:color="auto"/>
                <w:shd w:val="clear" w:color="auto" w:fill="FFFFFF"/>
                <w:lang w:val="en-US" w:eastAsia="zh-CN"/>
              </w:rPr>
            </w:pPr>
            <w:r>
              <w:rPr>
                <w:rFonts w:hint="eastAsia" w:ascii="Times New Roman" w:hAnsi="Times New Roman" w:eastAsia="宋体" w:cs="Times New Roman"/>
                <w:b/>
                <w:bCs/>
                <w:i w:val="0"/>
                <w:iCs w:val="0"/>
                <w:caps w:val="0"/>
                <w:color w:val="auto"/>
                <w:spacing w:val="0"/>
                <w:sz w:val="24"/>
                <w:szCs w:val="24"/>
                <w:highlight w:val="none"/>
                <w:u w:val="none" w:color="auto"/>
                <w:shd w:val="clear" w:color="auto" w:fill="FFFFFF"/>
                <w:lang w:val="en-US" w:eastAsia="zh-CN"/>
              </w:rPr>
              <w:t>4.</w:t>
            </w:r>
            <w:r>
              <w:rPr>
                <w:rFonts w:hint="eastAsia" w:cs="Times New Roman"/>
                <w:b/>
                <w:bCs/>
                <w:i w:val="0"/>
                <w:iCs w:val="0"/>
                <w:caps w:val="0"/>
                <w:color w:val="auto"/>
                <w:spacing w:val="0"/>
                <w:sz w:val="24"/>
                <w:szCs w:val="24"/>
                <w:highlight w:val="none"/>
                <w:u w:val="none" w:color="auto"/>
                <w:shd w:val="clear" w:color="auto" w:fill="FFFFFF"/>
                <w:lang w:val="en-US" w:eastAsia="zh-CN"/>
              </w:rPr>
              <w:t>3</w:t>
            </w:r>
            <w:r>
              <w:rPr>
                <w:rFonts w:hint="eastAsia" w:ascii="Times New Roman" w:hAnsi="Times New Roman" w:eastAsia="宋体" w:cs="Times New Roman"/>
                <w:b/>
                <w:bCs/>
                <w:i w:val="0"/>
                <w:iCs w:val="0"/>
                <w:caps w:val="0"/>
                <w:color w:val="auto"/>
                <w:spacing w:val="0"/>
                <w:sz w:val="24"/>
                <w:szCs w:val="24"/>
                <w:highlight w:val="none"/>
                <w:u w:val="none" w:color="auto"/>
                <w:shd w:val="clear" w:color="auto" w:fill="FFFFFF"/>
                <w:lang w:val="en-US" w:eastAsia="zh-CN"/>
              </w:rPr>
              <w:t>.1废水</w:t>
            </w:r>
            <w:r>
              <w:rPr>
                <w:rFonts w:hint="default" w:ascii="Times New Roman" w:hAnsi="Times New Roman" w:eastAsia="宋体" w:cs="Times New Roman"/>
                <w:b/>
                <w:bCs/>
                <w:i w:val="0"/>
                <w:iCs w:val="0"/>
                <w:caps w:val="0"/>
                <w:color w:val="auto"/>
                <w:spacing w:val="0"/>
                <w:sz w:val="24"/>
                <w:szCs w:val="24"/>
                <w:highlight w:val="none"/>
                <w:u w:val="none" w:color="auto"/>
                <w:shd w:val="clear" w:color="auto" w:fill="FFFFFF"/>
                <w:lang w:val="en-US" w:eastAsia="zh-CN"/>
              </w:rPr>
              <w:t>污染源</w:t>
            </w:r>
            <w:r>
              <w:rPr>
                <w:rFonts w:hint="eastAsia" w:ascii="Times New Roman" w:hAnsi="Times New Roman" w:eastAsia="宋体" w:cs="Times New Roman"/>
                <w:b/>
                <w:bCs/>
                <w:i w:val="0"/>
                <w:iCs w:val="0"/>
                <w:caps w:val="0"/>
                <w:color w:val="auto"/>
                <w:spacing w:val="0"/>
                <w:sz w:val="24"/>
                <w:szCs w:val="24"/>
                <w:highlight w:val="none"/>
                <w:u w:val="none" w:color="auto"/>
                <w:shd w:val="clear" w:color="auto" w:fill="FFFFFF"/>
                <w:lang w:val="en-US" w:eastAsia="zh-CN"/>
              </w:rPr>
              <w:t>强核算</w:t>
            </w:r>
          </w:p>
          <w:p w14:paraId="2E2CFF26">
            <w:pPr>
              <w:keepNext w:val="0"/>
              <w:keepLines w:val="0"/>
              <w:widowControl/>
              <w:suppressLineNumbers w:val="0"/>
              <w:ind w:firstLine="480" w:firstLineChars="200"/>
              <w:jc w:val="left"/>
              <w:rPr>
                <w:rFonts w:ascii="宋体" w:hAnsi="宋体" w:eastAsia="宋体" w:cs="宋体"/>
                <w:color w:val="auto"/>
                <w:kern w:val="0"/>
                <w:sz w:val="24"/>
                <w:szCs w:val="24"/>
                <w:highlight w:val="none"/>
                <w:u w:val="none" w:color="auto"/>
                <w:lang w:val="en-US" w:eastAsia="zh-CN" w:bidi="ar"/>
              </w:rPr>
            </w:pPr>
            <w:r>
              <w:rPr>
                <w:rFonts w:ascii="宋体" w:hAnsi="宋体" w:eastAsia="宋体" w:cs="宋体"/>
                <w:color w:val="auto"/>
                <w:kern w:val="0"/>
                <w:sz w:val="24"/>
                <w:szCs w:val="24"/>
                <w:highlight w:val="none"/>
                <w:u w:val="none" w:color="auto"/>
                <w:lang w:val="en-US" w:eastAsia="zh-CN" w:bidi="ar"/>
              </w:rPr>
              <w:t>本项目运营期废水主要为</w:t>
            </w:r>
            <w:r>
              <w:rPr>
                <w:rFonts w:hint="eastAsia" w:ascii="宋体" w:hAnsi="宋体" w:cs="宋体"/>
                <w:color w:val="auto"/>
                <w:kern w:val="0"/>
                <w:sz w:val="24"/>
                <w:szCs w:val="24"/>
                <w:highlight w:val="none"/>
                <w:u w:val="none" w:color="auto"/>
                <w:lang w:val="en-US" w:eastAsia="zh-CN" w:bidi="ar"/>
              </w:rPr>
              <w:t>门诊</w:t>
            </w:r>
            <w:r>
              <w:rPr>
                <w:rFonts w:ascii="宋体" w:hAnsi="宋体" w:eastAsia="宋体" w:cs="宋体"/>
                <w:color w:val="auto"/>
                <w:kern w:val="0"/>
                <w:sz w:val="24"/>
                <w:szCs w:val="24"/>
                <w:highlight w:val="none"/>
                <w:u w:val="none" w:color="auto"/>
                <w:lang w:val="en-US" w:eastAsia="zh-CN" w:bidi="ar"/>
              </w:rPr>
              <w:t>废水、</w:t>
            </w:r>
            <w:r>
              <w:rPr>
                <w:rFonts w:hint="eastAsia" w:ascii="宋体" w:hAnsi="宋体" w:cs="宋体"/>
                <w:color w:val="auto"/>
                <w:kern w:val="0"/>
                <w:sz w:val="24"/>
                <w:szCs w:val="24"/>
                <w:highlight w:val="none"/>
                <w:u w:val="none" w:color="auto"/>
                <w:lang w:val="en-US" w:eastAsia="zh-CN" w:bidi="ar"/>
              </w:rPr>
              <w:t>病房废水、职工</w:t>
            </w:r>
            <w:r>
              <w:rPr>
                <w:rFonts w:ascii="宋体" w:hAnsi="宋体" w:eastAsia="宋体" w:cs="宋体"/>
                <w:color w:val="auto"/>
                <w:kern w:val="0"/>
                <w:sz w:val="24"/>
                <w:szCs w:val="24"/>
                <w:highlight w:val="none"/>
                <w:u w:val="none" w:color="auto"/>
                <w:lang w:val="en-US" w:eastAsia="zh-CN" w:bidi="ar"/>
              </w:rPr>
              <w:t>生活污水</w:t>
            </w:r>
            <w:r>
              <w:rPr>
                <w:rFonts w:hint="eastAsia" w:ascii="宋体" w:hAnsi="宋体" w:eastAsia="宋体" w:cs="宋体"/>
                <w:color w:val="auto"/>
                <w:kern w:val="0"/>
                <w:sz w:val="24"/>
                <w:szCs w:val="24"/>
                <w:highlight w:val="none"/>
                <w:u w:val="none" w:color="auto"/>
                <w:lang w:val="en-US" w:eastAsia="zh-CN" w:bidi="ar"/>
              </w:rPr>
              <w:t>、</w:t>
            </w:r>
            <w:r>
              <w:rPr>
                <w:rFonts w:ascii="宋体" w:hAnsi="宋体" w:eastAsia="宋体" w:cs="宋体"/>
                <w:color w:val="auto"/>
                <w:kern w:val="0"/>
                <w:sz w:val="24"/>
                <w:szCs w:val="24"/>
                <w:highlight w:val="none"/>
                <w:u w:val="none" w:color="auto"/>
                <w:lang w:val="en-US" w:eastAsia="zh-CN" w:bidi="ar"/>
              </w:rPr>
              <w:t>地面清洗废水</w:t>
            </w:r>
            <w:r>
              <w:rPr>
                <w:rFonts w:hint="eastAsia" w:ascii="宋体" w:hAnsi="宋体" w:cs="宋体"/>
                <w:color w:val="auto"/>
                <w:kern w:val="0"/>
                <w:sz w:val="24"/>
                <w:szCs w:val="24"/>
                <w:highlight w:val="none"/>
                <w:u w:val="none" w:color="auto"/>
                <w:lang w:val="en-US" w:eastAsia="zh-CN" w:bidi="ar"/>
              </w:rPr>
              <w:t>、洗衣房废水、食堂废水</w:t>
            </w:r>
            <w:r>
              <w:rPr>
                <w:rFonts w:ascii="宋体" w:hAnsi="宋体" w:eastAsia="宋体" w:cs="宋体"/>
                <w:color w:val="auto"/>
                <w:kern w:val="0"/>
                <w:sz w:val="24"/>
                <w:szCs w:val="24"/>
                <w:highlight w:val="none"/>
                <w:u w:val="none" w:color="auto"/>
                <w:lang w:val="en-US" w:eastAsia="zh-CN" w:bidi="ar"/>
              </w:rPr>
              <w:t>。</w:t>
            </w:r>
          </w:p>
          <w:p w14:paraId="7A62EC63">
            <w:pPr>
              <w:spacing w:line="360" w:lineRule="auto"/>
              <w:ind w:firstLine="480" w:firstLineChars="200"/>
              <w:jc w:val="left"/>
              <w:rPr>
                <w:rFonts w:hint="eastAsia" w:eastAsia="宋体" w:cs="Times New Roman"/>
                <w:color w:val="FF0000"/>
                <w:sz w:val="24"/>
                <w:u w:val="single" w:color="auto"/>
                <w:lang w:val="en-US" w:eastAsia="zh-CN"/>
              </w:rPr>
            </w:pPr>
            <w:r>
              <w:rPr>
                <w:rFonts w:hint="eastAsia" w:cs="Times New Roman"/>
                <w:color w:val="FF0000"/>
                <w:sz w:val="24"/>
                <w:u w:val="single" w:color="auto"/>
                <w:lang w:eastAsia="zh-CN"/>
              </w:rPr>
              <w:t>根据前文水平衡，本项目产生的综合废水量为</w:t>
            </w:r>
            <w:r>
              <w:rPr>
                <w:rFonts w:hint="eastAsia" w:cs="Times New Roman"/>
                <w:color w:val="FF0000"/>
                <w:sz w:val="24"/>
                <w:u w:val="single" w:color="auto"/>
                <w:lang w:val="en-US" w:eastAsia="zh-CN"/>
              </w:rPr>
              <w:t>133.875t/d(48864.375t/a)。</w:t>
            </w:r>
            <w:r>
              <w:rPr>
                <w:rFonts w:hint="default" w:ascii="Times New Roman" w:hAnsi="Times New Roman" w:cs="Times New Roman"/>
                <w:color w:val="FF0000"/>
                <w:szCs w:val="24"/>
                <w:highlight w:val="none"/>
                <w:u w:val="single" w:color="auto"/>
              </w:rPr>
              <w:t>本项目产生的医疗污水、</w:t>
            </w:r>
            <w:r>
              <w:rPr>
                <w:rFonts w:hint="eastAsia" w:cs="Times New Roman"/>
                <w:color w:val="FF0000"/>
                <w:szCs w:val="24"/>
                <w:highlight w:val="none"/>
                <w:u w:val="single" w:color="auto"/>
                <w:lang w:eastAsia="zh-CN"/>
              </w:rPr>
              <w:t>食堂废水</w:t>
            </w:r>
            <w:r>
              <w:rPr>
                <w:rFonts w:hint="eastAsia" w:ascii="Times New Roman" w:hAnsi="Times New Roman" w:cs="Times New Roman"/>
                <w:color w:val="FF0000"/>
                <w:szCs w:val="24"/>
                <w:highlight w:val="none"/>
                <w:u w:val="single" w:color="auto"/>
                <w:lang w:eastAsia="zh-CN"/>
              </w:rPr>
              <w:t>分开收集</w:t>
            </w:r>
            <w:r>
              <w:rPr>
                <w:rFonts w:hint="eastAsia" w:cs="Times New Roman"/>
                <w:color w:val="FF0000"/>
                <w:szCs w:val="24"/>
                <w:highlight w:val="none"/>
                <w:u w:val="single" w:color="auto"/>
                <w:lang w:eastAsia="zh-CN"/>
              </w:rPr>
              <w:t>处理</w:t>
            </w:r>
            <w:r>
              <w:rPr>
                <w:rFonts w:hint="eastAsia" w:ascii="Times New Roman" w:hAnsi="Times New Roman" w:cs="Times New Roman"/>
                <w:color w:val="FF0000"/>
                <w:szCs w:val="24"/>
                <w:highlight w:val="none"/>
                <w:u w:val="single" w:color="auto"/>
                <w:lang w:eastAsia="zh-CN"/>
              </w:rPr>
              <w:t>。</w:t>
            </w:r>
          </w:p>
          <w:p w14:paraId="5B8ADC4B">
            <w:pPr>
              <w:pStyle w:val="4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FF0000"/>
                <w:sz w:val="24"/>
                <w:szCs w:val="24"/>
                <w:u w:val="single" w:color="auto"/>
                <w:lang w:val="en-US" w:eastAsia="zh-CN"/>
              </w:rPr>
            </w:pPr>
            <w:r>
              <w:rPr>
                <w:rFonts w:hint="default" w:ascii="Times New Roman" w:hAnsi="Times New Roman" w:eastAsia="宋体" w:cs="Times New Roman"/>
                <w:color w:val="FF0000"/>
                <w:sz w:val="24"/>
                <w:szCs w:val="24"/>
                <w:u w:val="single" w:color="auto"/>
                <w:lang w:val="en-US" w:eastAsia="zh-CN"/>
              </w:rPr>
              <w:t>食堂废水经隔油池处理后进入</w:t>
            </w:r>
            <w:r>
              <w:rPr>
                <w:rFonts w:hint="eastAsia" w:ascii="Times New Roman" w:hAnsi="Times New Roman" w:eastAsia="宋体" w:cs="Times New Roman"/>
                <w:color w:val="FF0000"/>
                <w:sz w:val="24"/>
                <w:szCs w:val="24"/>
                <w:u w:val="single" w:color="auto"/>
                <w:lang w:val="en-US" w:eastAsia="zh-CN"/>
              </w:rPr>
              <w:t>城镇污水管网</w:t>
            </w:r>
            <w:r>
              <w:rPr>
                <w:rFonts w:hint="default" w:ascii="Times New Roman" w:hAnsi="Times New Roman" w:eastAsia="宋体" w:cs="Times New Roman"/>
                <w:color w:val="FF0000"/>
                <w:sz w:val="24"/>
                <w:szCs w:val="24"/>
                <w:u w:val="single" w:color="auto"/>
                <w:lang w:val="en-US" w:eastAsia="zh-CN"/>
              </w:rPr>
              <w:t>排入</w:t>
            </w:r>
            <w:r>
              <w:rPr>
                <w:rFonts w:hint="eastAsia" w:cs="Times New Roman"/>
                <w:color w:val="FF0000"/>
                <w:sz w:val="24"/>
                <w:szCs w:val="24"/>
                <w:u w:val="single" w:color="auto"/>
                <w:lang w:val="en-US" w:eastAsia="zh-CN"/>
              </w:rPr>
              <w:t>低庄镇污水处理厂</w:t>
            </w:r>
            <w:r>
              <w:rPr>
                <w:rFonts w:hint="default" w:ascii="Times New Roman" w:hAnsi="Times New Roman" w:eastAsia="宋体" w:cs="Times New Roman"/>
                <w:color w:val="FF0000"/>
                <w:sz w:val="24"/>
                <w:szCs w:val="24"/>
                <w:u w:val="single" w:color="auto"/>
                <w:lang w:val="en-US" w:eastAsia="zh-CN"/>
              </w:rPr>
              <w:t>处理，</w:t>
            </w:r>
            <w:r>
              <w:rPr>
                <w:rFonts w:hint="eastAsia" w:cs="Times New Roman"/>
                <w:color w:val="FF0000"/>
                <w:sz w:val="24"/>
                <w:szCs w:val="24"/>
                <w:u w:val="single" w:color="auto"/>
                <w:lang w:val="en-US" w:eastAsia="zh-CN"/>
              </w:rPr>
              <w:t>医疗废水经过格栅</w:t>
            </w:r>
            <w:r>
              <w:rPr>
                <w:rFonts w:hint="eastAsia" w:ascii="Times New Roman" w:hAnsi="Times New Roman" w:eastAsia="宋体" w:cs="Times New Roman"/>
                <w:color w:val="FF0000"/>
                <w:sz w:val="24"/>
                <w:szCs w:val="24"/>
                <w:u w:val="single" w:color="auto"/>
                <w:lang w:val="en-US" w:eastAsia="zh-CN"/>
              </w:rPr>
              <w:t>+</w:t>
            </w:r>
            <w:r>
              <w:rPr>
                <w:rFonts w:hint="eastAsia" w:cs="Times New Roman"/>
                <w:color w:val="FF0000"/>
                <w:sz w:val="24"/>
                <w:szCs w:val="24"/>
                <w:u w:val="single" w:color="auto"/>
                <w:lang w:val="en-US" w:eastAsia="zh-CN"/>
              </w:rPr>
              <w:t>调节池</w:t>
            </w:r>
            <w:r>
              <w:rPr>
                <w:rFonts w:hint="eastAsia" w:ascii="Times New Roman" w:hAnsi="Times New Roman" w:eastAsia="宋体" w:cs="Times New Roman"/>
                <w:color w:val="FF0000"/>
                <w:sz w:val="24"/>
                <w:szCs w:val="24"/>
                <w:u w:val="single" w:color="auto"/>
                <w:lang w:val="en-US" w:eastAsia="zh-CN"/>
              </w:rPr>
              <w:t>+</w:t>
            </w:r>
            <w:r>
              <w:rPr>
                <w:rFonts w:hint="eastAsia" w:cs="Times New Roman"/>
                <w:color w:val="FF0000"/>
                <w:sz w:val="24"/>
                <w:szCs w:val="24"/>
                <w:u w:val="single" w:color="auto"/>
                <w:lang w:val="en-US" w:eastAsia="zh-CN"/>
              </w:rPr>
              <w:t>混凝沉淀池+消毒</w:t>
            </w:r>
            <w:r>
              <w:rPr>
                <w:rFonts w:hint="eastAsia" w:ascii="Times New Roman" w:hAnsi="Times New Roman" w:eastAsia="宋体" w:cs="Times New Roman"/>
                <w:color w:val="FF0000"/>
                <w:sz w:val="24"/>
                <w:szCs w:val="24"/>
                <w:u w:val="single" w:color="auto"/>
                <w:lang w:val="en-US" w:eastAsia="zh-CN"/>
              </w:rPr>
              <w:t>处理后，</w:t>
            </w:r>
            <w:r>
              <w:rPr>
                <w:rFonts w:hint="default" w:ascii="Times New Roman" w:hAnsi="Times New Roman" w:eastAsia="宋体" w:cs="Times New Roman"/>
                <w:color w:val="FF0000"/>
                <w:sz w:val="24"/>
                <w:szCs w:val="24"/>
                <w:u w:val="single" w:color="auto"/>
                <w:lang w:val="en-US" w:eastAsia="zh-CN"/>
              </w:rPr>
              <w:t>进入</w:t>
            </w:r>
            <w:r>
              <w:rPr>
                <w:rFonts w:hint="eastAsia" w:ascii="Times New Roman" w:hAnsi="Times New Roman" w:eastAsia="宋体" w:cs="Times New Roman"/>
                <w:color w:val="FF0000"/>
                <w:sz w:val="24"/>
                <w:szCs w:val="24"/>
                <w:u w:val="single" w:color="auto"/>
                <w:lang w:val="en-US" w:eastAsia="zh-CN"/>
              </w:rPr>
              <w:t>城镇污水管网</w:t>
            </w:r>
            <w:r>
              <w:rPr>
                <w:rFonts w:hint="default" w:ascii="Times New Roman" w:hAnsi="Times New Roman" w:eastAsia="宋体" w:cs="Times New Roman"/>
                <w:color w:val="FF0000"/>
                <w:sz w:val="24"/>
                <w:szCs w:val="24"/>
                <w:u w:val="single" w:color="auto"/>
                <w:lang w:val="en-US" w:eastAsia="zh-CN"/>
              </w:rPr>
              <w:t>排入</w:t>
            </w:r>
            <w:r>
              <w:rPr>
                <w:rFonts w:hint="eastAsia" w:cs="Times New Roman"/>
                <w:color w:val="FF0000"/>
                <w:sz w:val="24"/>
                <w:szCs w:val="24"/>
                <w:u w:val="single" w:color="auto"/>
                <w:lang w:val="en-US" w:eastAsia="zh-CN"/>
              </w:rPr>
              <w:t>低庄镇污水处理厂</w:t>
            </w:r>
            <w:r>
              <w:rPr>
                <w:rFonts w:hint="default" w:ascii="Times New Roman" w:hAnsi="Times New Roman" w:eastAsia="宋体" w:cs="Times New Roman"/>
                <w:color w:val="FF0000"/>
                <w:sz w:val="24"/>
                <w:szCs w:val="24"/>
                <w:u w:val="single" w:color="auto"/>
                <w:lang w:val="en-US" w:eastAsia="zh-CN"/>
              </w:rPr>
              <w:t>处理</w:t>
            </w:r>
            <w:r>
              <w:rPr>
                <w:rFonts w:hint="eastAsia" w:ascii="Times New Roman" w:hAnsi="Times New Roman" w:eastAsia="宋体" w:cs="Times New Roman"/>
                <w:color w:val="FF0000"/>
                <w:sz w:val="24"/>
                <w:szCs w:val="24"/>
                <w:u w:val="single" w:color="auto"/>
                <w:lang w:val="en-US" w:eastAsia="zh-CN"/>
              </w:rPr>
              <w:t>。</w:t>
            </w:r>
          </w:p>
          <w:p w14:paraId="33EBB43F">
            <w:pPr>
              <w:pStyle w:val="32"/>
              <w:widowControl w:val="0"/>
              <w:snapToGrid/>
              <w:spacing w:after="0" w:line="240" w:lineRule="auto"/>
              <w:ind w:firstLine="211"/>
              <w:jc w:val="center"/>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表4-</w:t>
            </w:r>
            <w:r>
              <w:rPr>
                <w:rFonts w:hint="eastAsia" w:cs="Times New Roman"/>
                <w:b/>
                <w:bCs/>
                <w:color w:val="auto"/>
                <w:sz w:val="21"/>
                <w:szCs w:val="21"/>
                <w:highlight w:val="none"/>
                <w:u w:val="none" w:color="auto"/>
                <w:lang w:val="en-US" w:eastAsia="zh-CN"/>
              </w:rPr>
              <w:t>5</w:t>
            </w:r>
            <w:r>
              <w:rPr>
                <w:rFonts w:hint="eastAsia" w:ascii="Times New Roman" w:hAnsi="Times New Roman" w:cs="Times New Roman"/>
                <w:b/>
                <w:bCs/>
                <w:color w:val="auto"/>
                <w:sz w:val="21"/>
                <w:szCs w:val="21"/>
                <w:highlight w:val="none"/>
                <w:u w:val="none" w:color="auto"/>
                <w:lang w:val="en-US" w:eastAsia="zh-CN"/>
              </w:rPr>
              <w:t xml:space="preserve">  </w:t>
            </w:r>
            <w:r>
              <w:rPr>
                <w:rFonts w:hint="default" w:ascii="Times New Roman" w:hAnsi="Times New Roman" w:cs="Times New Roman"/>
                <w:b/>
                <w:bCs/>
                <w:color w:val="auto"/>
                <w:sz w:val="21"/>
                <w:szCs w:val="21"/>
                <w:highlight w:val="none"/>
                <w:u w:val="none" w:color="auto"/>
              </w:rPr>
              <w:t>污水产</w:t>
            </w:r>
            <w:r>
              <w:rPr>
                <w:rFonts w:hint="eastAsia" w:ascii="Times New Roman" w:hAnsi="Times New Roman" w:cs="Times New Roman"/>
                <w:b/>
                <w:bCs/>
                <w:color w:val="auto"/>
                <w:sz w:val="21"/>
                <w:szCs w:val="21"/>
                <w:highlight w:val="none"/>
                <w:u w:val="none" w:color="auto"/>
                <w:lang w:eastAsia="zh-CN"/>
              </w:rPr>
              <w:t>排污</w:t>
            </w:r>
            <w:r>
              <w:rPr>
                <w:rFonts w:hint="default" w:ascii="Times New Roman" w:hAnsi="Times New Roman" w:cs="Times New Roman"/>
                <w:b/>
                <w:bCs/>
                <w:color w:val="auto"/>
                <w:sz w:val="21"/>
                <w:szCs w:val="21"/>
                <w:highlight w:val="none"/>
                <w:u w:val="none" w:color="auto"/>
              </w:rPr>
              <w:t>情况一览表</w:t>
            </w:r>
          </w:p>
          <w:p w14:paraId="5A7C175B">
            <w:pPr>
              <w:pStyle w:val="109"/>
              <w:keepNext w:val="0"/>
              <w:keepLines w:val="0"/>
              <w:pageBreakBefore w:val="0"/>
              <w:widowControl w:val="0"/>
              <w:kinsoku/>
              <w:wordWrap/>
              <w:overflowPunct/>
              <w:topLinePunct w:val="0"/>
              <w:autoSpaceDE/>
              <w:autoSpaceDN/>
              <w:bidi w:val="0"/>
              <w:spacing w:line="360" w:lineRule="auto"/>
              <w:ind w:firstLine="422" w:firstLineChars="200"/>
              <w:jc w:val="center"/>
              <w:rPr>
                <w:rFonts w:hint="eastAsia" w:cs="Times New Roman"/>
                <w:b/>
                <w:bCs/>
                <w:i w:val="0"/>
                <w:iCs w:val="0"/>
                <w:caps w:val="0"/>
                <w:color w:val="auto"/>
                <w:spacing w:val="0"/>
                <w:sz w:val="21"/>
                <w:szCs w:val="21"/>
                <w:highlight w:val="none"/>
                <w:u w:val="none" w:color="auto"/>
                <w:shd w:val="clear" w:color="auto" w:fill="FFFFFF"/>
                <w:lang w:val="en-US" w:eastAsia="zh-CN"/>
              </w:rPr>
            </w:pPr>
            <w:r>
              <w:rPr>
                <w:rFonts w:hint="eastAsia" w:cs="Times New Roman"/>
                <w:b/>
                <w:bCs/>
                <w:i w:val="0"/>
                <w:iCs w:val="0"/>
                <w:caps w:val="0"/>
                <w:color w:val="auto"/>
                <w:spacing w:val="0"/>
                <w:sz w:val="21"/>
                <w:szCs w:val="21"/>
                <w:highlight w:val="none"/>
                <w:u w:val="none" w:color="auto"/>
                <w:shd w:val="clear" w:color="auto" w:fill="FFFFFF"/>
                <w:lang w:val="en-US" w:eastAsia="zh-CN"/>
              </w:rPr>
              <w:t>略</w:t>
            </w:r>
          </w:p>
          <w:p w14:paraId="692688D9">
            <w:pPr>
              <w:pStyle w:val="109"/>
              <w:keepNext w:val="0"/>
              <w:keepLines w:val="0"/>
              <w:pageBreakBefore w:val="0"/>
              <w:widowControl w:val="0"/>
              <w:kinsoku/>
              <w:wordWrap/>
              <w:overflowPunct/>
              <w:topLinePunct w:val="0"/>
              <w:autoSpaceDE/>
              <w:autoSpaceDN/>
              <w:bidi w:val="0"/>
              <w:spacing w:line="360" w:lineRule="auto"/>
              <w:ind w:firstLine="422" w:firstLineChars="200"/>
              <w:jc w:val="left"/>
              <w:rPr>
                <w:rFonts w:hint="default" w:ascii="Times New Roman" w:hAnsi="Times New Roman" w:eastAsia="宋体" w:cs="Times New Roman"/>
                <w:b/>
                <w:bCs/>
                <w:i w:val="0"/>
                <w:iCs w:val="0"/>
                <w:caps w:val="0"/>
                <w:color w:val="auto"/>
                <w:spacing w:val="0"/>
                <w:sz w:val="21"/>
                <w:szCs w:val="21"/>
                <w:highlight w:val="none"/>
                <w:u w:val="none" w:color="auto"/>
                <w:shd w:val="clear" w:color="auto" w:fill="FFFFFF"/>
                <w:lang w:val="en-US" w:eastAsia="zh-CN"/>
              </w:rPr>
            </w:pPr>
            <w:r>
              <w:rPr>
                <w:rFonts w:hint="eastAsia" w:cs="Times New Roman"/>
                <w:b/>
                <w:bCs/>
                <w:i w:val="0"/>
                <w:iCs w:val="0"/>
                <w:caps w:val="0"/>
                <w:color w:val="auto"/>
                <w:spacing w:val="0"/>
                <w:sz w:val="21"/>
                <w:szCs w:val="21"/>
                <w:highlight w:val="none"/>
                <w:u w:val="none" w:color="auto"/>
                <w:shd w:val="clear" w:color="auto" w:fill="FFFFFF"/>
                <w:lang w:val="en-US" w:eastAsia="zh-CN"/>
              </w:rPr>
              <w:t>类比现有工程自行监测报告，医院实际运行中石油类、挥发酚、总氰化物、总汞均低于检出线。</w:t>
            </w:r>
          </w:p>
          <w:p w14:paraId="592E76BC">
            <w:pPr>
              <w:pStyle w:val="109"/>
              <w:keepNext w:val="0"/>
              <w:keepLines w:val="0"/>
              <w:pageBreakBefore w:val="0"/>
              <w:widowControl w:val="0"/>
              <w:kinsoku/>
              <w:wordWrap/>
              <w:overflowPunct/>
              <w:topLinePunct w:val="0"/>
              <w:autoSpaceDE/>
              <w:autoSpaceDN/>
              <w:bidi w:val="0"/>
              <w:spacing w:line="360" w:lineRule="auto"/>
              <w:ind w:firstLine="482" w:firstLineChars="200"/>
              <w:jc w:val="left"/>
              <w:rPr>
                <w:rFonts w:hint="default" w:ascii="Times New Roman" w:hAnsi="Times New Roman" w:eastAsia="宋体" w:cs="Times New Roman"/>
                <w:b/>
                <w:bCs/>
                <w:i w:val="0"/>
                <w:iCs w:val="0"/>
                <w:caps w:val="0"/>
                <w:color w:val="auto"/>
                <w:spacing w:val="0"/>
                <w:sz w:val="24"/>
                <w:szCs w:val="24"/>
                <w:highlight w:val="none"/>
                <w:u w:val="none" w:color="auto"/>
                <w:shd w:val="clear" w:color="auto" w:fill="FFFFFF"/>
                <w:lang w:val="en-US" w:eastAsia="zh-CN"/>
              </w:rPr>
            </w:pPr>
            <w:r>
              <w:rPr>
                <w:rFonts w:hint="default" w:ascii="Times New Roman" w:hAnsi="Times New Roman" w:eastAsia="宋体" w:cs="Times New Roman"/>
                <w:b/>
                <w:bCs/>
                <w:i w:val="0"/>
                <w:iCs w:val="0"/>
                <w:caps w:val="0"/>
                <w:color w:val="auto"/>
                <w:spacing w:val="0"/>
                <w:sz w:val="24"/>
                <w:szCs w:val="24"/>
                <w:highlight w:val="none"/>
                <w:u w:val="none" w:color="auto"/>
                <w:shd w:val="clear" w:color="auto" w:fill="FFFFFF"/>
                <w:lang w:val="en-US" w:eastAsia="zh-CN"/>
              </w:rPr>
              <w:t>4.</w:t>
            </w:r>
            <w:r>
              <w:rPr>
                <w:rFonts w:hint="eastAsia" w:cs="Times New Roman"/>
                <w:b/>
                <w:bCs/>
                <w:i w:val="0"/>
                <w:iCs w:val="0"/>
                <w:caps w:val="0"/>
                <w:color w:val="auto"/>
                <w:spacing w:val="0"/>
                <w:sz w:val="24"/>
                <w:szCs w:val="24"/>
                <w:highlight w:val="none"/>
                <w:u w:val="none" w:color="auto"/>
                <w:shd w:val="clear" w:color="auto" w:fill="FFFFFF"/>
                <w:lang w:val="en-US" w:eastAsia="zh-CN"/>
              </w:rPr>
              <w:t>3</w:t>
            </w:r>
            <w:r>
              <w:rPr>
                <w:rFonts w:hint="default" w:ascii="Times New Roman" w:hAnsi="Times New Roman" w:eastAsia="宋体" w:cs="Times New Roman"/>
                <w:b/>
                <w:bCs/>
                <w:i w:val="0"/>
                <w:iCs w:val="0"/>
                <w:caps w:val="0"/>
                <w:color w:val="auto"/>
                <w:spacing w:val="0"/>
                <w:sz w:val="24"/>
                <w:szCs w:val="24"/>
                <w:highlight w:val="none"/>
                <w:u w:val="none" w:color="auto"/>
                <w:shd w:val="clear" w:color="auto" w:fill="FFFFFF"/>
                <w:lang w:val="en-US" w:eastAsia="zh-CN"/>
              </w:rPr>
              <w:t>.</w:t>
            </w:r>
            <w:r>
              <w:rPr>
                <w:rFonts w:hint="eastAsia" w:cs="Times New Roman"/>
                <w:b/>
                <w:bCs/>
                <w:i w:val="0"/>
                <w:iCs w:val="0"/>
                <w:caps w:val="0"/>
                <w:color w:val="auto"/>
                <w:spacing w:val="0"/>
                <w:sz w:val="24"/>
                <w:szCs w:val="24"/>
                <w:highlight w:val="none"/>
                <w:u w:val="none" w:color="auto"/>
                <w:shd w:val="clear" w:color="auto" w:fill="FFFFFF"/>
                <w:lang w:val="en-US" w:eastAsia="zh-CN"/>
              </w:rPr>
              <w:t>2</w:t>
            </w:r>
            <w:r>
              <w:rPr>
                <w:rFonts w:hint="default" w:ascii="Times New Roman" w:hAnsi="Times New Roman" w:eastAsia="宋体" w:cs="Times New Roman"/>
                <w:b/>
                <w:bCs/>
                <w:i w:val="0"/>
                <w:iCs w:val="0"/>
                <w:caps w:val="0"/>
                <w:color w:val="auto"/>
                <w:spacing w:val="0"/>
                <w:sz w:val="24"/>
                <w:szCs w:val="24"/>
                <w:highlight w:val="none"/>
                <w:u w:val="none" w:color="auto"/>
                <w:shd w:val="clear" w:color="auto" w:fill="FFFFFF"/>
                <w:lang w:val="en-US" w:eastAsia="zh-CN"/>
              </w:rPr>
              <w:t>污水治理措施可行性分析</w:t>
            </w:r>
          </w:p>
          <w:p w14:paraId="57251EFD">
            <w:pPr>
              <w:pStyle w:val="106"/>
              <w:keepNext w:val="0"/>
              <w:keepLines w:val="0"/>
              <w:pageBreakBefore w:val="0"/>
              <w:widowControl w:val="0"/>
              <w:kinsoku/>
              <w:wordWrap/>
              <w:overflowPunct/>
              <w:topLinePunct w:val="0"/>
              <w:autoSpaceDE/>
              <w:autoSpaceDN/>
              <w:bidi w:val="0"/>
              <w:ind w:firstLineChars="200"/>
              <w:jc w:val="left"/>
              <w:rPr>
                <w:rFonts w:hint="default" w:ascii="Times New Roman" w:hAnsi="Times New Roman" w:eastAsia="宋体" w:cs="Times New Roman"/>
                <w:b w:val="0"/>
                <w:bCs/>
                <w:i w:val="0"/>
                <w:iCs w:val="0"/>
                <w:caps w:val="0"/>
                <w:color w:val="auto"/>
                <w:spacing w:val="0"/>
                <w:kern w:val="2"/>
                <w:sz w:val="24"/>
                <w:szCs w:val="21"/>
                <w:highlight w:val="none"/>
                <w:u w:val="none" w:color="auto"/>
                <w:shd w:val="clear" w:color="auto" w:fill="FFFFFF"/>
                <w:lang w:val="en-US" w:eastAsia="zh-CN" w:bidi="ar-SA"/>
              </w:rPr>
            </w:pPr>
            <w:r>
              <w:rPr>
                <w:rFonts w:hint="default" w:ascii="Times New Roman" w:hAnsi="Times New Roman" w:eastAsia="宋体" w:cs="Times New Roman"/>
                <w:color w:val="auto"/>
                <w:kern w:val="2"/>
                <w:sz w:val="24"/>
                <w:szCs w:val="21"/>
                <w:highlight w:val="none"/>
                <w:u w:val="none" w:color="auto"/>
                <w:lang w:val="en-US" w:eastAsia="zh-CN" w:bidi="ar-SA"/>
              </w:rPr>
              <w:t>食堂废水经隔油池处理后进入</w:t>
            </w:r>
            <w:r>
              <w:rPr>
                <w:rFonts w:hint="eastAsia" w:ascii="Times New Roman" w:hAnsi="Times New Roman" w:eastAsia="宋体" w:cs="Times New Roman"/>
                <w:color w:val="auto"/>
                <w:kern w:val="2"/>
                <w:sz w:val="24"/>
                <w:szCs w:val="21"/>
                <w:highlight w:val="none"/>
                <w:u w:val="none" w:color="auto"/>
                <w:lang w:val="en-US" w:eastAsia="zh-CN" w:bidi="ar-SA"/>
              </w:rPr>
              <w:t>城镇污水管网</w:t>
            </w:r>
            <w:r>
              <w:rPr>
                <w:rFonts w:hint="default" w:ascii="Times New Roman" w:hAnsi="Times New Roman" w:eastAsia="宋体" w:cs="Times New Roman"/>
                <w:color w:val="auto"/>
                <w:kern w:val="2"/>
                <w:sz w:val="24"/>
                <w:szCs w:val="21"/>
                <w:highlight w:val="none"/>
                <w:u w:val="none" w:color="auto"/>
                <w:lang w:val="en-US" w:eastAsia="zh-CN" w:bidi="ar-SA"/>
              </w:rPr>
              <w:t>排入</w:t>
            </w:r>
            <w:r>
              <w:rPr>
                <w:rFonts w:hint="eastAsia" w:ascii="Times New Roman" w:cs="Times New Roman"/>
                <w:color w:val="auto"/>
                <w:kern w:val="2"/>
                <w:sz w:val="24"/>
                <w:szCs w:val="21"/>
                <w:highlight w:val="none"/>
                <w:u w:val="none" w:color="auto"/>
                <w:lang w:val="en-US" w:eastAsia="zh-CN" w:bidi="ar-SA"/>
              </w:rPr>
              <w:t>低庄镇污水处理厂</w:t>
            </w:r>
            <w:r>
              <w:rPr>
                <w:rFonts w:hint="default" w:ascii="Times New Roman" w:hAnsi="Times New Roman" w:eastAsia="宋体" w:cs="Times New Roman"/>
                <w:color w:val="auto"/>
                <w:kern w:val="2"/>
                <w:sz w:val="24"/>
                <w:szCs w:val="21"/>
                <w:highlight w:val="none"/>
                <w:u w:val="none" w:color="auto"/>
                <w:lang w:val="en-US" w:eastAsia="zh-CN" w:bidi="ar-SA"/>
              </w:rPr>
              <w:t>处理</w:t>
            </w:r>
            <w:r>
              <w:rPr>
                <w:rFonts w:hint="eastAsia" w:ascii="Times New Roman" w:hAnsi="Times New Roman" w:eastAsia="宋体" w:cs="Times New Roman"/>
                <w:color w:val="auto"/>
                <w:kern w:val="2"/>
                <w:sz w:val="24"/>
                <w:szCs w:val="21"/>
                <w:highlight w:val="none"/>
                <w:u w:val="none" w:color="auto"/>
                <w:lang w:val="en-US" w:eastAsia="zh-CN" w:bidi="ar-SA"/>
              </w:rPr>
              <w:t>。</w:t>
            </w:r>
          </w:p>
          <w:p w14:paraId="6619DBB9">
            <w:pPr>
              <w:pStyle w:val="10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cs="Times New Roman"/>
                <w:color w:val="auto"/>
                <w:sz w:val="24"/>
                <w:highlight w:val="none"/>
                <w:u w:val="none" w:color="auto"/>
              </w:rPr>
              <w:t>院区</w:t>
            </w:r>
            <w:r>
              <w:rPr>
                <w:rFonts w:hint="eastAsia" w:cs="Times New Roman"/>
                <w:color w:val="auto"/>
                <w:sz w:val="24"/>
                <w:highlight w:val="none"/>
                <w:u w:val="none" w:color="auto"/>
                <w:lang w:eastAsia="zh-CN"/>
              </w:rPr>
              <w:t>医疗废水</w:t>
            </w:r>
            <w:r>
              <w:rPr>
                <w:rFonts w:hint="default" w:ascii="Times New Roman" w:hAnsi="Times New Roman" w:cs="Times New Roman"/>
                <w:color w:val="auto"/>
                <w:sz w:val="24"/>
                <w:highlight w:val="none"/>
                <w:u w:val="none" w:color="auto"/>
              </w:rPr>
              <w:t>进入院区污水设备处理，设备设计日处理量为</w:t>
            </w:r>
            <w:r>
              <w:rPr>
                <w:rFonts w:hint="eastAsia" w:cs="Times New Roman"/>
                <w:color w:val="auto"/>
                <w:sz w:val="24"/>
                <w:highlight w:val="none"/>
                <w:u w:val="none" w:color="auto"/>
                <w:lang w:val="en-US" w:eastAsia="zh-CN"/>
              </w:rPr>
              <w:t>150</w:t>
            </w:r>
            <w:r>
              <w:rPr>
                <w:rFonts w:hint="eastAsia" w:ascii="Times New Roman" w:hAnsi="Times New Roman" w:cs="Times New Roman"/>
                <w:color w:val="auto"/>
                <w:sz w:val="24"/>
                <w:highlight w:val="none"/>
                <w:u w:val="none" w:color="auto"/>
                <w:lang w:val="en-US" w:eastAsia="zh-CN"/>
              </w:rPr>
              <w:t>m</w:t>
            </w:r>
            <w:r>
              <w:rPr>
                <w:rFonts w:hint="eastAsia" w:ascii="Times New Roman" w:hAnsi="Times New Roman" w:cs="Times New Roman"/>
                <w:color w:val="auto"/>
                <w:sz w:val="24"/>
                <w:highlight w:val="none"/>
                <w:u w:val="none" w:color="auto"/>
                <w:vertAlign w:val="superscript"/>
                <w:lang w:val="en-US" w:eastAsia="zh-CN"/>
              </w:rPr>
              <w:t>3</w:t>
            </w:r>
            <w:r>
              <w:rPr>
                <w:rFonts w:hint="default" w:ascii="Times New Roman" w:hAnsi="Times New Roman" w:cs="Times New Roman"/>
                <w:color w:val="auto"/>
                <w:sz w:val="24"/>
                <w:highlight w:val="none"/>
                <w:u w:val="none" w:color="auto"/>
              </w:rPr>
              <w:t>/d，具体工艺流程为：</w:t>
            </w:r>
            <w:r>
              <w:rPr>
                <w:rFonts w:hint="default" w:ascii="Times New Roman" w:hAnsi="Times New Roman" w:cs="Times New Roman"/>
                <w:color w:val="auto"/>
                <w:sz w:val="24"/>
                <w:highlight w:val="none"/>
                <w:u w:val="none" w:color="auto"/>
                <w:lang w:eastAsia="zh-CN"/>
              </w:rPr>
              <w:t>进水</w:t>
            </w:r>
            <w:r>
              <w:rPr>
                <w:rFonts w:hint="default" w:ascii="Times New Roman" w:hAnsi="Times New Roman" w:cs="Times New Roman"/>
                <w:color w:val="auto"/>
                <w:sz w:val="24"/>
                <w:highlight w:val="none"/>
                <w:u w:val="none" w:color="auto"/>
              </w:rPr>
              <w:t>→</w:t>
            </w:r>
            <w:r>
              <w:rPr>
                <w:rFonts w:hint="eastAsia" w:cs="Times New Roman"/>
                <w:color w:val="auto"/>
                <w:sz w:val="24"/>
                <w:highlight w:val="none"/>
                <w:u w:val="none" w:color="auto"/>
                <w:lang w:eastAsia="zh-CN"/>
              </w:rPr>
              <w:t>格栅</w:t>
            </w:r>
            <w:r>
              <w:rPr>
                <w:rFonts w:hint="default" w:ascii="Times New Roman" w:hAnsi="Times New Roman" w:cs="Times New Roman"/>
                <w:color w:val="auto"/>
                <w:sz w:val="24"/>
                <w:highlight w:val="none"/>
                <w:u w:val="none" w:color="auto"/>
              </w:rPr>
              <w:t>→调节</w:t>
            </w:r>
            <w:r>
              <w:rPr>
                <w:rFonts w:hint="default" w:ascii="Times New Roman" w:hAnsi="Times New Roman" w:cs="Times New Roman"/>
                <w:color w:val="auto"/>
                <w:sz w:val="24"/>
                <w:highlight w:val="none"/>
                <w:u w:val="none" w:color="auto"/>
                <w:lang w:eastAsia="zh-CN"/>
              </w:rPr>
              <w:t>池</w:t>
            </w:r>
            <w:r>
              <w:rPr>
                <w:rFonts w:hint="default" w:ascii="Times New Roman" w:hAnsi="Times New Roman" w:cs="Times New Roman"/>
                <w:color w:val="auto"/>
                <w:sz w:val="24"/>
                <w:highlight w:val="none"/>
                <w:u w:val="none" w:color="auto"/>
              </w:rPr>
              <w:t>→</w:t>
            </w:r>
            <w:r>
              <w:rPr>
                <w:rFonts w:hint="eastAsia" w:cs="Times New Roman"/>
                <w:color w:val="auto"/>
                <w:sz w:val="24"/>
                <w:highlight w:val="none"/>
                <w:u w:val="none" w:color="auto"/>
                <w:lang w:eastAsia="zh-CN"/>
              </w:rPr>
              <w:t>混凝沉淀池</w:t>
            </w:r>
            <w:r>
              <w:rPr>
                <w:rFonts w:hint="default" w:ascii="Times New Roman" w:hAnsi="Times New Roman" w:cs="Times New Roman"/>
                <w:color w:val="auto"/>
                <w:sz w:val="24"/>
                <w:highlight w:val="none"/>
                <w:u w:val="none" w:color="auto"/>
              </w:rPr>
              <w:t>→消毒→出水</w:t>
            </w:r>
            <w:r>
              <w:rPr>
                <w:rFonts w:hint="eastAsia" w:ascii="Times New Roman" w:hAnsi="Times New Roman" w:cs="Times New Roman"/>
                <w:color w:val="auto"/>
                <w:sz w:val="24"/>
                <w:highlight w:val="none"/>
                <w:u w:val="none" w:color="auto"/>
                <w:lang w:eastAsia="zh-CN"/>
              </w:rPr>
              <w:t>，</w:t>
            </w:r>
            <w:r>
              <w:rPr>
                <w:rFonts w:hint="eastAsia" w:cs="Times New Roman"/>
                <w:color w:val="auto"/>
                <w:sz w:val="24"/>
                <w:highlight w:val="none"/>
                <w:u w:val="single" w:color="auto"/>
                <w:lang w:eastAsia="zh-CN"/>
              </w:rPr>
              <w:t>消毒采用</w:t>
            </w:r>
            <w:r>
              <w:rPr>
                <w:rFonts w:hint="eastAsia" w:cs="Times New Roman"/>
                <w:color w:val="auto"/>
                <w:sz w:val="24"/>
                <w:szCs w:val="24"/>
                <w:highlight w:val="none"/>
                <w:u w:val="single" w:color="auto"/>
                <w:lang w:val="en-US" w:eastAsia="zh-CN"/>
              </w:rPr>
              <w:t>活性氧消毒粉</w:t>
            </w:r>
            <w:r>
              <w:rPr>
                <w:rFonts w:hint="eastAsia" w:ascii="Times New Roman Regular" w:hAnsi="Times New Roman Regular" w:cs="Times New Roman Regular"/>
                <w:color w:val="auto"/>
                <w:kern w:val="0"/>
                <w:sz w:val="24"/>
                <w:szCs w:val="24"/>
                <w:highlight w:val="none"/>
                <w:u w:val="single" w:color="auto"/>
                <w:lang w:val="en-US" w:eastAsia="zh-CN" w:bidi="ar"/>
              </w:rPr>
              <w:t>，</w:t>
            </w:r>
            <w:r>
              <w:rPr>
                <w:rFonts w:ascii="Times New Roman" w:hAnsi="Times New Roman" w:cs="Times New Roman"/>
                <w:color w:val="auto"/>
                <w:highlight w:val="none"/>
                <w:u w:val="none" w:color="auto"/>
              </w:rPr>
              <w:t>项目污水处理工艺采用的是《</w:t>
            </w:r>
            <w:r>
              <w:rPr>
                <w:rFonts w:hint="eastAsia" w:cs="Times New Roman"/>
                <w:color w:val="auto"/>
                <w:highlight w:val="none"/>
                <w:u w:val="none" w:color="auto"/>
                <w:lang w:eastAsia="zh-CN"/>
              </w:rPr>
              <w:t>医疗机构污水处理工程技术标准</w:t>
            </w:r>
            <w:r>
              <w:rPr>
                <w:rFonts w:ascii="Times New Roman" w:hAnsi="Times New Roman" w:cs="Times New Roman"/>
                <w:color w:val="auto"/>
                <w:highlight w:val="none"/>
                <w:u w:val="none" w:color="auto"/>
              </w:rPr>
              <w:t>》（</w:t>
            </w:r>
            <w:r>
              <w:rPr>
                <w:rFonts w:hint="eastAsia" w:ascii="Times New Roman" w:hAnsi="Times New Roman" w:cs="Times New Roman"/>
                <w:color w:val="auto"/>
                <w:highlight w:val="none"/>
                <w:u w:val="none" w:color="auto"/>
              </w:rPr>
              <w:t>GB51459-2024</w:t>
            </w:r>
            <w:r>
              <w:rPr>
                <w:rFonts w:ascii="Times New Roman" w:hAnsi="Times New Roman" w:cs="Times New Roman"/>
                <w:color w:val="auto"/>
                <w:highlight w:val="none"/>
                <w:u w:val="none" w:color="auto"/>
              </w:rPr>
              <w:t>）推荐的非传染病医院污水</w:t>
            </w:r>
            <w:r>
              <w:rPr>
                <w:rFonts w:hint="eastAsia" w:cs="Times New Roman"/>
                <w:color w:val="auto"/>
                <w:highlight w:val="none"/>
                <w:u w:val="none" w:color="auto"/>
                <w:lang w:eastAsia="zh-CN"/>
              </w:rPr>
              <w:t>一级强化处理</w:t>
            </w:r>
            <w:r>
              <w:rPr>
                <w:rFonts w:hint="eastAsia" w:cs="Times New Roman"/>
                <w:color w:val="auto"/>
                <w:highlight w:val="none"/>
                <w:u w:val="none" w:color="auto"/>
                <w:lang w:val="en-US" w:eastAsia="zh-CN"/>
              </w:rPr>
              <w:t>+消毒</w:t>
            </w:r>
            <w:r>
              <w:rPr>
                <w:rFonts w:ascii="Times New Roman" w:hAnsi="Times New Roman" w:cs="Times New Roman"/>
                <w:color w:val="auto"/>
                <w:highlight w:val="none"/>
                <w:u w:val="none" w:color="auto"/>
              </w:rPr>
              <w:t>工艺，</w:t>
            </w:r>
            <w:r>
              <w:rPr>
                <w:rFonts w:hint="default" w:ascii="Times New Roman" w:hAnsi="Times New Roman" w:cs="Times New Roman"/>
                <w:color w:val="auto"/>
                <w:sz w:val="24"/>
                <w:highlight w:val="none"/>
                <w:u w:val="none" w:color="auto"/>
              </w:rPr>
              <w:t>根据《</w:t>
            </w:r>
            <w:r>
              <w:rPr>
                <w:rFonts w:hint="default" w:ascii="Times New Roman" w:hAnsi="Times New Roman" w:cs="Times New Roman"/>
                <w:color w:val="auto"/>
                <w:sz w:val="24"/>
                <w:highlight w:val="none"/>
                <w:u w:val="none" w:color="auto"/>
              </w:rPr>
              <w:fldChar w:fldCharType="begin"/>
            </w:r>
            <w:r>
              <w:rPr>
                <w:rFonts w:hint="default" w:ascii="Times New Roman" w:hAnsi="Times New Roman" w:cs="Times New Roman"/>
                <w:color w:val="auto"/>
                <w:sz w:val="24"/>
                <w:highlight w:val="none"/>
                <w:u w:val="none" w:color="auto"/>
              </w:rPr>
              <w:instrText xml:space="preserve"> HYPERLINK "http://www.mee.gov.cn/ywgz/fgbz/bz/bzwb/pwxk/202003/W020200304706391366827.pdf" </w:instrText>
            </w:r>
            <w:r>
              <w:rPr>
                <w:rFonts w:hint="default" w:ascii="Times New Roman" w:hAnsi="Times New Roman" w:cs="Times New Roman"/>
                <w:color w:val="auto"/>
                <w:sz w:val="24"/>
                <w:highlight w:val="none"/>
                <w:u w:val="none" w:color="auto"/>
              </w:rPr>
              <w:fldChar w:fldCharType="separate"/>
            </w:r>
            <w:r>
              <w:rPr>
                <w:rFonts w:hint="default" w:ascii="Times New Roman" w:hAnsi="Times New Roman" w:cs="Times New Roman"/>
                <w:color w:val="auto"/>
                <w:sz w:val="24"/>
                <w:highlight w:val="none"/>
                <w:u w:val="none" w:color="auto"/>
              </w:rPr>
              <w:t>排污许可证申请与核发技术规范-医疗机构</w:t>
            </w:r>
            <w:r>
              <w:rPr>
                <w:rFonts w:hint="default" w:ascii="Times New Roman" w:hAnsi="Times New Roman" w:cs="Times New Roman"/>
                <w:color w:val="auto"/>
                <w:sz w:val="24"/>
                <w:highlight w:val="none"/>
                <w:u w:val="none" w:color="auto"/>
              </w:rPr>
              <w:fldChar w:fldCharType="end"/>
            </w:r>
            <w:r>
              <w:rPr>
                <w:rFonts w:hint="default" w:ascii="Times New Roman" w:hAnsi="Times New Roman" w:cs="Times New Roman"/>
                <w:color w:val="auto"/>
                <w:sz w:val="24"/>
                <w:highlight w:val="none"/>
                <w:u w:val="none" w:color="auto"/>
              </w:rPr>
              <w:t>（HJ1105-2020）》中表A.2医疗机构排污单位污水治理可行技术参照表，属于“医疗污水”</w:t>
            </w:r>
            <w:r>
              <w:rPr>
                <w:rFonts w:hint="eastAsia" w:cs="Times New Roman"/>
                <w:color w:val="auto"/>
                <w:sz w:val="24"/>
                <w:highlight w:val="none"/>
                <w:u w:val="none" w:color="auto"/>
                <w:lang w:eastAsia="zh-CN"/>
              </w:rPr>
              <w:t>排入城镇污水处理厂</w:t>
            </w:r>
            <w:r>
              <w:rPr>
                <w:rFonts w:hint="default" w:ascii="Times New Roman" w:hAnsi="Times New Roman" w:cs="Times New Roman"/>
                <w:color w:val="auto"/>
                <w:sz w:val="24"/>
                <w:highlight w:val="none"/>
                <w:u w:val="none" w:color="auto"/>
              </w:rPr>
              <w:t>中可行技术“</w:t>
            </w:r>
            <w:r>
              <w:rPr>
                <w:rFonts w:hint="eastAsia" w:cs="Times New Roman"/>
                <w:color w:val="auto"/>
                <w:highlight w:val="none"/>
                <w:u w:val="none" w:color="auto"/>
                <w:lang w:eastAsia="zh-CN"/>
              </w:rPr>
              <w:t>一级强化处理</w:t>
            </w:r>
            <w:r>
              <w:rPr>
                <w:rFonts w:hint="eastAsia" w:cs="Times New Roman"/>
                <w:color w:val="auto"/>
                <w:highlight w:val="none"/>
                <w:u w:val="none" w:color="auto"/>
                <w:lang w:val="en-US" w:eastAsia="zh-CN"/>
              </w:rPr>
              <w:t>+消毒</w:t>
            </w:r>
            <w:r>
              <w:rPr>
                <w:rFonts w:ascii="Times New Roman" w:hAnsi="Times New Roman" w:cs="Times New Roman"/>
                <w:color w:val="auto"/>
                <w:highlight w:val="none"/>
                <w:u w:val="none" w:color="auto"/>
              </w:rPr>
              <w:t>工艺</w:t>
            </w:r>
            <w:r>
              <w:rPr>
                <w:rFonts w:hint="default" w:ascii="Times New Roman" w:hAnsi="Times New Roman" w:cs="Times New Roman"/>
                <w:color w:val="auto"/>
                <w:sz w:val="24"/>
                <w:highlight w:val="none"/>
                <w:u w:val="none" w:color="auto"/>
              </w:rPr>
              <w:t>”，</w:t>
            </w:r>
            <w:r>
              <w:rPr>
                <w:rFonts w:hint="eastAsia" w:cs="Times New Roman"/>
                <w:color w:val="auto"/>
                <w:sz w:val="24"/>
                <w:highlight w:val="none"/>
                <w:u w:val="none" w:color="auto"/>
                <w:lang w:eastAsia="zh-CN"/>
              </w:rPr>
              <w:t>为可行技术。</w:t>
            </w:r>
            <w:r>
              <w:rPr>
                <w:rFonts w:hint="default" w:ascii="Times New Roman" w:hAnsi="Times New Roman" w:eastAsia="宋体" w:cs="Times New Roman"/>
                <w:color w:val="auto"/>
                <w:sz w:val="24"/>
                <w:szCs w:val="24"/>
                <w:highlight w:val="none"/>
                <w:u w:val="none" w:color="auto"/>
              </w:rPr>
              <w:t>处理后的污水达到《医疗机构水污染物排放标准》（GB18466-2005）</w:t>
            </w:r>
            <w:r>
              <w:rPr>
                <w:rFonts w:hint="eastAsia" w:cs="Times New Roman"/>
                <w:color w:val="auto"/>
                <w:sz w:val="24"/>
                <w:szCs w:val="24"/>
                <w:highlight w:val="none"/>
                <w:u w:val="none" w:color="auto"/>
                <w:lang w:eastAsia="zh-CN"/>
              </w:rPr>
              <w:t>中综合医院预处理相应</w:t>
            </w:r>
            <w:r>
              <w:rPr>
                <w:rFonts w:hint="default" w:ascii="Times New Roman" w:hAnsi="Times New Roman" w:eastAsia="宋体" w:cs="Times New Roman"/>
                <w:color w:val="auto"/>
                <w:sz w:val="24"/>
                <w:szCs w:val="24"/>
                <w:highlight w:val="none"/>
                <w:u w:val="none" w:color="auto"/>
              </w:rPr>
              <w:t>排放标准后</w:t>
            </w:r>
            <w:r>
              <w:rPr>
                <w:rFonts w:hint="eastAsia" w:ascii="Times New Roman" w:hAnsi="Times New Roman" w:eastAsia="宋体" w:cs="Times New Roman"/>
                <w:color w:val="auto"/>
                <w:sz w:val="24"/>
                <w:szCs w:val="24"/>
                <w:highlight w:val="none"/>
                <w:u w:val="none" w:color="auto"/>
                <w:lang w:val="en-US" w:eastAsia="zh-CN"/>
              </w:rPr>
              <w:t>排入城镇污水管网进入</w:t>
            </w:r>
            <w:r>
              <w:rPr>
                <w:rFonts w:hint="eastAsia" w:cs="Times New Roman"/>
                <w:color w:val="auto"/>
                <w:sz w:val="24"/>
                <w:szCs w:val="24"/>
                <w:highlight w:val="none"/>
                <w:u w:val="none" w:color="auto"/>
                <w:lang w:val="en-US" w:eastAsia="zh-CN"/>
              </w:rPr>
              <w:t>低庄镇污水处理厂</w:t>
            </w:r>
            <w:r>
              <w:rPr>
                <w:rFonts w:hint="eastAsia" w:ascii="Times New Roman" w:hAnsi="Times New Roman" w:eastAsia="宋体" w:cs="Times New Roman"/>
                <w:color w:val="auto"/>
                <w:sz w:val="24"/>
                <w:szCs w:val="24"/>
                <w:highlight w:val="none"/>
                <w:u w:val="none" w:color="auto"/>
                <w:lang w:val="en-US" w:eastAsia="zh-CN"/>
              </w:rPr>
              <w:t>处理</w:t>
            </w:r>
            <w:r>
              <w:rPr>
                <w:rFonts w:hint="default" w:ascii="Times New Roman" w:hAnsi="Times New Roman" w:eastAsia="宋体" w:cs="Times New Roman"/>
                <w:bCs/>
                <w:color w:val="auto"/>
                <w:kern w:val="2"/>
                <w:sz w:val="24"/>
                <w:szCs w:val="21"/>
                <w:highlight w:val="none"/>
                <w:u w:val="none" w:color="auto"/>
                <w:lang w:val="en-US" w:eastAsia="zh-CN" w:bidi="ar-SA"/>
              </w:rPr>
              <w:t>。</w:t>
            </w:r>
          </w:p>
          <w:p w14:paraId="2ED8D1D7">
            <w:pPr>
              <w:pStyle w:val="10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FF0000"/>
                <w:sz w:val="24"/>
                <w:szCs w:val="24"/>
                <w:highlight w:val="none"/>
                <w:u w:val="single" w:color="auto"/>
                <w:lang w:val="en-US" w:eastAsia="zh-CN"/>
              </w:rPr>
            </w:pPr>
            <w:r>
              <w:rPr>
                <w:rFonts w:hint="default" w:ascii="Times New Roman" w:hAnsi="Times New Roman" w:eastAsia="宋体" w:cs="Times New Roman"/>
                <w:color w:val="FF0000"/>
                <w:kern w:val="2"/>
                <w:sz w:val="24"/>
                <w:szCs w:val="24"/>
                <w:highlight w:val="none"/>
                <w:u w:val="single" w:color="auto"/>
                <w:lang w:val="en-US" w:eastAsia="zh-CN" w:bidi="ar-SA"/>
              </w:rPr>
              <w:t>本项目</w:t>
            </w:r>
            <w:r>
              <w:rPr>
                <w:rFonts w:hint="eastAsia" w:cs="Times New Roman"/>
                <w:color w:val="FF0000"/>
                <w:kern w:val="2"/>
                <w:sz w:val="24"/>
                <w:szCs w:val="24"/>
                <w:highlight w:val="none"/>
                <w:u w:val="single" w:color="auto"/>
                <w:lang w:val="en-US" w:eastAsia="zh-CN" w:bidi="ar-SA"/>
              </w:rPr>
              <w:t>医疗</w:t>
            </w:r>
            <w:r>
              <w:rPr>
                <w:rFonts w:hint="default" w:ascii="Times New Roman" w:hAnsi="Times New Roman" w:eastAsia="宋体" w:cs="Times New Roman"/>
                <w:color w:val="FF0000"/>
                <w:kern w:val="2"/>
                <w:sz w:val="24"/>
                <w:szCs w:val="24"/>
                <w:highlight w:val="none"/>
                <w:u w:val="single" w:color="auto"/>
                <w:lang w:val="en-US" w:eastAsia="zh-CN" w:bidi="ar-SA"/>
              </w:rPr>
              <w:t>废水产生量为</w:t>
            </w:r>
            <w:r>
              <w:rPr>
                <w:rFonts w:hint="eastAsia" w:ascii="Times New Roman Regular" w:hAnsi="Times New Roman Regular" w:cs="Times New Roman Regular"/>
                <w:color w:val="FF0000"/>
                <w:kern w:val="0"/>
                <w:sz w:val="24"/>
                <w:szCs w:val="24"/>
                <w:highlight w:val="none"/>
                <w:u w:val="single" w:color="auto"/>
                <w:lang w:val="en-US" w:eastAsia="zh-CN" w:bidi="ar"/>
              </w:rPr>
              <w:t>121.075</w:t>
            </w:r>
            <w:r>
              <w:rPr>
                <w:rFonts w:hint="eastAsia" w:cs="Times New Roman"/>
                <w:color w:val="FF0000"/>
                <w:sz w:val="24"/>
                <w:u w:val="single" w:color="auto"/>
                <w:lang w:val="en-US" w:eastAsia="zh-CN"/>
              </w:rPr>
              <w:t>t/d(</w:t>
            </w:r>
            <w:r>
              <w:rPr>
                <w:rFonts w:hint="eastAsia" w:ascii="Times New Roman Regular" w:hAnsi="Times New Roman Regular" w:cs="Times New Roman Regular"/>
                <w:color w:val="FF0000"/>
                <w:kern w:val="0"/>
                <w:sz w:val="24"/>
                <w:szCs w:val="24"/>
                <w:highlight w:val="none"/>
                <w:u w:val="single" w:color="auto"/>
                <w:lang w:val="en-US" w:eastAsia="zh-CN" w:bidi="ar"/>
              </w:rPr>
              <w:t>44192.375</w:t>
            </w:r>
            <w:r>
              <w:rPr>
                <w:rFonts w:hint="eastAsia" w:cs="Times New Roman"/>
                <w:color w:val="FF0000"/>
                <w:sz w:val="24"/>
                <w:u w:val="single" w:color="auto"/>
                <w:lang w:val="en-US" w:eastAsia="zh-CN"/>
              </w:rPr>
              <w:t>t/a)</w:t>
            </w:r>
            <w:r>
              <w:rPr>
                <w:rFonts w:hint="default" w:ascii="Times New Roman Regular" w:hAnsi="Times New Roman Regular" w:eastAsia="宋体" w:cs="Times New Roman Regular"/>
                <w:color w:val="FF0000"/>
                <w:kern w:val="2"/>
                <w:sz w:val="24"/>
                <w:szCs w:val="24"/>
                <w:highlight w:val="none"/>
                <w:u w:val="single" w:color="auto"/>
                <w:lang w:val="en-US" w:eastAsia="zh-CN" w:bidi="ar-SA"/>
              </w:rPr>
              <w:t>，</w:t>
            </w:r>
            <w:r>
              <w:rPr>
                <w:rFonts w:hint="eastAsia" w:ascii="Times New Roman" w:hAnsi="Times New Roman" w:eastAsia="宋体" w:cs="Times New Roman"/>
                <w:color w:val="FF0000"/>
                <w:kern w:val="2"/>
                <w:sz w:val="24"/>
                <w:szCs w:val="24"/>
                <w:highlight w:val="none"/>
                <w:u w:val="single" w:color="auto"/>
                <w:lang w:val="en-US" w:eastAsia="zh-CN" w:bidi="ar-SA"/>
              </w:rPr>
              <w:t>污水处理站</w:t>
            </w:r>
            <w:r>
              <w:rPr>
                <w:rFonts w:hint="default" w:ascii="Times New Roman" w:hAnsi="Times New Roman" w:eastAsia="宋体" w:cs="Times New Roman"/>
                <w:color w:val="FF0000"/>
                <w:kern w:val="2"/>
                <w:sz w:val="24"/>
                <w:szCs w:val="24"/>
                <w:highlight w:val="none"/>
                <w:u w:val="single" w:color="auto"/>
                <w:lang w:val="en-US" w:eastAsia="zh-CN" w:bidi="ar-SA"/>
              </w:rPr>
              <w:t>日</w:t>
            </w:r>
            <w:r>
              <w:rPr>
                <w:rFonts w:hint="eastAsia" w:eastAsia="宋体" w:cs="Times New Roman"/>
                <w:color w:val="FF0000"/>
                <w:kern w:val="2"/>
                <w:sz w:val="24"/>
                <w:szCs w:val="24"/>
                <w:highlight w:val="none"/>
                <w:u w:val="single" w:color="auto"/>
                <w:lang w:val="en-US" w:eastAsia="zh-CN" w:bidi="ar-SA"/>
              </w:rPr>
              <w:t>最大</w:t>
            </w:r>
            <w:r>
              <w:rPr>
                <w:rFonts w:hint="default" w:ascii="Times New Roman" w:hAnsi="Times New Roman" w:eastAsia="宋体" w:cs="Times New Roman"/>
                <w:color w:val="FF0000"/>
                <w:kern w:val="2"/>
                <w:sz w:val="24"/>
                <w:szCs w:val="24"/>
                <w:highlight w:val="none"/>
                <w:u w:val="single" w:color="auto"/>
                <w:lang w:val="en-US" w:eastAsia="zh-CN" w:bidi="ar-SA"/>
              </w:rPr>
              <w:t>处理废水</w:t>
            </w:r>
            <w:r>
              <w:rPr>
                <w:rFonts w:hint="eastAsia" w:eastAsia="宋体" w:cs="Times New Roman"/>
                <w:color w:val="FF0000"/>
                <w:kern w:val="2"/>
                <w:sz w:val="24"/>
                <w:szCs w:val="24"/>
                <w:highlight w:val="none"/>
                <w:u w:val="single" w:color="auto"/>
                <w:lang w:val="en-US" w:eastAsia="zh-CN" w:bidi="ar-SA"/>
              </w:rPr>
              <w:t>能力为</w:t>
            </w:r>
            <w:r>
              <w:rPr>
                <w:rFonts w:hint="eastAsia" w:cs="Times New Roman"/>
                <w:color w:val="FF0000"/>
                <w:kern w:val="2"/>
                <w:sz w:val="24"/>
                <w:szCs w:val="24"/>
                <w:highlight w:val="none"/>
                <w:u w:val="single" w:color="auto"/>
                <w:lang w:val="en-US" w:eastAsia="zh-CN" w:bidi="ar-SA"/>
              </w:rPr>
              <w:t>150</w:t>
            </w:r>
            <w:r>
              <w:rPr>
                <w:rFonts w:hint="default" w:ascii="Times New Roman" w:hAnsi="Times New Roman" w:eastAsia="宋体" w:cs="Times New Roman"/>
                <w:color w:val="FF0000"/>
                <w:kern w:val="2"/>
                <w:sz w:val="24"/>
                <w:szCs w:val="24"/>
                <w:highlight w:val="none"/>
                <w:u w:val="single" w:color="auto"/>
                <w:lang w:val="en-US" w:eastAsia="zh-CN" w:bidi="ar-SA"/>
              </w:rPr>
              <w:t>m</w:t>
            </w:r>
            <w:r>
              <w:rPr>
                <w:rFonts w:hint="eastAsia" w:cs="Times New Roman"/>
                <w:color w:val="FF0000"/>
                <w:kern w:val="2"/>
                <w:sz w:val="24"/>
                <w:szCs w:val="24"/>
                <w:highlight w:val="none"/>
                <w:u w:val="single" w:color="auto"/>
                <w:vertAlign w:val="superscript"/>
                <w:lang w:val="en-US" w:eastAsia="zh-CN" w:bidi="ar-SA"/>
              </w:rPr>
              <w:t>3</w:t>
            </w:r>
            <w:r>
              <w:rPr>
                <w:rFonts w:hint="default" w:ascii="Times New Roman" w:hAnsi="Times New Roman" w:eastAsia="宋体" w:cs="Times New Roman"/>
                <w:color w:val="FF0000"/>
                <w:kern w:val="2"/>
                <w:sz w:val="24"/>
                <w:szCs w:val="24"/>
                <w:highlight w:val="none"/>
                <w:u w:val="single" w:color="auto"/>
                <w:lang w:val="en-US" w:eastAsia="zh-CN" w:bidi="ar-SA"/>
              </w:rPr>
              <w:t>/d，留有</w:t>
            </w:r>
            <w:r>
              <w:rPr>
                <w:rFonts w:hint="eastAsia" w:cs="Times New Roman"/>
                <w:color w:val="FF0000"/>
                <w:kern w:val="2"/>
                <w:sz w:val="24"/>
                <w:szCs w:val="24"/>
                <w:highlight w:val="none"/>
                <w:u w:val="single" w:color="auto"/>
                <w:lang w:val="en-US" w:eastAsia="zh-CN" w:bidi="ar-SA"/>
              </w:rPr>
              <w:t>28.923</w:t>
            </w:r>
            <w:r>
              <w:rPr>
                <w:rFonts w:hint="default" w:ascii="Times New Roman" w:hAnsi="Times New Roman" w:eastAsia="宋体" w:cs="Times New Roman"/>
                <w:color w:val="FF0000"/>
                <w:kern w:val="2"/>
                <w:sz w:val="24"/>
                <w:szCs w:val="24"/>
                <w:highlight w:val="none"/>
                <w:u w:val="single" w:color="auto"/>
                <w:lang w:val="en-US" w:eastAsia="zh-CN" w:bidi="ar-SA"/>
              </w:rPr>
              <w:t>m³/d的余量，</w:t>
            </w:r>
            <w:r>
              <w:rPr>
                <w:rFonts w:hint="eastAsia" w:cs="Times New Roman"/>
                <w:color w:val="FF0000"/>
                <w:kern w:val="2"/>
                <w:sz w:val="24"/>
                <w:szCs w:val="24"/>
                <w:highlight w:val="none"/>
                <w:u w:val="single" w:color="auto"/>
                <w:lang w:val="en-US" w:eastAsia="zh-CN" w:bidi="ar-SA"/>
              </w:rPr>
              <w:t>大于24.215</w:t>
            </w:r>
            <w:r>
              <w:rPr>
                <w:rFonts w:hint="default" w:ascii="Times New Roman" w:hAnsi="Times New Roman" w:eastAsia="宋体" w:cs="Times New Roman"/>
                <w:color w:val="FF0000"/>
                <w:kern w:val="2"/>
                <w:sz w:val="24"/>
                <w:szCs w:val="24"/>
                <w:highlight w:val="none"/>
                <w:u w:val="single" w:color="auto"/>
                <w:lang w:val="en-US" w:eastAsia="zh-CN" w:bidi="ar-SA"/>
              </w:rPr>
              <w:t>m³/d</w:t>
            </w:r>
            <w:r>
              <w:rPr>
                <w:rFonts w:hint="eastAsia" w:cs="Times New Roman"/>
                <w:color w:val="FF0000"/>
                <w:kern w:val="2"/>
                <w:sz w:val="24"/>
                <w:szCs w:val="24"/>
                <w:highlight w:val="none"/>
                <w:u w:val="single" w:color="auto"/>
                <w:lang w:val="en-US" w:eastAsia="zh-CN" w:bidi="ar-SA"/>
              </w:rPr>
              <w:t>，设计规模满足《医院污水处理工程技术规范》（HJ2029-2013）中4.2.4款：医院污水处理工程设计水量应在实测或测算的基础上留有设计裕量，设计裕量宜取实测值或测算值的 10%~20%。</w:t>
            </w:r>
            <w:r>
              <w:rPr>
                <w:rFonts w:hint="default" w:ascii="Times New Roman" w:hAnsi="Times New Roman" w:eastAsia="宋体" w:cs="Times New Roman"/>
                <w:bCs/>
                <w:color w:val="FF0000"/>
                <w:sz w:val="24"/>
                <w:szCs w:val="24"/>
                <w:highlight w:val="none"/>
                <w:u w:val="single" w:color="auto"/>
                <w:lang w:val="en-US" w:eastAsia="zh-CN"/>
              </w:rPr>
              <w:t>污水处理站能接纳并且处理院内产生的废水，故本项目污水处理站的处理规模是可行的。</w:t>
            </w:r>
          </w:p>
          <w:p w14:paraId="016D99CC">
            <w:pPr>
              <w:pStyle w:val="10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FF0000"/>
                <w:sz w:val="24"/>
                <w:szCs w:val="24"/>
                <w:highlight w:val="none"/>
                <w:u w:val="single" w:color="auto"/>
                <w:lang w:val="en-US" w:eastAsia="zh-CN"/>
              </w:rPr>
            </w:pPr>
            <w:r>
              <w:rPr>
                <w:rFonts w:hint="eastAsia" w:cs="Times New Roman"/>
                <w:bCs/>
                <w:color w:val="FF0000"/>
                <w:sz w:val="24"/>
                <w:szCs w:val="24"/>
                <w:highlight w:val="none"/>
                <w:u w:val="single" w:color="auto"/>
                <w:lang w:val="en-US" w:eastAsia="zh-CN"/>
              </w:rPr>
              <w:t>为应对应急情况，本环评要求在发热感染楼设置预消毒池，在面对突发疫情等情况时，发热感染楼的废水应经预消毒后排入污水处理站。</w:t>
            </w:r>
          </w:p>
          <w:p w14:paraId="416C7D5D">
            <w:pPr>
              <w:keepNext w:val="0"/>
              <w:keepLines w:val="0"/>
              <w:widowControl/>
              <w:suppressLineNumbers w:val="0"/>
              <w:spacing w:line="360" w:lineRule="auto"/>
              <w:ind w:firstLine="480" w:firstLineChars="200"/>
              <w:jc w:val="left"/>
              <w:rPr>
                <w:rFonts w:hint="default" w:ascii="Times New Roman Regular" w:hAnsi="Times New Roman Regular" w:eastAsia="宋体" w:cs="Times New Roman Regular"/>
                <w:color w:val="auto"/>
                <w:kern w:val="0"/>
                <w:sz w:val="24"/>
                <w:szCs w:val="24"/>
                <w:highlight w:val="none"/>
                <w:u w:val="none" w:color="auto"/>
                <w:lang w:val="en-US" w:eastAsia="zh-CN" w:bidi="ar"/>
              </w:rPr>
            </w:pPr>
            <w:r>
              <w:rPr>
                <w:rFonts w:hint="default" w:ascii="Times New Roman Regular" w:hAnsi="Times New Roman Regular" w:eastAsia="宋体" w:cs="Times New Roman Regular"/>
                <w:color w:val="auto"/>
                <w:kern w:val="0"/>
                <w:sz w:val="24"/>
                <w:szCs w:val="24"/>
                <w:highlight w:val="none"/>
                <w:u w:val="none" w:color="auto"/>
                <w:lang w:val="en-US" w:eastAsia="zh-CN" w:bidi="ar"/>
              </w:rPr>
              <w:t>根据《排污许可证申请与核发技术规范 医疗机构》（HJ1105-2020）附录A表A.2医疗机构排污单位污水治理可行技术参照表，具体见下表。</w:t>
            </w:r>
          </w:p>
          <w:p w14:paraId="4D46B0B0">
            <w:pPr>
              <w:pStyle w:val="107"/>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Regular" w:hAnsi="Times New Roman Regular" w:eastAsia="宋体" w:cs="Times New Roman Regular"/>
                <w:b/>
                <w:bCs w:val="0"/>
                <w:color w:val="auto"/>
                <w:kern w:val="0"/>
                <w:sz w:val="21"/>
                <w:szCs w:val="21"/>
                <w:highlight w:val="none"/>
                <w:u w:val="none" w:color="auto"/>
                <w:lang w:val="en-US" w:eastAsia="zh-CN" w:bidi="ar"/>
              </w:rPr>
            </w:pPr>
            <w:r>
              <w:rPr>
                <w:rFonts w:hint="default" w:ascii="Times New Roman Regular" w:hAnsi="Times New Roman Regular" w:eastAsia="宋体" w:cs="Times New Roman Regular"/>
                <w:b/>
                <w:bCs w:val="0"/>
                <w:color w:val="auto"/>
                <w:kern w:val="0"/>
                <w:sz w:val="21"/>
                <w:szCs w:val="21"/>
                <w:highlight w:val="none"/>
                <w:u w:val="none" w:color="auto"/>
                <w:lang w:val="en-US" w:eastAsia="zh-CN" w:bidi="ar"/>
              </w:rPr>
              <w:t>表4-</w:t>
            </w:r>
            <w:r>
              <w:rPr>
                <w:rFonts w:hint="eastAsia" w:ascii="Times New Roman Regular" w:hAnsi="Times New Roman Regular" w:cs="Times New Roman Regular"/>
                <w:b/>
                <w:bCs w:val="0"/>
                <w:color w:val="auto"/>
                <w:kern w:val="0"/>
                <w:sz w:val="21"/>
                <w:szCs w:val="21"/>
                <w:highlight w:val="none"/>
                <w:u w:val="none" w:color="auto"/>
                <w:lang w:val="en-US" w:eastAsia="zh-CN" w:bidi="ar"/>
              </w:rPr>
              <w:t>6</w:t>
            </w:r>
            <w:r>
              <w:rPr>
                <w:rFonts w:hint="default" w:ascii="Times New Roman Regular" w:hAnsi="Times New Roman Regular" w:eastAsia="宋体" w:cs="Times New Roman Regular"/>
                <w:b/>
                <w:bCs w:val="0"/>
                <w:color w:val="auto"/>
                <w:kern w:val="0"/>
                <w:sz w:val="21"/>
                <w:szCs w:val="21"/>
                <w:highlight w:val="none"/>
                <w:u w:val="none" w:color="auto"/>
                <w:lang w:val="en-US" w:eastAsia="zh-CN" w:bidi="ar"/>
              </w:rPr>
              <w:t xml:space="preserve"> </w:t>
            </w:r>
            <w:r>
              <w:rPr>
                <w:rFonts w:hint="eastAsia" w:ascii="Times New Roman Regular" w:hAnsi="Times New Roman Regular" w:eastAsia="宋体" w:cs="Times New Roman Regular"/>
                <w:b/>
                <w:bCs w:val="0"/>
                <w:color w:val="auto"/>
                <w:kern w:val="0"/>
                <w:sz w:val="21"/>
                <w:szCs w:val="21"/>
                <w:highlight w:val="none"/>
                <w:u w:val="none" w:color="auto"/>
                <w:lang w:val="en-US" w:eastAsia="zh-CN" w:bidi="ar"/>
              </w:rPr>
              <w:t xml:space="preserve">  </w:t>
            </w:r>
            <w:r>
              <w:rPr>
                <w:rFonts w:hint="default" w:ascii="Times New Roman Regular" w:hAnsi="Times New Roman Regular" w:eastAsia="宋体" w:cs="Times New Roman Regular"/>
                <w:b/>
                <w:bCs w:val="0"/>
                <w:color w:val="auto"/>
                <w:kern w:val="0"/>
                <w:sz w:val="21"/>
                <w:szCs w:val="21"/>
                <w:highlight w:val="none"/>
                <w:u w:val="none" w:color="auto"/>
                <w:lang w:val="en-US" w:eastAsia="zh-CN" w:bidi="ar"/>
              </w:rPr>
              <w:t>医疗机构排污单位污水治理可行技术参照表</w:t>
            </w:r>
          </w:p>
          <w:tbl>
            <w:tblPr>
              <w:tblStyle w:val="35"/>
              <w:tblW w:w="9162"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2031"/>
              <w:gridCol w:w="1005"/>
              <w:gridCol w:w="2785"/>
              <w:gridCol w:w="1683"/>
              <w:gridCol w:w="904"/>
            </w:tblGrid>
            <w:tr w14:paraId="02737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754" w:type="dxa"/>
                  <w:vAlign w:val="center"/>
                </w:tcPr>
                <w:p w14:paraId="06EBC94C">
                  <w:pPr>
                    <w:spacing w:line="240" w:lineRule="auto"/>
                    <w:jc w:val="center"/>
                    <w:rPr>
                      <w:rFonts w:hint="default" w:ascii="Times New Roman" w:hAnsi="Times New Roman" w:eastAsia="宋体" w:cs="Times New Roman"/>
                      <w:b/>
                      <w:bCs/>
                      <w:color w:val="auto"/>
                      <w:sz w:val="21"/>
                      <w:szCs w:val="21"/>
                      <w:highlight w:val="none"/>
                      <w:u w:val="none" w:color="auto"/>
                      <w:lang w:val="en-US" w:eastAsia="zh-CN"/>
                    </w:rPr>
                  </w:pPr>
                  <w:r>
                    <w:rPr>
                      <w:rFonts w:hint="eastAsia" w:ascii="Times New Roman" w:hAnsi="Times New Roman" w:eastAsia="宋体" w:cs="Times New Roman"/>
                      <w:b/>
                      <w:bCs/>
                      <w:color w:val="auto"/>
                      <w:sz w:val="21"/>
                      <w:szCs w:val="21"/>
                      <w:highlight w:val="none"/>
                      <w:u w:val="none" w:color="auto"/>
                      <w:lang w:val="en-US" w:eastAsia="zh-CN"/>
                    </w:rPr>
                    <w:t>污水类别</w:t>
                  </w:r>
                </w:p>
              </w:tc>
              <w:tc>
                <w:tcPr>
                  <w:tcW w:w="2031" w:type="dxa"/>
                  <w:vAlign w:val="center"/>
                </w:tcPr>
                <w:p w14:paraId="2A62E85E">
                  <w:pPr>
                    <w:spacing w:line="240" w:lineRule="auto"/>
                    <w:jc w:val="center"/>
                    <w:rPr>
                      <w:rFonts w:hint="default" w:ascii="Times New Roman" w:hAnsi="Times New Roman" w:eastAsia="宋体" w:cs="Times New Roman"/>
                      <w:b/>
                      <w:bCs/>
                      <w:color w:val="auto"/>
                      <w:sz w:val="21"/>
                      <w:szCs w:val="21"/>
                      <w:highlight w:val="none"/>
                      <w:u w:val="none" w:color="auto"/>
                      <w:lang w:val="en-US" w:eastAsia="zh-CN"/>
                    </w:rPr>
                  </w:pPr>
                  <w:r>
                    <w:rPr>
                      <w:rFonts w:hint="eastAsia" w:ascii="Times New Roman" w:hAnsi="Times New Roman" w:eastAsia="宋体" w:cs="Times New Roman"/>
                      <w:b/>
                      <w:bCs/>
                      <w:color w:val="auto"/>
                      <w:sz w:val="21"/>
                      <w:szCs w:val="21"/>
                      <w:highlight w:val="none"/>
                      <w:u w:val="none" w:color="auto"/>
                      <w:lang w:val="en-US" w:eastAsia="zh-CN"/>
                    </w:rPr>
                    <w:t>污染物种类</w:t>
                  </w:r>
                </w:p>
              </w:tc>
              <w:tc>
                <w:tcPr>
                  <w:tcW w:w="1005" w:type="dxa"/>
                  <w:vAlign w:val="center"/>
                </w:tcPr>
                <w:p w14:paraId="656A9117">
                  <w:pPr>
                    <w:spacing w:line="240" w:lineRule="auto"/>
                    <w:jc w:val="center"/>
                    <w:rPr>
                      <w:rFonts w:hint="default" w:ascii="Times New Roman" w:hAnsi="Times New Roman" w:eastAsia="宋体" w:cs="Times New Roman"/>
                      <w:b/>
                      <w:bCs/>
                      <w:color w:val="auto"/>
                      <w:sz w:val="21"/>
                      <w:szCs w:val="21"/>
                      <w:highlight w:val="none"/>
                      <w:u w:val="none" w:color="auto"/>
                      <w:lang w:val="en-US" w:eastAsia="zh-CN"/>
                    </w:rPr>
                  </w:pPr>
                  <w:r>
                    <w:rPr>
                      <w:rFonts w:hint="eastAsia" w:ascii="Times New Roman" w:hAnsi="Times New Roman" w:eastAsia="宋体" w:cs="Times New Roman"/>
                      <w:b/>
                      <w:bCs/>
                      <w:color w:val="auto"/>
                      <w:sz w:val="21"/>
                      <w:szCs w:val="21"/>
                      <w:highlight w:val="none"/>
                      <w:u w:val="none" w:color="auto"/>
                      <w:lang w:val="en-US" w:eastAsia="zh-CN"/>
                    </w:rPr>
                    <w:t>排放去向</w:t>
                  </w:r>
                </w:p>
              </w:tc>
              <w:tc>
                <w:tcPr>
                  <w:tcW w:w="2785" w:type="dxa"/>
                  <w:vAlign w:val="center"/>
                </w:tcPr>
                <w:p w14:paraId="4B829EEC">
                  <w:pPr>
                    <w:spacing w:line="240" w:lineRule="auto"/>
                    <w:jc w:val="center"/>
                    <w:rPr>
                      <w:rFonts w:hint="default" w:ascii="Times New Roman" w:hAnsi="Times New Roman" w:eastAsia="宋体" w:cs="Times New Roman"/>
                      <w:b/>
                      <w:bCs/>
                      <w:color w:val="auto"/>
                      <w:sz w:val="21"/>
                      <w:szCs w:val="21"/>
                      <w:highlight w:val="none"/>
                      <w:u w:val="none" w:color="auto"/>
                      <w:lang w:val="en-US" w:eastAsia="zh-CN"/>
                    </w:rPr>
                  </w:pPr>
                  <w:r>
                    <w:rPr>
                      <w:rFonts w:hint="eastAsia" w:ascii="Times New Roman" w:hAnsi="Times New Roman" w:eastAsia="宋体" w:cs="Times New Roman"/>
                      <w:b/>
                      <w:bCs/>
                      <w:color w:val="auto"/>
                      <w:sz w:val="21"/>
                      <w:szCs w:val="21"/>
                      <w:highlight w:val="none"/>
                      <w:u w:val="none" w:color="auto"/>
                      <w:lang w:val="en-US" w:eastAsia="zh-CN"/>
                    </w:rPr>
                    <w:t>可行技术</w:t>
                  </w:r>
                </w:p>
              </w:tc>
              <w:tc>
                <w:tcPr>
                  <w:tcW w:w="1683" w:type="dxa"/>
                  <w:vAlign w:val="center"/>
                </w:tcPr>
                <w:p w14:paraId="3AA1FDFD">
                  <w:pPr>
                    <w:spacing w:line="240" w:lineRule="auto"/>
                    <w:jc w:val="center"/>
                    <w:rPr>
                      <w:rFonts w:hint="default" w:ascii="Times New Roman" w:hAnsi="Times New Roman" w:eastAsia="宋体" w:cs="Times New Roman"/>
                      <w:b/>
                      <w:bCs/>
                      <w:color w:val="auto"/>
                      <w:sz w:val="21"/>
                      <w:szCs w:val="21"/>
                      <w:highlight w:val="none"/>
                      <w:u w:val="none" w:color="auto"/>
                      <w:lang w:val="en-US" w:eastAsia="zh-CN"/>
                    </w:rPr>
                  </w:pPr>
                  <w:r>
                    <w:rPr>
                      <w:rFonts w:hint="eastAsia" w:eastAsia="宋体" w:cs="Times New Roman"/>
                      <w:b/>
                      <w:bCs/>
                      <w:color w:val="auto"/>
                      <w:sz w:val="21"/>
                      <w:szCs w:val="21"/>
                      <w:highlight w:val="none"/>
                      <w:u w:val="none" w:color="auto"/>
                      <w:lang w:val="en-US" w:eastAsia="zh-CN"/>
                    </w:rPr>
                    <w:t>本项目情况</w:t>
                  </w:r>
                </w:p>
              </w:tc>
              <w:tc>
                <w:tcPr>
                  <w:tcW w:w="904" w:type="dxa"/>
                  <w:vAlign w:val="center"/>
                </w:tcPr>
                <w:p w14:paraId="5FB93C26">
                  <w:pPr>
                    <w:spacing w:line="240" w:lineRule="auto"/>
                    <w:jc w:val="center"/>
                    <w:rPr>
                      <w:rFonts w:hint="default" w:ascii="Times New Roman" w:hAnsi="Times New Roman" w:eastAsia="宋体" w:cs="Times New Roman"/>
                      <w:b/>
                      <w:bCs/>
                      <w:color w:val="auto"/>
                      <w:sz w:val="21"/>
                      <w:szCs w:val="21"/>
                      <w:highlight w:val="none"/>
                      <w:u w:val="none" w:color="auto"/>
                      <w:lang w:val="en-US" w:eastAsia="zh-CN"/>
                    </w:rPr>
                  </w:pPr>
                  <w:r>
                    <w:rPr>
                      <w:rFonts w:hint="eastAsia" w:ascii="Times New Roman" w:hAnsi="Times New Roman" w:eastAsia="宋体" w:cs="Times New Roman"/>
                      <w:b/>
                      <w:bCs/>
                      <w:color w:val="auto"/>
                      <w:sz w:val="21"/>
                      <w:szCs w:val="21"/>
                      <w:highlight w:val="none"/>
                      <w:u w:val="none" w:color="auto"/>
                      <w:lang w:val="en-US" w:eastAsia="zh-CN"/>
                    </w:rPr>
                    <w:t>是否技术可行</w:t>
                  </w:r>
                </w:p>
              </w:tc>
            </w:tr>
            <w:tr w14:paraId="40C38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7F6DC9F6">
                  <w:pPr>
                    <w:spacing w:line="240" w:lineRule="auto"/>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医疗污水</w:t>
                  </w:r>
                </w:p>
              </w:tc>
              <w:tc>
                <w:tcPr>
                  <w:tcW w:w="2031" w:type="dxa"/>
                  <w:vAlign w:val="center"/>
                </w:tcPr>
                <w:p w14:paraId="4D64ACE1">
                  <w:pPr>
                    <w:spacing w:line="240" w:lineRule="auto"/>
                    <w:jc w:val="center"/>
                    <w:rPr>
                      <w:rFonts w:hint="eastAsia" w:ascii="Times New Roman" w:hAnsi="Times New Roman" w:eastAsia="宋体" w:cs="Times New Roman"/>
                      <w:b w:val="0"/>
                      <w:bCs w:val="0"/>
                      <w:color w:val="auto"/>
                      <w:kern w:val="0"/>
                      <w:sz w:val="21"/>
                      <w:szCs w:val="21"/>
                      <w:highlight w:val="none"/>
                      <w:u w:val="none" w:color="auto"/>
                      <w:vertAlign w:val="baseline"/>
                      <w:lang w:val="en-US" w:eastAsia="zh-CN" w:bidi="ar"/>
                    </w:rPr>
                  </w:pPr>
                  <w:r>
                    <w:rPr>
                      <w:rFonts w:hint="eastAsia" w:ascii="Times New Roman" w:hAnsi="Times New Roman" w:eastAsia="宋体" w:cs="Times New Roman"/>
                      <w:b w:val="0"/>
                      <w:bCs w:val="0"/>
                      <w:color w:val="auto"/>
                      <w:kern w:val="0"/>
                      <w:sz w:val="21"/>
                      <w:szCs w:val="21"/>
                      <w:highlight w:val="none"/>
                      <w:u w:val="none" w:color="auto"/>
                      <w:vertAlign w:val="baseline"/>
                      <w:lang w:val="en-US" w:eastAsia="zh-CN" w:bidi="ar"/>
                    </w:rPr>
                    <w:t>粪大肠菌群数、肠道致病菌、肠道病毒、化学需氧量、氨氮、</w:t>
                  </w:r>
                  <w:r>
                    <w:rPr>
                      <w:rFonts w:hint="default" w:ascii="Times New Roman" w:hAnsi="Times New Roman" w:eastAsia="宋体" w:cs="Times New Roman"/>
                      <w:b w:val="0"/>
                      <w:bCs w:val="0"/>
                      <w:color w:val="auto"/>
                      <w:kern w:val="0"/>
                      <w:sz w:val="21"/>
                      <w:szCs w:val="21"/>
                      <w:highlight w:val="none"/>
                      <w:u w:val="none" w:color="auto"/>
                      <w:vertAlign w:val="baseline"/>
                      <w:lang w:val="en-US" w:eastAsia="zh-CN" w:bidi="ar"/>
                    </w:rPr>
                    <w:t>pH</w:t>
                  </w:r>
                  <w:r>
                    <w:rPr>
                      <w:rFonts w:hint="eastAsia" w:ascii="Times New Roman" w:hAnsi="Times New Roman" w:eastAsia="宋体" w:cs="Times New Roman"/>
                      <w:b w:val="0"/>
                      <w:bCs w:val="0"/>
                      <w:color w:val="auto"/>
                      <w:kern w:val="0"/>
                      <w:sz w:val="21"/>
                      <w:szCs w:val="21"/>
                      <w:highlight w:val="none"/>
                      <w:u w:val="none" w:color="auto"/>
                      <w:vertAlign w:val="baseline"/>
                      <w:lang w:val="en-US" w:eastAsia="zh-CN" w:bidi="ar"/>
                    </w:rPr>
                    <w:t>值、悬浮物、五日生化需氧量、动植物油、石油类、阴离子表面活性剂、挥发酚、色度、总氰化物、总余氯</w:t>
                  </w:r>
                </w:p>
              </w:tc>
              <w:tc>
                <w:tcPr>
                  <w:tcW w:w="1005" w:type="dxa"/>
                  <w:vAlign w:val="center"/>
                </w:tcPr>
                <w:p w14:paraId="70A3AB73">
                  <w:pPr>
                    <w:spacing w:line="240" w:lineRule="auto"/>
                    <w:jc w:val="center"/>
                    <w:rPr>
                      <w:rFonts w:hint="eastAsia" w:ascii="Times New Roman" w:hAnsi="Times New Roman" w:eastAsia="宋体" w:cs="Times New Roman"/>
                      <w:b w:val="0"/>
                      <w:bCs w:val="0"/>
                      <w:color w:val="auto"/>
                      <w:kern w:val="0"/>
                      <w:sz w:val="21"/>
                      <w:szCs w:val="21"/>
                      <w:highlight w:val="none"/>
                      <w:u w:val="none" w:color="auto"/>
                      <w:vertAlign w:val="baseline"/>
                      <w:lang w:val="en-US" w:eastAsia="zh-CN" w:bidi="ar"/>
                    </w:rPr>
                  </w:pPr>
                  <w:r>
                    <w:rPr>
                      <w:rFonts w:hint="eastAsia" w:ascii="Times New Roman" w:hAnsi="Times New Roman" w:eastAsia="宋体" w:cs="Times New Roman"/>
                      <w:b w:val="0"/>
                      <w:bCs w:val="0"/>
                      <w:color w:val="auto"/>
                      <w:kern w:val="0"/>
                      <w:sz w:val="21"/>
                      <w:szCs w:val="21"/>
                      <w:highlight w:val="none"/>
                      <w:u w:val="none" w:color="auto"/>
                      <w:vertAlign w:val="baseline"/>
                      <w:lang w:val="en-US" w:eastAsia="zh-CN" w:bidi="ar"/>
                    </w:rPr>
                    <w:t>进入海域、江、河、湖库等水体</w:t>
                  </w:r>
                </w:p>
              </w:tc>
              <w:tc>
                <w:tcPr>
                  <w:tcW w:w="2785" w:type="dxa"/>
                  <w:vAlign w:val="center"/>
                </w:tcPr>
                <w:p w14:paraId="78F9319F">
                  <w:pPr>
                    <w:spacing w:line="240" w:lineRule="auto"/>
                    <w:jc w:val="left"/>
                    <w:rPr>
                      <w:rFonts w:hint="eastAsia" w:ascii="Times New Roman" w:hAnsi="Times New Roman" w:eastAsia="宋体" w:cs="Times New Roman"/>
                      <w:b w:val="0"/>
                      <w:bCs w:val="0"/>
                      <w:color w:val="auto"/>
                      <w:kern w:val="0"/>
                      <w:sz w:val="21"/>
                      <w:szCs w:val="21"/>
                      <w:highlight w:val="none"/>
                      <w:u w:val="none" w:color="auto"/>
                      <w:vertAlign w:val="baseline"/>
                      <w:lang w:val="en-US" w:eastAsia="zh-CN" w:bidi="ar"/>
                    </w:rPr>
                  </w:pPr>
                  <w:r>
                    <w:rPr>
                      <w:rFonts w:hint="eastAsia" w:ascii="Times New Roman" w:hAnsi="Times New Roman" w:eastAsia="宋体" w:cs="Times New Roman"/>
                      <w:b w:val="0"/>
                      <w:bCs w:val="0"/>
                      <w:color w:val="auto"/>
                      <w:kern w:val="0"/>
                      <w:sz w:val="21"/>
                      <w:szCs w:val="21"/>
                      <w:highlight w:val="none"/>
                      <w:u w:val="none" w:color="auto"/>
                      <w:vertAlign w:val="baseline"/>
                      <w:lang w:val="en-US" w:eastAsia="zh-CN" w:bidi="ar"/>
                    </w:rPr>
                    <w:t>一级处理/一级强化处理+消毒工艺。</w:t>
                  </w:r>
                </w:p>
                <w:p w14:paraId="4A0A9100">
                  <w:pPr>
                    <w:spacing w:line="240" w:lineRule="auto"/>
                    <w:jc w:val="left"/>
                    <w:rPr>
                      <w:rFonts w:hint="eastAsia" w:ascii="Times New Roman" w:hAnsi="Times New Roman" w:eastAsia="宋体" w:cs="Times New Roman"/>
                      <w:b w:val="0"/>
                      <w:bCs w:val="0"/>
                      <w:color w:val="auto"/>
                      <w:kern w:val="0"/>
                      <w:sz w:val="21"/>
                      <w:szCs w:val="21"/>
                      <w:highlight w:val="none"/>
                      <w:u w:val="none" w:color="auto"/>
                      <w:vertAlign w:val="baseline"/>
                      <w:lang w:val="en-US" w:eastAsia="zh-CN" w:bidi="ar"/>
                    </w:rPr>
                  </w:pPr>
                  <w:r>
                    <w:rPr>
                      <w:rFonts w:hint="eastAsia" w:ascii="Times New Roman" w:hAnsi="Times New Roman" w:eastAsia="宋体" w:cs="Times New Roman"/>
                      <w:b w:val="0"/>
                      <w:bCs w:val="0"/>
                      <w:color w:val="auto"/>
                      <w:kern w:val="0"/>
                      <w:sz w:val="21"/>
                      <w:szCs w:val="21"/>
                      <w:highlight w:val="none"/>
                      <w:u w:val="none" w:color="auto"/>
                      <w:vertAlign w:val="baseline"/>
                      <w:lang w:val="en-US" w:eastAsia="zh-CN" w:bidi="ar"/>
                    </w:rPr>
                    <w:t>一级处理包括：筛滤法；沉淀法；气浮法；预曝气法。</w:t>
                  </w:r>
                </w:p>
                <w:p w14:paraId="37A9940B">
                  <w:pPr>
                    <w:spacing w:line="240" w:lineRule="auto"/>
                    <w:jc w:val="left"/>
                    <w:rPr>
                      <w:rFonts w:hint="eastAsia" w:ascii="Times New Roman" w:hAnsi="Times New Roman" w:eastAsia="宋体" w:cs="Times New Roman"/>
                      <w:b w:val="0"/>
                      <w:bCs w:val="0"/>
                      <w:color w:val="auto"/>
                      <w:kern w:val="0"/>
                      <w:sz w:val="21"/>
                      <w:szCs w:val="21"/>
                      <w:highlight w:val="none"/>
                      <w:u w:val="none" w:color="auto"/>
                      <w:vertAlign w:val="baseline"/>
                      <w:lang w:val="en-US" w:eastAsia="zh-CN" w:bidi="ar"/>
                    </w:rPr>
                  </w:pPr>
                  <w:r>
                    <w:rPr>
                      <w:rFonts w:hint="eastAsia" w:ascii="Times New Roman" w:hAnsi="Times New Roman" w:eastAsia="宋体" w:cs="Times New Roman"/>
                      <w:b w:val="0"/>
                      <w:bCs w:val="0"/>
                      <w:color w:val="auto"/>
                      <w:kern w:val="0"/>
                      <w:sz w:val="21"/>
                      <w:szCs w:val="21"/>
                      <w:highlight w:val="none"/>
                      <w:u w:val="none" w:color="auto"/>
                      <w:vertAlign w:val="baseline"/>
                      <w:lang w:val="en-US" w:eastAsia="zh-CN" w:bidi="ar"/>
                    </w:rPr>
                    <w:t>一级强化处理包括：化学混凝处理、机械过滤或不完全生物处理。</w:t>
                  </w:r>
                </w:p>
                <w:p w14:paraId="31AC7E76">
                  <w:pPr>
                    <w:spacing w:line="240" w:lineRule="auto"/>
                    <w:jc w:val="left"/>
                    <w:rPr>
                      <w:rFonts w:hint="eastAsia" w:ascii="Times New Roman" w:hAnsi="Times New Roman" w:eastAsia="宋体" w:cs="Times New Roman"/>
                      <w:b w:val="0"/>
                      <w:bCs w:val="0"/>
                      <w:color w:val="auto"/>
                      <w:kern w:val="0"/>
                      <w:sz w:val="21"/>
                      <w:szCs w:val="21"/>
                      <w:highlight w:val="none"/>
                      <w:u w:val="none" w:color="auto"/>
                      <w:vertAlign w:val="baseline"/>
                      <w:lang w:val="en-US" w:eastAsia="zh-CN" w:bidi="ar"/>
                    </w:rPr>
                  </w:pPr>
                  <w:r>
                    <w:rPr>
                      <w:rFonts w:hint="eastAsia" w:ascii="Times New Roman" w:hAnsi="Times New Roman" w:eastAsia="宋体" w:cs="Times New Roman"/>
                      <w:b w:val="0"/>
                      <w:bCs w:val="0"/>
                      <w:color w:val="auto"/>
                      <w:kern w:val="0"/>
                      <w:sz w:val="21"/>
                      <w:szCs w:val="21"/>
                      <w:highlight w:val="none"/>
                      <w:u w:val="none" w:color="auto"/>
                      <w:vertAlign w:val="baseline"/>
                      <w:lang w:val="en-US" w:eastAsia="zh-CN" w:bidi="ar"/>
                    </w:rPr>
                    <w:t>消毒工艺：加氯消毒，臭氧法消毒，次氯酸钠法、二氧化氯法消毒、紫外线消毒等</w:t>
                  </w:r>
                </w:p>
              </w:tc>
              <w:tc>
                <w:tcPr>
                  <w:tcW w:w="1683" w:type="dxa"/>
                  <w:vAlign w:val="center"/>
                </w:tcPr>
                <w:p w14:paraId="72E66F33">
                  <w:pPr>
                    <w:spacing w:line="240" w:lineRule="auto"/>
                    <w:jc w:val="center"/>
                    <w:rPr>
                      <w:rFonts w:hint="eastAsia" w:ascii="Times New Roman" w:hAnsi="Times New Roman" w:eastAsia="宋体" w:cs="Times New Roman"/>
                      <w:b w:val="0"/>
                      <w:bCs w:val="0"/>
                      <w:color w:val="auto"/>
                      <w:kern w:val="0"/>
                      <w:sz w:val="21"/>
                      <w:szCs w:val="21"/>
                      <w:highlight w:val="none"/>
                      <w:u w:val="none" w:color="auto"/>
                      <w:vertAlign w:val="baseline"/>
                      <w:lang w:val="en-US" w:eastAsia="zh-CN" w:bidi="ar"/>
                    </w:rPr>
                  </w:pPr>
                  <w:r>
                    <w:rPr>
                      <w:rFonts w:hint="eastAsia" w:ascii="Times New Roman" w:hAnsi="Times New Roman" w:eastAsia="宋体" w:cs="Times New Roman"/>
                      <w:b w:val="0"/>
                      <w:bCs w:val="0"/>
                      <w:color w:val="auto"/>
                      <w:kern w:val="0"/>
                      <w:sz w:val="21"/>
                      <w:szCs w:val="21"/>
                      <w:highlight w:val="none"/>
                      <w:u w:val="none" w:color="auto"/>
                      <w:vertAlign w:val="baseline"/>
                      <w:lang w:val="en-US" w:eastAsia="zh-CN" w:bidi="ar"/>
                    </w:rPr>
                    <w:t>调节池</w:t>
                  </w:r>
                  <w:r>
                    <w:rPr>
                      <w:rFonts w:hint="default" w:ascii="Times New Roman" w:hAnsi="Times New Roman" w:eastAsia="宋体" w:cs="Times New Roman"/>
                      <w:b w:val="0"/>
                      <w:bCs w:val="0"/>
                      <w:color w:val="auto"/>
                      <w:kern w:val="0"/>
                      <w:sz w:val="21"/>
                      <w:szCs w:val="21"/>
                      <w:highlight w:val="none"/>
                      <w:u w:val="none" w:color="auto"/>
                      <w:vertAlign w:val="baseline"/>
                      <w:lang w:val="en-US" w:eastAsia="zh-CN" w:bidi="ar"/>
                    </w:rPr>
                    <w:t>+</w:t>
                  </w:r>
                  <w:r>
                    <w:rPr>
                      <w:rFonts w:hint="eastAsia" w:cs="Times New Roman"/>
                      <w:b w:val="0"/>
                      <w:bCs w:val="0"/>
                      <w:color w:val="auto"/>
                      <w:kern w:val="0"/>
                      <w:sz w:val="21"/>
                      <w:szCs w:val="21"/>
                      <w:highlight w:val="none"/>
                      <w:u w:val="none" w:color="auto"/>
                      <w:vertAlign w:val="baseline"/>
                      <w:lang w:val="en-US" w:eastAsia="zh-CN" w:bidi="ar"/>
                    </w:rPr>
                    <w:t>混凝沉淀池</w:t>
                  </w:r>
                  <w:r>
                    <w:rPr>
                      <w:rFonts w:hint="default" w:ascii="Times New Roman" w:hAnsi="Times New Roman" w:eastAsia="宋体" w:cs="Times New Roman"/>
                      <w:b w:val="0"/>
                      <w:bCs w:val="0"/>
                      <w:color w:val="auto"/>
                      <w:kern w:val="0"/>
                      <w:sz w:val="21"/>
                      <w:szCs w:val="21"/>
                      <w:highlight w:val="none"/>
                      <w:u w:val="none" w:color="auto"/>
                      <w:vertAlign w:val="baseline"/>
                      <w:lang w:val="en-US" w:eastAsia="zh-CN" w:bidi="ar"/>
                    </w:rPr>
                    <w:t>+</w:t>
                  </w:r>
                  <w:r>
                    <w:rPr>
                      <w:rFonts w:hint="eastAsia" w:ascii="Times New Roman" w:hAnsi="Times New Roman" w:eastAsia="宋体" w:cs="Times New Roman"/>
                      <w:b w:val="0"/>
                      <w:bCs w:val="0"/>
                      <w:color w:val="auto"/>
                      <w:kern w:val="0"/>
                      <w:sz w:val="21"/>
                      <w:szCs w:val="21"/>
                      <w:highlight w:val="none"/>
                      <w:u w:val="none" w:color="auto"/>
                      <w:vertAlign w:val="baseline"/>
                      <w:lang w:val="en-US" w:eastAsia="zh-CN" w:bidi="ar"/>
                    </w:rPr>
                    <w:t>消毒</w:t>
                  </w:r>
                </w:p>
              </w:tc>
              <w:tc>
                <w:tcPr>
                  <w:tcW w:w="904" w:type="dxa"/>
                  <w:vAlign w:val="center"/>
                </w:tcPr>
                <w:p w14:paraId="798898F6">
                  <w:pPr>
                    <w:spacing w:line="240" w:lineRule="auto"/>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eastAsia="宋体" w:cs="Times New Roman"/>
                      <w:b w:val="0"/>
                      <w:bCs w:val="0"/>
                      <w:color w:val="auto"/>
                      <w:sz w:val="21"/>
                      <w:szCs w:val="21"/>
                      <w:highlight w:val="none"/>
                      <w:u w:val="none" w:color="auto"/>
                      <w:lang w:val="en-US" w:eastAsia="zh-CN"/>
                    </w:rPr>
                    <w:t>是</w:t>
                  </w:r>
                </w:p>
              </w:tc>
            </w:tr>
          </w:tbl>
          <w:p w14:paraId="3A78D5C6">
            <w:pPr>
              <w:keepNext w:val="0"/>
              <w:keepLines w:val="0"/>
              <w:widowControl/>
              <w:suppressLineNumbers w:val="0"/>
              <w:spacing w:line="360" w:lineRule="auto"/>
              <w:ind w:firstLine="480" w:firstLineChars="200"/>
              <w:jc w:val="left"/>
              <w:rPr>
                <w:rFonts w:ascii="宋体" w:hAnsi="宋体" w:eastAsia="宋体" w:cs="宋体"/>
                <w:color w:val="auto"/>
                <w:kern w:val="0"/>
                <w:sz w:val="24"/>
                <w:szCs w:val="24"/>
                <w:highlight w:val="none"/>
                <w:u w:val="none" w:color="auto"/>
                <w:lang w:val="en-US" w:eastAsia="zh-CN" w:bidi="ar"/>
              </w:rPr>
            </w:pPr>
            <w:r>
              <w:rPr>
                <w:rFonts w:ascii="宋体" w:hAnsi="宋体" w:eastAsia="宋体" w:cs="宋体"/>
                <w:color w:val="auto"/>
                <w:kern w:val="0"/>
                <w:sz w:val="24"/>
                <w:szCs w:val="24"/>
                <w:highlight w:val="none"/>
                <w:u w:val="none" w:color="auto"/>
                <w:lang w:val="en-US" w:eastAsia="zh-CN" w:bidi="ar"/>
              </w:rPr>
              <w:t>由上表可知，本项目废水处理工艺为</w:t>
            </w:r>
            <w:r>
              <w:rPr>
                <w:rFonts w:hint="default" w:ascii="宋体" w:hAnsi="宋体" w:eastAsia="宋体" w:cs="宋体"/>
                <w:color w:val="auto"/>
                <w:kern w:val="0"/>
                <w:sz w:val="24"/>
                <w:szCs w:val="24"/>
                <w:highlight w:val="none"/>
                <w:u w:val="none" w:color="auto"/>
                <w:lang w:val="en-US" w:eastAsia="zh-CN" w:bidi="ar"/>
              </w:rPr>
              <w:t>“</w:t>
            </w:r>
            <w:r>
              <w:rPr>
                <w:rFonts w:hint="eastAsia" w:ascii="宋体" w:hAnsi="宋体" w:cs="宋体"/>
                <w:color w:val="auto"/>
                <w:kern w:val="0"/>
                <w:sz w:val="24"/>
                <w:szCs w:val="24"/>
                <w:highlight w:val="none"/>
                <w:u w:val="none" w:color="auto"/>
                <w:lang w:val="en-US" w:eastAsia="zh-CN" w:bidi="ar"/>
              </w:rPr>
              <w:t>调节池</w:t>
            </w:r>
            <w:r>
              <w:rPr>
                <w:rFonts w:hint="default" w:ascii="宋体" w:hAnsi="宋体" w:eastAsia="宋体" w:cs="宋体"/>
                <w:color w:val="auto"/>
                <w:kern w:val="0"/>
                <w:sz w:val="24"/>
                <w:szCs w:val="24"/>
                <w:highlight w:val="none"/>
                <w:u w:val="none" w:color="auto"/>
                <w:lang w:val="en-US" w:eastAsia="zh-CN" w:bidi="ar"/>
              </w:rPr>
              <w:t>+</w:t>
            </w:r>
            <w:r>
              <w:rPr>
                <w:rFonts w:hint="eastAsia" w:ascii="宋体" w:hAnsi="宋体" w:cs="宋体"/>
                <w:color w:val="auto"/>
                <w:kern w:val="0"/>
                <w:sz w:val="24"/>
                <w:szCs w:val="24"/>
                <w:highlight w:val="none"/>
                <w:u w:val="none" w:color="auto"/>
                <w:lang w:val="en-US" w:eastAsia="zh-CN" w:bidi="ar"/>
              </w:rPr>
              <w:t>混凝沉淀</w:t>
            </w:r>
            <w:r>
              <w:rPr>
                <w:rFonts w:hint="default" w:ascii="宋体" w:hAnsi="宋体" w:eastAsia="宋体" w:cs="宋体"/>
                <w:color w:val="auto"/>
                <w:kern w:val="0"/>
                <w:sz w:val="24"/>
                <w:szCs w:val="24"/>
                <w:highlight w:val="none"/>
                <w:u w:val="none" w:color="auto"/>
                <w:lang w:val="en-US" w:eastAsia="zh-CN" w:bidi="ar"/>
              </w:rPr>
              <w:t>+</w:t>
            </w:r>
            <w:r>
              <w:rPr>
                <w:rFonts w:hint="eastAsia" w:ascii="宋体" w:hAnsi="宋体" w:eastAsia="宋体" w:cs="宋体"/>
                <w:color w:val="auto"/>
                <w:kern w:val="0"/>
                <w:sz w:val="24"/>
                <w:szCs w:val="24"/>
                <w:highlight w:val="none"/>
                <w:u w:val="none" w:color="auto"/>
                <w:lang w:val="en-US" w:eastAsia="zh-CN" w:bidi="ar"/>
              </w:rPr>
              <w:t>消毒</w:t>
            </w:r>
            <w:r>
              <w:rPr>
                <w:rFonts w:hint="default" w:ascii="宋体" w:hAnsi="宋体" w:eastAsia="宋体" w:cs="宋体"/>
                <w:color w:val="auto"/>
                <w:kern w:val="0"/>
                <w:sz w:val="24"/>
                <w:szCs w:val="24"/>
                <w:highlight w:val="none"/>
                <w:u w:val="none" w:color="auto"/>
                <w:lang w:val="en-US" w:eastAsia="zh-CN" w:bidi="ar"/>
              </w:rPr>
              <w:t>”</w:t>
            </w:r>
            <w:r>
              <w:rPr>
                <w:rFonts w:ascii="宋体" w:hAnsi="宋体" w:eastAsia="宋体" w:cs="宋体"/>
                <w:color w:val="auto"/>
                <w:kern w:val="0"/>
                <w:sz w:val="24"/>
                <w:szCs w:val="24"/>
                <w:highlight w:val="none"/>
                <w:u w:val="none" w:color="auto"/>
                <w:lang w:val="en-US" w:eastAsia="zh-CN" w:bidi="ar"/>
              </w:rPr>
              <w:t>处理工艺，与《排污许可证申请与核发技术规范</w:t>
            </w:r>
            <w:r>
              <w:rPr>
                <w:rFonts w:hint="eastAsia" w:ascii="宋体" w:hAnsi="宋体" w:cs="宋体"/>
                <w:color w:val="auto"/>
                <w:kern w:val="0"/>
                <w:sz w:val="24"/>
                <w:szCs w:val="24"/>
                <w:highlight w:val="none"/>
                <w:u w:val="none" w:color="auto"/>
                <w:lang w:val="en-US" w:eastAsia="zh-CN" w:bidi="ar"/>
              </w:rPr>
              <w:t xml:space="preserve">  </w:t>
            </w:r>
            <w:r>
              <w:rPr>
                <w:rFonts w:ascii="宋体" w:hAnsi="宋体" w:eastAsia="宋体" w:cs="宋体"/>
                <w:color w:val="auto"/>
                <w:kern w:val="0"/>
                <w:sz w:val="24"/>
                <w:szCs w:val="24"/>
                <w:highlight w:val="none"/>
                <w:u w:val="none" w:color="auto"/>
                <w:lang w:val="en-US" w:eastAsia="zh-CN" w:bidi="ar"/>
              </w:rPr>
              <w:t>医疗机构》（</w:t>
            </w:r>
            <w:r>
              <w:rPr>
                <w:rFonts w:hint="default" w:ascii="Times New Roman" w:hAnsi="Times New Roman" w:eastAsia="宋体" w:cs="Times New Roman"/>
                <w:color w:val="auto"/>
                <w:kern w:val="0"/>
                <w:sz w:val="24"/>
                <w:szCs w:val="24"/>
                <w:highlight w:val="none"/>
                <w:u w:val="none" w:color="auto"/>
                <w:lang w:val="en-US" w:eastAsia="zh-CN" w:bidi="ar"/>
              </w:rPr>
              <w:t>HJ1105-2020</w:t>
            </w:r>
            <w:r>
              <w:rPr>
                <w:rFonts w:ascii="宋体" w:hAnsi="宋体" w:eastAsia="宋体" w:cs="宋体"/>
                <w:color w:val="auto"/>
                <w:kern w:val="0"/>
                <w:sz w:val="24"/>
                <w:szCs w:val="24"/>
                <w:highlight w:val="none"/>
                <w:u w:val="none" w:color="auto"/>
                <w:lang w:val="en-US" w:eastAsia="zh-CN" w:bidi="ar"/>
              </w:rPr>
              <w:t>）明确的可行技术一致，措施可行。</w:t>
            </w:r>
          </w:p>
          <w:p w14:paraId="0EB0635A">
            <w:pPr>
              <w:pStyle w:val="109"/>
              <w:keepNext w:val="0"/>
              <w:keepLines w:val="0"/>
              <w:pageBreakBefore w:val="0"/>
              <w:widowControl w:val="0"/>
              <w:kinsoku/>
              <w:wordWrap/>
              <w:overflowPunct/>
              <w:topLinePunct w:val="0"/>
              <w:autoSpaceDE/>
              <w:autoSpaceDN/>
              <w:bidi w:val="0"/>
              <w:spacing w:line="360" w:lineRule="auto"/>
              <w:ind w:firstLine="482" w:firstLineChars="200"/>
              <w:jc w:val="left"/>
              <w:rPr>
                <w:rFonts w:hint="default" w:ascii="Times New Roman" w:hAnsi="Times New Roman" w:eastAsia="宋体" w:cs="Times New Roman"/>
                <w:b/>
                <w:bCs/>
                <w:i w:val="0"/>
                <w:iCs w:val="0"/>
                <w:caps w:val="0"/>
                <w:color w:val="auto"/>
                <w:spacing w:val="0"/>
                <w:sz w:val="24"/>
                <w:szCs w:val="24"/>
                <w:highlight w:val="none"/>
                <w:u w:val="none" w:color="auto"/>
                <w:shd w:val="clear" w:color="auto" w:fill="FFFFFF"/>
                <w:lang w:val="en-US" w:eastAsia="zh-CN"/>
              </w:rPr>
            </w:pPr>
            <w:r>
              <w:rPr>
                <w:rFonts w:hint="default" w:ascii="Times New Roman" w:hAnsi="Times New Roman" w:eastAsia="宋体" w:cs="Times New Roman"/>
                <w:b/>
                <w:bCs/>
                <w:i w:val="0"/>
                <w:iCs w:val="0"/>
                <w:caps w:val="0"/>
                <w:color w:val="auto"/>
                <w:spacing w:val="0"/>
                <w:sz w:val="24"/>
                <w:szCs w:val="24"/>
                <w:highlight w:val="none"/>
                <w:u w:val="none" w:color="auto"/>
                <w:shd w:val="clear" w:color="auto" w:fill="FFFFFF"/>
                <w:lang w:val="en-US" w:eastAsia="zh-CN"/>
              </w:rPr>
              <w:t>4.</w:t>
            </w:r>
            <w:r>
              <w:rPr>
                <w:rFonts w:hint="eastAsia" w:cs="Times New Roman"/>
                <w:b/>
                <w:bCs/>
                <w:i w:val="0"/>
                <w:iCs w:val="0"/>
                <w:caps w:val="0"/>
                <w:color w:val="auto"/>
                <w:spacing w:val="0"/>
                <w:sz w:val="24"/>
                <w:szCs w:val="24"/>
                <w:highlight w:val="none"/>
                <w:u w:val="none" w:color="auto"/>
                <w:shd w:val="clear" w:color="auto" w:fill="FFFFFF"/>
                <w:lang w:val="en-US" w:eastAsia="zh-CN"/>
              </w:rPr>
              <w:t>3</w:t>
            </w:r>
            <w:r>
              <w:rPr>
                <w:rFonts w:hint="default" w:ascii="Times New Roman" w:hAnsi="Times New Roman" w:eastAsia="宋体" w:cs="Times New Roman"/>
                <w:b/>
                <w:bCs/>
                <w:i w:val="0"/>
                <w:iCs w:val="0"/>
                <w:caps w:val="0"/>
                <w:color w:val="auto"/>
                <w:spacing w:val="0"/>
                <w:sz w:val="24"/>
                <w:szCs w:val="24"/>
                <w:highlight w:val="none"/>
                <w:u w:val="none" w:color="auto"/>
                <w:shd w:val="clear" w:color="auto" w:fill="FFFFFF"/>
                <w:lang w:val="en-US" w:eastAsia="zh-CN"/>
              </w:rPr>
              <w:t>.</w:t>
            </w:r>
            <w:r>
              <w:rPr>
                <w:rFonts w:hint="eastAsia" w:cs="Times New Roman"/>
                <w:b/>
                <w:bCs/>
                <w:i w:val="0"/>
                <w:iCs w:val="0"/>
                <w:caps w:val="0"/>
                <w:color w:val="auto"/>
                <w:spacing w:val="0"/>
                <w:sz w:val="24"/>
                <w:szCs w:val="24"/>
                <w:highlight w:val="none"/>
                <w:u w:val="none" w:color="auto"/>
                <w:shd w:val="clear" w:color="auto" w:fill="FFFFFF"/>
                <w:lang w:val="en-US" w:eastAsia="zh-CN"/>
              </w:rPr>
              <w:t>3废水进入低庄镇污水处理厂</w:t>
            </w:r>
            <w:r>
              <w:rPr>
                <w:rFonts w:hint="default" w:ascii="Times New Roman" w:hAnsi="Times New Roman" w:eastAsia="宋体" w:cs="Times New Roman"/>
                <w:b/>
                <w:bCs/>
                <w:i w:val="0"/>
                <w:iCs w:val="0"/>
                <w:caps w:val="0"/>
                <w:color w:val="auto"/>
                <w:spacing w:val="0"/>
                <w:sz w:val="24"/>
                <w:szCs w:val="24"/>
                <w:highlight w:val="none"/>
                <w:u w:val="none" w:color="auto"/>
                <w:shd w:val="clear" w:color="auto" w:fill="FFFFFF"/>
                <w:lang w:val="en-US" w:eastAsia="zh-CN"/>
              </w:rPr>
              <w:t>可行性分析</w:t>
            </w:r>
          </w:p>
          <w:p w14:paraId="6A2D7473">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highlight w:val="none"/>
                <w:u w:val="none" w:color="auto"/>
                <w:lang w:val="en-US" w:eastAsia="zh-CN" w:bidi="ar"/>
              </w:rPr>
            </w:pPr>
            <w:r>
              <w:rPr>
                <w:rFonts w:hint="default" w:ascii="Times New Roman" w:hAnsi="Times New Roman" w:eastAsia="宋体" w:cs="Times New Roman"/>
                <w:color w:val="auto"/>
                <w:kern w:val="0"/>
                <w:sz w:val="24"/>
                <w:szCs w:val="24"/>
                <w:highlight w:val="none"/>
                <w:u w:val="none" w:color="auto"/>
                <w:lang w:val="en-US" w:eastAsia="zh-CN" w:bidi="ar"/>
              </w:rPr>
              <w:t>本项目属于低庄镇污水处理厂的纳污范围，低庄镇污水处理厂位于低庄镇</w:t>
            </w:r>
            <w:r>
              <w:rPr>
                <w:rFonts w:hint="eastAsia" w:cs="Times New Roman"/>
                <w:color w:val="auto"/>
                <w:kern w:val="0"/>
                <w:sz w:val="24"/>
                <w:szCs w:val="24"/>
                <w:highlight w:val="none"/>
                <w:u w:val="none" w:color="auto"/>
                <w:lang w:val="en-US" w:eastAsia="zh-CN" w:bidi="ar"/>
              </w:rPr>
              <w:t>低庄</w:t>
            </w:r>
            <w:r>
              <w:rPr>
                <w:rFonts w:hint="default" w:ascii="Times New Roman" w:hAnsi="Times New Roman" w:eastAsia="宋体" w:cs="Times New Roman"/>
                <w:color w:val="auto"/>
                <w:kern w:val="0"/>
                <w:sz w:val="24"/>
                <w:szCs w:val="24"/>
                <w:highlight w:val="none"/>
                <w:u w:val="none" w:color="auto"/>
                <w:lang w:val="en-US" w:eastAsia="zh-CN" w:bidi="ar"/>
              </w:rPr>
              <w:t>村，其一期工程于2020年建成运行，低庄镇污水处理厂污水管网长度为18.5km，服务区域为低庄镇镇区范围。处理能力5000</w:t>
            </w:r>
            <w:r>
              <w:rPr>
                <w:rFonts w:hint="eastAsia" w:cs="Times New Roman"/>
                <w:color w:val="auto"/>
                <w:sz w:val="24"/>
                <w:u w:val="none" w:color="auto"/>
                <w:lang w:val="en-US" w:eastAsia="zh-CN"/>
              </w:rPr>
              <w:t>t/d</w:t>
            </w:r>
            <w:r>
              <w:rPr>
                <w:rFonts w:hint="default" w:ascii="Times New Roman" w:hAnsi="Times New Roman" w:eastAsia="宋体" w:cs="Times New Roman"/>
                <w:color w:val="auto"/>
                <w:kern w:val="0"/>
                <w:sz w:val="24"/>
                <w:szCs w:val="24"/>
                <w:highlight w:val="none"/>
                <w:u w:val="none" w:color="auto"/>
                <w:lang w:val="en-US" w:eastAsia="zh-CN" w:bidi="ar"/>
              </w:rPr>
              <w:t>，采用预处理+A2/O工艺+纤维转盘滤池+紫外线消毒工艺，出水达到《城镇污水处理厂污染物排放标准》（GB18918-2002）一级A排放标准，最终排入四都河。</w:t>
            </w:r>
          </w:p>
          <w:p w14:paraId="67CDE6A4">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highlight w:val="none"/>
                <w:u w:val="none" w:color="auto"/>
                <w:lang w:val="en-US" w:eastAsia="zh-CN" w:bidi="ar"/>
              </w:rPr>
            </w:pPr>
            <w:r>
              <w:rPr>
                <w:rFonts w:hint="default" w:ascii="Times New Roman" w:hAnsi="Times New Roman" w:eastAsia="宋体" w:cs="Times New Roman"/>
                <w:color w:val="auto"/>
                <w:kern w:val="0"/>
                <w:sz w:val="24"/>
                <w:szCs w:val="24"/>
                <w:highlight w:val="none"/>
                <w:u w:val="none" w:color="auto"/>
                <w:lang w:val="en-US" w:eastAsia="zh-CN" w:bidi="ar"/>
              </w:rPr>
              <w:t>本项目</w:t>
            </w:r>
            <w:r>
              <w:rPr>
                <w:rFonts w:hint="eastAsia" w:cs="Times New Roman"/>
                <w:color w:val="auto"/>
                <w:kern w:val="0"/>
                <w:sz w:val="24"/>
                <w:szCs w:val="24"/>
                <w:highlight w:val="none"/>
                <w:u w:val="none" w:color="auto"/>
                <w:lang w:val="en-US" w:eastAsia="zh-CN" w:bidi="ar"/>
              </w:rPr>
              <w:t>位于</w:t>
            </w:r>
            <w:r>
              <w:rPr>
                <w:rFonts w:hint="default" w:ascii="Times New Roman" w:hAnsi="Times New Roman" w:eastAsia="宋体" w:cs="Times New Roman"/>
                <w:color w:val="auto"/>
                <w:kern w:val="0"/>
                <w:sz w:val="24"/>
                <w:szCs w:val="24"/>
                <w:highlight w:val="none"/>
                <w:u w:val="none" w:color="auto"/>
                <w:lang w:val="en-US" w:eastAsia="zh-CN" w:bidi="ar"/>
              </w:rPr>
              <w:t>低庄镇污水处理厂</w:t>
            </w:r>
            <w:r>
              <w:rPr>
                <w:rFonts w:hint="eastAsia" w:cs="Times New Roman"/>
                <w:color w:val="auto"/>
                <w:kern w:val="0"/>
                <w:sz w:val="24"/>
                <w:szCs w:val="24"/>
                <w:highlight w:val="none"/>
                <w:u w:val="none" w:color="auto"/>
                <w:lang w:val="en-US" w:eastAsia="zh-CN" w:bidi="ar"/>
              </w:rPr>
              <w:t>纳污范围内，市政污水管网已建成，项目建成后可将污水接入污水管网（附件10），目前</w:t>
            </w:r>
            <w:r>
              <w:rPr>
                <w:rFonts w:hint="default" w:ascii="Times New Roman" w:hAnsi="Times New Roman" w:eastAsia="宋体" w:cs="Times New Roman"/>
                <w:color w:val="auto"/>
                <w:kern w:val="0"/>
                <w:sz w:val="24"/>
                <w:szCs w:val="24"/>
                <w:highlight w:val="none"/>
                <w:u w:val="none" w:color="auto"/>
                <w:lang w:val="en-US" w:eastAsia="zh-CN" w:bidi="ar"/>
              </w:rPr>
              <w:t>低庄镇污水处理厂</w:t>
            </w:r>
            <w:r>
              <w:rPr>
                <w:rFonts w:hint="eastAsia" w:cs="Times New Roman"/>
                <w:color w:val="auto"/>
                <w:kern w:val="0"/>
                <w:sz w:val="24"/>
                <w:szCs w:val="24"/>
                <w:highlight w:val="none"/>
                <w:u w:val="none" w:color="auto"/>
                <w:lang w:val="en-US" w:eastAsia="zh-CN" w:bidi="ar"/>
              </w:rPr>
              <w:t>日处理水量约为3500</w:t>
            </w:r>
            <w:r>
              <w:rPr>
                <w:rFonts w:hint="eastAsia" w:cs="Times New Roman"/>
                <w:color w:val="auto"/>
                <w:sz w:val="24"/>
                <w:u w:val="none" w:color="auto"/>
                <w:lang w:val="en-US" w:eastAsia="zh-CN"/>
              </w:rPr>
              <w:t>t/d</w:t>
            </w:r>
            <w:r>
              <w:rPr>
                <w:rFonts w:hint="eastAsia" w:cs="Times New Roman"/>
                <w:color w:val="auto"/>
                <w:kern w:val="0"/>
                <w:sz w:val="24"/>
                <w:szCs w:val="24"/>
                <w:highlight w:val="none"/>
                <w:u w:val="none" w:color="auto"/>
                <w:lang w:val="en-US" w:eastAsia="zh-CN" w:bidi="ar"/>
              </w:rPr>
              <w:t>，剩余处理能力为1500</w:t>
            </w:r>
            <w:r>
              <w:rPr>
                <w:rFonts w:hint="eastAsia" w:cs="Times New Roman"/>
                <w:color w:val="auto"/>
                <w:sz w:val="24"/>
                <w:u w:val="none" w:color="auto"/>
                <w:lang w:val="en-US" w:eastAsia="zh-CN"/>
              </w:rPr>
              <w:t>t/d</w:t>
            </w:r>
            <w:r>
              <w:rPr>
                <w:rFonts w:hint="eastAsia" w:cs="Times New Roman"/>
                <w:color w:val="auto"/>
                <w:kern w:val="0"/>
                <w:sz w:val="24"/>
                <w:szCs w:val="24"/>
                <w:highlight w:val="none"/>
                <w:u w:val="none" w:color="auto"/>
                <w:lang w:val="en-US" w:eastAsia="zh-CN" w:bidi="ar"/>
              </w:rPr>
              <w:t>，</w:t>
            </w:r>
            <w:r>
              <w:rPr>
                <w:rFonts w:hint="default" w:ascii="Times New Roman" w:hAnsi="Times New Roman" w:eastAsia="宋体" w:cs="Times New Roman"/>
                <w:color w:val="auto"/>
                <w:kern w:val="0"/>
                <w:sz w:val="24"/>
                <w:szCs w:val="24"/>
                <w:highlight w:val="none"/>
                <w:u w:val="none" w:color="auto"/>
                <w:lang w:val="en-US" w:eastAsia="zh-CN" w:bidi="ar"/>
              </w:rPr>
              <w:t>项目日排放废水</w:t>
            </w:r>
            <w:r>
              <w:rPr>
                <w:rFonts w:hint="eastAsia" w:cs="Times New Roman"/>
                <w:color w:val="auto"/>
                <w:sz w:val="24"/>
                <w:u w:val="none" w:color="auto"/>
                <w:lang w:val="en-US" w:eastAsia="zh-CN"/>
              </w:rPr>
              <w:t>133.875t/d</w:t>
            </w:r>
            <w:r>
              <w:rPr>
                <w:rFonts w:hint="default" w:ascii="Times New Roman" w:hAnsi="Times New Roman" w:eastAsia="宋体" w:cs="Times New Roman"/>
                <w:color w:val="auto"/>
                <w:kern w:val="0"/>
                <w:sz w:val="24"/>
                <w:szCs w:val="24"/>
                <w:highlight w:val="none"/>
                <w:u w:val="none" w:color="auto"/>
                <w:lang w:val="en-US" w:eastAsia="zh-CN" w:bidi="ar"/>
              </w:rPr>
              <w:t>，</w:t>
            </w:r>
            <w:r>
              <w:rPr>
                <w:rFonts w:hint="eastAsia" w:cs="Times New Roman"/>
                <w:color w:val="auto"/>
                <w:kern w:val="0"/>
                <w:sz w:val="24"/>
                <w:szCs w:val="24"/>
                <w:highlight w:val="none"/>
                <w:u w:val="none" w:color="auto"/>
                <w:lang w:val="en-US" w:eastAsia="zh-CN" w:bidi="ar"/>
              </w:rPr>
              <w:t>污水处理厂的剩余容量可接纳本项目污水，医院的综合废水水质接近生活污水，</w:t>
            </w:r>
            <w:r>
              <w:rPr>
                <w:rFonts w:hint="default" w:ascii="Times New Roman" w:hAnsi="Times New Roman" w:eastAsia="宋体" w:cs="Times New Roman"/>
                <w:color w:val="auto"/>
                <w:kern w:val="0"/>
                <w:sz w:val="24"/>
                <w:szCs w:val="24"/>
                <w:highlight w:val="none"/>
                <w:u w:val="none" w:color="auto"/>
                <w:lang w:val="en-US" w:eastAsia="zh-CN" w:bidi="ar"/>
              </w:rPr>
              <w:t>不会对低庄镇污水处理厂造成冲击，因此本项目废水进入低庄镇污水处理厂可行。</w:t>
            </w:r>
          </w:p>
          <w:p w14:paraId="28028CC9">
            <w:pPr>
              <w:pStyle w:val="109"/>
              <w:keepNext w:val="0"/>
              <w:keepLines w:val="0"/>
              <w:pageBreakBefore w:val="0"/>
              <w:widowControl w:val="0"/>
              <w:kinsoku/>
              <w:wordWrap/>
              <w:overflowPunct/>
              <w:topLinePunct w:val="0"/>
              <w:autoSpaceDE/>
              <w:autoSpaceDN/>
              <w:bidi w:val="0"/>
              <w:spacing w:line="360" w:lineRule="auto"/>
              <w:ind w:firstLine="482" w:firstLineChars="200"/>
              <w:jc w:val="left"/>
              <w:rPr>
                <w:rFonts w:hint="default" w:ascii="Times New Roman" w:hAnsi="Times New Roman" w:eastAsia="宋体" w:cs="Times New Roman"/>
                <w:b/>
                <w:bCs/>
                <w:color w:val="auto"/>
                <w:sz w:val="24"/>
                <w:szCs w:val="24"/>
                <w:highlight w:val="none"/>
                <w:u w:val="none" w:color="auto"/>
                <w:lang w:val="zh-CN"/>
              </w:rPr>
            </w:pPr>
            <w:r>
              <w:rPr>
                <w:rFonts w:hint="eastAsia" w:cs="Times New Roman"/>
                <w:b/>
                <w:bCs/>
                <w:i w:val="0"/>
                <w:iCs w:val="0"/>
                <w:caps w:val="0"/>
                <w:color w:val="auto"/>
                <w:spacing w:val="0"/>
                <w:sz w:val="24"/>
                <w:szCs w:val="24"/>
                <w:highlight w:val="none"/>
                <w:u w:val="none" w:color="auto"/>
                <w:shd w:val="clear" w:color="auto" w:fill="FFFFFF"/>
                <w:lang w:val="en-US" w:eastAsia="zh-CN"/>
              </w:rPr>
              <w:t>4.3.4</w:t>
            </w:r>
            <w:r>
              <w:rPr>
                <w:rFonts w:hint="default" w:ascii="Times New Roman" w:hAnsi="Times New Roman" w:eastAsia="宋体" w:cs="Times New Roman"/>
                <w:b/>
                <w:bCs/>
                <w:color w:val="auto"/>
                <w:sz w:val="24"/>
                <w:szCs w:val="24"/>
                <w:highlight w:val="none"/>
                <w:u w:val="none" w:color="auto"/>
                <w:lang w:val="zh-CN"/>
              </w:rPr>
              <w:t>监测要求</w:t>
            </w:r>
          </w:p>
          <w:p w14:paraId="778AEF86">
            <w:pPr>
              <w:keepNext w:val="0"/>
              <w:keepLines w:val="0"/>
              <w:pageBreakBefore w:val="0"/>
              <w:widowControl w:val="0"/>
              <w:kinsoku/>
              <w:wordWrap/>
              <w:overflowPunct/>
              <w:topLinePunct w:val="0"/>
              <w:autoSpaceDE/>
              <w:autoSpaceDN/>
              <w:bidi w:val="0"/>
              <w:spacing w:line="360" w:lineRule="auto"/>
              <w:ind w:firstLine="480" w:firstLineChars="200"/>
              <w:jc w:val="both"/>
              <w:rPr>
                <w:rFonts w:hint="default" w:ascii="Times New Roman" w:hAnsi="Times New Roman" w:eastAsia="宋体" w:cs="Times New Roman"/>
                <w:b/>
                <w:bCs/>
                <w:color w:val="0000FF"/>
                <w:sz w:val="21"/>
                <w:szCs w:val="21"/>
                <w:highlight w:val="none"/>
                <w:u w:val="none" w:color="auto"/>
                <w:lang w:val="en-US" w:eastAsia="zh-CN"/>
              </w:rPr>
            </w:pPr>
            <w:r>
              <w:rPr>
                <w:rFonts w:ascii="宋体" w:hAnsi="宋体" w:eastAsia="宋体" w:cs="宋体"/>
                <w:color w:val="0000FF"/>
                <w:kern w:val="0"/>
                <w:sz w:val="24"/>
                <w:szCs w:val="24"/>
                <w:u w:val="single" w:color="auto"/>
                <w:lang w:val="en-US" w:eastAsia="zh-CN" w:bidi="ar"/>
              </w:rPr>
              <w:t>本项目床</w:t>
            </w:r>
            <w:r>
              <w:rPr>
                <w:rFonts w:hint="default" w:ascii="Times New Roman Regular" w:hAnsi="Times New Roman Regular" w:eastAsia="宋体" w:cs="Times New Roman Regular"/>
                <w:color w:val="0000FF"/>
                <w:kern w:val="0"/>
                <w:sz w:val="24"/>
                <w:szCs w:val="24"/>
                <w:u w:val="single" w:color="auto"/>
                <w:lang w:val="en-US" w:eastAsia="zh-CN" w:bidi="ar"/>
              </w:rPr>
              <w:t>位数</w:t>
            </w:r>
            <w:r>
              <w:rPr>
                <w:rFonts w:hint="eastAsia" w:ascii="Times New Roman Regular" w:hAnsi="Times New Roman Regular" w:eastAsia="宋体" w:cs="Times New Roman Regular"/>
                <w:color w:val="0000FF"/>
                <w:kern w:val="0"/>
                <w:sz w:val="24"/>
                <w:szCs w:val="24"/>
                <w:u w:val="single" w:color="auto"/>
                <w:lang w:val="en-US" w:eastAsia="zh-CN" w:bidi="ar"/>
              </w:rPr>
              <w:t>300</w:t>
            </w:r>
            <w:r>
              <w:rPr>
                <w:rFonts w:hint="default" w:ascii="Times New Roman Regular" w:hAnsi="Times New Roman Regular" w:eastAsia="宋体" w:cs="Times New Roman Regular"/>
                <w:color w:val="0000FF"/>
                <w:kern w:val="0"/>
                <w:sz w:val="24"/>
                <w:szCs w:val="24"/>
                <w:u w:val="single" w:color="auto"/>
                <w:lang w:val="en-US" w:eastAsia="zh-CN" w:bidi="ar"/>
              </w:rPr>
              <w:t>张，</w:t>
            </w:r>
            <w:r>
              <w:rPr>
                <w:rFonts w:ascii="宋体" w:hAnsi="宋体" w:eastAsia="宋体" w:cs="宋体"/>
                <w:color w:val="0000FF"/>
                <w:kern w:val="0"/>
                <w:sz w:val="24"/>
                <w:szCs w:val="24"/>
                <w:u w:val="single" w:color="auto"/>
                <w:lang w:val="en-US" w:eastAsia="zh-CN" w:bidi="ar"/>
              </w:rPr>
              <w:t>根据《固定污染源排污许可分类管理名录》（</w:t>
            </w:r>
            <w:r>
              <w:rPr>
                <w:rFonts w:hint="default" w:ascii="Times New Roman" w:hAnsi="Times New Roman" w:eastAsia="宋体" w:cs="Times New Roman"/>
                <w:color w:val="0000FF"/>
                <w:kern w:val="0"/>
                <w:sz w:val="24"/>
                <w:szCs w:val="24"/>
                <w:u w:val="single" w:color="auto"/>
                <w:lang w:val="en-US" w:eastAsia="zh-CN" w:bidi="ar"/>
              </w:rPr>
              <w:t>2019</w:t>
            </w:r>
            <w:r>
              <w:rPr>
                <w:rFonts w:ascii="宋体" w:hAnsi="宋体" w:eastAsia="宋体" w:cs="宋体"/>
                <w:color w:val="0000FF"/>
                <w:kern w:val="0"/>
                <w:sz w:val="24"/>
                <w:szCs w:val="24"/>
                <w:u w:val="single" w:color="auto"/>
                <w:lang w:val="en-US" w:eastAsia="zh-CN" w:bidi="ar"/>
              </w:rPr>
              <w:t>年版），本医院排污许可属于</w:t>
            </w:r>
            <w:r>
              <w:rPr>
                <w:rFonts w:hint="eastAsia" w:ascii="宋体" w:hAnsi="宋体" w:eastAsia="宋体" w:cs="宋体"/>
                <w:color w:val="0000FF"/>
                <w:kern w:val="0"/>
                <w:sz w:val="24"/>
                <w:szCs w:val="24"/>
                <w:u w:val="single" w:color="auto"/>
                <w:lang w:val="en-US" w:eastAsia="zh-CN" w:bidi="ar"/>
              </w:rPr>
              <w:t>简化</w:t>
            </w:r>
            <w:r>
              <w:rPr>
                <w:rFonts w:ascii="宋体" w:hAnsi="宋体" w:eastAsia="宋体" w:cs="宋体"/>
                <w:color w:val="0000FF"/>
                <w:kern w:val="0"/>
                <w:sz w:val="24"/>
                <w:szCs w:val="24"/>
                <w:u w:val="single" w:color="auto"/>
                <w:lang w:val="en-US" w:eastAsia="zh-CN" w:bidi="ar"/>
              </w:rPr>
              <w:t>管理</w:t>
            </w:r>
            <w:r>
              <w:rPr>
                <w:rFonts w:ascii="宋体" w:hAnsi="宋体" w:eastAsia="宋体" w:cs="宋体"/>
                <w:color w:val="0000FF"/>
                <w:kern w:val="0"/>
                <w:sz w:val="24"/>
                <w:szCs w:val="24"/>
                <w:u w:val="none" w:color="auto"/>
                <w:lang w:val="en-US" w:eastAsia="zh-CN" w:bidi="ar"/>
              </w:rPr>
              <w:t>，</w:t>
            </w:r>
            <w:r>
              <w:rPr>
                <w:rFonts w:hint="eastAsia" w:ascii="宋体" w:hAnsi="宋体" w:cs="宋体"/>
                <w:color w:val="0000FF"/>
                <w:kern w:val="0"/>
                <w:sz w:val="24"/>
                <w:szCs w:val="24"/>
                <w:u w:val="none" w:color="auto"/>
                <w:lang w:val="en-US" w:eastAsia="zh-CN" w:bidi="ar"/>
              </w:rPr>
              <w:t>结合医院科室设置情况、污水类别和实际低庄镇中心卫生院的实际运行情况</w:t>
            </w:r>
            <w:r>
              <w:rPr>
                <w:rFonts w:ascii="宋体" w:hAnsi="宋体" w:eastAsia="宋体" w:cs="宋体"/>
                <w:color w:val="0000FF"/>
                <w:kern w:val="0"/>
                <w:sz w:val="24"/>
                <w:szCs w:val="24"/>
                <w:u w:val="none" w:color="auto"/>
                <w:lang w:val="en-US" w:eastAsia="zh-CN" w:bidi="ar"/>
              </w:rPr>
              <w:t>，运营期监测计划参照</w:t>
            </w:r>
            <w:r>
              <w:rPr>
                <w:rFonts w:hint="default" w:ascii="Times New Roman" w:hAnsi="Times New Roman" w:eastAsia="宋体" w:cs="Times New Roman"/>
                <w:bCs/>
                <w:color w:val="0000FF"/>
                <w:sz w:val="24"/>
                <w:szCs w:val="24"/>
                <w:highlight w:val="none"/>
                <w:u w:val="none" w:color="auto"/>
              </w:rPr>
              <w:t>《排污许可证申请与核发技术规范 医疗机构》（HJ1105—2020）中</w:t>
            </w:r>
            <w:r>
              <w:rPr>
                <w:rFonts w:hint="eastAsia" w:cs="Times New Roman"/>
                <w:color w:val="0000FF"/>
                <w:sz w:val="24"/>
                <w:u w:val="none" w:color="auto"/>
                <w:lang w:eastAsia="zh-CN"/>
              </w:rPr>
              <w:t>表</w:t>
            </w:r>
            <w:r>
              <w:rPr>
                <w:rFonts w:hint="eastAsia" w:cs="Times New Roman"/>
                <w:color w:val="0000FF"/>
                <w:sz w:val="24"/>
                <w:u w:val="none" w:color="auto"/>
                <w:lang w:val="en-US" w:eastAsia="zh-CN"/>
              </w:rPr>
              <w:t>4</w:t>
            </w:r>
            <w:r>
              <w:rPr>
                <w:rFonts w:hint="default" w:ascii="Times New Roman" w:hAnsi="Times New Roman" w:cs="Times New Roman"/>
                <w:color w:val="0000FF"/>
                <w:sz w:val="24"/>
                <w:u w:val="none" w:color="auto"/>
              </w:rPr>
              <w:t>自行监测要求，</w:t>
            </w:r>
            <w:r>
              <w:rPr>
                <w:rFonts w:hint="default" w:ascii="Times New Roman" w:hAnsi="Times New Roman" w:eastAsia="宋体" w:cs="Times New Roman"/>
                <w:bCs/>
                <w:color w:val="0000FF"/>
                <w:sz w:val="24"/>
                <w:szCs w:val="24"/>
                <w:highlight w:val="none"/>
                <w:u w:val="none" w:color="auto"/>
              </w:rPr>
              <w:t>运营期</w:t>
            </w:r>
            <w:r>
              <w:rPr>
                <w:rFonts w:hint="eastAsia" w:cs="Times New Roman"/>
                <w:bCs/>
                <w:color w:val="0000FF"/>
                <w:sz w:val="24"/>
                <w:szCs w:val="24"/>
                <w:highlight w:val="none"/>
                <w:u w:val="none" w:color="auto"/>
                <w:lang w:val="en-US" w:eastAsia="zh-CN"/>
              </w:rPr>
              <w:t>医</w:t>
            </w:r>
            <w:r>
              <w:rPr>
                <w:rFonts w:hint="default" w:ascii="Times New Roman" w:hAnsi="Times New Roman" w:eastAsia="宋体" w:cs="Times New Roman"/>
                <w:bCs/>
                <w:color w:val="0000FF"/>
                <w:sz w:val="24"/>
                <w:szCs w:val="24"/>
                <w:highlight w:val="none"/>
                <w:u w:val="none" w:color="auto"/>
              </w:rPr>
              <w:t>院污水环境监测计划详见下表。</w:t>
            </w:r>
          </w:p>
          <w:p w14:paraId="33E84423">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center"/>
              <w:textAlignment w:val="auto"/>
              <w:rPr>
                <w:rFonts w:hint="default" w:ascii="Times New Roman" w:hAnsi="Times New Roman" w:eastAsia="宋体" w:cs="Times New Roman"/>
                <w:b/>
                <w:bCs/>
                <w:color w:val="0000FF"/>
                <w:sz w:val="21"/>
                <w:szCs w:val="21"/>
                <w:highlight w:val="none"/>
                <w:u w:val="single" w:color="auto"/>
                <w:lang w:val="en-US" w:eastAsia="zh-CN"/>
              </w:rPr>
            </w:pPr>
            <w:r>
              <w:rPr>
                <w:rFonts w:hint="default" w:ascii="Times New Roman" w:hAnsi="Times New Roman" w:eastAsia="宋体" w:cs="Times New Roman"/>
                <w:b/>
                <w:bCs/>
                <w:color w:val="0000FF"/>
                <w:sz w:val="21"/>
                <w:szCs w:val="21"/>
                <w:highlight w:val="none"/>
                <w:u w:val="single" w:color="auto"/>
                <w:lang w:val="en-US" w:eastAsia="zh-CN"/>
              </w:rPr>
              <w:t>表4-</w:t>
            </w:r>
            <w:r>
              <w:rPr>
                <w:rFonts w:hint="eastAsia" w:cs="Times New Roman"/>
                <w:b/>
                <w:bCs/>
                <w:color w:val="0000FF"/>
                <w:sz w:val="21"/>
                <w:szCs w:val="21"/>
                <w:highlight w:val="none"/>
                <w:u w:val="single" w:color="auto"/>
                <w:lang w:val="en-US" w:eastAsia="zh-CN"/>
              </w:rPr>
              <w:t>7</w:t>
            </w:r>
            <w:r>
              <w:rPr>
                <w:rFonts w:hint="default" w:ascii="Times New Roman" w:hAnsi="Times New Roman" w:eastAsia="宋体" w:cs="Times New Roman"/>
                <w:b/>
                <w:bCs/>
                <w:color w:val="0000FF"/>
                <w:sz w:val="21"/>
                <w:szCs w:val="21"/>
                <w:highlight w:val="none"/>
                <w:u w:val="single" w:color="auto"/>
                <w:lang w:val="en-US" w:eastAsia="zh-CN"/>
              </w:rPr>
              <w:t xml:space="preserve">  </w:t>
            </w:r>
            <w:r>
              <w:rPr>
                <w:rFonts w:hint="eastAsia" w:ascii="Times New Roman" w:hAnsi="Times New Roman" w:eastAsia="宋体" w:cs="Times New Roman"/>
                <w:b/>
                <w:bCs/>
                <w:color w:val="0000FF"/>
                <w:sz w:val="21"/>
                <w:szCs w:val="21"/>
                <w:highlight w:val="none"/>
                <w:u w:val="single" w:color="auto"/>
                <w:lang w:val="en-US" w:eastAsia="zh-CN"/>
              </w:rPr>
              <w:t xml:space="preserve"> </w:t>
            </w:r>
            <w:r>
              <w:rPr>
                <w:rFonts w:hint="default" w:ascii="Times New Roman" w:hAnsi="Times New Roman" w:eastAsia="宋体" w:cs="Times New Roman"/>
                <w:b/>
                <w:bCs/>
                <w:color w:val="0000FF"/>
                <w:sz w:val="21"/>
                <w:szCs w:val="21"/>
                <w:highlight w:val="none"/>
                <w:u w:val="single" w:color="auto"/>
                <w:lang w:val="en-US" w:eastAsia="zh-CN"/>
              </w:rPr>
              <w:t>废水监测要求一览表</w:t>
            </w:r>
          </w:p>
          <w:tbl>
            <w:tblPr>
              <w:tblStyle w:val="3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1539"/>
              <w:gridCol w:w="2930"/>
              <w:gridCol w:w="1436"/>
              <w:gridCol w:w="2104"/>
            </w:tblGrid>
            <w:tr w14:paraId="119DD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1" w:type="pct"/>
                  <w:tcBorders>
                    <w:tl2br w:val="nil"/>
                    <w:tr2bl w:val="nil"/>
                  </w:tcBorders>
                  <w:noWrap w:val="0"/>
                  <w:vAlign w:val="center"/>
                </w:tcPr>
                <w:p w14:paraId="684A673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sz w:val="21"/>
                      <w:szCs w:val="21"/>
                      <w:highlight w:val="none"/>
                      <w:u w:val="single" w:color="auto"/>
                      <w:vertAlign w:val="baseline"/>
                      <w:lang w:val="en-US" w:eastAsia="zh-CN"/>
                    </w:rPr>
                  </w:pPr>
                  <w:r>
                    <w:rPr>
                      <w:rFonts w:hint="eastAsia" w:ascii="Times New Roman" w:hAnsi="Times New Roman" w:eastAsia="宋体" w:cs="Times New Roman"/>
                      <w:b/>
                      <w:bCs/>
                      <w:color w:val="0000FF"/>
                      <w:sz w:val="21"/>
                      <w:szCs w:val="21"/>
                      <w:highlight w:val="none"/>
                      <w:u w:val="single" w:color="auto"/>
                      <w:vertAlign w:val="baseline"/>
                      <w:lang w:val="en-US" w:eastAsia="zh-CN"/>
                    </w:rPr>
                    <w:t>监测类别</w:t>
                  </w:r>
                </w:p>
              </w:tc>
              <w:tc>
                <w:tcPr>
                  <w:tcW w:w="841" w:type="pct"/>
                  <w:tcBorders>
                    <w:tl2br w:val="nil"/>
                    <w:tr2bl w:val="nil"/>
                  </w:tcBorders>
                  <w:noWrap w:val="0"/>
                  <w:vAlign w:val="center"/>
                </w:tcPr>
                <w:p w14:paraId="728E497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sz w:val="21"/>
                      <w:szCs w:val="21"/>
                      <w:highlight w:val="none"/>
                      <w:u w:val="single" w:color="auto"/>
                      <w:vertAlign w:val="baseline"/>
                      <w:lang w:val="en-US" w:eastAsia="zh-CN"/>
                    </w:rPr>
                  </w:pPr>
                  <w:r>
                    <w:rPr>
                      <w:rFonts w:hint="eastAsia" w:ascii="Times New Roman" w:hAnsi="Times New Roman" w:eastAsia="宋体" w:cs="Times New Roman"/>
                      <w:b/>
                      <w:bCs/>
                      <w:color w:val="0000FF"/>
                      <w:sz w:val="21"/>
                      <w:szCs w:val="21"/>
                      <w:highlight w:val="none"/>
                      <w:u w:val="single" w:color="auto"/>
                      <w:vertAlign w:val="baseline"/>
                      <w:lang w:val="en-US" w:eastAsia="zh-CN"/>
                    </w:rPr>
                    <w:t>监测点位</w:t>
                  </w:r>
                </w:p>
              </w:tc>
              <w:tc>
                <w:tcPr>
                  <w:tcW w:w="1601" w:type="pct"/>
                  <w:tcBorders>
                    <w:tl2br w:val="nil"/>
                    <w:tr2bl w:val="nil"/>
                  </w:tcBorders>
                  <w:noWrap w:val="0"/>
                  <w:vAlign w:val="center"/>
                </w:tcPr>
                <w:p w14:paraId="618DCBC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sz w:val="21"/>
                      <w:szCs w:val="21"/>
                      <w:highlight w:val="none"/>
                      <w:u w:val="single" w:color="auto"/>
                      <w:vertAlign w:val="baseline"/>
                      <w:lang w:val="en-US" w:eastAsia="zh-CN"/>
                    </w:rPr>
                  </w:pPr>
                  <w:r>
                    <w:rPr>
                      <w:rFonts w:hint="eastAsia" w:ascii="Times New Roman" w:hAnsi="Times New Roman" w:eastAsia="宋体" w:cs="Times New Roman"/>
                      <w:b/>
                      <w:bCs/>
                      <w:color w:val="0000FF"/>
                      <w:sz w:val="21"/>
                      <w:szCs w:val="21"/>
                      <w:highlight w:val="none"/>
                      <w:u w:val="single" w:color="auto"/>
                      <w:vertAlign w:val="baseline"/>
                      <w:lang w:val="en-US" w:eastAsia="zh-CN"/>
                    </w:rPr>
                    <w:t>监测项目</w:t>
                  </w:r>
                </w:p>
              </w:tc>
              <w:tc>
                <w:tcPr>
                  <w:tcW w:w="785" w:type="pct"/>
                  <w:tcBorders>
                    <w:tl2br w:val="nil"/>
                    <w:tr2bl w:val="nil"/>
                  </w:tcBorders>
                  <w:noWrap w:val="0"/>
                  <w:vAlign w:val="center"/>
                </w:tcPr>
                <w:p w14:paraId="0B99F76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sz w:val="21"/>
                      <w:szCs w:val="21"/>
                      <w:highlight w:val="none"/>
                      <w:u w:val="single" w:color="auto"/>
                      <w:vertAlign w:val="baseline"/>
                      <w:lang w:val="en-US" w:eastAsia="zh-CN"/>
                    </w:rPr>
                  </w:pPr>
                  <w:r>
                    <w:rPr>
                      <w:rFonts w:hint="eastAsia" w:ascii="Times New Roman" w:hAnsi="Times New Roman" w:eastAsia="宋体" w:cs="Times New Roman"/>
                      <w:b/>
                      <w:bCs/>
                      <w:color w:val="0000FF"/>
                      <w:sz w:val="21"/>
                      <w:szCs w:val="21"/>
                      <w:highlight w:val="none"/>
                      <w:u w:val="single" w:color="auto"/>
                      <w:vertAlign w:val="baseline"/>
                      <w:lang w:val="en-US" w:eastAsia="zh-CN"/>
                    </w:rPr>
                    <w:t>监测频次</w:t>
                  </w:r>
                </w:p>
              </w:tc>
              <w:tc>
                <w:tcPr>
                  <w:tcW w:w="1150" w:type="pct"/>
                  <w:tcBorders>
                    <w:tl2br w:val="nil"/>
                    <w:tr2bl w:val="nil"/>
                  </w:tcBorders>
                  <w:noWrap w:val="0"/>
                  <w:vAlign w:val="center"/>
                </w:tcPr>
                <w:p w14:paraId="1BEF411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sz w:val="21"/>
                      <w:szCs w:val="21"/>
                      <w:highlight w:val="none"/>
                      <w:u w:val="single" w:color="auto"/>
                      <w:vertAlign w:val="baseline"/>
                      <w:lang w:val="en-US" w:eastAsia="zh-CN"/>
                    </w:rPr>
                  </w:pPr>
                  <w:r>
                    <w:rPr>
                      <w:rFonts w:hint="eastAsia" w:ascii="Times New Roman" w:hAnsi="Times New Roman" w:eastAsia="宋体" w:cs="Times New Roman"/>
                      <w:b/>
                      <w:bCs/>
                      <w:color w:val="0000FF"/>
                      <w:sz w:val="21"/>
                      <w:szCs w:val="21"/>
                      <w:highlight w:val="none"/>
                      <w:u w:val="single" w:color="auto"/>
                      <w:vertAlign w:val="baseline"/>
                      <w:lang w:val="en-US" w:eastAsia="zh-CN"/>
                    </w:rPr>
                    <w:t>执行标准</w:t>
                  </w:r>
                </w:p>
              </w:tc>
            </w:tr>
            <w:tr w14:paraId="4E276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1" w:type="pct"/>
                  <w:vMerge w:val="restart"/>
                  <w:tcBorders>
                    <w:tl2br w:val="nil"/>
                    <w:tr2bl w:val="nil"/>
                  </w:tcBorders>
                  <w:noWrap w:val="0"/>
                  <w:vAlign w:val="center"/>
                </w:tcPr>
                <w:p w14:paraId="2338C9C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highlight w:val="none"/>
                      <w:u w:val="single" w:color="auto"/>
                      <w:vertAlign w:val="baseline"/>
                      <w:lang w:val="en-US" w:eastAsia="zh-CN"/>
                    </w:rPr>
                  </w:pPr>
                  <w:r>
                    <w:rPr>
                      <w:rFonts w:hint="default" w:ascii="Times New Roman" w:hAnsi="Times New Roman" w:eastAsia="宋体" w:cs="Times New Roman"/>
                      <w:color w:val="0000FF"/>
                      <w:sz w:val="21"/>
                      <w:szCs w:val="21"/>
                      <w:highlight w:val="none"/>
                      <w:u w:val="single" w:color="auto"/>
                      <w:vertAlign w:val="baseline"/>
                      <w:lang w:val="en-US" w:eastAsia="zh-CN"/>
                    </w:rPr>
                    <w:t>废水</w:t>
                  </w:r>
                </w:p>
              </w:tc>
              <w:tc>
                <w:tcPr>
                  <w:tcW w:w="841" w:type="pct"/>
                  <w:vMerge w:val="restart"/>
                  <w:tcBorders>
                    <w:tl2br w:val="nil"/>
                    <w:tr2bl w:val="nil"/>
                  </w:tcBorders>
                  <w:noWrap w:val="0"/>
                  <w:vAlign w:val="center"/>
                </w:tcPr>
                <w:p w14:paraId="5BCBB9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FF"/>
                      <w:sz w:val="21"/>
                      <w:szCs w:val="21"/>
                      <w:highlight w:val="none"/>
                      <w:u w:val="single" w:color="auto"/>
                      <w:vertAlign w:val="baseline"/>
                      <w:lang w:val="en-US" w:eastAsia="zh-CN"/>
                    </w:rPr>
                  </w:pPr>
                  <w:r>
                    <w:rPr>
                      <w:rFonts w:hint="default" w:ascii="Times New Roman" w:hAnsi="Times New Roman" w:eastAsia="宋体" w:cs="Times New Roman"/>
                      <w:color w:val="0000FF"/>
                      <w:sz w:val="21"/>
                      <w:szCs w:val="21"/>
                      <w:highlight w:val="none"/>
                      <w:u w:val="single" w:color="auto"/>
                      <w:vertAlign w:val="baseline"/>
                      <w:lang w:val="en-US" w:eastAsia="zh-CN"/>
                    </w:rPr>
                    <w:t>废水总排放口</w:t>
                  </w:r>
                  <w:r>
                    <w:rPr>
                      <w:rFonts w:hint="eastAsia" w:ascii="Times New Roman" w:hAnsi="Times New Roman" w:eastAsia="宋体" w:cs="Times New Roman"/>
                      <w:color w:val="0000FF"/>
                      <w:sz w:val="21"/>
                      <w:szCs w:val="21"/>
                      <w:highlight w:val="none"/>
                      <w:u w:val="single" w:color="auto"/>
                      <w:lang w:val="en-US" w:eastAsia="zh-CN"/>
                    </w:rPr>
                    <w:t>（DW001）</w:t>
                  </w:r>
                </w:p>
              </w:tc>
              <w:tc>
                <w:tcPr>
                  <w:tcW w:w="1601" w:type="pct"/>
                  <w:tcBorders>
                    <w:tl2br w:val="nil"/>
                    <w:tr2bl w:val="nil"/>
                  </w:tcBorders>
                  <w:noWrap w:val="0"/>
                  <w:vAlign w:val="center"/>
                </w:tcPr>
                <w:p w14:paraId="5AD09A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FF"/>
                      <w:sz w:val="21"/>
                      <w:szCs w:val="21"/>
                      <w:highlight w:val="none"/>
                      <w:u w:val="single" w:color="auto"/>
                      <w:vertAlign w:val="baseline"/>
                      <w:lang w:val="en-US" w:eastAsia="zh-CN"/>
                    </w:rPr>
                  </w:pPr>
                  <w:r>
                    <w:rPr>
                      <w:rFonts w:hint="default" w:ascii="Times New Roman" w:hAnsi="Times New Roman" w:eastAsia="宋体" w:cs="Times New Roman"/>
                      <w:color w:val="0000FF"/>
                      <w:sz w:val="21"/>
                      <w:szCs w:val="21"/>
                      <w:highlight w:val="none"/>
                      <w:u w:val="single" w:color="auto"/>
                      <w:vertAlign w:val="baseline"/>
                      <w:lang w:val="en-US" w:eastAsia="zh-CN"/>
                    </w:rPr>
                    <w:t>流量</w:t>
                  </w:r>
                </w:p>
              </w:tc>
              <w:tc>
                <w:tcPr>
                  <w:tcW w:w="785" w:type="pct"/>
                  <w:tcBorders>
                    <w:tl2br w:val="nil"/>
                    <w:tr2bl w:val="nil"/>
                  </w:tcBorders>
                  <w:noWrap w:val="0"/>
                  <w:vAlign w:val="center"/>
                </w:tcPr>
                <w:p w14:paraId="247A3B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FF"/>
                      <w:sz w:val="21"/>
                      <w:szCs w:val="21"/>
                      <w:highlight w:val="none"/>
                      <w:u w:val="single" w:color="auto"/>
                      <w:vertAlign w:val="baseline"/>
                      <w:lang w:val="en-US" w:eastAsia="zh-CN"/>
                    </w:rPr>
                  </w:pPr>
                  <w:r>
                    <w:rPr>
                      <w:rFonts w:hint="default" w:ascii="Times New Roman" w:hAnsi="Times New Roman" w:eastAsia="宋体" w:cs="Times New Roman"/>
                      <w:color w:val="0000FF"/>
                      <w:sz w:val="21"/>
                      <w:szCs w:val="21"/>
                      <w:highlight w:val="none"/>
                      <w:u w:val="single" w:color="auto"/>
                      <w:vertAlign w:val="baseline"/>
                      <w:lang w:val="en-US" w:eastAsia="zh-CN"/>
                    </w:rPr>
                    <w:t>自动监测</w:t>
                  </w:r>
                </w:p>
              </w:tc>
              <w:tc>
                <w:tcPr>
                  <w:tcW w:w="1150" w:type="pct"/>
                  <w:vMerge w:val="restart"/>
                  <w:tcBorders>
                    <w:tl2br w:val="nil"/>
                    <w:tr2bl w:val="nil"/>
                  </w:tcBorders>
                  <w:noWrap w:val="0"/>
                  <w:vAlign w:val="center"/>
                </w:tcPr>
                <w:p w14:paraId="31C723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FF"/>
                      <w:sz w:val="21"/>
                      <w:szCs w:val="21"/>
                      <w:highlight w:val="none"/>
                      <w:u w:val="single" w:color="auto"/>
                      <w:vertAlign w:val="baseline"/>
                      <w:lang w:val="en-US" w:eastAsia="zh-CN"/>
                    </w:rPr>
                  </w:pPr>
                  <w:r>
                    <w:rPr>
                      <w:rFonts w:hint="default" w:ascii="Times New Roman" w:hAnsi="Times New Roman" w:eastAsia="宋体" w:cs="Times New Roman"/>
                      <w:color w:val="0000FF"/>
                      <w:sz w:val="21"/>
                      <w:szCs w:val="21"/>
                      <w:highlight w:val="none"/>
                      <w:u w:val="single" w:color="auto"/>
                      <w:vertAlign w:val="baseline"/>
                      <w:lang w:val="en-US" w:eastAsia="zh-CN"/>
                    </w:rPr>
                    <w:t>《医疗机构水污染物排放标准》（GB18466-2005）表2</w:t>
                  </w:r>
                  <w:r>
                    <w:rPr>
                      <w:rFonts w:hint="eastAsia" w:cs="Times New Roman"/>
                      <w:color w:val="0000FF"/>
                      <w:sz w:val="21"/>
                      <w:szCs w:val="21"/>
                      <w:highlight w:val="none"/>
                      <w:u w:val="single" w:color="auto"/>
                      <w:vertAlign w:val="baseline"/>
                      <w:lang w:val="en-US" w:eastAsia="zh-CN"/>
                    </w:rPr>
                    <w:t>排放</w:t>
                  </w:r>
                  <w:r>
                    <w:rPr>
                      <w:rFonts w:hint="default" w:ascii="Times New Roman" w:hAnsi="Times New Roman" w:eastAsia="宋体" w:cs="Times New Roman"/>
                      <w:color w:val="0000FF"/>
                      <w:sz w:val="21"/>
                      <w:szCs w:val="21"/>
                      <w:highlight w:val="none"/>
                      <w:u w:val="single" w:color="auto"/>
                      <w:vertAlign w:val="baseline"/>
                      <w:lang w:val="en-US" w:eastAsia="zh-CN"/>
                    </w:rPr>
                    <w:t>标准</w:t>
                  </w:r>
                </w:p>
              </w:tc>
            </w:tr>
            <w:tr w14:paraId="47510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1" w:type="pct"/>
                  <w:vMerge w:val="continue"/>
                  <w:tcBorders>
                    <w:tl2br w:val="nil"/>
                    <w:tr2bl w:val="nil"/>
                  </w:tcBorders>
                  <w:noWrap w:val="0"/>
                  <w:vAlign w:val="center"/>
                </w:tcPr>
                <w:p w14:paraId="14FE0E7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FF"/>
                      <w:sz w:val="21"/>
                      <w:szCs w:val="21"/>
                      <w:highlight w:val="none"/>
                      <w:u w:val="single" w:color="auto"/>
                      <w:vertAlign w:val="baseline"/>
                      <w:lang w:val="en-US" w:eastAsia="zh-CN"/>
                    </w:rPr>
                  </w:pPr>
                </w:p>
              </w:tc>
              <w:tc>
                <w:tcPr>
                  <w:tcW w:w="841" w:type="pct"/>
                  <w:vMerge w:val="continue"/>
                  <w:tcBorders>
                    <w:tl2br w:val="nil"/>
                    <w:tr2bl w:val="nil"/>
                  </w:tcBorders>
                  <w:noWrap w:val="0"/>
                  <w:vAlign w:val="center"/>
                </w:tcPr>
                <w:p w14:paraId="609247D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highlight w:val="none"/>
                      <w:u w:val="single" w:color="auto"/>
                      <w:vertAlign w:val="baseline"/>
                      <w:lang w:val="en-US" w:eastAsia="zh-CN"/>
                    </w:rPr>
                  </w:pPr>
                </w:p>
              </w:tc>
              <w:tc>
                <w:tcPr>
                  <w:tcW w:w="1601" w:type="pct"/>
                  <w:tcBorders>
                    <w:tl2br w:val="nil"/>
                    <w:tr2bl w:val="nil"/>
                  </w:tcBorders>
                  <w:noWrap w:val="0"/>
                  <w:vAlign w:val="center"/>
                </w:tcPr>
                <w:p w14:paraId="22923E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FF"/>
                      <w:sz w:val="21"/>
                      <w:szCs w:val="21"/>
                      <w:highlight w:val="none"/>
                      <w:u w:val="single" w:color="auto"/>
                      <w:vertAlign w:val="baseline"/>
                      <w:lang w:val="en-US" w:eastAsia="zh-CN"/>
                    </w:rPr>
                  </w:pPr>
                  <w:r>
                    <w:rPr>
                      <w:rFonts w:hint="eastAsia" w:cs="Times New Roman"/>
                      <w:color w:val="0000FF"/>
                      <w:sz w:val="21"/>
                      <w:szCs w:val="21"/>
                      <w:highlight w:val="none"/>
                      <w:u w:val="single" w:color="auto"/>
                      <w:vertAlign w:val="baseline"/>
                      <w:lang w:val="en-US" w:eastAsia="zh-CN"/>
                    </w:rPr>
                    <w:t>p</w:t>
                  </w:r>
                  <w:r>
                    <w:rPr>
                      <w:rFonts w:hint="default" w:ascii="Times New Roman" w:hAnsi="Times New Roman" w:eastAsia="宋体" w:cs="Times New Roman"/>
                      <w:color w:val="0000FF"/>
                      <w:sz w:val="21"/>
                      <w:szCs w:val="21"/>
                      <w:highlight w:val="none"/>
                      <w:u w:val="single" w:color="auto"/>
                      <w:vertAlign w:val="baseline"/>
                      <w:lang w:val="en-US" w:eastAsia="zh-CN"/>
                    </w:rPr>
                    <w:t>H</w:t>
                  </w:r>
                  <w:r>
                    <w:rPr>
                      <w:rFonts w:hint="eastAsia" w:cs="Times New Roman"/>
                      <w:color w:val="0000FF"/>
                      <w:sz w:val="21"/>
                      <w:szCs w:val="21"/>
                      <w:highlight w:val="none"/>
                      <w:u w:val="single" w:color="auto"/>
                      <w:vertAlign w:val="baseline"/>
                      <w:lang w:val="en-US" w:eastAsia="zh-CN"/>
                    </w:rPr>
                    <w:t>值</w:t>
                  </w:r>
                </w:p>
              </w:tc>
              <w:tc>
                <w:tcPr>
                  <w:tcW w:w="785" w:type="pct"/>
                  <w:tcBorders>
                    <w:tl2br w:val="nil"/>
                    <w:tr2bl w:val="nil"/>
                  </w:tcBorders>
                  <w:noWrap w:val="0"/>
                  <w:vAlign w:val="center"/>
                </w:tcPr>
                <w:p w14:paraId="392248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FF"/>
                      <w:sz w:val="21"/>
                      <w:szCs w:val="21"/>
                      <w:highlight w:val="none"/>
                      <w:u w:val="single" w:color="auto"/>
                      <w:vertAlign w:val="baseline"/>
                      <w:lang w:val="en-US" w:eastAsia="zh-CN"/>
                    </w:rPr>
                  </w:pPr>
                  <w:r>
                    <w:rPr>
                      <w:rFonts w:hint="default" w:ascii="Times New Roman" w:hAnsi="Times New Roman" w:eastAsia="宋体" w:cs="Times New Roman"/>
                      <w:color w:val="0000FF"/>
                      <w:sz w:val="21"/>
                      <w:szCs w:val="21"/>
                      <w:highlight w:val="none"/>
                      <w:u w:val="single" w:color="auto"/>
                      <w:vertAlign w:val="baseline"/>
                      <w:lang w:val="en-US" w:eastAsia="zh-CN"/>
                    </w:rPr>
                    <w:t>12小时</w:t>
                  </w:r>
                </w:p>
              </w:tc>
              <w:tc>
                <w:tcPr>
                  <w:tcW w:w="1150" w:type="pct"/>
                  <w:vMerge w:val="continue"/>
                  <w:tcBorders>
                    <w:tl2br w:val="nil"/>
                    <w:tr2bl w:val="nil"/>
                  </w:tcBorders>
                  <w:noWrap w:val="0"/>
                  <w:vAlign w:val="center"/>
                </w:tcPr>
                <w:p w14:paraId="05B735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FF"/>
                      <w:sz w:val="21"/>
                      <w:szCs w:val="21"/>
                      <w:highlight w:val="none"/>
                      <w:u w:val="single" w:color="auto"/>
                      <w:vertAlign w:val="baseline"/>
                      <w:lang w:val="en-US" w:eastAsia="zh-CN"/>
                    </w:rPr>
                  </w:pPr>
                </w:p>
              </w:tc>
            </w:tr>
            <w:tr w14:paraId="0F78E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621" w:type="pct"/>
                  <w:vMerge w:val="continue"/>
                  <w:tcBorders>
                    <w:tl2br w:val="nil"/>
                    <w:tr2bl w:val="nil"/>
                  </w:tcBorders>
                  <w:noWrap w:val="0"/>
                  <w:vAlign w:val="center"/>
                </w:tcPr>
                <w:p w14:paraId="2CB6082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FF"/>
                      <w:sz w:val="21"/>
                      <w:szCs w:val="21"/>
                      <w:highlight w:val="none"/>
                      <w:u w:val="single" w:color="auto"/>
                      <w:vertAlign w:val="baseline"/>
                      <w:lang w:val="en-US" w:eastAsia="zh-CN"/>
                    </w:rPr>
                  </w:pPr>
                </w:p>
              </w:tc>
              <w:tc>
                <w:tcPr>
                  <w:tcW w:w="841" w:type="pct"/>
                  <w:vMerge w:val="continue"/>
                  <w:tcBorders>
                    <w:tl2br w:val="nil"/>
                    <w:tr2bl w:val="nil"/>
                  </w:tcBorders>
                  <w:noWrap w:val="0"/>
                  <w:vAlign w:val="center"/>
                </w:tcPr>
                <w:p w14:paraId="7AA62F7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highlight w:val="none"/>
                      <w:u w:val="single" w:color="auto"/>
                      <w:vertAlign w:val="baseline"/>
                      <w:lang w:val="en-US" w:eastAsia="zh-CN"/>
                    </w:rPr>
                  </w:pPr>
                </w:p>
              </w:tc>
              <w:tc>
                <w:tcPr>
                  <w:tcW w:w="1601" w:type="pct"/>
                  <w:tcBorders>
                    <w:tl2br w:val="nil"/>
                    <w:tr2bl w:val="nil"/>
                  </w:tcBorders>
                  <w:noWrap w:val="0"/>
                  <w:vAlign w:val="center"/>
                </w:tcPr>
                <w:p w14:paraId="14DC78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FF"/>
                      <w:sz w:val="21"/>
                      <w:szCs w:val="21"/>
                      <w:highlight w:val="none"/>
                      <w:u w:val="single" w:color="auto"/>
                      <w:vertAlign w:val="baseline"/>
                      <w:lang w:val="en-US" w:eastAsia="zh-CN"/>
                    </w:rPr>
                  </w:pPr>
                  <w:r>
                    <w:rPr>
                      <w:rFonts w:hint="default" w:ascii="Times New Roman" w:hAnsi="Times New Roman" w:eastAsia="宋体" w:cs="Times New Roman"/>
                      <w:color w:val="0000FF"/>
                      <w:sz w:val="21"/>
                      <w:szCs w:val="21"/>
                      <w:highlight w:val="none"/>
                      <w:u w:val="single" w:color="auto"/>
                      <w:vertAlign w:val="baseline"/>
                      <w:lang w:val="en-US" w:eastAsia="zh-CN"/>
                    </w:rPr>
                    <w:t>化学需氧量、悬浮物</w:t>
                  </w:r>
                </w:p>
              </w:tc>
              <w:tc>
                <w:tcPr>
                  <w:tcW w:w="785" w:type="pct"/>
                  <w:tcBorders>
                    <w:tl2br w:val="nil"/>
                    <w:tr2bl w:val="nil"/>
                  </w:tcBorders>
                  <w:noWrap w:val="0"/>
                  <w:vAlign w:val="center"/>
                </w:tcPr>
                <w:p w14:paraId="41763B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FF"/>
                      <w:sz w:val="21"/>
                      <w:szCs w:val="21"/>
                      <w:highlight w:val="none"/>
                      <w:u w:val="single" w:color="auto"/>
                      <w:vertAlign w:val="baseline"/>
                      <w:lang w:val="en-US" w:eastAsia="zh-CN"/>
                    </w:rPr>
                  </w:pPr>
                  <w:r>
                    <w:rPr>
                      <w:rFonts w:hint="default" w:ascii="Times New Roman" w:hAnsi="Times New Roman" w:eastAsia="宋体" w:cs="Times New Roman"/>
                      <w:color w:val="0000FF"/>
                      <w:sz w:val="21"/>
                      <w:szCs w:val="21"/>
                      <w:highlight w:val="none"/>
                      <w:u w:val="single" w:color="auto"/>
                      <w:vertAlign w:val="baseline"/>
                      <w:lang w:val="en-US" w:eastAsia="zh-CN"/>
                    </w:rPr>
                    <w:t>周</w:t>
                  </w:r>
                </w:p>
              </w:tc>
              <w:tc>
                <w:tcPr>
                  <w:tcW w:w="1150" w:type="pct"/>
                  <w:vMerge w:val="continue"/>
                  <w:tcBorders>
                    <w:tl2br w:val="nil"/>
                    <w:tr2bl w:val="nil"/>
                  </w:tcBorders>
                  <w:noWrap w:val="0"/>
                  <w:vAlign w:val="center"/>
                </w:tcPr>
                <w:p w14:paraId="5F33A2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FF"/>
                      <w:sz w:val="21"/>
                      <w:szCs w:val="21"/>
                      <w:highlight w:val="none"/>
                      <w:u w:val="single" w:color="auto"/>
                      <w:vertAlign w:val="baseline"/>
                      <w:lang w:val="en-US" w:eastAsia="zh-CN"/>
                    </w:rPr>
                  </w:pPr>
                </w:p>
              </w:tc>
            </w:tr>
            <w:tr w14:paraId="3DC1D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1" w:type="pct"/>
                  <w:vMerge w:val="continue"/>
                  <w:tcBorders>
                    <w:tl2br w:val="nil"/>
                    <w:tr2bl w:val="nil"/>
                  </w:tcBorders>
                  <w:noWrap w:val="0"/>
                  <w:vAlign w:val="center"/>
                </w:tcPr>
                <w:p w14:paraId="2D19215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FF"/>
                      <w:sz w:val="21"/>
                      <w:szCs w:val="21"/>
                      <w:highlight w:val="none"/>
                      <w:u w:val="single" w:color="auto"/>
                      <w:vertAlign w:val="baseline"/>
                      <w:lang w:val="en-US" w:eastAsia="zh-CN"/>
                    </w:rPr>
                  </w:pPr>
                </w:p>
              </w:tc>
              <w:tc>
                <w:tcPr>
                  <w:tcW w:w="841" w:type="pct"/>
                  <w:vMerge w:val="continue"/>
                  <w:tcBorders>
                    <w:tl2br w:val="nil"/>
                    <w:tr2bl w:val="nil"/>
                  </w:tcBorders>
                  <w:noWrap w:val="0"/>
                  <w:vAlign w:val="center"/>
                </w:tcPr>
                <w:p w14:paraId="5454D08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highlight w:val="none"/>
                      <w:u w:val="single" w:color="auto"/>
                      <w:vertAlign w:val="baseline"/>
                      <w:lang w:val="en-US" w:eastAsia="zh-CN"/>
                    </w:rPr>
                  </w:pPr>
                </w:p>
              </w:tc>
              <w:tc>
                <w:tcPr>
                  <w:tcW w:w="1601" w:type="pct"/>
                  <w:tcBorders>
                    <w:tl2br w:val="nil"/>
                    <w:tr2bl w:val="nil"/>
                  </w:tcBorders>
                  <w:noWrap w:val="0"/>
                  <w:vAlign w:val="center"/>
                </w:tcPr>
                <w:p w14:paraId="6EC730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FF"/>
                      <w:sz w:val="21"/>
                      <w:szCs w:val="21"/>
                      <w:highlight w:val="none"/>
                      <w:u w:val="single" w:color="auto"/>
                      <w:vertAlign w:val="baseline"/>
                      <w:lang w:val="en-US" w:eastAsia="zh-CN"/>
                    </w:rPr>
                  </w:pPr>
                  <w:r>
                    <w:rPr>
                      <w:rFonts w:hint="default" w:ascii="Times New Roman" w:hAnsi="Times New Roman" w:eastAsia="宋体" w:cs="Times New Roman"/>
                      <w:color w:val="0000FF"/>
                      <w:sz w:val="21"/>
                      <w:szCs w:val="21"/>
                      <w:highlight w:val="none"/>
                      <w:u w:val="single" w:color="auto"/>
                      <w:vertAlign w:val="baseline"/>
                      <w:lang w:val="en-US" w:eastAsia="zh-CN"/>
                    </w:rPr>
                    <w:t>粪大肠菌群数</w:t>
                  </w:r>
                </w:p>
              </w:tc>
              <w:tc>
                <w:tcPr>
                  <w:tcW w:w="785" w:type="pct"/>
                  <w:tcBorders>
                    <w:tl2br w:val="nil"/>
                    <w:tr2bl w:val="nil"/>
                  </w:tcBorders>
                  <w:noWrap w:val="0"/>
                  <w:vAlign w:val="center"/>
                </w:tcPr>
                <w:p w14:paraId="6E5557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FF"/>
                      <w:sz w:val="21"/>
                      <w:szCs w:val="21"/>
                      <w:highlight w:val="none"/>
                      <w:u w:val="single" w:color="auto"/>
                      <w:vertAlign w:val="baseline"/>
                      <w:lang w:val="en-US" w:eastAsia="zh-CN"/>
                    </w:rPr>
                  </w:pPr>
                  <w:r>
                    <w:rPr>
                      <w:rFonts w:hint="default" w:ascii="Times New Roman" w:hAnsi="Times New Roman" w:eastAsia="宋体" w:cs="Times New Roman"/>
                      <w:color w:val="0000FF"/>
                      <w:sz w:val="21"/>
                      <w:szCs w:val="21"/>
                      <w:highlight w:val="none"/>
                      <w:u w:val="single" w:color="auto"/>
                      <w:vertAlign w:val="baseline"/>
                      <w:lang w:val="en-US" w:eastAsia="zh-CN"/>
                    </w:rPr>
                    <w:t>月</w:t>
                  </w:r>
                </w:p>
              </w:tc>
              <w:tc>
                <w:tcPr>
                  <w:tcW w:w="1150" w:type="pct"/>
                  <w:vMerge w:val="continue"/>
                  <w:tcBorders>
                    <w:tl2br w:val="nil"/>
                    <w:tr2bl w:val="nil"/>
                  </w:tcBorders>
                  <w:noWrap w:val="0"/>
                  <w:vAlign w:val="center"/>
                </w:tcPr>
                <w:p w14:paraId="4C570C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FF"/>
                      <w:sz w:val="21"/>
                      <w:szCs w:val="21"/>
                      <w:highlight w:val="none"/>
                      <w:u w:val="single" w:color="auto"/>
                      <w:vertAlign w:val="baseline"/>
                      <w:lang w:val="en-US" w:eastAsia="zh-CN"/>
                    </w:rPr>
                  </w:pPr>
                </w:p>
              </w:tc>
            </w:tr>
            <w:tr w14:paraId="07CFB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1" w:type="pct"/>
                  <w:vMerge w:val="continue"/>
                  <w:tcBorders>
                    <w:tl2br w:val="nil"/>
                    <w:tr2bl w:val="nil"/>
                  </w:tcBorders>
                  <w:noWrap w:val="0"/>
                  <w:vAlign w:val="center"/>
                </w:tcPr>
                <w:p w14:paraId="0E5802E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FF"/>
                      <w:sz w:val="21"/>
                      <w:szCs w:val="21"/>
                      <w:highlight w:val="none"/>
                      <w:u w:val="single" w:color="auto"/>
                      <w:vertAlign w:val="baseline"/>
                      <w:lang w:val="en-US" w:eastAsia="zh-CN"/>
                    </w:rPr>
                  </w:pPr>
                </w:p>
              </w:tc>
              <w:tc>
                <w:tcPr>
                  <w:tcW w:w="841" w:type="pct"/>
                  <w:vMerge w:val="continue"/>
                  <w:tcBorders>
                    <w:tl2br w:val="nil"/>
                    <w:tr2bl w:val="nil"/>
                  </w:tcBorders>
                  <w:noWrap w:val="0"/>
                  <w:vAlign w:val="center"/>
                </w:tcPr>
                <w:p w14:paraId="5F0BCFA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highlight w:val="none"/>
                      <w:u w:val="single" w:color="auto"/>
                      <w:vertAlign w:val="baseline"/>
                      <w:lang w:val="en-US" w:eastAsia="zh-CN"/>
                    </w:rPr>
                  </w:pPr>
                </w:p>
              </w:tc>
              <w:tc>
                <w:tcPr>
                  <w:tcW w:w="1601" w:type="pct"/>
                  <w:tcBorders>
                    <w:tl2br w:val="nil"/>
                    <w:tr2bl w:val="nil"/>
                  </w:tcBorders>
                  <w:noWrap w:val="0"/>
                  <w:vAlign w:val="center"/>
                </w:tcPr>
                <w:p w14:paraId="2411AE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FF"/>
                      <w:sz w:val="21"/>
                      <w:szCs w:val="21"/>
                      <w:highlight w:val="none"/>
                      <w:u w:val="single" w:color="auto"/>
                      <w:vertAlign w:val="baseline"/>
                      <w:lang w:val="en-US" w:eastAsia="zh-CN"/>
                    </w:rPr>
                  </w:pPr>
                  <w:r>
                    <w:rPr>
                      <w:rFonts w:hint="default" w:ascii="Times New Roman" w:hAnsi="Times New Roman" w:eastAsia="宋体" w:cs="Times New Roman"/>
                      <w:color w:val="0000FF"/>
                      <w:sz w:val="21"/>
                      <w:szCs w:val="21"/>
                      <w:highlight w:val="none"/>
                      <w:u w:val="single" w:color="auto"/>
                      <w:vertAlign w:val="baseline"/>
                      <w:lang w:val="en-US" w:eastAsia="zh-CN"/>
                    </w:rPr>
                    <w:t>五日生化需氧量、</w:t>
                  </w:r>
                  <w:r>
                    <w:rPr>
                      <w:rFonts w:hint="eastAsia" w:cs="Times New Roman"/>
                      <w:color w:val="0000FF"/>
                      <w:sz w:val="21"/>
                      <w:szCs w:val="21"/>
                      <w:highlight w:val="none"/>
                      <w:u w:val="single" w:color="auto"/>
                      <w:vertAlign w:val="baseline"/>
                      <w:lang w:val="en-US" w:eastAsia="zh-CN"/>
                    </w:rPr>
                    <w:t>石油类、动植物油、</w:t>
                  </w:r>
                  <w:r>
                    <w:rPr>
                      <w:rFonts w:hint="default" w:ascii="Times New Roman" w:hAnsi="Times New Roman" w:eastAsia="宋体" w:cs="Times New Roman"/>
                      <w:color w:val="0000FF"/>
                      <w:sz w:val="21"/>
                      <w:szCs w:val="21"/>
                      <w:highlight w:val="none"/>
                      <w:u w:val="single" w:color="auto"/>
                      <w:vertAlign w:val="baseline"/>
                      <w:lang w:val="en-US" w:eastAsia="zh-CN"/>
                    </w:rPr>
                    <w:t>挥发酚、阴离子表面活性</w:t>
                  </w:r>
                  <w:r>
                    <w:rPr>
                      <w:rFonts w:hint="eastAsia" w:cs="Times New Roman"/>
                      <w:color w:val="0000FF"/>
                      <w:sz w:val="21"/>
                      <w:szCs w:val="21"/>
                      <w:highlight w:val="none"/>
                      <w:u w:val="single" w:color="auto"/>
                      <w:vertAlign w:val="baseline"/>
                      <w:lang w:val="en-US" w:eastAsia="zh-CN"/>
                    </w:rPr>
                    <w:t>、总氰化物、总余氯</w:t>
                  </w:r>
                </w:p>
              </w:tc>
              <w:tc>
                <w:tcPr>
                  <w:tcW w:w="785" w:type="pct"/>
                  <w:tcBorders>
                    <w:tl2br w:val="nil"/>
                    <w:tr2bl w:val="nil"/>
                  </w:tcBorders>
                  <w:noWrap w:val="0"/>
                  <w:vAlign w:val="center"/>
                </w:tcPr>
                <w:p w14:paraId="7173F7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FF"/>
                      <w:sz w:val="21"/>
                      <w:szCs w:val="21"/>
                      <w:highlight w:val="none"/>
                      <w:u w:val="single" w:color="auto"/>
                      <w:vertAlign w:val="baseline"/>
                      <w:lang w:val="en-US" w:eastAsia="zh-CN"/>
                    </w:rPr>
                  </w:pPr>
                  <w:r>
                    <w:rPr>
                      <w:rFonts w:hint="default" w:ascii="Times New Roman" w:hAnsi="Times New Roman" w:eastAsia="宋体" w:cs="Times New Roman"/>
                      <w:color w:val="0000FF"/>
                      <w:sz w:val="21"/>
                      <w:szCs w:val="21"/>
                      <w:highlight w:val="none"/>
                      <w:u w:val="single" w:color="auto"/>
                      <w:vertAlign w:val="baseline"/>
                      <w:lang w:val="en-US" w:eastAsia="zh-CN"/>
                    </w:rPr>
                    <w:t>季度</w:t>
                  </w:r>
                </w:p>
              </w:tc>
              <w:tc>
                <w:tcPr>
                  <w:tcW w:w="1150" w:type="pct"/>
                  <w:vMerge w:val="continue"/>
                  <w:tcBorders>
                    <w:tl2br w:val="nil"/>
                    <w:tr2bl w:val="nil"/>
                  </w:tcBorders>
                  <w:noWrap w:val="0"/>
                  <w:vAlign w:val="center"/>
                </w:tcPr>
                <w:p w14:paraId="62A1D8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FF"/>
                      <w:sz w:val="21"/>
                      <w:szCs w:val="21"/>
                      <w:highlight w:val="none"/>
                      <w:u w:val="single" w:color="auto"/>
                      <w:vertAlign w:val="baseline"/>
                      <w:lang w:val="en-US" w:eastAsia="zh-CN"/>
                    </w:rPr>
                  </w:pPr>
                </w:p>
              </w:tc>
            </w:tr>
            <w:tr w14:paraId="11EE3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1" w:type="pct"/>
                  <w:vMerge w:val="continue"/>
                  <w:tcBorders>
                    <w:tl2br w:val="nil"/>
                    <w:tr2bl w:val="nil"/>
                  </w:tcBorders>
                  <w:noWrap w:val="0"/>
                  <w:vAlign w:val="center"/>
                </w:tcPr>
                <w:p w14:paraId="44C503A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FF"/>
                      <w:sz w:val="21"/>
                      <w:szCs w:val="21"/>
                      <w:highlight w:val="none"/>
                      <w:u w:val="single" w:color="auto"/>
                      <w:vertAlign w:val="baseline"/>
                      <w:lang w:val="en-US" w:eastAsia="zh-CN"/>
                    </w:rPr>
                  </w:pPr>
                </w:p>
              </w:tc>
              <w:tc>
                <w:tcPr>
                  <w:tcW w:w="841" w:type="pct"/>
                  <w:tcBorders>
                    <w:tl2br w:val="nil"/>
                    <w:tr2bl w:val="nil"/>
                  </w:tcBorders>
                  <w:noWrap w:val="0"/>
                  <w:vAlign w:val="center"/>
                </w:tcPr>
                <w:p w14:paraId="260467C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highlight w:val="none"/>
                      <w:u w:val="single" w:color="auto"/>
                      <w:vertAlign w:val="baseline"/>
                      <w:lang w:val="en-US" w:eastAsia="zh-CN"/>
                    </w:rPr>
                  </w:pPr>
                  <w:r>
                    <w:rPr>
                      <w:rFonts w:hint="eastAsia" w:cs="Times New Roman"/>
                      <w:color w:val="0000FF"/>
                      <w:sz w:val="21"/>
                      <w:szCs w:val="21"/>
                      <w:highlight w:val="none"/>
                      <w:u w:val="single" w:color="auto"/>
                      <w:vertAlign w:val="baseline"/>
                      <w:lang w:val="en-US" w:eastAsia="zh-CN"/>
                    </w:rPr>
                    <w:t>接触池出口</w:t>
                  </w:r>
                </w:p>
              </w:tc>
              <w:tc>
                <w:tcPr>
                  <w:tcW w:w="1601" w:type="pct"/>
                  <w:tcBorders>
                    <w:tl2br w:val="nil"/>
                    <w:tr2bl w:val="nil"/>
                  </w:tcBorders>
                  <w:noWrap w:val="0"/>
                  <w:vAlign w:val="center"/>
                </w:tcPr>
                <w:p w14:paraId="6D6FEB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FF"/>
                      <w:sz w:val="21"/>
                      <w:szCs w:val="21"/>
                      <w:highlight w:val="none"/>
                      <w:u w:val="single" w:color="auto"/>
                      <w:vertAlign w:val="baseline"/>
                      <w:lang w:val="en-US" w:eastAsia="zh-CN"/>
                    </w:rPr>
                  </w:pPr>
                  <w:r>
                    <w:rPr>
                      <w:rFonts w:hint="eastAsia" w:cs="Times New Roman"/>
                      <w:color w:val="0000FF"/>
                      <w:sz w:val="21"/>
                      <w:szCs w:val="21"/>
                      <w:highlight w:val="none"/>
                      <w:u w:val="single" w:color="auto"/>
                      <w:vertAlign w:val="baseline"/>
                      <w:lang w:val="en-US" w:eastAsia="zh-CN"/>
                    </w:rPr>
                    <w:t>总余氯</w:t>
                  </w:r>
                </w:p>
              </w:tc>
              <w:tc>
                <w:tcPr>
                  <w:tcW w:w="785" w:type="pct"/>
                  <w:tcBorders>
                    <w:tl2br w:val="nil"/>
                    <w:tr2bl w:val="nil"/>
                  </w:tcBorders>
                  <w:noWrap w:val="0"/>
                  <w:vAlign w:val="center"/>
                </w:tcPr>
                <w:p w14:paraId="6C2248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FF"/>
                      <w:sz w:val="21"/>
                      <w:szCs w:val="21"/>
                      <w:highlight w:val="none"/>
                      <w:u w:val="single" w:color="auto"/>
                      <w:vertAlign w:val="baseline"/>
                      <w:lang w:val="en-US" w:eastAsia="zh-CN"/>
                    </w:rPr>
                  </w:pPr>
                  <w:r>
                    <w:rPr>
                      <w:rFonts w:hint="eastAsia" w:cs="Times New Roman"/>
                      <w:color w:val="0000FF"/>
                      <w:sz w:val="21"/>
                      <w:szCs w:val="21"/>
                      <w:highlight w:val="none"/>
                      <w:u w:val="single" w:color="auto"/>
                      <w:vertAlign w:val="baseline"/>
                      <w:lang w:val="en-US" w:eastAsia="zh-CN"/>
                    </w:rPr>
                    <w:t>12小时</w:t>
                  </w:r>
                </w:p>
              </w:tc>
              <w:tc>
                <w:tcPr>
                  <w:tcW w:w="1150" w:type="pct"/>
                  <w:vMerge w:val="continue"/>
                  <w:tcBorders>
                    <w:tl2br w:val="nil"/>
                    <w:tr2bl w:val="nil"/>
                  </w:tcBorders>
                  <w:noWrap w:val="0"/>
                  <w:vAlign w:val="center"/>
                </w:tcPr>
                <w:p w14:paraId="07ED64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FF"/>
                      <w:sz w:val="21"/>
                      <w:szCs w:val="21"/>
                      <w:highlight w:val="none"/>
                      <w:u w:val="single" w:color="auto"/>
                      <w:vertAlign w:val="baseline"/>
                      <w:lang w:val="en-US" w:eastAsia="zh-CN"/>
                    </w:rPr>
                  </w:pPr>
                </w:p>
              </w:tc>
            </w:tr>
          </w:tbl>
          <w:p w14:paraId="226B6972">
            <w:pPr>
              <w:pStyle w:val="109"/>
              <w:keepNext w:val="0"/>
              <w:keepLines w:val="0"/>
              <w:pageBreakBefore w:val="0"/>
              <w:widowControl w:val="0"/>
              <w:kinsoku/>
              <w:wordWrap/>
              <w:overflowPunct/>
              <w:topLinePunct w:val="0"/>
              <w:autoSpaceDE/>
              <w:autoSpaceDN/>
              <w:bidi w:val="0"/>
              <w:spacing w:line="360" w:lineRule="auto"/>
              <w:ind w:firstLine="482" w:firstLineChars="200"/>
              <w:jc w:val="left"/>
              <w:rPr>
                <w:rFonts w:hint="default" w:ascii="Times New Roman" w:hAnsi="Times New Roman" w:eastAsia="宋体" w:cs="Times New Roman"/>
                <w:b/>
                <w:bCs/>
                <w:i w:val="0"/>
                <w:iCs w:val="0"/>
                <w:caps w:val="0"/>
                <w:color w:val="auto"/>
                <w:spacing w:val="0"/>
                <w:sz w:val="24"/>
                <w:szCs w:val="24"/>
                <w:highlight w:val="none"/>
                <w:u w:val="none" w:color="auto"/>
                <w:shd w:val="clear" w:color="auto" w:fill="FFFFFF"/>
                <w:lang w:val="en-US" w:eastAsia="zh-CN"/>
              </w:rPr>
            </w:pPr>
            <w:r>
              <w:rPr>
                <w:rFonts w:hint="eastAsia" w:ascii="Times New Roman" w:hAnsi="Times New Roman" w:eastAsia="宋体" w:cs="Times New Roman"/>
                <w:b/>
                <w:bCs/>
                <w:i w:val="0"/>
                <w:iCs w:val="0"/>
                <w:caps w:val="0"/>
                <w:color w:val="auto"/>
                <w:spacing w:val="0"/>
                <w:sz w:val="24"/>
                <w:szCs w:val="24"/>
                <w:highlight w:val="none"/>
                <w:u w:val="none" w:color="auto"/>
                <w:shd w:val="clear" w:color="auto" w:fill="FFFFFF"/>
                <w:lang w:val="en-US" w:eastAsia="zh-CN"/>
              </w:rPr>
              <w:t>4.</w:t>
            </w:r>
            <w:r>
              <w:rPr>
                <w:rFonts w:hint="eastAsia" w:cs="Times New Roman"/>
                <w:b/>
                <w:bCs/>
                <w:i w:val="0"/>
                <w:iCs w:val="0"/>
                <w:caps w:val="0"/>
                <w:color w:val="auto"/>
                <w:spacing w:val="0"/>
                <w:sz w:val="24"/>
                <w:szCs w:val="24"/>
                <w:highlight w:val="none"/>
                <w:u w:val="none" w:color="auto"/>
                <w:shd w:val="clear" w:color="auto" w:fill="FFFFFF"/>
                <w:lang w:val="en-US" w:eastAsia="zh-CN"/>
              </w:rPr>
              <w:t>3</w:t>
            </w:r>
            <w:r>
              <w:rPr>
                <w:rFonts w:hint="eastAsia" w:ascii="Times New Roman" w:hAnsi="Times New Roman" w:eastAsia="宋体" w:cs="Times New Roman"/>
                <w:b/>
                <w:bCs/>
                <w:i w:val="0"/>
                <w:iCs w:val="0"/>
                <w:caps w:val="0"/>
                <w:color w:val="auto"/>
                <w:spacing w:val="0"/>
                <w:sz w:val="24"/>
                <w:szCs w:val="24"/>
                <w:highlight w:val="none"/>
                <w:u w:val="none" w:color="auto"/>
                <w:shd w:val="clear" w:color="auto" w:fill="FFFFFF"/>
                <w:lang w:val="en-US" w:eastAsia="zh-CN"/>
              </w:rPr>
              <w:t>.</w:t>
            </w:r>
            <w:r>
              <w:rPr>
                <w:rFonts w:hint="eastAsia" w:cs="Times New Roman"/>
                <w:b/>
                <w:bCs/>
                <w:i w:val="0"/>
                <w:iCs w:val="0"/>
                <w:caps w:val="0"/>
                <w:color w:val="auto"/>
                <w:spacing w:val="0"/>
                <w:sz w:val="24"/>
                <w:szCs w:val="24"/>
                <w:highlight w:val="none"/>
                <w:u w:val="none" w:color="auto"/>
                <w:shd w:val="clear" w:color="auto" w:fill="FFFFFF"/>
                <w:lang w:val="en-US" w:eastAsia="zh-CN"/>
              </w:rPr>
              <w:t>5</w:t>
            </w:r>
            <w:r>
              <w:rPr>
                <w:rFonts w:hint="default" w:ascii="Times New Roman" w:hAnsi="Times New Roman" w:eastAsia="宋体" w:cs="Times New Roman"/>
                <w:b/>
                <w:bCs/>
                <w:i w:val="0"/>
                <w:iCs w:val="0"/>
                <w:caps w:val="0"/>
                <w:color w:val="auto"/>
                <w:spacing w:val="0"/>
                <w:sz w:val="24"/>
                <w:szCs w:val="24"/>
                <w:highlight w:val="none"/>
                <w:u w:val="none" w:color="auto"/>
                <w:shd w:val="clear" w:color="auto" w:fill="FFFFFF"/>
                <w:lang w:val="en-US" w:eastAsia="zh-CN"/>
              </w:rPr>
              <w:t>水环境影响</w:t>
            </w:r>
            <w:r>
              <w:rPr>
                <w:rFonts w:hint="eastAsia" w:ascii="Times New Roman" w:hAnsi="Times New Roman" w:eastAsia="宋体" w:cs="Times New Roman"/>
                <w:b/>
                <w:bCs/>
                <w:i w:val="0"/>
                <w:iCs w:val="0"/>
                <w:caps w:val="0"/>
                <w:color w:val="auto"/>
                <w:spacing w:val="0"/>
                <w:sz w:val="24"/>
                <w:szCs w:val="24"/>
                <w:highlight w:val="none"/>
                <w:u w:val="none" w:color="auto"/>
                <w:shd w:val="clear" w:color="auto" w:fill="FFFFFF"/>
                <w:lang w:val="en-US" w:eastAsia="zh-CN"/>
              </w:rPr>
              <w:t>分析</w:t>
            </w:r>
            <w:r>
              <w:rPr>
                <w:rFonts w:hint="default" w:ascii="Times New Roman" w:hAnsi="Times New Roman" w:eastAsia="宋体" w:cs="Times New Roman"/>
                <w:b/>
                <w:bCs/>
                <w:i w:val="0"/>
                <w:iCs w:val="0"/>
                <w:caps w:val="0"/>
                <w:color w:val="auto"/>
                <w:spacing w:val="0"/>
                <w:sz w:val="24"/>
                <w:szCs w:val="24"/>
                <w:highlight w:val="none"/>
                <w:u w:val="none" w:color="auto"/>
                <w:shd w:val="clear" w:color="auto" w:fill="FFFFFF"/>
                <w:lang w:val="en-US" w:eastAsia="zh-CN"/>
              </w:rPr>
              <w:t>结论</w:t>
            </w:r>
          </w:p>
          <w:p w14:paraId="2A5934EA">
            <w:pPr>
              <w:pStyle w:val="106"/>
              <w:keepNext w:val="0"/>
              <w:keepLines w:val="0"/>
              <w:pageBreakBefore w:val="0"/>
              <w:widowControl w:val="0"/>
              <w:kinsoku/>
              <w:wordWrap/>
              <w:overflowPunct/>
              <w:topLinePunct w:val="0"/>
              <w:autoSpaceDE/>
              <w:autoSpaceDN/>
              <w:bidi w:val="0"/>
              <w:adjustRightInd/>
              <w:snapToGrid/>
              <w:jc w:val="both"/>
              <w:textAlignment w:val="auto"/>
              <w:rPr>
                <w:rFonts w:hint="eastAsia"/>
                <w:color w:val="auto"/>
                <w:highlight w:val="none"/>
                <w:u w:val="none" w:color="auto"/>
                <w:lang w:eastAsia="zh-CN"/>
              </w:rPr>
            </w:pPr>
            <w:r>
              <w:rPr>
                <w:rFonts w:ascii="Times New Roman" w:hAnsi="Times New Roman" w:cs="Times New Roman"/>
                <w:color w:val="auto"/>
                <w:highlight w:val="none"/>
                <w:u w:val="none" w:color="auto"/>
              </w:rPr>
              <w:t>项目污水处理工艺采用的是《医院污水处理工程技术规范》（HJ2029-2013）推荐的非传染病医院污水</w:t>
            </w:r>
            <w:r>
              <w:rPr>
                <w:rFonts w:hint="eastAsia" w:ascii="Times New Roman" w:cs="Times New Roman"/>
                <w:color w:val="auto"/>
                <w:highlight w:val="none"/>
                <w:u w:val="none" w:color="auto"/>
                <w:lang w:eastAsia="zh-CN"/>
              </w:rPr>
              <w:t>一级强化</w:t>
            </w:r>
            <w:r>
              <w:rPr>
                <w:rFonts w:hint="eastAsia" w:ascii="Times New Roman" w:cs="Times New Roman"/>
                <w:color w:val="auto"/>
                <w:highlight w:val="none"/>
                <w:u w:val="none" w:color="auto"/>
                <w:lang w:val="en-US" w:eastAsia="zh-CN"/>
              </w:rPr>
              <w:t>+消毒</w:t>
            </w:r>
            <w:r>
              <w:rPr>
                <w:rFonts w:ascii="Times New Roman" w:hAnsi="Times New Roman" w:cs="Times New Roman"/>
                <w:color w:val="auto"/>
                <w:highlight w:val="none"/>
                <w:u w:val="none" w:color="auto"/>
              </w:rPr>
              <w:t>工艺，</w:t>
            </w:r>
            <w:r>
              <w:rPr>
                <w:rFonts w:hint="eastAsia" w:ascii="Times New Roman" w:cs="Times New Roman"/>
                <w:color w:val="auto"/>
                <w:highlight w:val="none"/>
                <w:u w:val="none" w:color="auto"/>
                <w:lang w:eastAsia="zh-CN"/>
              </w:rPr>
              <w:t>根据《</w:t>
            </w:r>
            <w:r>
              <w:rPr>
                <w:rFonts w:hint="eastAsia" w:ascii="Times New Roman" w:hAnsi="Times New Roman" w:cs="Times New Roman"/>
                <w:color w:val="auto"/>
                <w:highlight w:val="none"/>
                <w:u w:val="none" w:color="auto"/>
              </w:rPr>
              <w:t>排污许可证申请与核发技术规范-医疗机构（HJ1105-2020）》中表A.2医疗机构排污单位污水治理可行技术参照表，本项目污水处理工艺</w:t>
            </w:r>
            <w:r>
              <w:rPr>
                <w:rFonts w:hint="eastAsia" w:ascii="Times New Roman" w:cs="Times New Roman"/>
                <w:color w:val="auto"/>
                <w:highlight w:val="none"/>
                <w:u w:val="none" w:color="auto"/>
                <w:lang w:eastAsia="zh-CN"/>
              </w:rPr>
              <w:t>为</w:t>
            </w:r>
            <w:r>
              <w:rPr>
                <w:rFonts w:hint="eastAsia" w:ascii="Times New Roman" w:hAnsi="Times New Roman" w:cs="Times New Roman"/>
                <w:color w:val="auto"/>
                <w:highlight w:val="none"/>
                <w:u w:val="none" w:color="auto"/>
              </w:rPr>
              <w:t>可行技术，</w:t>
            </w:r>
            <w:r>
              <w:rPr>
                <w:rFonts w:ascii="Times New Roman" w:hAnsi="Times New Roman" w:cs="Times New Roman"/>
                <w:color w:val="auto"/>
                <w:highlight w:val="none"/>
                <w:u w:val="none" w:color="auto"/>
              </w:rPr>
              <w:t>处理能力满足水量需求，污水经以上措施处理后，</w:t>
            </w:r>
            <w:r>
              <w:rPr>
                <w:rFonts w:hint="eastAsia" w:ascii="Times New Roman" w:hAnsi="Times New Roman" w:cs="Times New Roman"/>
                <w:color w:val="auto"/>
                <w:highlight w:val="none"/>
                <w:u w:val="none" w:color="auto"/>
              </w:rPr>
              <w:t>本</w:t>
            </w:r>
            <w:r>
              <w:rPr>
                <w:rFonts w:ascii="Times New Roman" w:hAnsi="Times New Roman" w:cs="Times New Roman"/>
                <w:color w:val="auto"/>
                <w:highlight w:val="none"/>
                <w:u w:val="none" w:color="auto"/>
              </w:rPr>
              <w:t>项目出水是可以稳定达到《医疗机构水污染物排放标准》（GB18466-2005）表2综合医疗机构和其他医疗机构水污染物</w:t>
            </w:r>
            <w:r>
              <w:rPr>
                <w:rFonts w:hint="eastAsia" w:ascii="Times New Roman" w:cs="Times New Roman"/>
                <w:color w:val="auto"/>
                <w:highlight w:val="none"/>
                <w:u w:val="none" w:color="auto"/>
                <w:lang w:eastAsia="zh-CN"/>
              </w:rPr>
              <w:t>排放</w:t>
            </w:r>
            <w:r>
              <w:rPr>
                <w:rFonts w:ascii="Times New Roman" w:hAnsi="Times New Roman" w:cs="Times New Roman"/>
                <w:color w:val="auto"/>
                <w:highlight w:val="none"/>
                <w:u w:val="none" w:color="auto"/>
              </w:rPr>
              <w:t>标准限值</w:t>
            </w:r>
            <w:r>
              <w:rPr>
                <w:rFonts w:hint="eastAsia" w:ascii="Times New Roman" w:hAnsi="Times New Roman" w:cs="Times New Roman"/>
                <w:color w:val="auto"/>
                <w:highlight w:val="none"/>
                <w:u w:val="none" w:color="auto"/>
                <w:lang w:val="en-US" w:eastAsia="zh-CN"/>
              </w:rPr>
              <w:t>中排放标准</w:t>
            </w:r>
            <w:r>
              <w:rPr>
                <w:rFonts w:ascii="Times New Roman" w:hAnsi="Times New Roman" w:cs="Times New Roman"/>
                <w:color w:val="auto"/>
                <w:highlight w:val="none"/>
                <w:u w:val="none" w:color="auto"/>
              </w:rPr>
              <w:t>，处理措施是可行的。</w:t>
            </w:r>
          </w:p>
          <w:p w14:paraId="3ECB0602">
            <w:pPr>
              <w:keepNext w:val="0"/>
              <w:keepLines w:val="0"/>
              <w:widowControl/>
              <w:suppressLineNumbers w:val="0"/>
              <w:spacing w:line="360" w:lineRule="auto"/>
              <w:ind w:firstLine="480" w:firstLineChars="200"/>
              <w:jc w:val="left"/>
              <w:rPr>
                <w:rFonts w:ascii="宋体" w:hAnsi="宋体" w:eastAsia="宋体" w:cs="宋体"/>
                <w:color w:val="auto"/>
                <w:kern w:val="0"/>
                <w:sz w:val="24"/>
                <w:szCs w:val="24"/>
                <w:highlight w:val="none"/>
                <w:u w:val="none" w:color="auto"/>
                <w:lang w:val="en-US" w:eastAsia="zh-CN" w:bidi="ar"/>
              </w:rPr>
            </w:pPr>
            <w:r>
              <w:rPr>
                <w:rFonts w:hint="eastAsia"/>
                <w:color w:val="auto"/>
                <w:highlight w:val="none"/>
                <w:u w:val="none" w:color="auto"/>
                <w:lang w:eastAsia="zh-CN"/>
              </w:rPr>
              <w:t>综上所述，本项目运营期间，不会对项目及周边地表水环境造成影响。</w:t>
            </w:r>
          </w:p>
          <w:p w14:paraId="08A8EA2F">
            <w:pPr>
              <w:pStyle w:val="54"/>
              <w:widowControl w:val="0"/>
              <w:ind w:firstLine="482"/>
              <w:rPr>
                <w:rFonts w:cs="宋体"/>
                <w:b/>
                <w:color w:val="auto"/>
                <w:highlight w:val="none"/>
                <w:u w:val="none" w:color="auto"/>
                <w:lang w:bidi="ar"/>
              </w:rPr>
            </w:pPr>
            <w:r>
              <w:rPr>
                <w:rFonts w:hint="eastAsia" w:cs="宋体"/>
                <w:b/>
                <w:color w:val="auto"/>
                <w:highlight w:val="none"/>
                <w:u w:val="none" w:color="auto"/>
                <w:lang w:bidi="ar"/>
              </w:rPr>
              <w:t>4</w:t>
            </w:r>
            <w:r>
              <w:rPr>
                <w:rFonts w:cs="宋体"/>
                <w:b/>
                <w:color w:val="auto"/>
                <w:highlight w:val="none"/>
                <w:u w:val="none" w:color="auto"/>
                <w:lang w:bidi="ar"/>
              </w:rPr>
              <w:t>.</w:t>
            </w:r>
            <w:r>
              <w:rPr>
                <w:rFonts w:hint="eastAsia" w:cs="宋体"/>
                <w:b/>
                <w:color w:val="auto"/>
                <w:highlight w:val="none"/>
                <w:u w:val="none" w:color="auto"/>
                <w:lang w:val="en-US" w:eastAsia="zh-CN" w:bidi="ar"/>
              </w:rPr>
              <w:t>4</w:t>
            </w:r>
            <w:r>
              <w:rPr>
                <w:rFonts w:hint="eastAsia" w:cs="宋体"/>
                <w:b/>
                <w:color w:val="auto"/>
                <w:highlight w:val="none"/>
                <w:u w:val="none" w:color="auto"/>
                <w:lang w:bidi="ar"/>
              </w:rPr>
              <w:t>运营期</w:t>
            </w:r>
            <w:r>
              <w:rPr>
                <w:rFonts w:hint="eastAsia" w:cs="宋体"/>
                <w:b/>
                <w:color w:val="auto"/>
                <w:highlight w:val="none"/>
                <w:u w:val="none" w:color="auto"/>
                <w:lang w:val="en-US" w:eastAsia="zh-CN" w:bidi="ar"/>
              </w:rPr>
              <w:t>噪声</w:t>
            </w:r>
            <w:r>
              <w:rPr>
                <w:rFonts w:hint="eastAsia" w:cs="宋体"/>
                <w:b/>
                <w:color w:val="auto"/>
                <w:highlight w:val="none"/>
                <w:u w:val="none" w:color="auto"/>
                <w:lang w:bidi="ar"/>
              </w:rPr>
              <w:t>影响和保护措施</w:t>
            </w:r>
          </w:p>
          <w:p w14:paraId="18A5D0FC">
            <w:pPr>
              <w:pStyle w:val="54"/>
              <w:widowControl w:val="0"/>
              <w:ind w:firstLine="482"/>
              <w:rPr>
                <w:rFonts w:cs="宋体"/>
                <w:b/>
                <w:color w:val="auto"/>
                <w:highlight w:val="none"/>
                <w:u w:val="none" w:color="auto"/>
                <w:lang w:bidi="ar"/>
              </w:rPr>
            </w:pPr>
            <w:r>
              <w:rPr>
                <w:rFonts w:hint="eastAsia" w:cs="宋体"/>
                <w:b/>
                <w:color w:val="auto"/>
                <w:highlight w:val="none"/>
                <w:u w:val="none" w:color="auto"/>
                <w:lang w:val="en-US" w:eastAsia="zh-CN" w:bidi="ar"/>
              </w:rPr>
              <w:t>4.4.1噪声</w:t>
            </w:r>
            <w:r>
              <w:rPr>
                <w:rFonts w:hint="eastAsia" w:cs="宋体"/>
                <w:b/>
                <w:color w:val="auto"/>
                <w:highlight w:val="none"/>
                <w:u w:val="none" w:color="auto"/>
                <w:lang w:bidi="ar"/>
              </w:rPr>
              <w:t>污染源强分析</w:t>
            </w:r>
          </w:p>
          <w:p w14:paraId="53727255">
            <w:pPr>
              <w:spacing w:line="360" w:lineRule="auto"/>
              <w:ind w:firstLine="480" w:firstLineChars="200"/>
              <w:jc w:val="both"/>
              <w:rPr>
                <w:color w:val="auto"/>
                <w:sz w:val="24"/>
                <w:highlight w:val="none"/>
                <w:u w:val="none" w:color="auto"/>
              </w:rPr>
            </w:pPr>
            <w:r>
              <w:rPr>
                <w:color w:val="auto"/>
                <w:sz w:val="24"/>
                <w:highlight w:val="none"/>
                <w:u w:val="none" w:color="auto"/>
              </w:rPr>
              <w:t>本项目运营期噪声主要为设备运行噪声。设备噪声主要为污水处理站噪声及</w:t>
            </w:r>
            <w:r>
              <w:rPr>
                <w:rFonts w:hint="eastAsia"/>
                <w:color w:val="auto"/>
                <w:sz w:val="24"/>
                <w:highlight w:val="none"/>
                <w:u w:val="none" w:color="auto"/>
                <w:lang w:eastAsia="zh-CN"/>
              </w:rPr>
              <w:t>中央</w:t>
            </w:r>
            <w:r>
              <w:rPr>
                <w:color w:val="auto"/>
                <w:sz w:val="24"/>
                <w:highlight w:val="none"/>
                <w:u w:val="none" w:color="auto"/>
              </w:rPr>
              <w:t>空调运行噪声。</w:t>
            </w:r>
            <w:r>
              <w:rPr>
                <w:rFonts w:hint="eastAsia"/>
                <w:color w:val="auto"/>
                <w:sz w:val="24"/>
                <w:highlight w:val="none"/>
                <w:u w:val="none" w:color="auto"/>
                <w:lang w:eastAsia="zh-CN"/>
              </w:rPr>
              <w:t>主要</w:t>
            </w:r>
            <w:r>
              <w:rPr>
                <w:color w:val="auto"/>
                <w:sz w:val="24"/>
                <w:highlight w:val="none"/>
                <w:u w:val="none" w:color="auto"/>
              </w:rPr>
              <w:t>噪声源强及降噪措施详见下表。</w:t>
            </w:r>
          </w:p>
          <w:p w14:paraId="461628EB">
            <w:pPr>
              <w:jc w:val="center"/>
              <w:rPr>
                <w:rFonts w:hint="eastAsia"/>
                <w:b/>
                <w:bCs/>
                <w:color w:val="auto"/>
                <w:sz w:val="21"/>
                <w:szCs w:val="21"/>
                <w:highlight w:val="none"/>
                <w:u w:val="none" w:color="auto"/>
                <w:lang w:eastAsia="zh-CN"/>
              </w:rPr>
            </w:pPr>
            <w:r>
              <w:rPr>
                <w:b/>
                <w:bCs/>
                <w:color w:val="auto"/>
                <w:sz w:val="21"/>
                <w:szCs w:val="21"/>
                <w:highlight w:val="none"/>
                <w:u w:val="none" w:color="auto"/>
              </w:rPr>
              <w:t>表4-</w:t>
            </w:r>
            <w:r>
              <w:rPr>
                <w:rFonts w:hint="eastAsia"/>
                <w:b/>
                <w:bCs/>
                <w:color w:val="auto"/>
                <w:sz w:val="21"/>
                <w:szCs w:val="21"/>
                <w:highlight w:val="none"/>
                <w:u w:val="none" w:color="auto"/>
                <w:lang w:val="en-US" w:eastAsia="zh-CN"/>
              </w:rPr>
              <w:t xml:space="preserve">8 </w:t>
            </w:r>
            <w:r>
              <w:rPr>
                <w:b/>
                <w:bCs/>
                <w:color w:val="auto"/>
                <w:sz w:val="21"/>
                <w:szCs w:val="21"/>
                <w:highlight w:val="none"/>
                <w:u w:val="none" w:color="auto"/>
              </w:rPr>
              <w:t xml:space="preserve">  运营期噪声源强一览表  </w:t>
            </w:r>
            <w:r>
              <w:rPr>
                <w:rFonts w:hint="eastAsia"/>
                <w:b/>
                <w:bCs/>
                <w:color w:val="auto"/>
                <w:sz w:val="21"/>
                <w:szCs w:val="21"/>
                <w:highlight w:val="none"/>
                <w:u w:val="none" w:color="auto"/>
                <w:lang w:val="en-US" w:eastAsia="zh-CN"/>
              </w:rPr>
              <w:t xml:space="preserve"> </w:t>
            </w:r>
            <w:r>
              <w:rPr>
                <w:b/>
                <w:bCs/>
                <w:color w:val="auto"/>
                <w:sz w:val="21"/>
                <w:szCs w:val="21"/>
                <w:highlight w:val="none"/>
                <w:u w:val="none" w:color="auto"/>
              </w:rPr>
              <w:t>单位：dB</w:t>
            </w:r>
            <w:r>
              <w:rPr>
                <w:rFonts w:hint="eastAsia"/>
                <w:b/>
                <w:bCs/>
                <w:color w:val="auto"/>
                <w:sz w:val="21"/>
                <w:szCs w:val="21"/>
                <w:highlight w:val="none"/>
                <w:u w:val="none" w:color="auto"/>
                <w:lang w:eastAsia="zh-CN"/>
              </w:rPr>
              <w:t>（</w:t>
            </w:r>
            <w:r>
              <w:rPr>
                <w:b/>
                <w:bCs/>
                <w:color w:val="auto"/>
                <w:sz w:val="21"/>
                <w:szCs w:val="21"/>
                <w:highlight w:val="none"/>
                <w:u w:val="none" w:color="auto"/>
              </w:rPr>
              <w:t>A</w:t>
            </w:r>
            <w:r>
              <w:rPr>
                <w:rFonts w:hint="eastAsia"/>
                <w:b/>
                <w:bCs/>
                <w:color w:val="auto"/>
                <w:sz w:val="21"/>
                <w:szCs w:val="21"/>
                <w:highlight w:val="none"/>
                <w:u w:val="none" w:color="auto"/>
                <w:lang w:eastAsia="zh-CN"/>
              </w:rPr>
              <w:t>）</w:t>
            </w:r>
          </w:p>
          <w:p w14:paraId="69BC2DE0">
            <w:pPr>
              <w:jc w:val="center"/>
              <w:rPr>
                <w:rFonts w:hint="eastAsia"/>
                <w:b/>
                <w:bCs/>
                <w:color w:val="auto"/>
                <w:sz w:val="21"/>
                <w:szCs w:val="21"/>
                <w:highlight w:val="none"/>
                <w:u w:val="none" w:color="auto"/>
                <w:lang w:eastAsia="zh-CN"/>
              </w:rPr>
            </w:pPr>
            <w:r>
              <w:rPr>
                <w:rFonts w:hint="eastAsia"/>
                <w:b/>
                <w:bCs/>
                <w:color w:val="auto"/>
                <w:sz w:val="21"/>
                <w:szCs w:val="21"/>
                <w:highlight w:val="none"/>
                <w:u w:val="none" w:color="auto"/>
                <w:lang w:eastAsia="zh-CN"/>
              </w:rPr>
              <w:t>略</w:t>
            </w:r>
          </w:p>
          <w:p w14:paraId="0E775ABF">
            <w:pPr>
              <w:pStyle w:val="123"/>
              <w:rPr>
                <w:rFonts w:hint="eastAsia"/>
              </w:rPr>
            </w:pPr>
            <w:r>
              <w:rPr>
                <w:rFonts w:hint="eastAsia"/>
              </w:rPr>
              <w:t xml:space="preserve">表 </w:t>
            </w:r>
            <w:r>
              <w:rPr>
                <w:rFonts w:hint="eastAsia"/>
                <w:lang w:val="en-US" w:eastAsia="zh-CN"/>
              </w:rPr>
              <w:t>4-9</w:t>
            </w:r>
            <w:r>
              <w:rPr>
                <w:rFonts w:hint="eastAsia"/>
                <w:u w:val="none"/>
                <w:lang w:val="en-US" w:eastAsia="zh-CN"/>
              </w:rPr>
              <w:t xml:space="preserve">  </w:t>
            </w:r>
            <w:r>
              <w:rPr>
                <w:rFonts w:hint="eastAsia"/>
                <w:lang w:bidi="ar"/>
              </w:rPr>
              <w:t>环境</w:t>
            </w:r>
            <w:r>
              <w:rPr>
                <w:rFonts w:hint="eastAsia"/>
              </w:rPr>
              <w:t>噪声源强调查清单（室内声源）</w:t>
            </w:r>
          </w:p>
          <w:p w14:paraId="4421C85D">
            <w:pPr>
              <w:jc w:val="center"/>
              <w:rPr>
                <w:rFonts w:hint="eastAsia" w:eastAsia="宋体"/>
                <w:lang w:eastAsia="zh-CN"/>
              </w:rPr>
            </w:pPr>
            <w:r>
              <w:rPr>
                <w:rFonts w:hint="eastAsia"/>
                <w:lang w:eastAsia="zh-CN"/>
              </w:rPr>
              <w:t>略</w:t>
            </w:r>
          </w:p>
          <w:p w14:paraId="429493BF">
            <w:pPr>
              <w:pStyle w:val="123"/>
              <w:rPr>
                <w:rFonts w:hint="eastAsia"/>
              </w:rPr>
            </w:pPr>
            <w:r>
              <w:rPr>
                <w:rFonts w:hint="eastAsia"/>
              </w:rPr>
              <w:t xml:space="preserve">表 </w:t>
            </w:r>
            <w:r>
              <w:rPr>
                <w:rFonts w:hint="eastAsia"/>
                <w:lang w:val="en-US" w:eastAsia="zh-CN"/>
              </w:rPr>
              <w:t>4-10</w:t>
            </w:r>
            <w:r>
              <w:rPr>
                <w:rFonts w:hint="eastAsia"/>
                <w:lang w:bidi="ar"/>
              </w:rPr>
              <w:t>环境</w:t>
            </w:r>
            <w:r>
              <w:rPr>
                <w:rFonts w:hint="eastAsia"/>
              </w:rPr>
              <w:t>噪声源强调查清单（室</w:t>
            </w:r>
            <w:r>
              <w:rPr>
                <w:rFonts w:hint="eastAsia"/>
                <w:lang w:eastAsia="zh-CN"/>
              </w:rPr>
              <w:t>外</w:t>
            </w:r>
            <w:r>
              <w:rPr>
                <w:rFonts w:hint="eastAsia"/>
              </w:rPr>
              <w:t>声源）</w:t>
            </w:r>
          </w:p>
          <w:p w14:paraId="38881030">
            <w:pPr>
              <w:jc w:val="center"/>
              <w:rPr>
                <w:rFonts w:hint="eastAsia" w:eastAsia="宋体"/>
                <w:lang w:eastAsia="zh-CN"/>
              </w:rPr>
            </w:pPr>
            <w:r>
              <w:rPr>
                <w:rFonts w:hint="eastAsia"/>
                <w:lang w:eastAsia="zh-CN"/>
              </w:rPr>
              <w:t>略</w:t>
            </w:r>
          </w:p>
          <w:p w14:paraId="2713E9E7">
            <w:pPr>
              <w:keepNext w:val="0"/>
              <w:keepLines w:val="0"/>
              <w:pageBreakBefore w:val="0"/>
              <w:kinsoku/>
              <w:wordWrap/>
              <w:overflowPunct/>
              <w:topLinePunct w:val="0"/>
              <w:autoSpaceDE/>
              <w:autoSpaceDN/>
              <w:bidi w:val="0"/>
              <w:adjustRightInd/>
              <w:snapToGrid/>
              <w:spacing w:beforeLines="0" w:afterLines="0" w:line="360" w:lineRule="auto"/>
              <w:ind w:firstLine="480"/>
              <w:jc w:val="both"/>
              <w:textAlignment w:val="auto"/>
              <w:rPr>
                <w:rFonts w:hint="default" w:ascii="Times New Roman" w:hAnsi="Times New Roman" w:eastAsia="宋体" w:cs="Times New Roman"/>
                <w:color w:val="auto"/>
                <w:sz w:val="24"/>
                <w:szCs w:val="24"/>
                <w:u w:val="none"/>
                <w:lang w:val="en-US"/>
              </w:rPr>
            </w:pPr>
            <w:r>
              <w:rPr>
                <w:rFonts w:hint="default" w:ascii="Times New Roman" w:hAnsi="Times New Roman" w:eastAsia="宋体" w:cs="Times New Roman"/>
                <w:color w:val="auto"/>
                <w:sz w:val="24"/>
                <w:szCs w:val="24"/>
                <w:u w:val="none"/>
                <w:lang w:eastAsia="zh-CN"/>
              </w:rPr>
              <w:t>通过预测模型计算，项目厂界噪声预测结果与达标分析见表</w:t>
            </w:r>
            <w:r>
              <w:rPr>
                <w:rFonts w:hint="eastAsia" w:ascii="Times New Roman" w:hAnsi="Times New Roman" w:eastAsia="宋体" w:cs="Times New Roman"/>
                <w:color w:val="auto"/>
                <w:sz w:val="24"/>
                <w:szCs w:val="24"/>
                <w:u w:val="none"/>
                <w:lang w:val="en-US" w:eastAsia="zh-CN"/>
              </w:rPr>
              <w:t>4</w:t>
            </w:r>
            <w:r>
              <w:rPr>
                <w:rFonts w:hint="eastAsia" w:cs="Times New Roman"/>
                <w:color w:val="auto"/>
                <w:sz w:val="24"/>
                <w:szCs w:val="24"/>
                <w:u w:val="none"/>
                <w:lang w:val="en-US" w:eastAsia="zh-CN"/>
              </w:rPr>
              <w:t>-11</w:t>
            </w:r>
            <w:r>
              <w:rPr>
                <w:rFonts w:hint="default" w:ascii="Times New Roman" w:hAnsi="Times New Roman" w:eastAsia="宋体" w:cs="Times New Roman"/>
                <w:color w:val="auto"/>
                <w:sz w:val="24"/>
                <w:szCs w:val="24"/>
                <w:u w:val="none"/>
                <w:lang w:eastAsia="zh-CN"/>
              </w:rPr>
              <w:t>，声环境保护目标噪声预测结果与达标分析见表</w:t>
            </w:r>
            <w:r>
              <w:rPr>
                <w:rFonts w:hint="eastAsia" w:ascii="Times New Roman" w:hAnsi="Times New Roman" w:eastAsia="宋体" w:cs="Times New Roman"/>
                <w:color w:val="auto"/>
                <w:sz w:val="24"/>
                <w:szCs w:val="24"/>
                <w:u w:val="none"/>
                <w:lang w:val="en-US" w:eastAsia="zh-CN"/>
              </w:rPr>
              <w:t>4</w:t>
            </w:r>
            <w:r>
              <w:rPr>
                <w:rFonts w:hint="eastAsia" w:cs="Times New Roman"/>
                <w:color w:val="auto"/>
                <w:sz w:val="24"/>
                <w:szCs w:val="24"/>
                <w:u w:val="none"/>
                <w:lang w:val="en-US" w:eastAsia="zh-CN"/>
              </w:rPr>
              <w:t>-12</w:t>
            </w:r>
          </w:p>
          <w:p w14:paraId="11ECCA2A">
            <w:pPr>
              <w:adjustRightInd w:val="0"/>
              <w:snapToGrid w:val="0"/>
              <w:jc w:val="center"/>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lang w:eastAsia="zh-CN"/>
              </w:rPr>
              <w:t>表</w:t>
            </w:r>
            <w:r>
              <w:rPr>
                <w:rFonts w:hint="default" w:ascii="Times New Roman" w:hAnsi="Times New Roman" w:eastAsia="宋体" w:cs="Times New Roman"/>
                <w:b/>
                <w:sz w:val="21"/>
                <w:szCs w:val="21"/>
                <w:lang w:val="en-US" w:eastAsia="zh-CN"/>
              </w:rPr>
              <w:t>4</w:t>
            </w:r>
            <w:r>
              <w:rPr>
                <w:rFonts w:hint="eastAsia" w:cs="Times New Roman"/>
                <w:b/>
                <w:sz w:val="21"/>
                <w:szCs w:val="21"/>
                <w:lang w:val="en-US" w:eastAsia="zh-CN"/>
              </w:rPr>
              <w:t>-11</w:t>
            </w:r>
            <w:r>
              <w:rPr>
                <w:rFonts w:hint="default" w:ascii="Times New Roman" w:hAnsi="Times New Roman" w:eastAsia="宋体" w:cs="Times New Roman"/>
                <w:b/>
                <w:sz w:val="21"/>
                <w:szCs w:val="21"/>
                <w:lang w:eastAsia="zh-CN"/>
              </w:rPr>
              <w:t xml:space="preserve"> 厂界噪声预测结果与达标分析表</w:t>
            </w:r>
          </w:p>
          <w:p w14:paraId="3B1B46AE">
            <w:pPr>
              <w:jc w:val="center"/>
              <w:rPr>
                <w:rFonts w:hint="eastAsia" w:eastAsia="宋体"/>
                <w:lang w:eastAsia="zh-CN"/>
              </w:rPr>
            </w:pPr>
            <w:r>
              <w:rPr>
                <w:rFonts w:hint="eastAsia"/>
                <w:lang w:eastAsia="zh-CN"/>
              </w:rPr>
              <w:t>略</w:t>
            </w:r>
          </w:p>
          <w:p w14:paraId="7520A612">
            <w:pPr>
              <w:keepNext w:val="0"/>
              <w:keepLines w:val="0"/>
              <w:widowControl/>
              <w:suppressLineNumbers w:val="0"/>
              <w:ind w:firstLine="480" w:firstLineChars="200"/>
              <w:jc w:val="left"/>
              <w:rPr>
                <w:rFonts w:hint="default" w:ascii="Times New Roman" w:hAnsi="Times New Roman" w:eastAsia="宋体" w:cs="Times New Roman"/>
                <w:kern w:val="0"/>
                <w:sz w:val="24"/>
                <w:szCs w:val="24"/>
                <w:highlight w:val="none"/>
              </w:rPr>
            </w:pPr>
          </w:p>
          <w:p w14:paraId="51D79AE5">
            <w:pPr>
              <w:keepNext w:val="0"/>
              <w:keepLines w:val="0"/>
              <w:widowControl/>
              <w:suppressLineNumbers w:val="0"/>
              <w:ind w:firstLine="480" w:firstLineChars="200"/>
              <w:jc w:val="left"/>
              <w:rPr>
                <w:rFonts w:hint="default" w:ascii="Times New Roman" w:hAnsi="Times New Roman" w:eastAsia="宋体" w:cs="Times New Roman"/>
                <w:kern w:val="0"/>
                <w:sz w:val="24"/>
                <w:szCs w:val="24"/>
                <w:highlight w:val="none"/>
              </w:rPr>
            </w:pPr>
            <w:r>
              <w:rPr>
                <w:rFonts w:hint="default" w:ascii="Times New Roman" w:hAnsi="Times New Roman" w:eastAsia="宋体" w:cs="Times New Roman"/>
                <w:kern w:val="0"/>
                <w:sz w:val="24"/>
                <w:szCs w:val="24"/>
                <w:highlight w:val="none"/>
              </w:rPr>
              <w:t>由上表可知，正常工况下，项目厂界噪声满足《工业企业厂界环境噪声排放标准》(GB12348.2008)中的2类标准。</w:t>
            </w:r>
          </w:p>
          <w:p w14:paraId="689814CF">
            <w:pPr>
              <w:keepNext w:val="0"/>
              <w:keepLines w:val="0"/>
              <w:pageBreakBefore w:val="0"/>
              <w:widowControl w:val="0"/>
              <w:kinsoku/>
              <w:wordWrap/>
              <w:overflowPunct/>
              <w:topLinePunct w:val="0"/>
              <w:autoSpaceDE w:val="0"/>
              <w:autoSpaceDN w:val="0"/>
              <w:bidi w:val="0"/>
              <w:adjustRightInd/>
              <w:snapToGrid w:val="0"/>
              <w:spacing w:before="72" w:after="0" w:line="240" w:lineRule="auto"/>
              <w:ind w:right="203" w:firstLine="0" w:firstLineChars="0"/>
              <w:jc w:val="center"/>
              <w:textAlignment w:val="auto"/>
              <w:rPr>
                <w:rFonts w:hint="eastAsia" w:ascii="宋体" w:hAnsi="宋体" w:eastAsia="宋体" w:cs="宋体"/>
                <w:b/>
                <w:kern w:val="0"/>
                <w:sz w:val="21"/>
                <w:szCs w:val="21"/>
                <w:highlight w:val="none"/>
              </w:rPr>
            </w:pPr>
            <w:r>
              <w:rPr>
                <w:rFonts w:hint="default" w:ascii="Times New Roman" w:hAnsi="Times New Roman" w:eastAsia="宋体" w:cs="Times New Roman"/>
                <w:b/>
                <w:kern w:val="0"/>
                <w:sz w:val="21"/>
                <w:szCs w:val="21"/>
                <w:highlight w:val="none"/>
              </w:rPr>
              <w:t>表4-</w:t>
            </w:r>
            <w:r>
              <w:rPr>
                <w:rFonts w:hint="default" w:ascii="Times New Roman" w:hAnsi="Times New Roman" w:eastAsia="宋体" w:cs="Times New Roman"/>
                <w:b/>
                <w:kern w:val="0"/>
                <w:sz w:val="21"/>
                <w:szCs w:val="21"/>
                <w:highlight w:val="none"/>
                <w:lang w:val="en-US" w:eastAsia="zh-CN"/>
              </w:rPr>
              <w:t>1</w:t>
            </w:r>
            <w:r>
              <w:rPr>
                <w:rFonts w:hint="eastAsia" w:cs="Times New Roman"/>
                <w:b/>
                <w:kern w:val="0"/>
                <w:sz w:val="21"/>
                <w:szCs w:val="21"/>
                <w:highlight w:val="none"/>
                <w:lang w:val="en-US" w:eastAsia="zh-CN"/>
              </w:rPr>
              <w:t>2</w:t>
            </w:r>
            <w:r>
              <w:rPr>
                <w:rFonts w:hint="default" w:ascii="Times New Roman" w:hAnsi="Times New Roman" w:eastAsia="宋体" w:cs="Times New Roman"/>
                <w:b/>
                <w:kern w:val="0"/>
                <w:sz w:val="21"/>
                <w:szCs w:val="21"/>
                <w:highlight w:val="none"/>
                <w:lang w:val="en-US" w:eastAsia="zh-CN"/>
              </w:rPr>
              <w:t xml:space="preserve"> </w:t>
            </w:r>
            <w:r>
              <w:rPr>
                <w:rFonts w:hint="default" w:ascii="Times New Roman" w:hAnsi="Times New Roman" w:eastAsia="宋体" w:cs="Times New Roman"/>
                <w:b/>
                <w:kern w:val="0"/>
                <w:sz w:val="21"/>
                <w:szCs w:val="21"/>
                <w:highlight w:val="none"/>
              </w:rPr>
              <w:t>工</w:t>
            </w:r>
            <w:r>
              <w:rPr>
                <w:rFonts w:hint="default" w:ascii="Times New Roman" w:hAnsi="Times New Roman" w:eastAsia="宋体" w:cs="Times New Roman"/>
                <w:b/>
                <w:spacing w:val="-3"/>
                <w:kern w:val="0"/>
                <w:sz w:val="21"/>
                <w:szCs w:val="21"/>
                <w:highlight w:val="none"/>
              </w:rPr>
              <w:t>业</w:t>
            </w:r>
            <w:r>
              <w:rPr>
                <w:rFonts w:hint="default" w:ascii="Times New Roman" w:hAnsi="Times New Roman" w:eastAsia="宋体" w:cs="Times New Roman"/>
                <w:b/>
                <w:kern w:val="0"/>
                <w:sz w:val="21"/>
                <w:szCs w:val="21"/>
                <w:highlight w:val="none"/>
              </w:rPr>
              <w:t>企</w:t>
            </w:r>
            <w:r>
              <w:rPr>
                <w:rFonts w:hint="default" w:ascii="Times New Roman" w:hAnsi="Times New Roman" w:eastAsia="宋体" w:cs="Times New Roman"/>
                <w:b/>
                <w:spacing w:val="-3"/>
                <w:kern w:val="0"/>
                <w:sz w:val="21"/>
                <w:szCs w:val="21"/>
                <w:highlight w:val="none"/>
              </w:rPr>
              <w:t>业</w:t>
            </w:r>
            <w:r>
              <w:rPr>
                <w:rFonts w:hint="default" w:ascii="Times New Roman" w:hAnsi="Times New Roman" w:eastAsia="宋体" w:cs="Times New Roman"/>
                <w:b/>
                <w:kern w:val="0"/>
                <w:sz w:val="21"/>
                <w:szCs w:val="21"/>
                <w:highlight w:val="none"/>
              </w:rPr>
              <w:t>声</w:t>
            </w:r>
            <w:r>
              <w:rPr>
                <w:rFonts w:hint="default" w:ascii="Times New Roman" w:hAnsi="Times New Roman" w:eastAsia="宋体" w:cs="Times New Roman"/>
                <w:b/>
                <w:spacing w:val="-3"/>
                <w:kern w:val="0"/>
                <w:sz w:val="21"/>
                <w:szCs w:val="21"/>
                <w:highlight w:val="none"/>
              </w:rPr>
              <w:t>环境</w:t>
            </w:r>
            <w:r>
              <w:rPr>
                <w:rFonts w:hint="default" w:ascii="Times New Roman" w:hAnsi="Times New Roman" w:eastAsia="宋体" w:cs="Times New Roman"/>
                <w:b/>
                <w:kern w:val="0"/>
                <w:sz w:val="21"/>
                <w:szCs w:val="21"/>
                <w:highlight w:val="none"/>
              </w:rPr>
              <w:t>保护</w:t>
            </w:r>
            <w:r>
              <w:rPr>
                <w:rFonts w:hint="default" w:ascii="Times New Roman" w:hAnsi="Times New Roman" w:eastAsia="宋体" w:cs="Times New Roman"/>
                <w:b/>
                <w:spacing w:val="-3"/>
                <w:kern w:val="0"/>
                <w:sz w:val="21"/>
                <w:szCs w:val="21"/>
                <w:highlight w:val="none"/>
              </w:rPr>
              <w:t>目</w:t>
            </w:r>
            <w:r>
              <w:rPr>
                <w:rFonts w:hint="default" w:ascii="Times New Roman" w:hAnsi="Times New Roman" w:eastAsia="宋体" w:cs="Times New Roman"/>
                <w:b/>
                <w:kern w:val="0"/>
                <w:sz w:val="21"/>
                <w:szCs w:val="21"/>
                <w:highlight w:val="none"/>
              </w:rPr>
              <w:t>标</w:t>
            </w:r>
            <w:r>
              <w:rPr>
                <w:rFonts w:hint="default" w:ascii="Times New Roman" w:hAnsi="Times New Roman" w:eastAsia="宋体" w:cs="Times New Roman"/>
                <w:b/>
                <w:spacing w:val="-3"/>
                <w:kern w:val="0"/>
                <w:sz w:val="21"/>
                <w:szCs w:val="21"/>
                <w:highlight w:val="none"/>
              </w:rPr>
              <w:t>噪</w:t>
            </w:r>
            <w:r>
              <w:rPr>
                <w:rFonts w:hint="default" w:ascii="Times New Roman" w:hAnsi="Times New Roman" w:eastAsia="宋体" w:cs="Times New Roman"/>
                <w:b/>
                <w:kern w:val="0"/>
                <w:sz w:val="21"/>
                <w:szCs w:val="21"/>
                <w:highlight w:val="none"/>
              </w:rPr>
              <w:t>声</w:t>
            </w:r>
            <w:r>
              <w:rPr>
                <w:rFonts w:hint="default" w:ascii="Times New Roman" w:hAnsi="Times New Roman" w:eastAsia="宋体" w:cs="Times New Roman"/>
                <w:b/>
                <w:spacing w:val="-3"/>
                <w:kern w:val="0"/>
                <w:sz w:val="21"/>
                <w:szCs w:val="21"/>
                <w:highlight w:val="none"/>
              </w:rPr>
              <w:t>预</w:t>
            </w:r>
            <w:r>
              <w:rPr>
                <w:rFonts w:hint="default" w:ascii="Times New Roman" w:hAnsi="Times New Roman" w:eastAsia="宋体" w:cs="Times New Roman"/>
                <w:b/>
                <w:kern w:val="0"/>
                <w:sz w:val="21"/>
                <w:szCs w:val="21"/>
                <w:highlight w:val="none"/>
              </w:rPr>
              <w:t>测</w:t>
            </w:r>
            <w:r>
              <w:rPr>
                <w:rFonts w:hint="default" w:ascii="Times New Roman" w:hAnsi="Times New Roman" w:eastAsia="宋体" w:cs="Times New Roman"/>
                <w:b/>
                <w:spacing w:val="-3"/>
                <w:kern w:val="0"/>
                <w:sz w:val="21"/>
                <w:szCs w:val="21"/>
                <w:highlight w:val="none"/>
              </w:rPr>
              <w:t>结</w:t>
            </w:r>
            <w:r>
              <w:rPr>
                <w:rFonts w:hint="default" w:ascii="Times New Roman" w:hAnsi="Times New Roman" w:eastAsia="宋体" w:cs="Times New Roman"/>
                <w:b/>
                <w:kern w:val="0"/>
                <w:sz w:val="21"/>
                <w:szCs w:val="21"/>
                <w:highlight w:val="none"/>
              </w:rPr>
              <w:t>果</w:t>
            </w:r>
            <w:r>
              <w:rPr>
                <w:rFonts w:hint="default" w:ascii="Times New Roman" w:hAnsi="Times New Roman" w:eastAsia="宋体" w:cs="Times New Roman"/>
                <w:b/>
                <w:spacing w:val="-3"/>
                <w:kern w:val="0"/>
                <w:sz w:val="21"/>
                <w:szCs w:val="21"/>
                <w:highlight w:val="none"/>
              </w:rPr>
              <w:t>与</w:t>
            </w:r>
            <w:r>
              <w:rPr>
                <w:rFonts w:hint="default" w:ascii="Times New Roman" w:hAnsi="Times New Roman" w:eastAsia="宋体" w:cs="Times New Roman"/>
                <w:b/>
                <w:kern w:val="0"/>
                <w:sz w:val="21"/>
                <w:szCs w:val="21"/>
                <w:highlight w:val="none"/>
              </w:rPr>
              <w:t>达标</w:t>
            </w:r>
            <w:r>
              <w:rPr>
                <w:rFonts w:hint="default" w:ascii="Times New Roman" w:hAnsi="Times New Roman" w:eastAsia="宋体" w:cs="Times New Roman"/>
                <w:b/>
                <w:spacing w:val="-3"/>
                <w:kern w:val="0"/>
                <w:sz w:val="21"/>
                <w:szCs w:val="21"/>
                <w:highlight w:val="none"/>
              </w:rPr>
              <w:t>分</w:t>
            </w:r>
            <w:r>
              <w:rPr>
                <w:rFonts w:hint="default" w:ascii="Times New Roman" w:hAnsi="Times New Roman" w:eastAsia="宋体" w:cs="Times New Roman"/>
                <w:b/>
                <w:kern w:val="0"/>
                <w:sz w:val="21"/>
                <w:szCs w:val="21"/>
                <w:highlight w:val="none"/>
              </w:rPr>
              <w:t>析表</w:t>
            </w:r>
          </w:p>
          <w:tbl>
            <w:tblPr>
              <w:tblStyle w:val="34"/>
              <w:tblpPr w:leftFromText="180" w:rightFromText="180" w:vertAnchor="text" w:horzAnchor="page" w:tblpX="1497" w:tblpY="204"/>
              <w:tblOverlap w:val="never"/>
              <w:tblW w:w="91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3"/>
              <w:gridCol w:w="1098"/>
              <w:gridCol w:w="437"/>
              <w:gridCol w:w="525"/>
              <w:gridCol w:w="550"/>
              <w:gridCol w:w="575"/>
              <w:gridCol w:w="525"/>
              <w:gridCol w:w="638"/>
              <w:gridCol w:w="650"/>
              <w:gridCol w:w="625"/>
              <w:gridCol w:w="587"/>
              <w:gridCol w:w="625"/>
              <w:gridCol w:w="575"/>
              <w:gridCol w:w="538"/>
              <w:gridCol w:w="402"/>
              <w:gridCol w:w="471"/>
            </w:tblGrid>
            <w:tr w14:paraId="75CCE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 w:hRule="exact"/>
                <w:jc w:val="center"/>
              </w:trPr>
              <w:tc>
                <w:tcPr>
                  <w:tcW w:w="181" w:type="pct"/>
                  <w:vMerge w:val="restart"/>
                  <w:vAlign w:val="center"/>
                </w:tcPr>
                <w:p w14:paraId="73265D43">
                  <w:pPr>
                    <w:keepNext w:val="0"/>
                    <w:keepLines w:val="0"/>
                    <w:pageBreakBefore w:val="0"/>
                    <w:widowControl w:val="0"/>
                    <w:kinsoku/>
                    <w:wordWrap/>
                    <w:overflowPunct/>
                    <w:topLinePunct w:val="0"/>
                    <w:bidi w:val="0"/>
                    <w:adjustRightInd/>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序号</w:t>
                  </w:r>
                </w:p>
              </w:tc>
              <w:tc>
                <w:tcPr>
                  <w:tcW w:w="599" w:type="pct"/>
                  <w:vMerge w:val="restart"/>
                  <w:vAlign w:val="center"/>
                </w:tcPr>
                <w:p w14:paraId="65027EDE">
                  <w:pPr>
                    <w:keepNext w:val="0"/>
                    <w:keepLines w:val="0"/>
                    <w:pageBreakBefore w:val="0"/>
                    <w:widowControl w:val="0"/>
                    <w:kinsoku/>
                    <w:wordWrap/>
                    <w:overflowPunct/>
                    <w:topLinePunct w:val="0"/>
                    <w:bidi w:val="0"/>
                    <w:adjustRightInd/>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声环境保护目标名称</w:t>
                  </w:r>
                </w:p>
              </w:tc>
              <w:tc>
                <w:tcPr>
                  <w:tcW w:w="525" w:type="pct"/>
                  <w:gridSpan w:val="2"/>
                  <w:vAlign w:val="center"/>
                </w:tcPr>
                <w:p w14:paraId="10C36A68">
                  <w:pPr>
                    <w:keepNext w:val="0"/>
                    <w:keepLines w:val="0"/>
                    <w:pageBreakBefore w:val="0"/>
                    <w:widowControl w:val="0"/>
                    <w:kinsoku/>
                    <w:wordWrap/>
                    <w:overflowPunct/>
                    <w:topLinePunct w:val="0"/>
                    <w:bidi w:val="0"/>
                    <w:adjustRightInd/>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噪声背景值/dB(A)</w:t>
                  </w:r>
                </w:p>
              </w:tc>
              <w:tc>
                <w:tcPr>
                  <w:tcW w:w="614" w:type="pct"/>
                  <w:gridSpan w:val="2"/>
                  <w:vAlign w:val="center"/>
                </w:tcPr>
                <w:p w14:paraId="6779A1CE">
                  <w:pPr>
                    <w:keepNext w:val="0"/>
                    <w:keepLines w:val="0"/>
                    <w:pageBreakBefore w:val="0"/>
                    <w:widowControl w:val="0"/>
                    <w:kinsoku/>
                    <w:wordWrap/>
                    <w:overflowPunct/>
                    <w:topLinePunct w:val="0"/>
                    <w:bidi w:val="0"/>
                    <w:adjustRightInd/>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噪声现状值/dB(A)</w:t>
                  </w:r>
                </w:p>
              </w:tc>
              <w:tc>
                <w:tcPr>
                  <w:tcW w:w="635" w:type="pct"/>
                  <w:gridSpan w:val="2"/>
                  <w:vAlign w:val="center"/>
                </w:tcPr>
                <w:p w14:paraId="2E96DC65">
                  <w:pPr>
                    <w:keepNext w:val="0"/>
                    <w:keepLines w:val="0"/>
                    <w:pageBreakBefore w:val="0"/>
                    <w:widowControl w:val="0"/>
                    <w:kinsoku/>
                    <w:wordWrap/>
                    <w:overflowPunct/>
                    <w:topLinePunct w:val="0"/>
                    <w:bidi w:val="0"/>
                    <w:adjustRightInd/>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噪声标准/dB(A)</w:t>
                  </w:r>
                </w:p>
              </w:tc>
              <w:tc>
                <w:tcPr>
                  <w:tcW w:w="696" w:type="pct"/>
                  <w:gridSpan w:val="2"/>
                  <w:vAlign w:val="center"/>
                </w:tcPr>
                <w:p w14:paraId="35BF5C61">
                  <w:pPr>
                    <w:keepNext w:val="0"/>
                    <w:keepLines w:val="0"/>
                    <w:pageBreakBefore w:val="0"/>
                    <w:widowControl w:val="0"/>
                    <w:kinsoku/>
                    <w:wordWrap/>
                    <w:overflowPunct/>
                    <w:topLinePunct w:val="0"/>
                    <w:bidi w:val="0"/>
                    <w:adjustRightInd/>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噪声贡献值/dB(A)</w:t>
                  </w:r>
                </w:p>
              </w:tc>
              <w:tc>
                <w:tcPr>
                  <w:tcW w:w="662" w:type="pct"/>
                  <w:gridSpan w:val="2"/>
                  <w:vAlign w:val="center"/>
                </w:tcPr>
                <w:p w14:paraId="780271AB">
                  <w:pPr>
                    <w:keepNext w:val="0"/>
                    <w:keepLines w:val="0"/>
                    <w:pageBreakBefore w:val="0"/>
                    <w:widowControl w:val="0"/>
                    <w:kinsoku/>
                    <w:wordWrap/>
                    <w:overflowPunct/>
                    <w:topLinePunct w:val="0"/>
                    <w:bidi w:val="0"/>
                    <w:adjustRightInd/>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噪声预测值/dB(A)</w:t>
                  </w:r>
                </w:p>
              </w:tc>
              <w:tc>
                <w:tcPr>
                  <w:tcW w:w="607" w:type="pct"/>
                  <w:gridSpan w:val="2"/>
                  <w:vAlign w:val="center"/>
                </w:tcPr>
                <w:p w14:paraId="6598A484">
                  <w:pPr>
                    <w:keepNext w:val="0"/>
                    <w:keepLines w:val="0"/>
                    <w:pageBreakBefore w:val="0"/>
                    <w:widowControl w:val="0"/>
                    <w:kinsoku/>
                    <w:wordWrap/>
                    <w:overflowPunct/>
                    <w:topLinePunct w:val="0"/>
                    <w:bidi w:val="0"/>
                    <w:adjustRightInd/>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较现状增量/dB(A)</w:t>
                  </w:r>
                </w:p>
              </w:tc>
              <w:tc>
                <w:tcPr>
                  <w:tcW w:w="476" w:type="pct"/>
                  <w:gridSpan w:val="2"/>
                  <w:vAlign w:val="center"/>
                </w:tcPr>
                <w:p w14:paraId="675BF327">
                  <w:pPr>
                    <w:keepNext w:val="0"/>
                    <w:keepLines w:val="0"/>
                    <w:pageBreakBefore w:val="0"/>
                    <w:widowControl w:val="0"/>
                    <w:kinsoku/>
                    <w:wordWrap/>
                    <w:overflowPunct/>
                    <w:topLinePunct w:val="0"/>
                    <w:bidi w:val="0"/>
                    <w:adjustRightInd/>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超标和达标情况</w:t>
                  </w:r>
                </w:p>
              </w:tc>
            </w:tr>
            <w:tr w14:paraId="02E03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 w:type="pct"/>
                  <w:vMerge w:val="continue"/>
                  <w:shd w:val="clear" w:color="auto" w:fill="FFFFFF"/>
                  <w:vAlign w:val="center"/>
                </w:tcPr>
                <w:p w14:paraId="33A4BFAC">
                  <w:pPr>
                    <w:jc w:val="center"/>
                    <w:rPr>
                      <w:rFonts w:hint="default" w:ascii="Times New Roman" w:hAnsi="Times New Roman" w:eastAsia="宋体" w:cs="Times New Roman"/>
                      <w:b w:val="0"/>
                      <w:bCs/>
                      <w:sz w:val="21"/>
                      <w:szCs w:val="21"/>
                    </w:rPr>
                  </w:pPr>
                </w:p>
              </w:tc>
              <w:tc>
                <w:tcPr>
                  <w:tcW w:w="599" w:type="pct"/>
                  <w:vMerge w:val="continue"/>
                  <w:shd w:val="clear" w:color="auto" w:fill="FFFFFF"/>
                  <w:vAlign w:val="center"/>
                </w:tcPr>
                <w:p w14:paraId="2336AE66">
                  <w:pPr>
                    <w:jc w:val="center"/>
                    <w:rPr>
                      <w:rFonts w:hint="default" w:ascii="Times New Roman" w:hAnsi="Times New Roman" w:eastAsia="宋体" w:cs="Times New Roman"/>
                      <w:b w:val="0"/>
                      <w:bCs/>
                      <w:sz w:val="21"/>
                      <w:szCs w:val="21"/>
                    </w:rPr>
                  </w:pPr>
                </w:p>
              </w:tc>
              <w:tc>
                <w:tcPr>
                  <w:tcW w:w="238" w:type="pct"/>
                  <w:shd w:val="clear" w:color="auto" w:fill="FFFFFF"/>
                  <w:vAlign w:val="center"/>
                </w:tcPr>
                <w:p w14:paraId="26194B9B">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昼间</w:t>
                  </w:r>
                </w:p>
              </w:tc>
              <w:tc>
                <w:tcPr>
                  <w:tcW w:w="286" w:type="pct"/>
                  <w:shd w:val="clear" w:color="auto" w:fill="FFFFFF"/>
                  <w:vAlign w:val="center"/>
                </w:tcPr>
                <w:p w14:paraId="1E9616EC">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夜间</w:t>
                  </w:r>
                </w:p>
              </w:tc>
              <w:tc>
                <w:tcPr>
                  <w:tcW w:w="300" w:type="pct"/>
                  <w:shd w:val="clear" w:color="auto" w:fill="FFFFFF"/>
                  <w:vAlign w:val="center"/>
                </w:tcPr>
                <w:p w14:paraId="622BE9F1">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昼间</w:t>
                  </w:r>
                </w:p>
              </w:tc>
              <w:tc>
                <w:tcPr>
                  <w:tcW w:w="314" w:type="pct"/>
                  <w:shd w:val="clear" w:color="auto" w:fill="FFFFFF"/>
                  <w:vAlign w:val="center"/>
                </w:tcPr>
                <w:p w14:paraId="3F2B336F">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夜间</w:t>
                  </w:r>
                </w:p>
              </w:tc>
              <w:tc>
                <w:tcPr>
                  <w:tcW w:w="286" w:type="pct"/>
                  <w:shd w:val="clear" w:color="auto" w:fill="FFFFFF"/>
                  <w:vAlign w:val="center"/>
                </w:tcPr>
                <w:p w14:paraId="1790A906">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昼间</w:t>
                  </w:r>
                </w:p>
              </w:tc>
              <w:tc>
                <w:tcPr>
                  <w:tcW w:w="348" w:type="pct"/>
                  <w:shd w:val="clear" w:color="auto" w:fill="FFFFFF"/>
                  <w:vAlign w:val="center"/>
                </w:tcPr>
                <w:p w14:paraId="2132837E">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夜间</w:t>
                  </w:r>
                </w:p>
              </w:tc>
              <w:tc>
                <w:tcPr>
                  <w:tcW w:w="355" w:type="pct"/>
                  <w:shd w:val="clear" w:color="auto" w:fill="FFFFFF"/>
                  <w:vAlign w:val="center"/>
                </w:tcPr>
                <w:p w14:paraId="390B98F7">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昼间</w:t>
                  </w:r>
                </w:p>
              </w:tc>
              <w:tc>
                <w:tcPr>
                  <w:tcW w:w="341" w:type="pct"/>
                  <w:shd w:val="clear" w:color="auto" w:fill="FFFFFF"/>
                  <w:vAlign w:val="center"/>
                </w:tcPr>
                <w:p w14:paraId="64957A29">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夜间</w:t>
                  </w:r>
                </w:p>
              </w:tc>
              <w:tc>
                <w:tcPr>
                  <w:tcW w:w="320" w:type="pct"/>
                  <w:shd w:val="clear" w:color="auto" w:fill="FFFFFF"/>
                  <w:vAlign w:val="center"/>
                </w:tcPr>
                <w:p w14:paraId="78B481C2">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昼间</w:t>
                  </w:r>
                </w:p>
              </w:tc>
              <w:tc>
                <w:tcPr>
                  <w:tcW w:w="341" w:type="pct"/>
                  <w:shd w:val="clear" w:color="auto" w:fill="FFFFFF"/>
                  <w:vAlign w:val="center"/>
                </w:tcPr>
                <w:p w14:paraId="2ABEB61E">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夜间</w:t>
                  </w:r>
                </w:p>
              </w:tc>
              <w:tc>
                <w:tcPr>
                  <w:tcW w:w="314" w:type="pct"/>
                  <w:shd w:val="clear" w:color="auto" w:fill="FFFFFF"/>
                  <w:vAlign w:val="center"/>
                </w:tcPr>
                <w:p w14:paraId="25AB652E">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昼间</w:t>
                  </w:r>
                </w:p>
              </w:tc>
              <w:tc>
                <w:tcPr>
                  <w:tcW w:w="293" w:type="pct"/>
                  <w:shd w:val="clear" w:color="auto" w:fill="FFFFFF"/>
                  <w:vAlign w:val="center"/>
                </w:tcPr>
                <w:p w14:paraId="12BD73F4">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夜间</w:t>
                  </w:r>
                </w:p>
              </w:tc>
              <w:tc>
                <w:tcPr>
                  <w:tcW w:w="219" w:type="pct"/>
                  <w:shd w:val="clear" w:color="auto" w:fill="FFFFFF"/>
                  <w:vAlign w:val="center"/>
                </w:tcPr>
                <w:p w14:paraId="2089BA87">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昼间</w:t>
                  </w:r>
                </w:p>
              </w:tc>
              <w:tc>
                <w:tcPr>
                  <w:tcW w:w="257" w:type="pct"/>
                  <w:shd w:val="clear" w:color="auto" w:fill="FFFFFF"/>
                  <w:vAlign w:val="center"/>
                </w:tcPr>
                <w:p w14:paraId="7441B696">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夜间</w:t>
                  </w:r>
                </w:p>
              </w:tc>
            </w:tr>
            <w:tr w14:paraId="1E9F7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81" w:type="pct"/>
                  <w:shd w:val="clear" w:color="auto" w:fill="FFFFFF"/>
                  <w:vAlign w:val="center"/>
                </w:tcPr>
                <w:p w14:paraId="45AD1FA0">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1</w:t>
                  </w:r>
                </w:p>
              </w:tc>
              <w:tc>
                <w:tcPr>
                  <w:tcW w:w="599" w:type="pct"/>
                  <w:shd w:val="clear" w:color="auto" w:fill="FFFFFF"/>
                  <w:vAlign w:val="center"/>
                </w:tcPr>
                <w:p w14:paraId="7322C388">
                  <w:pPr>
                    <w:jc w:val="both"/>
                    <w:rPr>
                      <w:rFonts w:hint="default"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w:t>
                  </w:r>
                </w:p>
              </w:tc>
              <w:tc>
                <w:tcPr>
                  <w:tcW w:w="238" w:type="pct"/>
                  <w:shd w:val="clear" w:color="auto" w:fill="FFFFFF"/>
                  <w:vAlign w:val="center"/>
                </w:tcPr>
                <w:p w14:paraId="5F4DB18F">
                  <w:pPr>
                    <w:jc w:val="center"/>
                    <w:rPr>
                      <w:rFonts w:hint="default"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58</w:t>
                  </w:r>
                </w:p>
              </w:tc>
              <w:tc>
                <w:tcPr>
                  <w:tcW w:w="286" w:type="pct"/>
                  <w:shd w:val="clear" w:color="auto" w:fill="FFFFFF"/>
                  <w:vAlign w:val="center"/>
                </w:tcPr>
                <w:p w14:paraId="466BF004">
                  <w:pPr>
                    <w:jc w:val="center"/>
                    <w:rPr>
                      <w:rFonts w:hint="default"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48</w:t>
                  </w:r>
                </w:p>
              </w:tc>
              <w:tc>
                <w:tcPr>
                  <w:tcW w:w="300" w:type="pct"/>
                  <w:shd w:val="clear" w:color="auto" w:fill="FFFFFF"/>
                  <w:vAlign w:val="center"/>
                </w:tcPr>
                <w:p w14:paraId="1D95B580">
                  <w:pPr>
                    <w:jc w:val="center"/>
                    <w:rPr>
                      <w:rFonts w:hint="default"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58</w:t>
                  </w:r>
                </w:p>
              </w:tc>
              <w:tc>
                <w:tcPr>
                  <w:tcW w:w="314" w:type="pct"/>
                  <w:shd w:val="clear" w:color="auto" w:fill="FFFFFF"/>
                  <w:vAlign w:val="center"/>
                </w:tcPr>
                <w:p w14:paraId="0C7A7FD4">
                  <w:pPr>
                    <w:jc w:val="center"/>
                    <w:rPr>
                      <w:rFonts w:hint="default"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48</w:t>
                  </w:r>
                </w:p>
              </w:tc>
              <w:tc>
                <w:tcPr>
                  <w:tcW w:w="286" w:type="pct"/>
                  <w:shd w:val="clear" w:color="auto" w:fill="FFFFFF"/>
                  <w:vAlign w:val="center"/>
                </w:tcPr>
                <w:p w14:paraId="3F06B05C">
                  <w:pPr>
                    <w:jc w:val="center"/>
                    <w:rPr>
                      <w:rFonts w:hint="default"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60</w:t>
                  </w:r>
                </w:p>
              </w:tc>
              <w:tc>
                <w:tcPr>
                  <w:tcW w:w="348" w:type="pct"/>
                  <w:shd w:val="clear" w:color="auto" w:fill="FFFFFF"/>
                  <w:vAlign w:val="center"/>
                </w:tcPr>
                <w:p w14:paraId="5FC317CB">
                  <w:pPr>
                    <w:jc w:val="center"/>
                    <w:rPr>
                      <w:rFonts w:hint="default"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50</w:t>
                  </w:r>
                </w:p>
              </w:tc>
              <w:tc>
                <w:tcPr>
                  <w:tcW w:w="355" w:type="pct"/>
                  <w:shd w:val="clear" w:color="auto" w:fill="FFFFFF"/>
                  <w:vAlign w:val="center"/>
                </w:tcPr>
                <w:p w14:paraId="2DC821A7">
                  <w:pPr>
                    <w:jc w:val="center"/>
                    <w:rPr>
                      <w:rFonts w:hint="default"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40.4</w:t>
                  </w:r>
                </w:p>
              </w:tc>
              <w:tc>
                <w:tcPr>
                  <w:tcW w:w="341" w:type="pct"/>
                  <w:shd w:val="clear" w:color="auto" w:fill="FFFFFF"/>
                  <w:vAlign w:val="center"/>
                </w:tcPr>
                <w:p w14:paraId="69BBB13B">
                  <w:pPr>
                    <w:jc w:val="center"/>
                    <w:rPr>
                      <w:rFonts w:hint="default"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40.4</w:t>
                  </w:r>
                </w:p>
              </w:tc>
              <w:tc>
                <w:tcPr>
                  <w:tcW w:w="320" w:type="pct"/>
                  <w:shd w:val="clear" w:color="auto" w:fill="FFFFFF"/>
                  <w:vAlign w:val="center"/>
                </w:tcPr>
                <w:p w14:paraId="2393C98B">
                  <w:pPr>
                    <w:jc w:val="center"/>
                    <w:rPr>
                      <w:rFonts w:hint="default"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58.1</w:t>
                  </w:r>
                </w:p>
              </w:tc>
              <w:tc>
                <w:tcPr>
                  <w:tcW w:w="341" w:type="pct"/>
                  <w:shd w:val="clear" w:color="auto" w:fill="FFFFFF"/>
                  <w:vAlign w:val="center"/>
                </w:tcPr>
                <w:p w14:paraId="0B0E1270">
                  <w:pPr>
                    <w:jc w:val="center"/>
                    <w:rPr>
                      <w:rFonts w:hint="default"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48.7</w:t>
                  </w:r>
                </w:p>
              </w:tc>
              <w:tc>
                <w:tcPr>
                  <w:tcW w:w="314" w:type="pct"/>
                  <w:shd w:val="clear" w:color="auto" w:fill="FFFFFF"/>
                  <w:vAlign w:val="center"/>
                </w:tcPr>
                <w:p w14:paraId="1F6F722D">
                  <w:pPr>
                    <w:jc w:val="center"/>
                    <w:rPr>
                      <w:rFonts w:hint="default"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0.1</w:t>
                  </w:r>
                </w:p>
              </w:tc>
              <w:tc>
                <w:tcPr>
                  <w:tcW w:w="293" w:type="pct"/>
                  <w:shd w:val="clear" w:color="auto" w:fill="FFFFFF"/>
                  <w:vAlign w:val="center"/>
                </w:tcPr>
                <w:p w14:paraId="439F5566">
                  <w:pPr>
                    <w:jc w:val="center"/>
                    <w:rPr>
                      <w:rFonts w:hint="default"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0.7</w:t>
                  </w:r>
                </w:p>
              </w:tc>
              <w:tc>
                <w:tcPr>
                  <w:tcW w:w="219" w:type="pct"/>
                  <w:shd w:val="clear" w:color="auto" w:fill="FFFFFF"/>
                  <w:vAlign w:val="center"/>
                </w:tcPr>
                <w:p w14:paraId="5EA4F4E0">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达标</w:t>
                  </w:r>
                </w:p>
              </w:tc>
              <w:tc>
                <w:tcPr>
                  <w:tcW w:w="257" w:type="pct"/>
                  <w:shd w:val="clear" w:color="auto" w:fill="FFFFFF"/>
                  <w:vAlign w:val="center"/>
                </w:tcPr>
                <w:p w14:paraId="1FFD7DA8">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达标</w:t>
                  </w:r>
                </w:p>
              </w:tc>
            </w:tr>
          </w:tbl>
          <w:p w14:paraId="56373109">
            <w:pPr>
              <w:keepNext w:val="0"/>
              <w:keepLines w:val="0"/>
              <w:pageBreakBefore w:val="0"/>
              <w:widowControl w:val="0"/>
              <w:kinsoku/>
              <w:wordWrap/>
              <w:overflowPunct/>
              <w:topLinePunct w:val="0"/>
              <w:autoSpaceDE/>
              <w:autoSpaceDN/>
              <w:bidi w:val="0"/>
              <w:adjustRightInd w:val="0"/>
              <w:snapToGrid w:val="0"/>
              <w:spacing w:line="360" w:lineRule="auto"/>
              <w:ind w:firstLine="482"/>
              <w:jc w:val="left"/>
              <w:textAlignment w:val="auto"/>
              <w:rPr>
                <w:rFonts w:hint="eastAsia" w:ascii="宋体" w:hAnsi="宋体" w:eastAsia="宋体" w:cs="宋体"/>
                <w:bCs/>
                <w:color w:val="auto"/>
                <w:sz w:val="24"/>
                <w:szCs w:val="24"/>
                <w:highlight w:val="none"/>
              </w:rPr>
            </w:pPr>
            <w:r>
              <w:rPr>
                <w:rFonts w:hint="eastAsia" w:ascii="宋体" w:hAnsi="宋体" w:eastAsia="宋体" w:cs="宋体"/>
                <w:bCs/>
                <w:sz w:val="24"/>
                <w:szCs w:val="24"/>
                <w:highlight w:val="none"/>
              </w:rPr>
              <w:t>由以上评价结果可知：从上表可知，</w:t>
            </w:r>
            <w:r>
              <w:rPr>
                <w:rFonts w:hint="eastAsia" w:ascii="宋体" w:hAnsi="宋体" w:eastAsia="宋体" w:cs="宋体"/>
                <w:sz w:val="24"/>
                <w:szCs w:val="24"/>
                <w:highlight w:val="none"/>
              </w:rPr>
              <w:t>项目周边居民点均可满足《声环境质量标准》</w:t>
            </w:r>
            <w:r>
              <w:rPr>
                <w:rFonts w:hint="eastAsia" w:ascii="宋体" w:hAnsi="宋体" w:eastAsia="宋体" w:cs="宋体"/>
                <w:color w:val="auto"/>
                <w:sz w:val="24"/>
                <w:szCs w:val="24"/>
                <w:highlight w:val="none"/>
              </w:rPr>
              <w:t>（GB3096-2008）中的</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类标准</w:t>
            </w:r>
            <w:r>
              <w:rPr>
                <w:rFonts w:hint="eastAsia" w:ascii="宋体" w:hAnsi="宋体" w:eastAsia="宋体" w:cs="宋体"/>
                <w:color w:val="auto"/>
                <w:kern w:val="0"/>
                <w:sz w:val="24"/>
                <w:szCs w:val="24"/>
                <w:highlight w:val="none"/>
              </w:rPr>
              <w:t>，不会对周围声环境产生影响</w:t>
            </w:r>
            <w:r>
              <w:rPr>
                <w:rFonts w:hint="eastAsia" w:ascii="宋体" w:hAnsi="宋体" w:eastAsia="宋体" w:cs="宋体"/>
                <w:color w:val="auto"/>
                <w:sz w:val="24"/>
                <w:szCs w:val="24"/>
                <w:highlight w:val="none"/>
              </w:rPr>
              <w:t>。</w:t>
            </w:r>
          </w:p>
          <w:p w14:paraId="4390D843">
            <w:pPr>
              <w:keepNext w:val="0"/>
              <w:keepLines w:val="0"/>
              <w:widowControl/>
              <w:suppressLineNumbers w:val="0"/>
              <w:ind w:firstLine="482" w:firstLineChars="200"/>
              <w:jc w:val="left"/>
              <w:rPr>
                <w:color w:val="auto"/>
                <w:highlight w:val="none"/>
                <w:u w:val="none" w:color="auto"/>
              </w:rPr>
            </w:pPr>
            <w:r>
              <w:rPr>
                <w:rFonts w:hint="default" w:ascii="Times New Roman Bold" w:hAnsi="Times New Roman Bold" w:eastAsia="宋体" w:cs="Times New Roman Bold"/>
                <w:b/>
                <w:bCs/>
                <w:color w:val="auto"/>
                <w:highlight w:val="none"/>
                <w:u w:val="none" w:color="auto"/>
                <w:lang w:val="en-US" w:eastAsia="zh-CN"/>
              </w:rPr>
              <w:t>4.</w:t>
            </w:r>
            <w:r>
              <w:rPr>
                <w:rFonts w:hint="eastAsia" w:ascii="Times New Roman Bold" w:hAnsi="Times New Roman Bold" w:cs="Times New Roman Bold"/>
                <w:b/>
                <w:bCs/>
                <w:color w:val="auto"/>
                <w:highlight w:val="none"/>
                <w:u w:val="none" w:color="auto"/>
                <w:lang w:val="en-US" w:eastAsia="zh-CN"/>
              </w:rPr>
              <w:t>4</w:t>
            </w:r>
            <w:r>
              <w:rPr>
                <w:rFonts w:hint="default" w:ascii="Times New Roman Bold" w:hAnsi="Times New Roman Bold" w:eastAsia="宋体" w:cs="Times New Roman Bold"/>
                <w:b/>
                <w:bCs/>
                <w:color w:val="auto"/>
                <w:highlight w:val="none"/>
                <w:u w:val="none" w:color="auto"/>
                <w:lang w:val="en-US" w:eastAsia="zh-CN"/>
              </w:rPr>
              <w:t>.2</w:t>
            </w:r>
            <w:r>
              <w:rPr>
                <w:rFonts w:hint="default" w:ascii="Times New Roman Regular" w:hAnsi="Times New Roman Regular" w:eastAsia="宋体" w:cs="Times New Roman Regular"/>
                <w:b/>
                <w:bCs w:val="0"/>
                <w:color w:val="auto"/>
                <w:kern w:val="0"/>
                <w:sz w:val="24"/>
                <w:szCs w:val="24"/>
                <w:highlight w:val="none"/>
                <w:u w:val="none" w:color="auto"/>
                <w:lang w:val="en-US" w:eastAsia="zh-CN" w:bidi="ar"/>
              </w:rPr>
              <w:t>噪声</w:t>
            </w:r>
            <w:r>
              <w:rPr>
                <w:rFonts w:hint="eastAsia" w:ascii="宋体" w:hAnsi="宋体" w:eastAsia="宋体" w:cs="宋体"/>
                <w:b/>
                <w:bCs w:val="0"/>
                <w:color w:val="auto"/>
                <w:kern w:val="0"/>
                <w:sz w:val="24"/>
                <w:szCs w:val="24"/>
                <w:highlight w:val="none"/>
                <w:u w:val="none" w:color="auto"/>
                <w:lang w:val="en-US" w:eastAsia="zh-CN" w:bidi="ar"/>
              </w:rPr>
              <w:t>污染</w:t>
            </w:r>
            <w:r>
              <w:rPr>
                <w:rFonts w:hint="eastAsia" w:ascii="宋体" w:hAnsi="宋体" w:eastAsia="宋体" w:cs="宋体"/>
                <w:b/>
                <w:bCs/>
                <w:color w:val="auto"/>
                <w:kern w:val="0"/>
                <w:sz w:val="24"/>
                <w:szCs w:val="24"/>
                <w:highlight w:val="none"/>
                <w:u w:val="none" w:color="auto"/>
                <w:lang w:val="en-US" w:eastAsia="zh-CN" w:bidi="ar"/>
              </w:rPr>
              <w:t>防治措施</w:t>
            </w:r>
          </w:p>
          <w:p w14:paraId="6C7CA29A">
            <w:pPr>
              <w:spacing w:line="360" w:lineRule="auto"/>
              <w:ind w:firstLine="480" w:firstLineChars="200"/>
              <w:jc w:val="both"/>
              <w:rPr>
                <w:rFonts w:hint="eastAsia"/>
                <w:color w:val="auto"/>
                <w:sz w:val="24"/>
                <w:highlight w:val="none"/>
                <w:u w:val="none" w:color="auto"/>
              </w:rPr>
            </w:pPr>
            <w:r>
              <w:rPr>
                <w:rFonts w:hint="eastAsia"/>
                <w:color w:val="auto"/>
                <w:sz w:val="24"/>
                <w:highlight w:val="none"/>
                <w:u w:val="none" w:color="auto"/>
              </w:rPr>
              <w:t>为减轻噪声对周围声环境的影响，建设单位应加强噪声防治工作。噪声防治措施如下：</w:t>
            </w:r>
          </w:p>
          <w:p w14:paraId="71557B95">
            <w:pPr>
              <w:spacing w:line="360" w:lineRule="auto"/>
              <w:ind w:firstLine="480" w:firstLineChars="200"/>
              <w:jc w:val="both"/>
              <w:rPr>
                <w:rFonts w:hint="eastAsia" w:asciiTheme="minorEastAsia" w:hAnsiTheme="minorEastAsia" w:eastAsiaTheme="minorEastAsia" w:cstheme="minorEastAsia"/>
                <w:color w:val="auto"/>
                <w:sz w:val="24"/>
                <w:highlight w:val="none"/>
                <w:u w:val="none" w:color="auto"/>
              </w:rPr>
            </w:pPr>
            <w:r>
              <w:rPr>
                <w:rFonts w:hint="eastAsia" w:asciiTheme="minorEastAsia" w:hAnsiTheme="minorEastAsia" w:eastAsiaTheme="minorEastAsia" w:cstheme="minorEastAsia"/>
                <w:color w:val="auto"/>
                <w:sz w:val="24"/>
                <w:highlight w:val="none"/>
                <w:u w:val="none" w:color="auto"/>
              </w:rPr>
              <w:t>①选用低噪声设备；对高噪声设备进行基础减震等措施，使设备保持在最低噪声值范围内。</w:t>
            </w:r>
          </w:p>
          <w:p w14:paraId="5C703CFD">
            <w:pPr>
              <w:spacing w:line="360" w:lineRule="auto"/>
              <w:ind w:firstLine="480" w:firstLineChars="200"/>
              <w:jc w:val="both"/>
              <w:rPr>
                <w:rFonts w:hint="eastAsia" w:asciiTheme="minorEastAsia" w:hAnsiTheme="minorEastAsia" w:eastAsiaTheme="minorEastAsia" w:cstheme="minorEastAsia"/>
                <w:color w:val="auto"/>
                <w:sz w:val="24"/>
                <w:highlight w:val="none"/>
                <w:u w:val="none" w:color="auto"/>
              </w:rPr>
            </w:pPr>
            <w:r>
              <w:rPr>
                <w:rFonts w:hint="eastAsia" w:asciiTheme="minorEastAsia" w:hAnsiTheme="minorEastAsia" w:eastAsiaTheme="minorEastAsia" w:cstheme="minorEastAsia"/>
                <w:color w:val="auto"/>
                <w:sz w:val="24"/>
                <w:highlight w:val="none"/>
                <w:u w:val="none" w:color="auto"/>
              </w:rPr>
              <w:t>②合理安排布局，使高噪声设备远离厂界。</w:t>
            </w:r>
          </w:p>
          <w:p w14:paraId="5864104D">
            <w:pPr>
              <w:spacing w:line="360" w:lineRule="auto"/>
              <w:ind w:firstLine="480" w:firstLineChars="200"/>
              <w:jc w:val="both"/>
              <w:rPr>
                <w:rFonts w:hint="eastAsia" w:asciiTheme="minorEastAsia" w:hAnsiTheme="minorEastAsia" w:eastAsiaTheme="minorEastAsia" w:cstheme="minorEastAsia"/>
                <w:color w:val="auto"/>
                <w:sz w:val="24"/>
                <w:highlight w:val="none"/>
                <w:u w:val="none" w:color="auto"/>
              </w:rPr>
            </w:pPr>
            <w:r>
              <w:rPr>
                <w:rFonts w:hint="eastAsia" w:asciiTheme="minorEastAsia" w:hAnsiTheme="minorEastAsia" w:eastAsiaTheme="minorEastAsia" w:cstheme="minorEastAsia"/>
                <w:color w:val="auto"/>
                <w:sz w:val="24"/>
                <w:highlight w:val="none"/>
                <w:u w:val="none" w:color="auto"/>
                <w:lang w:val="en-US" w:eastAsia="zh-CN"/>
              </w:rPr>
              <w:t>③水泵作隔声处理，水泵进、出管、管道穿越变形缝均设金属软管接头，密闭安装，水泵下部安装减振垫。</w:t>
            </w:r>
          </w:p>
          <w:p w14:paraId="47F3B6E5">
            <w:pPr>
              <w:spacing w:line="360" w:lineRule="auto"/>
              <w:ind w:firstLine="480" w:firstLineChars="200"/>
              <w:jc w:val="both"/>
              <w:rPr>
                <w:rFonts w:hint="eastAsia" w:asciiTheme="minorEastAsia" w:hAnsiTheme="minorEastAsia" w:eastAsiaTheme="minorEastAsia" w:cstheme="minorEastAsia"/>
                <w:color w:val="auto"/>
                <w:sz w:val="24"/>
                <w:highlight w:val="none"/>
                <w:u w:val="none" w:color="auto"/>
              </w:rPr>
            </w:pPr>
            <w:r>
              <w:rPr>
                <w:rFonts w:hint="eastAsia" w:asciiTheme="minorEastAsia" w:hAnsiTheme="minorEastAsia" w:eastAsiaTheme="minorEastAsia" w:cstheme="minorEastAsia"/>
                <w:color w:val="auto"/>
                <w:sz w:val="24"/>
                <w:highlight w:val="none"/>
                <w:u w:val="none" w:color="auto"/>
              </w:rPr>
              <w:t>④加强设备管理，对生产设备定期检查与维护，使设备保持良好的运行状况，降低运转时产生的噪声。</w:t>
            </w:r>
          </w:p>
          <w:p w14:paraId="523E2416">
            <w:pPr>
              <w:spacing w:line="360" w:lineRule="auto"/>
              <w:ind w:firstLine="480" w:firstLineChars="200"/>
              <w:jc w:val="both"/>
              <w:rPr>
                <w:rFonts w:hint="eastAsia" w:asciiTheme="minorEastAsia" w:hAnsiTheme="minorEastAsia" w:eastAsiaTheme="minorEastAsia" w:cstheme="minorEastAsia"/>
                <w:color w:val="auto"/>
                <w:sz w:val="24"/>
                <w:highlight w:val="none"/>
                <w:u w:val="none" w:color="auto"/>
              </w:rPr>
            </w:pPr>
            <w:r>
              <w:rPr>
                <w:rFonts w:hint="eastAsia" w:asciiTheme="minorEastAsia" w:hAnsiTheme="minorEastAsia" w:eastAsiaTheme="minorEastAsia" w:cstheme="minorEastAsia"/>
                <w:color w:val="auto"/>
                <w:sz w:val="24"/>
                <w:highlight w:val="none"/>
                <w:u w:val="none" w:color="auto"/>
              </w:rPr>
              <w:t>⑤进出车辆严禁鸣号，医院内低速行驶。</w:t>
            </w:r>
          </w:p>
          <w:p w14:paraId="74B56DC5">
            <w:pPr>
              <w:keepNext w:val="0"/>
              <w:keepLines w:val="0"/>
              <w:widowControl/>
              <w:suppressLineNumbers w:val="0"/>
              <w:ind w:firstLine="482" w:firstLineChars="200"/>
              <w:jc w:val="left"/>
              <w:rPr>
                <w:color w:val="FF0000"/>
                <w:highlight w:val="none"/>
                <w:u w:val="single" w:color="auto"/>
              </w:rPr>
            </w:pPr>
            <w:r>
              <w:rPr>
                <w:rFonts w:hint="default" w:eastAsia="宋体" w:cs="Times New Roman"/>
                <w:b/>
                <w:bCs/>
                <w:color w:val="FF0000"/>
                <w:kern w:val="0"/>
                <w:sz w:val="24"/>
                <w:szCs w:val="24"/>
                <w:highlight w:val="none"/>
                <w:u w:val="single" w:color="auto"/>
                <w:lang w:val="en-US" w:eastAsia="zh-CN" w:bidi="ar"/>
              </w:rPr>
              <w:t>4.</w:t>
            </w:r>
            <w:r>
              <w:rPr>
                <w:rFonts w:hint="eastAsia" w:cs="Times New Roman"/>
                <w:b/>
                <w:bCs/>
                <w:color w:val="FF0000"/>
                <w:kern w:val="0"/>
                <w:sz w:val="24"/>
                <w:szCs w:val="24"/>
                <w:highlight w:val="none"/>
                <w:u w:val="single" w:color="auto"/>
                <w:lang w:val="en-US" w:eastAsia="zh-CN" w:bidi="ar"/>
              </w:rPr>
              <w:t>4</w:t>
            </w:r>
            <w:r>
              <w:rPr>
                <w:rFonts w:hint="default" w:eastAsia="宋体" w:cs="Times New Roman"/>
                <w:b/>
                <w:bCs/>
                <w:color w:val="FF0000"/>
                <w:kern w:val="0"/>
                <w:sz w:val="24"/>
                <w:szCs w:val="24"/>
                <w:highlight w:val="none"/>
                <w:u w:val="single" w:color="auto"/>
                <w:lang w:val="en-US" w:eastAsia="zh-CN" w:bidi="ar"/>
              </w:rPr>
              <w:t>.</w:t>
            </w:r>
            <w:r>
              <w:rPr>
                <w:rFonts w:hint="eastAsia" w:cs="Times New Roman"/>
                <w:b/>
                <w:bCs/>
                <w:color w:val="FF0000"/>
                <w:kern w:val="0"/>
                <w:sz w:val="24"/>
                <w:szCs w:val="24"/>
                <w:highlight w:val="none"/>
                <w:u w:val="single" w:color="auto"/>
                <w:lang w:val="en-US" w:eastAsia="zh-CN" w:bidi="ar"/>
              </w:rPr>
              <w:t>3</w:t>
            </w:r>
            <w:r>
              <w:rPr>
                <w:rFonts w:hint="eastAsia" w:ascii="Times New Roman Regular" w:hAnsi="Times New Roman Regular" w:cs="Times New Roman Regular"/>
                <w:b/>
                <w:bCs w:val="0"/>
                <w:color w:val="FF0000"/>
                <w:kern w:val="0"/>
                <w:sz w:val="24"/>
                <w:szCs w:val="24"/>
                <w:highlight w:val="none"/>
                <w:u w:val="single" w:color="auto"/>
                <w:lang w:val="en-US" w:eastAsia="zh-CN" w:bidi="ar"/>
              </w:rPr>
              <w:t>外部环境对本项目造成的影响</w:t>
            </w:r>
          </w:p>
          <w:p w14:paraId="7545B0B6">
            <w:pPr>
              <w:keepNext w:val="0"/>
              <w:keepLines w:val="0"/>
              <w:widowControl/>
              <w:suppressLineNumbers w:val="0"/>
              <w:ind w:firstLine="480" w:firstLineChars="200"/>
              <w:jc w:val="both"/>
              <w:rPr>
                <w:rFonts w:hint="eastAsia" w:cs="宋体"/>
                <w:b w:val="0"/>
                <w:bCs w:val="0"/>
                <w:color w:val="FF0000"/>
                <w:kern w:val="0"/>
                <w:sz w:val="24"/>
                <w:szCs w:val="24"/>
                <w:highlight w:val="none"/>
                <w:u w:val="single" w:color="auto"/>
                <w:lang w:val="en-US" w:eastAsia="zh-CN" w:bidi="ar"/>
              </w:rPr>
            </w:pPr>
            <w:r>
              <w:rPr>
                <w:rFonts w:hint="eastAsia" w:cs="宋体"/>
                <w:b w:val="0"/>
                <w:bCs w:val="0"/>
                <w:color w:val="FF0000"/>
                <w:kern w:val="0"/>
                <w:sz w:val="24"/>
                <w:szCs w:val="24"/>
                <w:highlight w:val="none"/>
                <w:u w:val="single" w:color="auto"/>
                <w:lang w:val="en-US" w:eastAsia="zh-CN" w:bidi="ar"/>
              </w:rPr>
              <w:t>本项目为医院项目，建设地点为城市建成区，周边无工业企业，外部环境对医院的影响主要体现在道路噪声方面。医院自身属于声环境敏感目标，需要预防外界噪声对自身的影响，拟采取下列措施：</w:t>
            </w:r>
          </w:p>
          <w:p w14:paraId="3379BD88">
            <w:pPr>
              <w:keepNext w:val="0"/>
              <w:keepLines w:val="0"/>
              <w:widowControl/>
              <w:numPr>
                <w:ilvl w:val="0"/>
                <w:numId w:val="3"/>
              </w:numPr>
              <w:suppressLineNumbers w:val="0"/>
              <w:ind w:firstLine="480" w:firstLineChars="200"/>
              <w:jc w:val="both"/>
              <w:rPr>
                <w:rFonts w:hint="eastAsia" w:cs="宋体"/>
                <w:b w:val="0"/>
                <w:bCs w:val="0"/>
                <w:color w:val="FF0000"/>
                <w:kern w:val="0"/>
                <w:sz w:val="24"/>
                <w:szCs w:val="24"/>
                <w:highlight w:val="none"/>
                <w:u w:val="single" w:color="auto"/>
                <w:lang w:val="en-US" w:eastAsia="zh-CN" w:bidi="ar"/>
              </w:rPr>
            </w:pPr>
            <w:r>
              <w:rPr>
                <w:rFonts w:hint="eastAsia" w:cs="宋体"/>
                <w:b w:val="0"/>
                <w:bCs w:val="0"/>
                <w:color w:val="FF0000"/>
                <w:kern w:val="0"/>
                <w:sz w:val="24"/>
                <w:szCs w:val="24"/>
                <w:highlight w:val="none"/>
                <w:u w:val="single" w:color="auto"/>
                <w:lang w:val="en-US" w:eastAsia="zh-CN" w:bidi="ar"/>
              </w:rPr>
              <w:t>优化平面布局，将住院楼布置在园区的中央，远离四周道路，减少了交通噪声对住院楼的影响。</w:t>
            </w:r>
          </w:p>
          <w:p w14:paraId="06D1BC5D">
            <w:pPr>
              <w:keepNext w:val="0"/>
              <w:keepLines w:val="0"/>
              <w:widowControl/>
              <w:numPr>
                <w:ilvl w:val="0"/>
                <w:numId w:val="3"/>
              </w:numPr>
              <w:suppressLineNumbers w:val="0"/>
              <w:ind w:firstLine="480" w:firstLineChars="200"/>
              <w:jc w:val="both"/>
              <w:rPr>
                <w:rFonts w:hint="default" w:eastAsia="宋体" w:cs="宋体"/>
                <w:b w:val="0"/>
                <w:bCs w:val="0"/>
                <w:color w:val="FF0000"/>
                <w:kern w:val="0"/>
                <w:sz w:val="24"/>
                <w:szCs w:val="24"/>
                <w:highlight w:val="none"/>
                <w:u w:val="single" w:color="auto"/>
                <w:lang w:val="en-US" w:eastAsia="zh-CN" w:bidi="ar"/>
              </w:rPr>
            </w:pPr>
            <w:r>
              <w:rPr>
                <w:rFonts w:hint="eastAsia" w:cs="宋体"/>
                <w:b w:val="0"/>
                <w:bCs w:val="0"/>
                <w:color w:val="FF0000"/>
                <w:kern w:val="0"/>
                <w:sz w:val="24"/>
                <w:szCs w:val="24"/>
                <w:highlight w:val="none"/>
                <w:u w:val="single" w:color="auto"/>
                <w:lang w:val="en-US" w:eastAsia="zh-CN" w:bidi="ar"/>
              </w:rPr>
              <w:t>住院楼及办公楼均采用双层隔声玻璃，进一步减少了道路噪声和院内噪声对室内的影响。</w:t>
            </w:r>
          </w:p>
          <w:p w14:paraId="59B791F1">
            <w:pPr>
              <w:keepNext w:val="0"/>
              <w:keepLines w:val="0"/>
              <w:widowControl/>
              <w:numPr>
                <w:ilvl w:val="0"/>
                <w:numId w:val="3"/>
              </w:numPr>
              <w:suppressLineNumbers w:val="0"/>
              <w:ind w:firstLine="480" w:firstLineChars="200"/>
              <w:jc w:val="both"/>
              <w:rPr>
                <w:rFonts w:hint="default" w:eastAsia="宋体" w:cs="宋体"/>
                <w:b w:val="0"/>
                <w:bCs w:val="0"/>
                <w:color w:val="FF0000"/>
                <w:kern w:val="0"/>
                <w:sz w:val="24"/>
                <w:szCs w:val="24"/>
                <w:highlight w:val="none"/>
                <w:u w:val="none" w:color="auto"/>
                <w:lang w:val="en-US" w:eastAsia="zh-CN" w:bidi="ar"/>
              </w:rPr>
            </w:pPr>
            <w:r>
              <w:rPr>
                <w:rFonts w:hint="eastAsia" w:cs="宋体"/>
                <w:b w:val="0"/>
                <w:bCs w:val="0"/>
                <w:color w:val="FF0000"/>
                <w:kern w:val="0"/>
                <w:sz w:val="24"/>
                <w:szCs w:val="24"/>
                <w:highlight w:val="none"/>
                <w:u w:val="single" w:color="auto"/>
                <w:lang w:val="en-US" w:eastAsia="zh-CN" w:bidi="ar"/>
              </w:rPr>
              <w:t>周边道路建议设置减速、禁鸣标志，进一步控制交通噪声。</w:t>
            </w:r>
          </w:p>
          <w:p w14:paraId="3CD392CC">
            <w:pPr>
              <w:keepNext w:val="0"/>
              <w:keepLines w:val="0"/>
              <w:widowControl/>
              <w:suppressLineNumbers w:val="0"/>
              <w:ind w:firstLine="482" w:firstLineChars="200"/>
              <w:jc w:val="left"/>
              <w:rPr>
                <w:color w:val="auto"/>
                <w:highlight w:val="none"/>
                <w:u w:val="none" w:color="auto"/>
              </w:rPr>
            </w:pPr>
            <w:r>
              <w:rPr>
                <w:rFonts w:hint="default" w:eastAsia="宋体" w:cs="Times New Roman"/>
                <w:b/>
                <w:bCs/>
                <w:color w:val="auto"/>
                <w:kern w:val="0"/>
                <w:sz w:val="24"/>
                <w:szCs w:val="24"/>
                <w:highlight w:val="none"/>
                <w:u w:val="none" w:color="auto"/>
                <w:lang w:val="en-US" w:eastAsia="zh-CN" w:bidi="ar"/>
              </w:rPr>
              <w:t>4.</w:t>
            </w:r>
            <w:r>
              <w:rPr>
                <w:rFonts w:hint="eastAsia" w:cs="Times New Roman"/>
                <w:b/>
                <w:bCs/>
                <w:color w:val="auto"/>
                <w:kern w:val="0"/>
                <w:sz w:val="24"/>
                <w:szCs w:val="24"/>
                <w:highlight w:val="none"/>
                <w:u w:val="none" w:color="auto"/>
                <w:lang w:val="en-US" w:eastAsia="zh-CN" w:bidi="ar"/>
              </w:rPr>
              <w:t>4</w:t>
            </w:r>
            <w:r>
              <w:rPr>
                <w:rFonts w:hint="default" w:eastAsia="宋体" w:cs="Times New Roman"/>
                <w:b/>
                <w:bCs/>
                <w:color w:val="auto"/>
                <w:kern w:val="0"/>
                <w:sz w:val="24"/>
                <w:szCs w:val="24"/>
                <w:highlight w:val="none"/>
                <w:u w:val="none" w:color="auto"/>
                <w:lang w:val="en-US" w:eastAsia="zh-CN" w:bidi="ar"/>
              </w:rPr>
              <w:t>.</w:t>
            </w:r>
            <w:r>
              <w:rPr>
                <w:rFonts w:hint="eastAsia" w:cs="Times New Roman"/>
                <w:b/>
                <w:bCs/>
                <w:color w:val="auto"/>
                <w:kern w:val="0"/>
                <w:sz w:val="24"/>
                <w:szCs w:val="24"/>
                <w:highlight w:val="none"/>
                <w:u w:val="none" w:color="auto"/>
                <w:lang w:val="en-US" w:eastAsia="zh-CN" w:bidi="ar"/>
              </w:rPr>
              <w:t>4</w:t>
            </w:r>
            <w:r>
              <w:rPr>
                <w:rFonts w:hint="default" w:ascii="Times New Roman Regular" w:hAnsi="Times New Roman Regular" w:eastAsia="宋体" w:cs="Times New Roman Regular"/>
                <w:b/>
                <w:bCs w:val="0"/>
                <w:color w:val="auto"/>
                <w:kern w:val="0"/>
                <w:sz w:val="24"/>
                <w:szCs w:val="24"/>
                <w:highlight w:val="none"/>
                <w:u w:val="none" w:color="auto"/>
                <w:lang w:val="en-US" w:eastAsia="zh-CN" w:bidi="ar"/>
              </w:rPr>
              <w:t>噪声</w:t>
            </w:r>
            <w:r>
              <w:rPr>
                <w:rFonts w:hint="eastAsia" w:ascii="宋体" w:hAnsi="宋体" w:eastAsia="宋体" w:cs="宋体"/>
                <w:b/>
                <w:bCs/>
                <w:color w:val="auto"/>
                <w:kern w:val="0"/>
                <w:sz w:val="24"/>
                <w:szCs w:val="24"/>
                <w:highlight w:val="none"/>
                <w:u w:val="none" w:color="auto"/>
                <w:lang w:val="en-US" w:eastAsia="zh-CN" w:bidi="ar"/>
              </w:rPr>
              <w:t>污染监测计划</w:t>
            </w:r>
          </w:p>
          <w:p w14:paraId="74B6A28E">
            <w:pPr>
              <w:keepNext w:val="0"/>
              <w:keepLines w:val="0"/>
              <w:widowControl/>
              <w:suppressLineNumbers w:val="0"/>
              <w:ind w:firstLine="480" w:firstLineChars="200"/>
              <w:jc w:val="left"/>
              <w:rPr>
                <w:rFonts w:hint="eastAsia" w:ascii="宋体" w:hAnsi="宋体" w:eastAsia="宋体" w:cs="宋体"/>
                <w:color w:val="auto"/>
                <w:kern w:val="0"/>
                <w:sz w:val="24"/>
                <w:szCs w:val="24"/>
                <w:highlight w:val="none"/>
                <w:u w:val="none" w:color="auto"/>
                <w:lang w:val="en-US" w:eastAsia="zh-CN" w:bidi="ar"/>
              </w:rPr>
            </w:pPr>
            <w:r>
              <w:rPr>
                <w:rFonts w:hint="eastAsia"/>
                <w:color w:val="auto"/>
                <w:highlight w:val="none"/>
                <w:u w:val="none" w:color="auto"/>
                <w:lang w:eastAsia="zh-CN"/>
              </w:rPr>
              <w:t>本项目为医院项目，不属于产噪单位，</w:t>
            </w:r>
            <w:r>
              <w:rPr>
                <w:rFonts w:hint="eastAsia" w:ascii="宋体" w:hAnsi="宋体" w:eastAsia="宋体" w:cs="宋体"/>
                <w:color w:val="auto"/>
                <w:kern w:val="0"/>
                <w:sz w:val="24"/>
                <w:szCs w:val="24"/>
                <w:highlight w:val="none"/>
                <w:u w:val="none" w:color="auto"/>
                <w:lang w:val="en-US" w:eastAsia="zh-CN" w:bidi="ar"/>
              </w:rPr>
              <w:t>《排污许可证申请与核发技术规范 医疗机构》（</w:t>
            </w:r>
            <w:r>
              <w:rPr>
                <w:rFonts w:hint="default" w:ascii="Times New Roman" w:hAnsi="Times New Roman" w:eastAsia="宋体" w:cs="Times New Roman"/>
                <w:color w:val="auto"/>
                <w:kern w:val="0"/>
                <w:sz w:val="24"/>
                <w:szCs w:val="24"/>
                <w:highlight w:val="none"/>
                <w:u w:val="none" w:color="auto"/>
                <w:lang w:val="en-US" w:eastAsia="zh-CN" w:bidi="ar"/>
              </w:rPr>
              <w:t>HJ1105-2020</w:t>
            </w:r>
            <w:r>
              <w:rPr>
                <w:rFonts w:hint="eastAsia" w:ascii="宋体" w:hAnsi="宋体" w:eastAsia="宋体" w:cs="宋体"/>
                <w:color w:val="auto"/>
                <w:kern w:val="0"/>
                <w:sz w:val="24"/>
                <w:szCs w:val="24"/>
                <w:highlight w:val="none"/>
                <w:u w:val="none" w:color="auto"/>
                <w:lang w:val="en-US" w:eastAsia="zh-CN" w:bidi="ar"/>
              </w:rPr>
              <w:t>）</w:t>
            </w:r>
            <w:r>
              <w:rPr>
                <w:rFonts w:hint="eastAsia" w:ascii="宋体" w:hAnsi="宋体" w:cs="宋体"/>
                <w:color w:val="auto"/>
                <w:kern w:val="0"/>
                <w:sz w:val="24"/>
                <w:szCs w:val="24"/>
                <w:highlight w:val="none"/>
                <w:u w:val="none" w:color="auto"/>
                <w:lang w:val="en-US" w:eastAsia="zh-CN" w:bidi="ar"/>
              </w:rPr>
              <w:t>中并未对噪声自行监测提出相应要求，</w:t>
            </w:r>
            <w:r>
              <w:rPr>
                <w:rFonts w:hint="eastAsia"/>
                <w:color w:val="auto"/>
                <w:u w:val="none" w:color="auto"/>
                <w:lang w:eastAsia="zh-CN"/>
              </w:rPr>
              <w:t>建议院方根据自身需求开展噪声自行监测</w:t>
            </w:r>
            <w:r>
              <w:rPr>
                <w:rFonts w:hint="eastAsia" w:ascii="宋体" w:hAnsi="宋体" w:eastAsia="宋体" w:cs="宋体"/>
                <w:color w:val="auto"/>
                <w:kern w:val="0"/>
                <w:sz w:val="24"/>
                <w:szCs w:val="24"/>
                <w:highlight w:val="none"/>
                <w:u w:val="none" w:color="auto"/>
                <w:lang w:val="en-US" w:eastAsia="zh-CN" w:bidi="ar"/>
              </w:rPr>
              <w:t>，</w:t>
            </w:r>
            <w:r>
              <w:rPr>
                <w:color w:val="auto"/>
                <w:highlight w:val="none"/>
                <w:u w:val="none" w:color="auto"/>
              </w:rPr>
              <w:t>具体监测工作可委托有资质单位进行，执行本项目环境影响评价中的标准，运营期</w:t>
            </w:r>
            <w:r>
              <w:rPr>
                <w:rFonts w:hint="eastAsia"/>
                <w:color w:val="auto"/>
                <w:highlight w:val="none"/>
                <w:u w:val="none" w:color="auto"/>
              </w:rPr>
              <w:t>噪声</w:t>
            </w:r>
            <w:r>
              <w:rPr>
                <w:color w:val="auto"/>
                <w:highlight w:val="none"/>
                <w:u w:val="none" w:color="auto"/>
              </w:rPr>
              <w:t>环境监测计划如下：</w:t>
            </w:r>
          </w:p>
          <w:p w14:paraId="3C9F519A">
            <w:pPr>
              <w:pStyle w:val="54"/>
              <w:widowControl w:val="0"/>
              <w:ind w:firstLine="0" w:firstLineChars="0"/>
              <w:jc w:val="center"/>
              <w:rPr>
                <w:b/>
                <w:bCs/>
                <w:snapToGrid w:val="0"/>
                <w:color w:val="auto"/>
                <w:sz w:val="21"/>
                <w:szCs w:val="21"/>
                <w:highlight w:val="none"/>
                <w:u w:val="none" w:color="auto"/>
              </w:rPr>
            </w:pPr>
            <w:r>
              <w:rPr>
                <w:b/>
                <w:bCs/>
                <w:snapToGrid w:val="0"/>
                <w:color w:val="auto"/>
                <w:sz w:val="21"/>
                <w:szCs w:val="21"/>
                <w:highlight w:val="none"/>
                <w:u w:val="none" w:color="auto"/>
              </w:rPr>
              <w:t>表4-</w:t>
            </w:r>
            <w:r>
              <w:rPr>
                <w:rFonts w:hint="eastAsia"/>
                <w:b/>
                <w:bCs/>
                <w:snapToGrid w:val="0"/>
                <w:color w:val="auto"/>
                <w:sz w:val="21"/>
                <w:szCs w:val="21"/>
                <w:highlight w:val="none"/>
                <w:u w:val="none" w:color="auto"/>
                <w:lang w:val="en-US" w:eastAsia="zh-CN"/>
              </w:rPr>
              <w:t xml:space="preserve">13  </w:t>
            </w:r>
            <w:r>
              <w:rPr>
                <w:b/>
                <w:bCs/>
                <w:snapToGrid w:val="0"/>
                <w:color w:val="auto"/>
                <w:sz w:val="21"/>
                <w:szCs w:val="21"/>
                <w:highlight w:val="none"/>
                <w:u w:val="none" w:color="auto"/>
              </w:rPr>
              <w:t>项目运营期</w:t>
            </w:r>
            <w:r>
              <w:rPr>
                <w:rFonts w:hint="eastAsia"/>
                <w:b/>
                <w:bCs/>
                <w:snapToGrid w:val="0"/>
                <w:color w:val="auto"/>
                <w:sz w:val="21"/>
                <w:szCs w:val="21"/>
                <w:highlight w:val="none"/>
                <w:u w:val="none" w:color="auto"/>
              </w:rPr>
              <w:t>噪声</w:t>
            </w:r>
            <w:r>
              <w:rPr>
                <w:b/>
                <w:bCs/>
                <w:snapToGrid w:val="0"/>
                <w:color w:val="auto"/>
                <w:sz w:val="21"/>
                <w:szCs w:val="21"/>
                <w:highlight w:val="none"/>
                <w:u w:val="none" w:color="auto"/>
              </w:rPr>
              <w:t>环境监测计划一览表</w:t>
            </w:r>
          </w:p>
          <w:tbl>
            <w:tblPr>
              <w:tblStyle w:val="3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1771"/>
              <w:gridCol w:w="1747"/>
              <w:gridCol w:w="1381"/>
              <w:gridCol w:w="3461"/>
            </w:tblGrid>
            <w:tr w14:paraId="3638D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29" w:type="pct"/>
                  <w:tcBorders>
                    <w:top w:val="single" w:color="auto" w:sz="4" w:space="0"/>
                    <w:left w:val="single" w:color="auto" w:sz="4" w:space="0"/>
                    <w:bottom w:val="single" w:color="auto" w:sz="4" w:space="0"/>
                    <w:right w:val="single" w:color="auto" w:sz="4" w:space="0"/>
                  </w:tcBorders>
                  <w:vAlign w:val="center"/>
                </w:tcPr>
                <w:p w14:paraId="3B0C9FDD">
                  <w:pPr>
                    <w:pStyle w:val="59"/>
                    <w:rPr>
                      <w:b/>
                      <w:bCs/>
                      <w:color w:val="auto"/>
                      <w:highlight w:val="none"/>
                      <w:u w:val="none" w:color="auto"/>
                    </w:rPr>
                  </w:pPr>
                  <w:r>
                    <w:rPr>
                      <w:b/>
                      <w:bCs/>
                      <w:color w:val="auto"/>
                      <w:highlight w:val="none"/>
                      <w:u w:val="none" w:color="auto"/>
                    </w:rPr>
                    <w:t>项目</w:t>
                  </w:r>
                </w:p>
              </w:tc>
              <w:tc>
                <w:tcPr>
                  <w:tcW w:w="968" w:type="pct"/>
                  <w:tcBorders>
                    <w:top w:val="single" w:color="auto" w:sz="4" w:space="0"/>
                    <w:left w:val="nil"/>
                    <w:bottom w:val="single" w:color="auto" w:sz="4" w:space="0"/>
                    <w:right w:val="single" w:color="auto" w:sz="4" w:space="0"/>
                  </w:tcBorders>
                  <w:vAlign w:val="center"/>
                </w:tcPr>
                <w:p w14:paraId="768FD923">
                  <w:pPr>
                    <w:pStyle w:val="59"/>
                    <w:rPr>
                      <w:b/>
                      <w:bCs/>
                      <w:color w:val="auto"/>
                      <w:highlight w:val="none"/>
                      <w:u w:val="none" w:color="auto"/>
                    </w:rPr>
                  </w:pPr>
                  <w:r>
                    <w:rPr>
                      <w:b/>
                      <w:bCs/>
                      <w:color w:val="auto"/>
                      <w:highlight w:val="none"/>
                      <w:u w:val="none" w:color="auto"/>
                    </w:rPr>
                    <w:t>监测位置</w:t>
                  </w:r>
                </w:p>
              </w:tc>
              <w:tc>
                <w:tcPr>
                  <w:tcW w:w="955" w:type="pct"/>
                  <w:tcBorders>
                    <w:top w:val="single" w:color="auto" w:sz="4" w:space="0"/>
                    <w:left w:val="nil"/>
                    <w:bottom w:val="single" w:color="auto" w:sz="4" w:space="0"/>
                    <w:right w:val="single" w:color="auto" w:sz="4" w:space="0"/>
                  </w:tcBorders>
                  <w:vAlign w:val="center"/>
                </w:tcPr>
                <w:p w14:paraId="52F6FD2E">
                  <w:pPr>
                    <w:pStyle w:val="59"/>
                    <w:rPr>
                      <w:b/>
                      <w:bCs/>
                      <w:color w:val="auto"/>
                      <w:highlight w:val="none"/>
                      <w:u w:val="none" w:color="auto"/>
                    </w:rPr>
                  </w:pPr>
                  <w:r>
                    <w:rPr>
                      <w:b/>
                      <w:bCs/>
                      <w:color w:val="auto"/>
                      <w:highlight w:val="none"/>
                      <w:u w:val="none" w:color="auto"/>
                    </w:rPr>
                    <w:t>监测项目</w:t>
                  </w:r>
                </w:p>
              </w:tc>
              <w:tc>
                <w:tcPr>
                  <w:tcW w:w="755" w:type="pct"/>
                  <w:tcBorders>
                    <w:top w:val="single" w:color="auto" w:sz="4" w:space="0"/>
                    <w:left w:val="nil"/>
                    <w:bottom w:val="single" w:color="auto" w:sz="4" w:space="0"/>
                    <w:right w:val="single" w:color="auto" w:sz="4" w:space="0"/>
                  </w:tcBorders>
                  <w:vAlign w:val="center"/>
                </w:tcPr>
                <w:p w14:paraId="7C2A550F">
                  <w:pPr>
                    <w:pStyle w:val="59"/>
                    <w:rPr>
                      <w:b/>
                      <w:bCs/>
                      <w:color w:val="auto"/>
                      <w:highlight w:val="none"/>
                      <w:u w:val="none" w:color="auto"/>
                    </w:rPr>
                  </w:pPr>
                  <w:r>
                    <w:rPr>
                      <w:b/>
                      <w:bCs/>
                      <w:color w:val="auto"/>
                      <w:highlight w:val="none"/>
                      <w:u w:val="none" w:color="auto"/>
                    </w:rPr>
                    <w:t>监测频次</w:t>
                  </w:r>
                </w:p>
              </w:tc>
              <w:tc>
                <w:tcPr>
                  <w:tcW w:w="1891" w:type="pct"/>
                  <w:tcBorders>
                    <w:top w:val="single" w:color="auto" w:sz="4" w:space="0"/>
                    <w:left w:val="nil"/>
                    <w:bottom w:val="single" w:color="auto" w:sz="4" w:space="0"/>
                    <w:right w:val="single" w:color="auto" w:sz="4" w:space="0"/>
                  </w:tcBorders>
                  <w:vAlign w:val="center"/>
                </w:tcPr>
                <w:p w14:paraId="300268A9">
                  <w:pPr>
                    <w:pStyle w:val="59"/>
                    <w:rPr>
                      <w:rFonts w:hint="eastAsia" w:eastAsia="宋体"/>
                      <w:b/>
                      <w:bCs/>
                      <w:color w:val="auto"/>
                      <w:highlight w:val="none"/>
                      <w:u w:val="none" w:color="auto"/>
                      <w:lang w:val="en-US" w:eastAsia="zh-CN"/>
                    </w:rPr>
                  </w:pPr>
                  <w:r>
                    <w:rPr>
                      <w:rFonts w:hint="eastAsia"/>
                      <w:b/>
                      <w:bCs/>
                      <w:color w:val="auto"/>
                      <w:highlight w:val="none"/>
                      <w:u w:val="none" w:color="auto"/>
                      <w:lang w:val="en-US" w:eastAsia="zh-CN"/>
                    </w:rPr>
                    <w:t>执行标准</w:t>
                  </w:r>
                </w:p>
              </w:tc>
            </w:tr>
            <w:tr w14:paraId="49655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29" w:type="pct"/>
                  <w:tcBorders>
                    <w:top w:val="single" w:color="auto" w:sz="4" w:space="0"/>
                    <w:left w:val="single" w:color="auto" w:sz="4" w:space="0"/>
                    <w:bottom w:val="single" w:color="auto" w:sz="4" w:space="0"/>
                    <w:right w:val="single" w:color="auto" w:sz="4" w:space="0"/>
                  </w:tcBorders>
                  <w:vAlign w:val="center"/>
                </w:tcPr>
                <w:p w14:paraId="7F9CF845">
                  <w:pPr>
                    <w:pStyle w:val="59"/>
                    <w:spacing w:line="240" w:lineRule="auto"/>
                    <w:rPr>
                      <w:color w:val="auto"/>
                      <w:highlight w:val="none"/>
                      <w:u w:val="none" w:color="auto"/>
                    </w:rPr>
                  </w:pPr>
                  <w:r>
                    <w:rPr>
                      <w:color w:val="auto"/>
                      <w:highlight w:val="none"/>
                      <w:u w:val="none" w:color="auto"/>
                    </w:rPr>
                    <w:t>噪声</w:t>
                  </w:r>
                </w:p>
              </w:tc>
              <w:tc>
                <w:tcPr>
                  <w:tcW w:w="968" w:type="pct"/>
                  <w:tcBorders>
                    <w:top w:val="single" w:color="auto" w:sz="4" w:space="0"/>
                    <w:left w:val="nil"/>
                    <w:bottom w:val="single" w:color="auto" w:sz="4" w:space="0"/>
                    <w:right w:val="single" w:color="auto" w:sz="4" w:space="0"/>
                  </w:tcBorders>
                  <w:vAlign w:val="center"/>
                </w:tcPr>
                <w:p w14:paraId="68070FD0">
                  <w:pPr>
                    <w:pStyle w:val="59"/>
                    <w:spacing w:line="240" w:lineRule="auto"/>
                    <w:rPr>
                      <w:rFonts w:hint="default" w:eastAsia="宋体"/>
                      <w:color w:val="auto"/>
                      <w:highlight w:val="none"/>
                      <w:u w:val="none" w:color="auto"/>
                      <w:lang w:val="en-US" w:eastAsia="zh-CN"/>
                    </w:rPr>
                  </w:pPr>
                  <w:r>
                    <w:rPr>
                      <w:color w:val="auto"/>
                      <w:highlight w:val="none"/>
                      <w:u w:val="none" w:color="auto"/>
                    </w:rPr>
                    <w:t>厂界四周</w:t>
                  </w:r>
                  <w:r>
                    <w:rPr>
                      <w:rFonts w:hint="eastAsia"/>
                      <w:color w:val="auto"/>
                      <w:highlight w:val="none"/>
                      <w:u w:val="none" w:color="auto"/>
                      <w:lang w:val="en-US" w:eastAsia="zh-CN"/>
                    </w:rPr>
                    <w:t>1m处</w:t>
                  </w:r>
                </w:p>
              </w:tc>
              <w:tc>
                <w:tcPr>
                  <w:tcW w:w="955" w:type="pct"/>
                  <w:tcBorders>
                    <w:top w:val="single" w:color="auto" w:sz="4" w:space="0"/>
                    <w:left w:val="nil"/>
                    <w:bottom w:val="single" w:color="auto" w:sz="4" w:space="0"/>
                    <w:right w:val="single" w:color="auto" w:sz="4" w:space="0"/>
                  </w:tcBorders>
                  <w:vAlign w:val="center"/>
                </w:tcPr>
                <w:p w14:paraId="362ABCB7">
                  <w:pPr>
                    <w:pStyle w:val="59"/>
                    <w:spacing w:line="240" w:lineRule="auto"/>
                    <w:rPr>
                      <w:color w:val="auto"/>
                      <w:highlight w:val="none"/>
                      <w:u w:val="none" w:color="auto"/>
                    </w:rPr>
                  </w:pPr>
                  <w:r>
                    <w:rPr>
                      <w:color w:val="auto"/>
                      <w:highlight w:val="none"/>
                      <w:u w:val="none" w:color="auto"/>
                    </w:rPr>
                    <w:t>等效连续A声级</w:t>
                  </w:r>
                </w:p>
              </w:tc>
              <w:tc>
                <w:tcPr>
                  <w:tcW w:w="755" w:type="pct"/>
                  <w:tcBorders>
                    <w:top w:val="single" w:color="auto" w:sz="4" w:space="0"/>
                    <w:left w:val="nil"/>
                    <w:bottom w:val="single" w:color="auto" w:sz="4" w:space="0"/>
                    <w:right w:val="single" w:color="auto" w:sz="4" w:space="0"/>
                  </w:tcBorders>
                  <w:vAlign w:val="center"/>
                </w:tcPr>
                <w:p w14:paraId="292524D7">
                  <w:pPr>
                    <w:pStyle w:val="59"/>
                    <w:spacing w:line="240" w:lineRule="auto"/>
                    <w:rPr>
                      <w:rFonts w:hint="eastAsia"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lang w:val="en-US" w:eastAsia="zh-CN"/>
                    </w:rPr>
                    <w:t>1</w:t>
                  </w:r>
                  <w:r>
                    <w:rPr>
                      <w:rFonts w:hint="eastAsia" w:cs="Times New Roman"/>
                      <w:color w:val="auto"/>
                      <w:highlight w:val="none"/>
                      <w:u w:val="none" w:color="auto"/>
                      <w:lang w:eastAsia="zh-CN"/>
                    </w:rPr>
                    <w:t>年</w:t>
                  </w:r>
                  <w:r>
                    <w:rPr>
                      <w:rFonts w:hint="eastAsia" w:cs="Times New Roman"/>
                      <w:color w:val="auto"/>
                      <w:highlight w:val="none"/>
                      <w:u w:val="none" w:color="auto"/>
                      <w:lang w:val="en-US" w:eastAsia="zh-CN"/>
                    </w:rPr>
                    <w:t>1</w:t>
                  </w:r>
                  <w:r>
                    <w:rPr>
                      <w:rFonts w:ascii="Times New Roman" w:hAnsi="Times New Roman" w:eastAsia="宋体" w:cs="Times New Roman"/>
                      <w:color w:val="auto"/>
                      <w:highlight w:val="none"/>
                      <w:u w:val="none" w:color="auto"/>
                    </w:rPr>
                    <w:t>次</w:t>
                  </w:r>
                  <w:r>
                    <w:rPr>
                      <w:rFonts w:hint="eastAsia" w:cs="Times New Roman"/>
                      <w:color w:val="auto"/>
                      <w:highlight w:val="none"/>
                      <w:u w:val="none" w:color="auto"/>
                      <w:lang w:val="en-US" w:eastAsia="zh-CN"/>
                    </w:rPr>
                    <w:t>或根据需要开展</w:t>
                  </w:r>
                </w:p>
              </w:tc>
              <w:tc>
                <w:tcPr>
                  <w:tcW w:w="1891" w:type="pct"/>
                  <w:tcBorders>
                    <w:top w:val="single" w:color="auto" w:sz="4" w:space="0"/>
                    <w:left w:val="nil"/>
                    <w:bottom w:val="single" w:color="auto" w:sz="4" w:space="0"/>
                    <w:right w:val="single" w:color="auto" w:sz="4" w:space="0"/>
                  </w:tcBorders>
                  <w:vAlign w:val="center"/>
                </w:tcPr>
                <w:p w14:paraId="25E92242">
                  <w:pPr>
                    <w:pStyle w:val="59"/>
                    <w:spacing w:line="240" w:lineRule="auto"/>
                    <w:rPr>
                      <w:rFonts w:hint="default" w:ascii="Times New Roman" w:hAnsi="Times New Roman" w:eastAsia="宋体" w:cs="Times New Roman"/>
                      <w:color w:val="auto"/>
                      <w:highlight w:val="none"/>
                      <w:u w:val="none" w:color="auto"/>
                      <w:lang w:val="en-US"/>
                    </w:rPr>
                  </w:pPr>
                  <w:r>
                    <w:rPr>
                      <w:rFonts w:hint="eastAsia" w:ascii="Times New Roman" w:hAnsi="Times New Roman" w:eastAsia="宋体" w:cs="Times New Roman"/>
                      <w:color w:val="auto"/>
                      <w:highlight w:val="none"/>
                      <w:u w:val="none" w:color="auto"/>
                      <w:lang w:val="en-US" w:eastAsia="zh-CN"/>
                    </w:rPr>
                    <w:t>《工业企业厂界环境噪声排放标准》（GB12348-2008）中的2类标准</w:t>
                  </w:r>
                </w:p>
              </w:tc>
            </w:tr>
          </w:tbl>
          <w:p w14:paraId="0486336F">
            <w:pPr>
              <w:pStyle w:val="54"/>
              <w:widowControl w:val="0"/>
              <w:ind w:firstLine="482"/>
              <w:rPr>
                <w:rFonts w:cs="宋体"/>
                <w:bCs/>
                <w:color w:val="auto"/>
                <w:highlight w:val="none"/>
                <w:u w:val="none" w:color="auto"/>
                <w:lang w:bidi="ar"/>
              </w:rPr>
            </w:pPr>
            <w:r>
              <w:rPr>
                <w:rFonts w:hint="eastAsia" w:cs="宋体"/>
                <w:b/>
                <w:color w:val="auto"/>
                <w:highlight w:val="none"/>
                <w:u w:val="none" w:color="auto"/>
                <w:lang w:bidi="ar"/>
              </w:rPr>
              <w:t>4</w:t>
            </w:r>
            <w:r>
              <w:rPr>
                <w:rFonts w:cs="宋体"/>
                <w:b/>
                <w:color w:val="auto"/>
                <w:highlight w:val="none"/>
                <w:u w:val="none" w:color="auto"/>
                <w:lang w:bidi="ar"/>
              </w:rPr>
              <w:t>.</w:t>
            </w:r>
            <w:r>
              <w:rPr>
                <w:rFonts w:hint="eastAsia" w:cs="宋体"/>
                <w:b/>
                <w:color w:val="auto"/>
                <w:highlight w:val="none"/>
                <w:u w:val="none" w:color="auto"/>
                <w:lang w:val="en-US" w:eastAsia="zh-CN" w:bidi="ar"/>
              </w:rPr>
              <w:t>5</w:t>
            </w:r>
            <w:r>
              <w:rPr>
                <w:rFonts w:hint="eastAsia" w:cs="宋体"/>
                <w:b/>
                <w:color w:val="auto"/>
                <w:highlight w:val="none"/>
                <w:u w:val="none" w:color="auto"/>
                <w:lang w:bidi="ar"/>
              </w:rPr>
              <w:t>运营期固体废物环境影响和</w:t>
            </w:r>
            <w:r>
              <w:rPr>
                <w:rFonts w:hint="eastAsia" w:cs="宋体"/>
                <w:b/>
                <w:color w:val="auto"/>
                <w:highlight w:val="none"/>
                <w:u w:val="none" w:color="auto"/>
                <w:lang w:val="en-US" w:eastAsia="zh-CN" w:bidi="ar"/>
              </w:rPr>
              <w:t>保护</w:t>
            </w:r>
            <w:r>
              <w:rPr>
                <w:rFonts w:hint="eastAsia" w:cs="宋体"/>
                <w:b/>
                <w:color w:val="auto"/>
                <w:highlight w:val="none"/>
                <w:u w:val="none" w:color="auto"/>
                <w:lang w:bidi="ar"/>
              </w:rPr>
              <w:t>措施</w:t>
            </w:r>
          </w:p>
          <w:p w14:paraId="649F5E2A">
            <w:pPr>
              <w:pStyle w:val="54"/>
              <w:widowControl w:val="0"/>
              <w:ind w:firstLine="482"/>
              <w:rPr>
                <w:rFonts w:hint="default" w:cs="宋体"/>
                <w:b/>
                <w:color w:val="auto"/>
                <w:highlight w:val="none"/>
                <w:u w:val="none" w:color="auto"/>
                <w:lang w:val="en-US" w:bidi="ar"/>
              </w:rPr>
            </w:pPr>
            <w:r>
              <w:rPr>
                <w:rFonts w:hint="eastAsia" w:cs="宋体"/>
                <w:b/>
                <w:color w:val="auto"/>
                <w:highlight w:val="none"/>
                <w:u w:val="none" w:color="auto"/>
                <w:lang w:val="en-US" w:eastAsia="zh-CN" w:bidi="ar"/>
              </w:rPr>
              <w:t>4.5.1固体废物产生及处置情况</w:t>
            </w:r>
          </w:p>
          <w:p w14:paraId="33F0B8C9">
            <w:pPr>
              <w:keepNext w:val="0"/>
              <w:keepLines w:val="0"/>
              <w:widowControl/>
              <w:suppressLineNumbers w:val="0"/>
              <w:ind w:firstLine="480" w:firstLineChars="200"/>
              <w:jc w:val="left"/>
              <w:rPr>
                <w:color w:val="auto"/>
                <w:highlight w:val="none"/>
                <w:u w:val="single" w:color="auto"/>
              </w:rPr>
            </w:pPr>
            <w:r>
              <w:rPr>
                <w:rFonts w:hint="eastAsia" w:ascii="宋体" w:hAnsi="宋体" w:eastAsia="宋体" w:cs="宋体"/>
                <w:color w:val="auto"/>
                <w:kern w:val="0"/>
                <w:sz w:val="24"/>
                <w:szCs w:val="24"/>
                <w:highlight w:val="none"/>
                <w:u w:val="single" w:color="auto"/>
                <w:lang w:val="en-US" w:eastAsia="zh-CN" w:bidi="ar"/>
              </w:rPr>
              <w:t>本项目固体废物主要有医疗废物</w:t>
            </w:r>
            <w:r>
              <w:rPr>
                <w:rFonts w:hint="eastAsia" w:ascii="宋体" w:hAnsi="宋体" w:cs="宋体"/>
                <w:color w:val="auto"/>
                <w:kern w:val="0"/>
                <w:sz w:val="24"/>
                <w:szCs w:val="24"/>
                <w:highlight w:val="none"/>
                <w:u w:val="single" w:color="auto"/>
                <w:lang w:val="en-US" w:eastAsia="zh-CN" w:bidi="ar"/>
              </w:rPr>
              <w:t>、</w:t>
            </w:r>
            <w:r>
              <w:rPr>
                <w:rFonts w:hint="eastAsia" w:ascii="宋体" w:hAnsi="宋体" w:eastAsia="宋体" w:cs="宋体"/>
                <w:color w:val="auto"/>
                <w:kern w:val="0"/>
                <w:sz w:val="24"/>
                <w:szCs w:val="24"/>
                <w:highlight w:val="none"/>
                <w:u w:val="single" w:color="auto"/>
                <w:lang w:val="en-US" w:eastAsia="zh-CN" w:bidi="ar"/>
              </w:rPr>
              <w:t>污水处理站产生的污泥、污水处理站产生的污泥、</w:t>
            </w:r>
            <w:r>
              <w:rPr>
                <w:rFonts w:hint="eastAsia" w:ascii="宋体" w:hAnsi="宋体" w:cs="宋体"/>
                <w:color w:val="auto"/>
                <w:kern w:val="0"/>
                <w:sz w:val="24"/>
                <w:szCs w:val="24"/>
                <w:highlight w:val="none"/>
                <w:u w:val="single" w:color="auto"/>
                <w:lang w:val="en-US" w:eastAsia="zh-CN" w:bidi="ar"/>
              </w:rPr>
              <w:t>输液瓶（袋）、</w:t>
            </w:r>
            <w:r>
              <w:rPr>
                <w:rFonts w:hint="eastAsia" w:ascii="宋体" w:hAnsi="宋体" w:eastAsia="宋体" w:cs="宋体"/>
                <w:color w:val="auto"/>
                <w:kern w:val="0"/>
                <w:sz w:val="24"/>
                <w:szCs w:val="24"/>
                <w:highlight w:val="none"/>
                <w:u w:val="single" w:color="auto"/>
                <w:lang w:val="en-US" w:eastAsia="zh-CN" w:bidi="ar"/>
              </w:rPr>
              <w:t>废包装材料和生活垃圾。</w:t>
            </w:r>
          </w:p>
          <w:p w14:paraId="1E8A4BE4">
            <w:pPr>
              <w:keepNext w:val="0"/>
              <w:keepLines w:val="0"/>
              <w:widowControl/>
              <w:suppressLineNumbers w:val="0"/>
              <w:ind w:firstLine="480" w:firstLineChars="200"/>
              <w:jc w:val="left"/>
              <w:rPr>
                <w:b w:val="0"/>
                <w:bCs w:val="0"/>
                <w:color w:val="auto"/>
                <w:highlight w:val="none"/>
                <w:u w:val="none" w:color="auto"/>
              </w:rPr>
            </w:pPr>
            <w:r>
              <w:rPr>
                <w:rFonts w:hint="eastAsia" w:ascii="宋体" w:hAnsi="宋体" w:eastAsia="宋体" w:cs="宋体"/>
                <w:b w:val="0"/>
                <w:bCs w:val="0"/>
                <w:color w:val="auto"/>
                <w:kern w:val="0"/>
                <w:sz w:val="24"/>
                <w:szCs w:val="24"/>
                <w:highlight w:val="none"/>
                <w:u w:val="none" w:color="auto"/>
                <w:lang w:val="en-US" w:eastAsia="zh-CN" w:bidi="ar"/>
              </w:rPr>
              <w:t>（</w:t>
            </w:r>
            <w:r>
              <w:rPr>
                <w:rFonts w:hint="default" w:ascii="Times New Roman" w:hAnsi="Times New Roman" w:eastAsia="宋体" w:cs="Times New Roman"/>
                <w:b w:val="0"/>
                <w:bCs w:val="0"/>
                <w:color w:val="auto"/>
                <w:kern w:val="0"/>
                <w:sz w:val="24"/>
                <w:szCs w:val="24"/>
                <w:highlight w:val="none"/>
                <w:u w:val="none" w:color="auto"/>
                <w:lang w:val="en-US" w:eastAsia="zh-CN" w:bidi="ar"/>
              </w:rPr>
              <w:t>1</w:t>
            </w:r>
            <w:r>
              <w:rPr>
                <w:rFonts w:hint="eastAsia" w:ascii="宋体" w:hAnsi="宋体" w:eastAsia="宋体" w:cs="宋体"/>
                <w:b w:val="0"/>
                <w:bCs w:val="0"/>
                <w:color w:val="auto"/>
                <w:kern w:val="0"/>
                <w:sz w:val="24"/>
                <w:szCs w:val="24"/>
                <w:highlight w:val="none"/>
                <w:u w:val="none" w:color="auto"/>
                <w:lang w:val="en-US" w:eastAsia="zh-CN" w:bidi="ar"/>
              </w:rPr>
              <w:t>）医疗废物</w:t>
            </w:r>
          </w:p>
          <w:p w14:paraId="1857005E">
            <w:pPr>
              <w:keepNext w:val="0"/>
              <w:keepLines w:val="0"/>
              <w:widowControl/>
              <w:suppressLineNumbers w:val="0"/>
              <w:ind w:firstLine="480" w:firstLineChars="200"/>
              <w:jc w:val="left"/>
              <w:rPr>
                <w:rFonts w:hint="eastAsia" w:ascii="宋体" w:hAnsi="宋体" w:eastAsia="宋体" w:cs="宋体"/>
                <w:color w:val="auto"/>
                <w:kern w:val="0"/>
                <w:sz w:val="24"/>
                <w:szCs w:val="24"/>
                <w:highlight w:val="none"/>
                <w:u w:val="none" w:color="auto"/>
                <w:lang w:val="en-US" w:eastAsia="zh-CN" w:bidi="ar"/>
              </w:rPr>
            </w:pPr>
            <w:r>
              <w:rPr>
                <w:rFonts w:hint="eastAsia" w:ascii="宋体" w:hAnsi="宋体" w:eastAsia="宋体" w:cs="宋体"/>
                <w:color w:val="FF0000"/>
                <w:kern w:val="0"/>
                <w:sz w:val="24"/>
                <w:szCs w:val="24"/>
                <w:highlight w:val="none"/>
                <w:u w:val="single" w:color="auto"/>
                <w:lang w:val="en-US" w:eastAsia="zh-CN" w:bidi="ar"/>
              </w:rPr>
              <w:t>医疗废物来源广泛、成分复杂，如</w:t>
            </w:r>
            <w:r>
              <w:rPr>
                <w:rFonts w:hint="eastAsia" w:ascii="宋体" w:hAnsi="宋体" w:cs="宋体"/>
                <w:color w:val="FF0000"/>
                <w:kern w:val="0"/>
                <w:sz w:val="24"/>
                <w:szCs w:val="24"/>
                <w:highlight w:val="none"/>
                <w:u w:val="single" w:color="auto"/>
                <w:lang w:val="en-US" w:eastAsia="zh-CN" w:bidi="ar"/>
              </w:rPr>
              <w:t>废</w:t>
            </w:r>
            <w:r>
              <w:rPr>
                <w:rFonts w:hint="eastAsia" w:ascii="宋体" w:hAnsi="宋体" w:eastAsia="宋体" w:cs="宋体"/>
                <w:color w:val="FF0000"/>
                <w:kern w:val="0"/>
                <w:sz w:val="24"/>
                <w:szCs w:val="24"/>
                <w:highlight w:val="none"/>
                <w:u w:val="single" w:color="auto"/>
                <w:lang w:val="en-US" w:eastAsia="zh-CN" w:bidi="ar"/>
              </w:rPr>
              <w:t>化学试剂、废药品、</w:t>
            </w:r>
            <w:r>
              <w:rPr>
                <w:rFonts w:hint="eastAsia" w:ascii="宋体" w:hAnsi="宋体" w:cs="宋体"/>
                <w:color w:val="FF0000"/>
                <w:kern w:val="0"/>
                <w:sz w:val="24"/>
                <w:szCs w:val="24"/>
                <w:highlight w:val="none"/>
                <w:u w:val="single" w:color="auto"/>
                <w:lang w:val="en-US" w:eastAsia="zh-CN" w:bidi="ar"/>
              </w:rPr>
              <w:t>实验废液、</w:t>
            </w:r>
            <w:r>
              <w:rPr>
                <w:rFonts w:hint="eastAsia" w:ascii="宋体" w:hAnsi="宋体" w:eastAsia="宋体" w:cs="宋体"/>
                <w:color w:val="FF0000"/>
                <w:kern w:val="0"/>
                <w:sz w:val="24"/>
                <w:szCs w:val="24"/>
                <w:highlight w:val="none"/>
                <w:u w:val="single" w:color="auto"/>
                <w:lang w:val="en-US" w:eastAsia="zh-CN" w:bidi="ar"/>
              </w:rPr>
              <w:t>一次性医疗器具、手术产生的废弃物等；废弃物成分包括金属、玻璃、塑料、纱布等，往往还带有大量细菌，具有较高的感染性，属于危险</w:t>
            </w:r>
            <w:r>
              <w:rPr>
                <w:rFonts w:hint="eastAsia" w:ascii="宋体" w:hAnsi="宋体" w:cs="宋体"/>
                <w:color w:val="FF0000"/>
                <w:kern w:val="0"/>
                <w:sz w:val="24"/>
                <w:szCs w:val="24"/>
                <w:highlight w:val="none"/>
                <w:u w:val="single" w:color="auto"/>
                <w:lang w:val="en-US" w:eastAsia="zh-CN" w:bidi="ar"/>
              </w:rPr>
              <w:t>废物</w:t>
            </w:r>
            <w:r>
              <w:rPr>
                <w:rFonts w:hint="eastAsia" w:ascii="宋体" w:hAnsi="宋体" w:eastAsia="宋体" w:cs="宋体"/>
                <w:color w:val="FF0000"/>
                <w:kern w:val="0"/>
                <w:sz w:val="24"/>
                <w:szCs w:val="24"/>
                <w:highlight w:val="none"/>
                <w:u w:val="single" w:color="auto"/>
                <w:lang w:val="en-US" w:eastAsia="zh-CN" w:bidi="ar"/>
              </w:rPr>
              <w:t>（</w:t>
            </w:r>
            <w:r>
              <w:rPr>
                <w:rFonts w:hint="default" w:ascii="Times New Roman" w:hAnsi="Times New Roman" w:eastAsia="宋体" w:cs="Times New Roman"/>
                <w:color w:val="FF0000"/>
                <w:kern w:val="0"/>
                <w:sz w:val="24"/>
                <w:szCs w:val="24"/>
                <w:highlight w:val="none"/>
                <w:u w:val="single" w:color="auto"/>
                <w:lang w:val="en-US" w:eastAsia="zh-CN" w:bidi="ar"/>
              </w:rPr>
              <w:t>HW01</w:t>
            </w:r>
            <w:r>
              <w:rPr>
                <w:rFonts w:hint="eastAsia" w:ascii="宋体" w:hAnsi="宋体" w:eastAsia="宋体" w:cs="宋体"/>
                <w:color w:val="FF0000"/>
                <w:kern w:val="0"/>
                <w:sz w:val="24"/>
                <w:szCs w:val="24"/>
                <w:highlight w:val="none"/>
                <w:u w:val="single" w:color="auto"/>
                <w:lang w:val="en-US" w:eastAsia="zh-CN" w:bidi="ar"/>
              </w:rPr>
              <w:t>），须委托有资质单位进行处置，根据《国家危险废物名录》（</w:t>
            </w:r>
            <w:r>
              <w:rPr>
                <w:rFonts w:hint="default" w:ascii="Times New Roman" w:hAnsi="Times New Roman" w:eastAsia="宋体" w:cs="Times New Roman"/>
                <w:color w:val="FF0000"/>
                <w:kern w:val="0"/>
                <w:sz w:val="24"/>
                <w:szCs w:val="24"/>
                <w:highlight w:val="none"/>
                <w:u w:val="single" w:color="auto"/>
                <w:lang w:val="en-US" w:eastAsia="zh-CN" w:bidi="ar"/>
              </w:rPr>
              <w:t>202</w:t>
            </w:r>
            <w:r>
              <w:rPr>
                <w:rFonts w:hint="eastAsia" w:cs="Times New Roman"/>
                <w:color w:val="FF0000"/>
                <w:kern w:val="0"/>
                <w:sz w:val="24"/>
                <w:szCs w:val="24"/>
                <w:highlight w:val="none"/>
                <w:u w:val="single" w:color="auto"/>
                <w:lang w:val="en-US" w:eastAsia="zh-CN" w:bidi="ar"/>
              </w:rPr>
              <w:t>5</w:t>
            </w:r>
            <w:r>
              <w:rPr>
                <w:rFonts w:hint="eastAsia" w:ascii="宋体" w:hAnsi="宋体" w:eastAsia="宋体" w:cs="宋体"/>
                <w:color w:val="FF0000"/>
                <w:kern w:val="0"/>
                <w:sz w:val="24"/>
                <w:szCs w:val="24"/>
                <w:highlight w:val="none"/>
                <w:u w:val="single" w:color="auto"/>
                <w:lang w:val="en-US" w:eastAsia="zh-CN" w:bidi="ar"/>
              </w:rPr>
              <w:t>年版）、《医疗废物分类目录》</w:t>
            </w:r>
            <w:r>
              <w:rPr>
                <w:rFonts w:hint="eastAsia" w:ascii="宋体" w:hAnsi="宋体" w:cs="宋体"/>
                <w:color w:val="FF0000"/>
                <w:kern w:val="0"/>
                <w:sz w:val="24"/>
                <w:szCs w:val="24"/>
                <w:highlight w:val="none"/>
                <w:u w:val="single" w:color="auto"/>
                <w:lang w:val="en-US" w:eastAsia="zh-CN" w:bidi="ar"/>
              </w:rPr>
              <w:t>（2021版）</w:t>
            </w:r>
            <w:r>
              <w:rPr>
                <w:rFonts w:hint="eastAsia" w:ascii="宋体" w:hAnsi="宋体" w:eastAsia="宋体" w:cs="宋体"/>
                <w:color w:val="FF0000"/>
                <w:kern w:val="0"/>
                <w:sz w:val="24"/>
                <w:szCs w:val="24"/>
                <w:highlight w:val="none"/>
                <w:u w:val="single" w:color="auto"/>
                <w:lang w:val="en-US" w:eastAsia="zh-CN" w:bidi="ar"/>
              </w:rPr>
              <w:t>（国卫医函〔2021〕238号</w:t>
            </w:r>
            <w:r>
              <w:rPr>
                <w:rFonts w:hint="default" w:ascii="Times New Roman" w:hAnsi="Times New Roman" w:eastAsia="宋体" w:cs="Times New Roman"/>
                <w:color w:val="FF0000"/>
                <w:kern w:val="0"/>
                <w:sz w:val="24"/>
                <w:szCs w:val="24"/>
                <w:highlight w:val="none"/>
                <w:u w:val="single" w:color="auto"/>
                <w:lang w:val="en-US" w:eastAsia="zh-CN" w:bidi="ar"/>
              </w:rPr>
              <w:t>），医疗废物可分为感染性废物、损性废物、病理性废物、药物性废物和化学性废物五大类</w:t>
            </w:r>
            <w:r>
              <w:rPr>
                <w:rFonts w:hint="default" w:ascii="Times New Roman" w:hAnsi="Times New Roman" w:eastAsia="宋体" w:cs="Times New Roman"/>
                <w:color w:val="FF0000"/>
                <w:kern w:val="0"/>
                <w:sz w:val="24"/>
                <w:szCs w:val="24"/>
                <w:highlight w:val="none"/>
                <w:u w:val="none" w:color="auto"/>
                <w:lang w:val="en-US" w:eastAsia="zh-CN" w:bidi="ar"/>
              </w:rPr>
              <w:t>，</w:t>
            </w:r>
            <w:r>
              <w:rPr>
                <w:rFonts w:hint="default" w:ascii="Times New Roman" w:hAnsi="Times New Roman" w:eastAsia="宋体" w:cs="Times New Roman"/>
                <w:color w:val="auto"/>
                <w:kern w:val="0"/>
                <w:sz w:val="24"/>
                <w:szCs w:val="24"/>
                <w:highlight w:val="none"/>
                <w:u w:val="none" w:color="auto"/>
                <w:lang w:val="en-US" w:eastAsia="zh-CN" w:bidi="ar"/>
              </w:rPr>
              <w:t>具体见下表。</w:t>
            </w:r>
          </w:p>
          <w:p w14:paraId="624DBA07">
            <w:pPr>
              <w:keepNext w:val="0"/>
              <w:keepLines w:val="0"/>
              <w:widowControl/>
              <w:suppressLineNumbers w:val="0"/>
              <w:jc w:val="center"/>
              <w:rPr>
                <w:rFonts w:hint="default" w:ascii="Times New Roman" w:hAnsi="Times New Roman" w:cs="Times New Roman"/>
                <w:color w:val="auto"/>
                <w:sz w:val="21"/>
                <w:szCs w:val="21"/>
                <w:highlight w:val="none"/>
                <w:u w:val="single" w:color="auto"/>
              </w:rPr>
            </w:pPr>
            <w:r>
              <w:rPr>
                <w:rFonts w:hint="default" w:ascii="Times New Roman" w:hAnsi="Times New Roman" w:eastAsia="宋体" w:cs="Times New Roman"/>
                <w:b/>
                <w:bCs/>
                <w:color w:val="auto"/>
                <w:kern w:val="0"/>
                <w:sz w:val="21"/>
                <w:szCs w:val="21"/>
                <w:highlight w:val="none"/>
                <w:u w:val="single" w:color="auto"/>
                <w:lang w:val="en-US" w:eastAsia="zh-CN" w:bidi="ar"/>
              </w:rPr>
              <w:t>表4-</w:t>
            </w:r>
            <w:r>
              <w:rPr>
                <w:rFonts w:hint="eastAsia" w:cs="Times New Roman"/>
                <w:b/>
                <w:bCs/>
                <w:color w:val="auto"/>
                <w:kern w:val="0"/>
                <w:sz w:val="21"/>
                <w:szCs w:val="21"/>
                <w:highlight w:val="none"/>
                <w:u w:val="single" w:color="auto"/>
                <w:lang w:val="en-US" w:eastAsia="zh-CN" w:bidi="ar"/>
              </w:rPr>
              <w:t>14</w:t>
            </w:r>
            <w:r>
              <w:rPr>
                <w:rFonts w:hint="default" w:ascii="Times New Roman" w:hAnsi="Times New Roman" w:eastAsia="宋体" w:cs="Times New Roman"/>
                <w:b/>
                <w:bCs/>
                <w:color w:val="auto"/>
                <w:kern w:val="0"/>
                <w:sz w:val="21"/>
                <w:szCs w:val="21"/>
                <w:highlight w:val="none"/>
                <w:u w:val="single" w:color="auto"/>
                <w:lang w:val="en-US" w:eastAsia="zh-CN" w:bidi="ar"/>
              </w:rPr>
              <w:t xml:space="preserve"> </w:t>
            </w:r>
            <w:r>
              <w:rPr>
                <w:rFonts w:hint="eastAsia" w:ascii="Times New Roman" w:hAnsi="Times New Roman" w:eastAsia="宋体" w:cs="Times New Roman"/>
                <w:b/>
                <w:bCs/>
                <w:color w:val="auto"/>
                <w:kern w:val="0"/>
                <w:sz w:val="21"/>
                <w:szCs w:val="21"/>
                <w:highlight w:val="none"/>
                <w:u w:val="single" w:color="auto"/>
                <w:lang w:val="en-US" w:eastAsia="zh-CN" w:bidi="ar"/>
              </w:rPr>
              <w:t xml:space="preserve">  </w:t>
            </w:r>
            <w:r>
              <w:rPr>
                <w:rFonts w:hint="default" w:ascii="Times New Roman" w:hAnsi="Times New Roman" w:eastAsia="宋体" w:cs="Times New Roman"/>
                <w:b/>
                <w:bCs/>
                <w:color w:val="auto"/>
                <w:kern w:val="0"/>
                <w:sz w:val="21"/>
                <w:szCs w:val="21"/>
                <w:highlight w:val="none"/>
                <w:u w:val="single" w:color="auto"/>
                <w:lang w:val="en-US" w:eastAsia="zh-CN" w:bidi="ar"/>
              </w:rPr>
              <w:t>医疗废物分类目录</w:t>
            </w:r>
          </w:p>
          <w:tbl>
            <w:tblPr>
              <w:tblStyle w:val="3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6"/>
              <w:gridCol w:w="1462"/>
              <w:gridCol w:w="4057"/>
              <w:gridCol w:w="1129"/>
              <w:gridCol w:w="1791"/>
            </w:tblGrid>
            <w:tr w14:paraId="4733B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4" w:hRule="atLeast"/>
                <w:jc w:val="center"/>
              </w:trPr>
              <w:tc>
                <w:tcPr>
                  <w:tcW w:w="386" w:type="pct"/>
                  <w:tcBorders>
                    <w:tl2br w:val="nil"/>
                    <w:tr2bl w:val="nil"/>
                  </w:tcBorders>
                  <w:tcMar>
                    <w:top w:w="0" w:type="dxa"/>
                    <w:left w:w="108" w:type="dxa"/>
                    <w:bottom w:w="0" w:type="dxa"/>
                    <w:right w:w="108" w:type="dxa"/>
                  </w:tcMar>
                  <w:vAlign w:val="center"/>
                </w:tcPr>
                <w:p w14:paraId="01F4422E">
                  <w:pPr>
                    <w:spacing w:line="240" w:lineRule="auto"/>
                    <w:jc w:val="center"/>
                    <w:rPr>
                      <w:rFonts w:hint="default" w:ascii="Times New Roman" w:hAnsi="Times New Roman" w:eastAsia="宋体" w:cs="Times New Roman"/>
                      <w:b/>
                      <w:bCs/>
                      <w:color w:val="FF0000"/>
                      <w:sz w:val="21"/>
                      <w:szCs w:val="21"/>
                      <w:highlight w:val="none"/>
                      <w:u w:val="single" w:color="auto"/>
                    </w:rPr>
                  </w:pPr>
                  <w:r>
                    <w:rPr>
                      <w:rFonts w:hint="default" w:ascii="Times New Roman" w:hAnsi="Times New Roman" w:eastAsia="宋体" w:cs="Times New Roman"/>
                      <w:b/>
                      <w:bCs/>
                      <w:color w:val="FF0000"/>
                      <w:sz w:val="21"/>
                      <w:szCs w:val="21"/>
                      <w:highlight w:val="none"/>
                      <w:u w:val="single" w:color="auto"/>
                    </w:rPr>
                    <w:t>类别</w:t>
                  </w:r>
                </w:p>
              </w:tc>
              <w:tc>
                <w:tcPr>
                  <w:tcW w:w="799" w:type="pct"/>
                  <w:tcBorders>
                    <w:tl2br w:val="nil"/>
                    <w:tr2bl w:val="nil"/>
                  </w:tcBorders>
                  <w:tcMar>
                    <w:top w:w="0" w:type="dxa"/>
                    <w:left w:w="108" w:type="dxa"/>
                    <w:bottom w:w="0" w:type="dxa"/>
                    <w:right w:w="108" w:type="dxa"/>
                  </w:tcMar>
                  <w:vAlign w:val="center"/>
                </w:tcPr>
                <w:p w14:paraId="715F9E6D">
                  <w:pPr>
                    <w:spacing w:line="240" w:lineRule="auto"/>
                    <w:jc w:val="center"/>
                    <w:rPr>
                      <w:rFonts w:hint="default" w:ascii="Times New Roman" w:hAnsi="Times New Roman" w:eastAsia="宋体" w:cs="Times New Roman"/>
                      <w:b/>
                      <w:bCs/>
                      <w:color w:val="FF0000"/>
                      <w:sz w:val="21"/>
                      <w:szCs w:val="21"/>
                      <w:highlight w:val="none"/>
                      <w:u w:val="single" w:color="auto"/>
                    </w:rPr>
                  </w:pPr>
                  <w:r>
                    <w:rPr>
                      <w:rFonts w:hint="default" w:ascii="Times New Roman" w:hAnsi="Times New Roman" w:eastAsia="宋体" w:cs="Times New Roman"/>
                      <w:b/>
                      <w:bCs/>
                      <w:color w:val="FF0000"/>
                      <w:sz w:val="21"/>
                      <w:szCs w:val="21"/>
                      <w:highlight w:val="none"/>
                      <w:u w:val="single" w:color="auto"/>
                    </w:rPr>
                    <w:t>特征</w:t>
                  </w:r>
                </w:p>
              </w:tc>
              <w:tc>
                <w:tcPr>
                  <w:tcW w:w="2218" w:type="pct"/>
                  <w:tcBorders>
                    <w:tl2br w:val="nil"/>
                    <w:tr2bl w:val="nil"/>
                  </w:tcBorders>
                  <w:tcMar>
                    <w:top w:w="0" w:type="dxa"/>
                    <w:left w:w="108" w:type="dxa"/>
                    <w:bottom w:w="0" w:type="dxa"/>
                    <w:right w:w="108" w:type="dxa"/>
                  </w:tcMar>
                  <w:vAlign w:val="center"/>
                </w:tcPr>
                <w:p w14:paraId="2E6B6B9C">
                  <w:pPr>
                    <w:spacing w:line="240" w:lineRule="auto"/>
                    <w:jc w:val="center"/>
                    <w:rPr>
                      <w:rFonts w:hint="default" w:ascii="Times New Roman" w:hAnsi="Times New Roman" w:eastAsia="宋体" w:cs="Times New Roman"/>
                      <w:b/>
                      <w:bCs/>
                      <w:color w:val="FF0000"/>
                      <w:sz w:val="21"/>
                      <w:szCs w:val="21"/>
                      <w:highlight w:val="none"/>
                      <w:u w:val="single" w:color="auto"/>
                    </w:rPr>
                  </w:pPr>
                  <w:r>
                    <w:rPr>
                      <w:rFonts w:hint="default" w:ascii="Times New Roman" w:hAnsi="Times New Roman" w:eastAsia="宋体" w:cs="Times New Roman"/>
                      <w:b/>
                      <w:bCs/>
                      <w:color w:val="FF0000"/>
                      <w:sz w:val="21"/>
                      <w:szCs w:val="21"/>
                      <w:highlight w:val="none"/>
                      <w:u w:val="single" w:color="auto"/>
                    </w:rPr>
                    <w:t>常见组分或废物名称</w:t>
                  </w:r>
                </w:p>
              </w:tc>
              <w:tc>
                <w:tcPr>
                  <w:tcW w:w="617" w:type="pct"/>
                  <w:tcBorders>
                    <w:tl2br w:val="nil"/>
                    <w:tr2bl w:val="nil"/>
                  </w:tcBorders>
                  <w:tcMar>
                    <w:top w:w="0" w:type="dxa"/>
                    <w:left w:w="108" w:type="dxa"/>
                    <w:bottom w:w="0" w:type="dxa"/>
                    <w:right w:w="108" w:type="dxa"/>
                  </w:tcMar>
                  <w:vAlign w:val="center"/>
                </w:tcPr>
                <w:p w14:paraId="70905CAF">
                  <w:pPr>
                    <w:spacing w:line="240" w:lineRule="auto"/>
                    <w:jc w:val="center"/>
                    <w:rPr>
                      <w:rFonts w:hint="default" w:ascii="Times New Roman" w:hAnsi="Times New Roman" w:eastAsia="宋体" w:cs="Times New Roman"/>
                      <w:b/>
                      <w:bCs/>
                      <w:color w:val="FF0000"/>
                      <w:sz w:val="21"/>
                      <w:szCs w:val="21"/>
                      <w:highlight w:val="none"/>
                      <w:u w:val="single" w:color="auto"/>
                      <w:lang w:eastAsia="zh-CN"/>
                    </w:rPr>
                  </w:pPr>
                  <w:r>
                    <w:rPr>
                      <w:rFonts w:hint="eastAsia" w:cs="Times New Roman"/>
                      <w:b/>
                      <w:bCs/>
                      <w:color w:val="FF0000"/>
                      <w:sz w:val="21"/>
                      <w:szCs w:val="21"/>
                      <w:highlight w:val="none"/>
                      <w:u w:val="single" w:color="auto"/>
                      <w:lang w:val="en-US" w:eastAsia="zh-CN"/>
                    </w:rPr>
                    <w:t>本项目</w:t>
                  </w:r>
                  <w:r>
                    <w:rPr>
                      <w:rFonts w:hint="default" w:ascii="Times New Roman" w:hAnsi="Times New Roman" w:eastAsia="宋体" w:cs="Times New Roman"/>
                      <w:b/>
                      <w:bCs/>
                      <w:color w:val="FF0000"/>
                      <w:sz w:val="21"/>
                      <w:szCs w:val="21"/>
                      <w:highlight w:val="none"/>
                      <w:u w:val="single" w:color="auto"/>
                      <w:lang w:val="en-US" w:eastAsia="zh-CN"/>
                    </w:rPr>
                    <w:t>是否产生</w:t>
                  </w:r>
                </w:p>
              </w:tc>
              <w:tc>
                <w:tcPr>
                  <w:tcW w:w="979" w:type="pct"/>
                  <w:tcBorders>
                    <w:tl2br w:val="nil"/>
                    <w:tr2bl w:val="nil"/>
                  </w:tcBorders>
                  <w:tcMar>
                    <w:top w:w="0" w:type="dxa"/>
                    <w:left w:w="108" w:type="dxa"/>
                    <w:bottom w:w="0" w:type="dxa"/>
                    <w:right w:w="108" w:type="dxa"/>
                  </w:tcMar>
                  <w:vAlign w:val="center"/>
                </w:tcPr>
                <w:p w14:paraId="3E3DC288">
                  <w:pPr>
                    <w:spacing w:line="240" w:lineRule="auto"/>
                    <w:jc w:val="center"/>
                    <w:rPr>
                      <w:rFonts w:hint="default" w:ascii="Times New Roman" w:hAnsi="Times New Roman" w:eastAsia="宋体" w:cs="Times New Roman"/>
                      <w:b/>
                      <w:bCs/>
                      <w:color w:val="FF0000"/>
                      <w:sz w:val="21"/>
                      <w:szCs w:val="21"/>
                      <w:highlight w:val="none"/>
                      <w:u w:val="single" w:color="auto"/>
                      <w:lang w:val="en-US" w:eastAsia="zh-CN"/>
                    </w:rPr>
                  </w:pPr>
                  <w:r>
                    <w:rPr>
                      <w:rFonts w:hint="default" w:ascii="Times New Roman" w:hAnsi="Times New Roman" w:eastAsia="宋体" w:cs="Times New Roman"/>
                      <w:b/>
                      <w:bCs/>
                      <w:color w:val="FF0000"/>
                      <w:sz w:val="21"/>
                      <w:szCs w:val="21"/>
                      <w:highlight w:val="none"/>
                      <w:u w:val="single" w:color="auto"/>
                      <w:lang w:val="en-US" w:eastAsia="zh-CN"/>
                    </w:rPr>
                    <w:t>废物类别及代码</w:t>
                  </w:r>
                </w:p>
              </w:tc>
            </w:tr>
            <w:tr w14:paraId="21F3E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86" w:type="pct"/>
                  <w:vMerge w:val="restart"/>
                  <w:tcBorders>
                    <w:tl2br w:val="nil"/>
                    <w:tr2bl w:val="nil"/>
                  </w:tcBorders>
                  <w:tcMar>
                    <w:top w:w="0" w:type="dxa"/>
                    <w:left w:w="108" w:type="dxa"/>
                    <w:bottom w:w="0" w:type="dxa"/>
                    <w:right w:w="108" w:type="dxa"/>
                  </w:tcMar>
                  <w:vAlign w:val="center"/>
                </w:tcPr>
                <w:p w14:paraId="36C85C23">
                  <w:pPr>
                    <w:spacing w:line="240" w:lineRule="auto"/>
                    <w:jc w:val="center"/>
                    <w:rPr>
                      <w:rFonts w:hint="default" w:ascii="Times New Roman" w:hAnsi="Times New Roman" w:eastAsia="宋体" w:cs="Times New Roman"/>
                      <w:color w:val="FF0000"/>
                      <w:sz w:val="21"/>
                      <w:szCs w:val="21"/>
                      <w:highlight w:val="none"/>
                      <w:u w:val="single" w:color="auto"/>
                    </w:rPr>
                  </w:pPr>
                </w:p>
                <w:p w14:paraId="6DBFC279">
                  <w:pPr>
                    <w:spacing w:line="240" w:lineRule="auto"/>
                    <w:jc w:val="center"/>
                    <w:rPr>
                      <w:rFonts w:hint="default" w:ascii="Times New Roman" w:hAnsi="Times New Roman" w:eastAsia="宋体" w:cs="Times New Roman"/>
                      <w:color w:val="FF0000"/>
                      <w:sz w:val="21"/>
                      <w:szCs w:val="21"/>
                      <w:highlight w:val="none"/>
                      <w:u w:val="single" w:color="auto"/>
                    </w:rPr>
                  </w:pPr>
                </w:p>
                <w:p w14:paraId="1F8AC9E3">
                  <w:pPr>
                    <w:spacing w:line="240" w:lineRule="auto"/>
                    <w:jc w:val="center"/>
                    <w:rPr>
                      <w:rFonts w:hint="default" w:ascii="Times New Roman" w:hAnsi="Times New Roman" w:eastAsia="宋体" w:cs="Times New Roman"/>
                      <w:color w:val="FF0000"/>
                      <w:sz w:val="21"/>
                      <w:szCs w:val="21"/>
                      <w:highlight w:val="none"/>
                      <w:u w:val="single" w:color="auto"/>
                    </w:rPr>
                  </w:pPr>
                </w:p>
                <w:p w14:paraId="5E3755C1">
                  <w:pPr>
                    <w:spacing w:line="240" w:lineRule="auto"/>
                    <w:jc w:val="center"/>
                    <w:rPr>
                      <w:rFonts w:hint="default" w:ascii="Times New Roman" w:hAnsi="Times New Roman" w:eastAsia="宋体" w:cs="Times New Roman"/>
                      <w:color w:val="FF0000"/>
                      <w:sz w:val="21"/>
                      <w:szCs w:val="21"/>
                      <w:highlight w:val="none"/>
                      <w:u w:val="single" w:color="auto"/>
                    </w:rPr>
                  </w:pPr>
                  <w:r>
                    <w:rPr>
                      <w:rFonts w:hint="default" w:ascii="Times New Roman" w:hAnsi="Times New Roman" w:eastAsia="宋体" w:cs="Times New Roman"/>
                      <w:color w:val="FF0000"/>
                      <w:sz w:val="21"/>
                      <w:szCs w:val="21"/>
                      <w:highlight w:val="none"/>
                      <w:u w:val="single" w:color="auto"/>
                    </w:rPr>
                    <w:t>感染性废物</w:t>
                  </w:r>
                </w:p>
              </w:tc>
              <w:tc>
                <w:tcPr>
                  <w:tcW w:w="799" w:type="pct"/>
                  <w:vMerge w:val="restart"/>
                  <w:tcBorders>
                    <w:tl2br w:val="nil"/>
                    <w:tr2bl w:val="nil"/>
                  </w:tcBorders>
                  <w:tcMar>
                    <w:top w:w="0" w:type="dxa"/>
                    <w:left w:w="108" w:type="dxa"/>
                    <w:bottom w:w="0" w:type="dxa"/>
                    <w:right w:w="108" w:type="dxa"/>
                  </w:tcMar>
                  <w:vAlign w:val="center"/>
                </w:tcPr>
                <w:p w14:paraId="5E36FDE1">
                  <w:pPr>
                    <w:spacing w:line="240" w:lineRule="auto"/>
                    <w:jc w:val="center"/>
                    <w:rPr>
                      <w:rFonts w:hint="default" w:ascii="Times New Roman" w:hAnsi="Times New Roman" w:eastAsia="宋体" w:cs="Times New Roman"/>
                      <w:color w:val="FF0000"/>
                      <w:sz w:val="21"/>
                      <w:szCs w:val="21"/>
                      <w:highlight w:val="none"/>
                      <w:u w:val="single" w:color="auto"/>
                    </w:rPr>
                  </w:pPr>
                </w:p>
                <w:p w14:paraId="7E1E7178">
                  <w:pPr>
                    <w:spacing w:line="240" w:lineRule="auto"/>
                    <w:jc w:val="center"/>
                    <w:rPr>
                      <w:rFonts w:hint="default" w:ascii="Times New Roman" w:hAnsi="Times New Roman" w:eastAsia="宋体" w:cs="Times New Roman"/>
                      <w:color w:val="FF0000"/>
                      <w:sz w:val="21"/>
                      <w:szCs w:val="21"/>
                      <w:highlight w:val="none"/>
                      <w:u w:val="single" w:color="auto"/>
                    </w:rPr>
                  </w:pPr>
                </w:p>
                <w:p w14:paraId="0837D9B0">
                  <w:pPr>
                    <w:spacing w:line="240" w:lineRule="auto"/>
                    <w:jc w:val="center"/>
                    <w:rPr>
                      <w:rFonts w:hint="default" w:ascii="Times New Roman" w:hAnsi="Times New Roman" w:eastAsia="宋体" w:cs="Times New Roman"/>
                      <w:color w:val="FF0000"/>
                      <w:sz w:val="21"/>
                      <w:szCs w:val="21"/>
                      <w:highlight w:val="none"/>
                      <w:u w:val="single" w:color="auto"/>
                    </w:rPr>
                  </w:pPr>
                  <w:r>
                    <w:rPr>
                      <w:rFonts w:hint="default" w:ascii="Times New Roman" w:hAnsi="Times New Roman" w:eastAsia="宋体" w:cs="Times New Roman"/>
                      <w:color w:val="FF0000"/>
                      <w:sz w:val="21"/>
                      <w:szCs w:val="21"/>
                      <w:highlight w:val="none"/>
                      <w:u w:val="single" w:color="auto"/>
                    </w:rPr>
                    <w:t>携带病原微生物具有引发感染性疾病传播危险的医疗废物</w:t>
                  </w:r>
                </w:p>
              </w:tc>
              <w:tc>
                <w:tcPr>
                  <w:tcW w:w="2218" w:type="pct"/>
                  <w:tcBorders>
                    <w:tl2br w:val="nil"/>
                    <w:tr2bl w:val="nil"/>
                  </w:tcBorders>
                  <w:tcMar>
                    <w:top w:w="0" w:type="dxa"/>
                    <w:left w:w="108" w:type="dxa"/>
                    <w:bottom w:w="0" w:type="dxa"/>
                    <w:right w:w="108" w:type="dxa"/>
                  </w:tcMar>
                  <w:vAlign w:val="center"/>
                </w:tcPr>
                <w:p w14:paraId="2DF4E4D4">
                  <w:pPr>
                    <w:spacing w:line="240" w:lineRule="auto"/>
                    <w:jc w:val="center"/>
                    <w:rPr>
                      <w:rFonts w:hint="default" w:ascii="Times New Roman" w:hAnsi="Times New Roman" w:eastAsia="宋体" w:cs="Times New Roman"/>
                      <w:color w:val="FF0000"/>
                      <w:sz w:val="21"/>
                      <w:szCs w:val="21"/>
                      <w:highlight w:val="none"/>
                      <w:u w:val="single" w:color="auto"/>
                    </w:rPr>
                  </w:pPr>
                  <w:r>
                    <w:rPr>
                      <w:rFonts w:hint="default" w:ascii="Times New Roman" w:hAnsi="Times New Roman" w:eastAsia="宋体" w:cs="Times New Roman"/>
                      <w:color w:val="FF0000"/>
                      <w:kern w:val="0"/>
                      <w:sz w:val="21"/>
                      <w:szCs w:val="21"/>
                      <w:highlight w:val="none"/>
                      <w:u w:val="single" w:color="auto"/>
                    </w:rPr>
                    <w:t>被患者血液、体液、排泄物等污染的除锐器以外的废物</w:t>
                  </w:r>
                </w:p>
              </w:tc>
              <w:tc>
                <w:tcPr>
                  <w:tcW w:w="617" w:type="pct"/>
                  <w:tcBorders>
                    <w:tl2br w:val="nil"/>
                    <w:tr2bl w:val="nil"/>
                  </w:tcBorders>
                  <w:tcMar>
                    <w:top w:w="0" w:type="dxa"/>
                    <w:left w:w="108" w:type="dxa"/>
                    <w:bottom w:w="0" w:type="dxa"/>
                    <w:right w:w="108" w:type="dxa"/>
                  </w:tcMar>
                  <w:vAlign w:val="center"/>
                </w:tcPr>
                <w:p w14:paraId="7B58B0FB">
                  <w:pPr>
                    <w:spacing w:line="240" w:lineRule="auto"/>
                    <w:jc w:val="center"/>
                    <w:rPr>
                      <w:rFonts w:hint="eastAsia" w:ascii="Times New Roman" w:hAnsi="Times New Roman" w:eastAsia="宋体" w:cs="Times New Roman"/>
                      <w:color w:val="FF0000"/>
                      <w:sz w:val="21"/>
                      <w:szCs w:val="21"/>
                      <w:highlight w:val="none"/>
                      <w:u w:val="single" w:color="auto"/>
                      <w:lang w:val="en-US" w:eastAsia="zh-CN"/>
                    </w:rPr>
                  </w:pPr>
                  <w:r>
                    <w:rPr>
                      <w:rFonts w:hint="eastAsia" w:ascii="Times New Roman" w:hAnsi="Times New Roman" w:eastAsia="宋体" w:cs="Times New Roman"/>
                      <w:color w:val="FF0000"/>
                      <w:sz w:val="21"/>
                      <w:szCs w:val="21"/>
                      <w:highlight w:val="none"/>
                      <w:u w:val="single" w:color="auto"/>
                      <w:lang w:val="en-US" w:eastAsia="zh-CN"/>
                    </w:rPr>
                    <w:t>是</w:t>
                  </w:r>
                </w:p>
              </w:tc>
              <w:tc>
                <w:tcPr>
                  <w:tcW w:w="979" w:type="pct"/>
                  <w:vMerge w:val="restart"/>
                  <w:tcBorders>
                    <w:tl2br w:val="nil"/>
                    <w:tr2bl w:val="nil"/>
                  </w:tcBorders>
                  <w:tcMar>
                    <w:top w:w="0" w:type="dxa"/>
                    <w:left w:w="108" w:type="dxa"/>
                    <w:bottom w:w="0" w:type="dxa"/>
                    <w:right w:w="108" w:type="dxa"/>
                  </w:tcMar>
                  <w:vAlign w:val="center"/>
                </w:tcPr>
                <w:p w14:paraId="0133541A">
                  <w:pPr>
                    <w:spacing w:line="240" w:lineRule="auto"/>
                    <w:jc w:val="center"/>
                    <w:rPr>
                      <w:rFonts w:hint="default" w:ascii="Times New Roman" w:hAnsi="Times New Roman" w:eastAsia="宋体" w:cs="Times New Roman"/>
                      <w:color w:val="FF0000"/>
                      <w:sz w:val="21"/>
                      <w:szCs w:val="21"/>
                      <w:highlight w:val="none"/>
                      <w:u w:val="single" w:color="auto"/>
                      <w:lang w:val="en-US" w:eastAsia="zh-CN"/>
                    </w:rPr>
                  </w:pPr>
                </w:p>
                <w:p w14:paraId="1950DE84">
                  <w:pPr>
                    <w:spacing w:line="240" w:lineRule="auto"/>
                    <w:jc w:val="center"/>
                    <w:rPr>
                      <w:rFonts w:hint="default" w:ascii="Times New Roman" w:hAnsi="Times New Roman" w:eastAsia="宋体" w:cs="Times New Roman"/>
                      <w:color w:val="FF0000"/>
                      <w:sz w:val="21"/>
                      <w:szCs w:val="21"/>
                      <w:highlight w:val="none"/>
                      <w:u w:val="single" w:color="auto"/>
                      <w:lang w:val="en-US" w:eastAsia="zh-CN"/>
                    </w:rPr>
                  </w:pPr>
                </w:p>
                <w:p w14:paraId="57B2FE71">
                  <w:pPr>
                    <w:spacing w:line="240" w:lineRule="auto"/>
                    <w:jc w:val="center"/>
                    <w:rPr>
                      <w:rFonts w:hint="default" w:ascii="Times New Roman" w:hAnsi="Times New Roman" w:eastAsia="宋体" w:cs="Times New Roman"/>
                      <w:color w:val="FF0000"/>
                      <w:sz w:val="21"/>
                      <w:szCs w:val="21"/>
                      <w:highlight w:val="none"/>
                      <w:u w:val="single" w:color="auto"/>
                      <w:lang w:val="en-US" w:eastAsia="zh-CN"/>
                    </w:rPr>
                  </w:pPr>
                </w:p>
                <w:p w14:paraId="371E9C42">
                  <w:pPr>
                    <w:spacing w:line="240" w:lineRule="auto"/>
                    <w:jc w:val="center"/>
                    <w:rPr>
                      <w:rFonts w:hint="default" w:ascii="Times New Roman" w:hAnsi="Times New Roman" w:eastAsia="宋体" w:cs="Times New Roman"/>
                      <w:color w:val="FF0000"/>
                      <w:sz w:val="21"/>
                      <w:szCs w:val="21"/>
                      <w:highlight w:val="none"/>
                      <w:u w:val="single" w:color="auto"/>
                      <w:lang w:val="en-US" w:eastAsia="zh-CN"/>
                    </w:rPr>
                  </w:pPr>
                </w:p>
                <w:p w14:paraId="14B98180">
                  <w:pPr>
                    <w:spacing w:line="240" w:lineRule="auto"/>
                    <w:jc w:val="center"/>
                    <w:rPr>
                      <w:rFonts w:hint="eastAsia" w:ascii="Times New Roman" w:hAnsi="Times New Roman" w:eastAsia="宋体" w:cs="Times New Roman"/>
                      <w:color w:val="FF0000"/>
                      <w:sz w:val="21"/>
                      <w:szCs w:val="21"/>
                      <w:highlight w:val="none"/>
                      <w:u w:val="single" w:color="auto"/>
                      <w:lang w:val="en-US" w:eastAsia="zh-CN"/>
                    </w:rPr>
                  </w:pPr>
                  <w:r>
                    <w:rPr>
                      <w:rFonts w:hint="default" w:ascii="Times New Roman" w:hAnsi="Times New Roman" w:eastAsia="宋体" w:cs="Times New Roman"/>
                      <w:color w:val="FF0000"/>
                      <w:sz w:val="21"/>
                      <w:szCs w:val="21"/>
                      <w:highlight w:val="none"/>
                      <w:u w:val="single" w:color="auto"/>
                      <w:lang w:val="en-US" w:eastAsia="zh-CN"/>
                    </w:rPr>
                    <w:t>HW01</w:t>
                  </w:r>
                </w:p>
                <w:p w14:paraId="0624D9D1">
                  <w:pPr>
                    <w:spacing w:line="240" w:lineRule="auto"/>
                    <w:jc w:val="center"/>
                    <w:rPr>
                      <w:rFonts w:hint="default" w:ascii="Times New Roman" w:hAnsi="Times New Roman" w:eastAsia="宋体" w:cs="Times New Roman"/>
                      <w:color w:val="FF0000"/>
                      <w:sz w:val="21"/>
                      <w:szCs w:val="21"/>
                      <w:highlight w:val="none"/>
                      <w:u w:val="single" w:color="auto"/>
                    </w:rPr>
                  </w:pPr>
                  <w:r>
                    <w:rPr>
                      <w:rFonts w:hint="default" w:ascii="Times New Roman" w:hAnsi="Times New Roman" w:eastAsia="宋体" w:cs="Times New Roman"/>
                      <w:color w:val="FF0000"/>
                      <w:sz w:val="21"/>
                      <w:szCs w:val="21"/>
                      <w:highlight w:val="none"/>
                      <w:u w:val="single" w:color="auto"/>
                      <w:lang w:val="en-US" w:eastAsia="zh-CN"/>
                    </w:rPr>
                    <w:t>841-001-01</w:t>
                  </w:r>
                </w:p>
              </w:tc>
            </w:tr>
            <w:tr w14:paraId="45073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86" w:type="pct"/>
                  <w:vMerge w:val="continue"/>
                  <w:tcBorders>
                    <w:tl2br w:val="nil"/>
                    <w:tr2bl w:val="nil"/>
                  </w:tcBorders>
                  <w:tcMar>
                    <w:top w:w="0" w:type="dxa"/>
                    <w:left w:w="108" w:type="dxa"/>
                    <w:bottom w:w="0" w:type="dxa"/>
                    <w:right w:w="108" w:type="dxa"/>
                  </w:tcMar>
                  <w:vAlign w:val="center"/>
                </w:tcPr>
                <w:p w14:paraId="39AEA76C">
                  <w:pPr>
                    <w:spacing w:line="240" w:lineRule="auto"/>
                    <w:jc w:val="center"/>
                    <w:rPr>
                      <w:rFonts w:hint="default" w:ascii="Times New Roman" w:hAnsi="Times New Roman" w:eastAsia="宋体" w:cs="Times New Roman"/>
                      <w:color w:val="FF0000"/>
                      <w:sz w:val="21"/>
                      <w:szCs w:val="21"/>
                      <w:highlight w:val="none"/>
                      <w:u w:val="single" w:color="auto"/>
                    </w:rPr>
                  </w:pPr>
                </w:p>
              </w:tc>
              <w:tc>
                <w:tcPr>
                  <w:tcW w:w="799" w:type="pct"/>
                  <w:vMerge w:val="continue"/>
                  <w:tcBorders>
                    <w:tl2br w:val="nil"/>
                    <w:tr2bl w:val="nil"/>
                  </w:tcBorders>
                  <w:tcMar>
                    <w:top w:w="0" w:type="dxa"/>
                    <w:left w:w="108" w:type="dxa"/>
                    <w:bottom w:w="0" w:type="dxa"/>
                    <w:right w:w="108" w:type="dxa"/>
                  </w:tcMar>
                  <w:vAlign w:val="center"/>
                </w:tcPr>
                <w:p w14:paraId="164EB519">
                  <w:pPr>
                    <w:spacing w:line="240" w:lineRule="auto"/>
                    <w:jc w:val="center"/>
                    <w:rPr>
                      <w:rFonts w:hint="default" w:ascii="Times New Roman" w:hAnsi="Times New Roman" w:eastAsia="宋体" w:cs="Times New Roman"/>
                      <w:color w:val="FF0000"/>
                      <w:sz w:val="21"/>
                      <w:szCs w:val="21"/>
                      <w:highlight w:val="none"/>
                      <w:u w:val="single" w:color="auto"/>
                    </w:rPr>
                  </w:pPr>
                </w:p>
              </w:tc>
              <w:tc>
                <w:tcPr>
                  <w:tcW w:w="2218" w:type="pct"/>
                  <w:tcBorders>
                    <w:tl2br w:val="nil"/>
                    <w:tr2bl w:val="nil"/>
                  </w:tcBorders>
                  <w:tcMar>
                    <w:top w:w="0" w:type="dxa"/>
                    <w:left w:w="108" w:type="dxa"/>
                    <w:bottom w:w="0" w:type="dxa"/>
                    <w:right w:w="108" w:type="dxa"/>
                  </w:tcMar>
                  <w:vAlign w:val="center"/>
                </w:tcPr>
                <w:p w14:paraId="63E3A1E8">
                  <w:pPr>
                    <w:spacing w:line="240" w:lineRule="auto"/>
                    <w:jc w:val="center"/>
                    <w:rPr>
                      <w:rFonts w:hint="default" w:ascii="Times New Roman" w:hAnsi="Times New Roman" w:eastAsia="宋体" w:cs="Times New Roman"/>
                      <w:color w:val="FF0000"/>
                      <w:sz w:val="21"/>
                      <w:szCs w:val="21"/>
                      <w:highlight w:val="none"/>
                      <w:u w:val="single" w:color="auto"/>
                    </w:rPr>
                  </w:pPr>
                  <w:r>
                    <w:rPr>
                      <w:rFonts w:hint="default" w:ascii="Times New Roman" w:hAnsi="Times New Roman" w:eastAsia="宋体" w:cs="Times New Roman"/>
                      <w:color w:val="FF0000"/>
                      <w:kern w:val="0"/>
                      <w:sz w:val="21"/>
                      <w:szCs w:val="21"/>
                      <w:highlight w:val="none"/>
                      <w:u w:val="single" w:color="auto"/>
                    </w:rPr>
                    <w:t>使用后废弃的一次性使用医疗器械，如注射器、输液器、透析器等</w:t>
                  </w:r>
                </w:p>
              </w:tc>
              <w:tc>
                <w:tcPr>
                  <w:tcW w:w="617" w:type="pct"/>
                  <w:tcBorders>
                    <w:tl2br w:val="nil"/>
                    <w:tr2bl w:val="nil"/>
                  </w:tcBorders>
                  <w:tcMar>
                    <w:top w:w="0" w:type="dxa"/>
                    <w:left w:w="108" w:type="dxa"/>
                    <w:bottom w:w="0" w:type="dxa"/>
                    <w:right w:w="108" w:type="dxa"/>
                  </w:tcMar>
                  <w:vAlign w:val="center"/>
                </w:tcPr>
                <w:p w14:paraId="1B0E165B">
                  <w:pPr>
                    <w:spacing w:line="240" w:lineRule="auto"/>
                    <w:jc w:val="center"/>
                    <w:rPr>
                      <w:rFonts w:hint="default" w:ascii="Times New Roman" w:hAnsi="Times New Roman" w:eastAsia="宋体" w:cs="Times New Roman"/>
                      <w:color w:val="FF0000"/>
                      <w:sz w:val="21"/>
                      <w:szCs w:val="21"/>
                      <w:highlight w:val="none"/>
                      <w:u w:val="single" w:color="auto"/>
                    </w:rPr>
                  </w:pPr>
                  <w:r>
                    <w:rPr>
                      <w:rFonts w:hint="eastAsia" w:ascii="Times New Roman" w:hAnsi="Times New Roman" w:eastAsia="宋体" w:cs="Times New Roman"/>
                      <w:color w:val="FF0000"/>
                      <w:sz w:val="21"/>
                      <w:szCs w:val="21"/>
                      <w:highlight w:val="none"/>
                      <w:u w:val="single" w:color="auto"/>
                      <w:lang w:val="en-US" w:eastAsia="zh-CN"/>
                    </w:rPr>
                    <w:t>是</w:t>
                  </w:r>
                </w:p>
              </w:tc>
              <w:tc>
                <w:tcPr>
                  <w:tcW w:w="979" w:type="pct"/>
                  <w:vMerge w:val="continue"/>
                  <w:tcBorders>
                    <w:tl2br w:val="nil"/>
                    <w:tr2bl w:val="nil"/>
                  </w:tcBorders>
                  <w:tcMar>
                    <w:top w:w="0" w:type="dxa"/>
                    <w:left w:w="108" w:type="dxa"/>
                    <w:bottom w:w="0" w:type="dxa"/>
                    <w:right w:w="108" w:type="dxa"/>
                  </w:tcMar>
                  <w:vAlign w:val="center"/>
                </w:tcPr>
                <w:p w14:paraId="6904A4A8">
                  <w:pPr>
                    <w:spacing w:line="240" w:lineRule="auto"/>
                    <w:jc w:val="center"/>
                    <w:rPr>
                      <w:rFonts w:hint="default" w:ascii="Times New Roman" w:hAnsi="Times New Roman" w:eastAsia="宋体" w:cs="Times New Roman"/>
                      <w:color w:val="FF0000"/>
                      <w:sz w:val="21"/>
                      <w:szCs w:val="21"/>
                      <w:highlight w:val="none"/>
                      <w:u w:val="single" w:color="auto"/>
                    </w:rPr>
                  </w:pPr>
                </w:p>
              </w:tc>
            </w:tr>
            <w:tr w14:paraId="34665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jc w:val="center"/>
              </w:trPr>
              <w:tc>
                <w:tcPr>
                  <w:tcW w:w="386" w:type="pct"/>
                  <w:vMerge w:val="continue"/>
                  <w:tcBorders>
                    <w:tl2br w:val="nil"/>
                    <w:tr2bl w:val="nil"/>
                  </w:tcBorders>
                  <w:tcMar>
                    <w:top w:w="0" w:type="dxa"/>
                    <w:left w:w="108" w:type="dxa"/>
                    <w:bottom w:w="0" w:type="dxa"/>
                    <w:right w:w="108" w:type="dxa"/>
                  </w:tcMar>
                  <w:vAlign w:val="center"/>
                </w:tcPr>
                <w:p w14:paraId="2BF3250E">
                  <w:pPr>
                    <w:spacing w:line="240" w:lineRule="auto"/>
                    <w:jc w:val="center"/>
                    <w:rPr>
                      <w:rFonts w:hint="default" w:ascii="Times New Roman" w:hAnsi="Times New Roman" w:eastAsia="宋体" w:cs="Times New Roman"/>
                      <w:color w:val="FF0000"/>
                      <w:sz w:val="21"/>
                      <w:szCs w:val="21"/>
                      <w:highlight w:val="none"/>
                      <w:u w:val="single" w:color="auto"/>
                    </w:rPr>
                  </w:pPr>
                </w:p>
              </w:tc>
              <w:tc>
                <w:tcPr>
                  <w:tcW w:w="799" w:type="pct"/>
                  <w:vMerge w:val="continue"/>
                  <w:tcBorders>
                    <w:tl2br w:val="nil"/>
                    <w:tr2bl w:val="nil"/>
                  </w:tcBorders>
                  <w:tcMar>
                    <w:top w:w="0" w:type="dxa"/>
                    <w:left w:w="108" w:type="dxa"/>
                    <w:bottom w:w="0" w:type="dxa"/>
                    <w:right w:w="108" w:type="dxa"/>
                  </w:tcMar>
                  <w:vAlign w:val="center"/>
                </w:tcPr>
                <w:p w14:paraId="52C4FFB5">
                  <w:pPr>
                    <w:spacing w:line="240" w:lineRule="auto"/>
                    <w:jc w:val="center"/>
                    <w:rPr>
                      <w:rFonts w:hint="default" w:ascii="Times New Roman" w:hAnsi="Times New Roman" w:eastAsia="宋体" w:cs="Times New Roman"/>
                      <w:color w:val="FF0000"/>
                      <w:sz w:val="21"/>
                      <w:szCs w:val="21"/>
                      <w:highlight w:val="none"/>
                      <w:u w:val="single" w:color="auto"/>
                    </w:rPr>
                  </w:pPr>
                </w:p>
              </w:tc>
              <w:tc>
                <w:tcPr>
                  <w:tcW w:w="2218" w:type="pct"/>
                  <w:tcBorders>
                    <w:tl2br w:val="nil"/>
                    <w:tr2bl w:val="nil"/>
                  </w:tcBorders>
                  <w:tcMar>
                    <w:top w:w="0" w:type="dxa"/>
                    <w:left w:w="108" w:type="dxa"/>
                    <w:bottom w:w="0" w:type="dxa"/>
                    <w:right w:w="108" w:type="dxa"/>
                  </w:tcMar>
                  <w:vAlign w:val="center"/>
                </w:tcPr>
                <w:p w14:paraId="0A502544">
                  <w:pPr>
                    <w:spacing w:line="240" w:lineRule="auto"/>
                    <w:jc w:val="center"/>
                    <w:rPr>
                      <w:rFonts w:hint="default" w:ascii="Times New Roman" w:hAnsi="Times New Roman" w:eastAsia="宋体" w:cs="Times New Roman"/>
                      <w:color w:val="FF0000"/>
                      <w:sz w:val="21"/>
                      <w:szCs w:val="21"/>
                      <w:highlight w:val="none"/>
                      <w:u w:val="single" w:color="auto"/>
                    </w:rPr>
                  </w:pPr>
                  <w:r>
                    <w:rPr>
                      <w:rFonts w:hint="default" w:ascii="Times New Roman" w:hAnsi="Times New Roman" w:eastAsia="宋体" w:cs="Times New Roman"/>
                      <w:color w:val="FF0000"/>
                      <w:kern w:val="0"/>
                      <w:sz w:val="21"/>
                      <w:szCs w:val="21"/>
                      <w:highlight w:val="none"/>
                      <w:u w:val="single" w:color="auto"/>
                    </w:rPr>
                    <w:t>病原微生物实验室废弃的病原体培养基、标本，菌种和毒种保存液及其容器；其他实验室及科室废弃的血液、血清、分泌物等标本和容器</w:t>
                  </w:r>
                </w:p>
              </w:tc>
              <w:tc>
                <w:tcPr>
                  <w:tcW w:w="617" w:type="pct"/>
                  <w:tcBorders>
                    <w:tl2br w:val="nil"/>
                    <w:tr2bl w:val="nil"/>
                  </w:tcBorders>
                  <w:tcMar>
                    <w:top w:w="0" w:type="dxa"/>
                    <w:left w:w="108" w:type="dxa"/>
                    <w:bottom w:w="0" w:type="dxa"/>
                    <w:right w:w="108" w:type="dxa"/>
                  </w:tcMar>
                  <w:vAlign w:val="center"/>
                </w:tcPr>
                <w:p w14:paraId="52F8AA76">
                  <w:pPr>
                    <w:spacing w:line="240" w:lineRule="auto"/>
                    <w:jc w:val="center"/>
                    <w:rPr>
                      <w:rFonts w:hint="default" w:ascii="Times New Roman" w:hAnsi="Times New Roman" w:eastAsia="宋体" w:cs="Times New Roman"/>
                      <w:color w:val="FF0000"/>
                      <w:sz w:val="21"/>
                      <w:szCs w:val="21"/>
                      <w:highlight w:val="none"/>
                      <w:u w:val="single" w:color="auto"/>
                    </w:rPr>
                  </w:pPr>
                  <w:r>
                    <w:rPr>
                      <w:rFonts w:hint="eastAsia" w:ascii="Times New Roman" w:hAnsi="Times New Roman" w:eastAsia="宋体" w:cs="Times New Roman"/>
                      <w:color w:val="FF0000"/>
                      <w:sz w:val="21"/>
                      <w:szCs w:val="21"/>
                      <w:highlight w:val="none"/>
                      <w:u w:val="single" w:color="auto"/>
                      <w:lang w:val="en-US" w:eastAsia="zh-CN"/>
                    </w:rPr>
                    <w:t>是</w:t>
                  </w:r>
                </w:p>
              </w:tc>
              <w:tc>
                <w:tcPr>
                  <w:tcW w:w="979" w:type="pct"/>
                  <w:vMerge w:val="continue"/>
                  <w:tcBorders>
                    <w:tl2br w:val="nil"/>
                    <w:tr2bl w:val="nil"/>
                  </w:tcBorders>
                  <w:tcMar>
                    <w:top w:w="0" w:type="dxa"/>
                    <w:left w:w="108" w:type="dxa"/>
                    <w:bottom w:w="0" w:type="dxa"/>
                    <w:right w:w="108" w:type="dxa"/>
                  </w:tcMar>
                  <w:vAlign w:val="center"/>
                </w:tcPr>
                <w:p w14:paraId="5165A0D1">
                  <w:pPr>
                    <w:spacing w:line="240" w:lineRule="auto"/>
                    <w:jc w:val="center"/>
                    <w:rPr>
                      <w:rFonts w:hint="default" w:ascii="Times New Roman" w:hAnsi="Times New Roman" w:eastAsia="宋体" w:cs="Times New Roman"/>
                      <w:color w:val="FF0000"/>
                      <w:sz w:val="21"/>
                      <w:szCs w:val="21"/>
                      <w:highlight w:val="none"/>
                      <w:u w:val="single" w:color="auto"/>
                    </w:rPr>
                  </w:pPr>
                </w:p>
              </w:tc>
            </w:tr>
            <w:tr w14:paraId="55B71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386" w:type="pct"/>
                  <w:vMerge w:val="continue"/>
                  <w:tcBorders>
                    <w:tl2br w:val="nil"/>
                    <w:tr2bl w:val="nil"/>
                  </w:tcBorders>
                  <w:tcMar>
                    <w:top w:w="0" w:type="dxa"/>
                    <w:left w:w="108" w:type="dxa"/>
                    <w:bottom w:w="0" w:type="dxa"/>
                    <w:right w:w="108" w:type="dxa"/>
                  </w:tcMar>
                  <w:vAlign w:val="center"/>
                </w:tcPr>
                <w:p w14:paraId="10D1F475">
                  <w:pPr>
                    <w:spacing w:line="240" w:lineRule="auto"/>
                    <w:jc w:val="center"/>
                    <w:rPr>
                      <w:rFonts w:hint="default" w:ascii="Times New Roman" w:hAnsi="Times New Roman" w:eastAsia="宋体" w:cs="Times New Roman"/>
                      <w:color w:val="FF0000"/>
                      <w:sz w:val="21"/>
                      <w:szCs w:val="21"/>
                      <w:highlight w:val="none"/>
                      <w:u w:val="single" w:color="auto"/>
                    </w:rPr>
                  </w:pPr>
                </w:p>
              </w:tc>
              <w:tc>
                <w:tcPr>
                  <w:tcW w:w="799" w:type="pct"/>
                  <w:vMerge w:val="continue"/>
                  <w:tcBorders>
                    <w:tl2br w:val="nil"/>
                    <w:tr2bl w:val="nil"/>
                  </w:tcBorders>
                  <w:tcMar>
                    <w:top w:w="0" w:type="dxa"/>
                    <w:left w:w="108" w:type="dxa"/>
                    <w:bottom w:w="0" w:type="dxa"/>
                    <w:right w:w="108" w:type="dxa"/>
                  </w:tcMar>
                  <w:vAlign w:val="center"/>
                </w:tcPr>
                <w:p w14:paraId="2E697363">
                  <w:pPr>
                    <w:spacing w:line="240" w:lineRule="auto"/>
                    <w:jc w:val="center"/>
                    <w:rPr>
                      <w:rFonts w:hint="default" w:ascii="Times New Roman" w:hAnsi="Times New Roman" w:eastAsia="宋体" w:cs="Times New Roman"/>
                      <w:color w:val="FF0000"/>
                      <w:sz w:val="21"/>
                      <w:szCs w:val="21"/>
                      <w:highlight w:val="none"/>
                      <w:u w:val="single" w:color="auto"/>
                    </w:rPr>
                  </w:pPr>
                </w:p>
              </w:tc>
              <w:tc>
                <w:tcPr>
                  <w:tcW w:w="2218" w:type="pct"/>
                  <w:tcBorders>
                    <w:tl2br w:val="nil"/>
                    <w:tr2bl w:val="nil"/>
                  </w:tcBorders>
                  <w:tcMar>
                    <w:top w:w="0" w:type="dxa"/>
                    <w:left w:w="108" w:type="dxa"/>
                    <w:bottom w:w="0" w:type="dxa"/>
                    <w:right w:w="108" w:type="dxa"/>
                  </w:tcMar>
                  <w:vAlign w:val="center"/>
                </w:tcPr>
                <w:p w14:paraId="69AB33B2">
                  <w:pPr>
                    <w:spacing w:line="240" w:lineRule="auto"/>
                    <w:jc w:val="center"/>
                    <w:rPr>
                      <w:rFonts w:hint="default" w:ascii="Times New Roman" w:hAnsi="Times New Roman" w:eastAsia="宋体" w:cs="Times New Roman"/>
                      <w:color w:val="FF0000"/>
                      <w:sz w:val="21"/>
                      <w:szCs w:val="21"/>
                      <w:highlight w:val="none"/>
                      <w:u w:val="single" w:color="auto"/>
                    </w:rPr>
                  </w:pPr>
                  <w:r>
                    <w:rPr>
                      <w:rFonts w:hint="default" w:ascii="Times New Roman" w:hAnsi="Times New Roman" w:eastAsia="宋体" w:cs="Times New Roman"/>
                      <w:color w:val="FF0000"/>
                      <w:kern w:val="0"/>
                      <w:sz w:val="21"/>
                      <w:szCs w:val="21"/>
                      <w:highlight w:val="none"/>
                      <w:u w:val="single" w:color="auto"/>
                    </w:rPr>
                    <w:t>隔离传染病患者或者疑似传染病患者产生的废弃物</w:t>
                  </w:r>
                </w:p>
              </w:tc>
              <w:tc>
                <w:tcPr>
                  <w:tcW w:w="617" w:type="pct"/>
                  <w:tcBorders>
                    <w:tl2br w:val="nil"/>
                    <w:tr2bl w:val="nil"/>
                  </w:tcBorders>
                  <w:tcMar>
                    <w:top w:w="0" w:type="dxa"/>
                    <w:left w:w="108" w:type="dxa"/>
                    <w:bottom w:w="0" w:type="dxa"/>
                    <w:right w:w="108" w:type="dxa"/>
                  </w:tcMar>
                  <w:vAlign w:val="center"/>
                </w:tcPr>
                <w:p w14:paraId="44E982A3">
                  <w:pPr>
                    <w:spacing w:line="240" w:lineRule="auto"/>
                    <w:jc w:val="center"/>
                    <w:rPr>
                      <w:rFonts w:hint="eastAsia" w:ascii="Times New Roman" w:hAnsi="Times New Roman" w:eastAsia="宋体" w:cs="Times New Roman"/>
                      <w:color w:val="FF0000"/>
                      <w:sz w:val="21"/>
                      <w:szCs w:val="21"/>
                      <w:highlight w:val="none"/>
                      <w:u w:val="single" w:color="auto"/>
                      <w:lang w:val="en-US" w:eastAsia="zh-CN"/>
                    </w:rPr>
                  </w:pPr>
                  <w:r>
                    <w:rPr>
                      <w:rFonts w:hint="eastAsia" w:ascii="Times New Roman" w:hAnsi="Times New Roman" w:eastAsia="宋体" w:cs="Times New Roman"/>
                      <w:color w:val="FF0000"/>
                      <w:sz w:val="21"/>
                      <w:szCs w:val="21"/>
                      <w:highlight w:val="none"/>
                      <w:u w:val="single" w:color="auto"/>
                      <w:lang w:val="en-US" w:eastAsia="zh-CN"/>
                    </w:rPr>
                    <w:t>否</w:t>
                  </w:r>
                </w:p>
              </w:tc>
              <w:tc>
                <w:tcPr>
                  <w:tcW w:w="979" w:type="pct"/>
                  <w:vMerge w:val="continue"/>
                  <w:tcBorders>
                    <w:tl2br w:val="nil"/>
                    <w:tr2bl w:val="nil"/>
                  </w:tcBorders>
                  <w:tcMar>
                    <w:top w:w="0" w:type="dxa"/>
                    <w:left w:w="108" w:type="dxa"/>
                    <w:bottom w:w="0" w:type="dxa"/>
                    <w:right w:w="108" w:type="dxa"/>
                  </w:tcMar>
                  <w:vAlign w:val="center"/>
                </w:tcPr>
                <w:p w14:paraId="72CBDBDB">
                  <w:pPr>
                    <w:spacing w:line="240" w:lineRule="auto"/>
                    <w:jc w:val="center"/>
                    <w:rPr>
                      <w:rFonts w:hint="default" w:ascii="Times New Roman" w:hAnsi="Times New Roman" w:eastAsia="宋体" w:cs="Times New Roman"/>
                      <w:color w:val="FF0000"/>
                      <w:sz w:val="21"/>
                      <w:szCs w:val="21"/>
                      <w:highlight w:val="none"/>
                      <w:u w:val="single" w:color="auto"/>
                    </w:rPr>
                  </w:pPr>
                </w:p>
              </w:tc>
            </w:tr>
            <w:tr w14:paraId="52E56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386" w:type="pct"/>
                  <w:vMerge w:val="restart"/>
                  <w:tcBorders>
                    <w:tl2br w:val="nil"/>
                    <w:tr2bl w:val="nil"/>
                  </w:tcBorders>
                  <w:tcMar>
                    <w:top w:w="0" w:type="dxa"/>
                    <w:left w:w="108" w:type="dxa"/>
                    <w:bottom w:w="0" w:type="dxa"/>
                    <w:right w:w="108" w:type="dxa"/>
                  </w:tcMar>
                  <w:vAlign w:val="center"/>
                </w:tcPr>
                <w:p w14:paraId="0BF9768F">
                  <w:pPr>
                    <w:spacing w:line="240" w:lineRule="auto"/>
                    <w:jc w:val="center"/>
                    <w:rPr>
                      <w:rFonts w:hint="default" w:ascii="Times New Roman" w:hAnsi="Times New Roman" w:eastAsia="宋体" w:cs="Times New Roman"/>
                      <w:color w:val="FF0000"/>
                      <w:sz w:val="21"/>
                      <w:szCs w:val="21"/>
                      <w:highlight w:val="none"/>
                      <w:u w:val="single" w:color="auto"/>
                    </w:rPr>
                  </w:pPr>
                  <w:r>
                    <w:rPr>
                      <w:rFonts w:hint="default" w:ascii="Times New Roman" w:hAnsi="Times New Roman" w:eastAsia="宋体" w:cs="Times New Roman"/>
                      <w:color w:val="FF0000"/>
                      <w:sz w:val="21"/>
                      <w:szCs w:val="21"/>
                      <w:highlight w:val="none"/>
                      <w:u w:val="single" w:color="auto"/>
                    </w:rPr>
                    <w:t>损伤性废物</w:t>
                  </w:r>
                </w:p>
              </w:tc>
              <w:tc>
                <w:tcPr>
                  <w:tcW w:w="799" w:type="pct"/>
                  <w:vMerge w:val="restart"/>
                  <w:tcBorders>
                    <w:tl2br w:val="nil"/>
                    <w:tr2bl w:val="nil"/>
                  </w:tcBorders>
                  <w:tcMar>
                    <w:top w:w="0" w:type="dxa"/>
                    <w:left w:w="108" w:type="dxa"/>
                    <w:bottom w:w="0" w:type="dxa"/>
                    <w:right w:w="108" w:type="dxa"/>
                  </w:tcMar>
                  <w:vAlign w:val="center"/>
                </w:tcPr>
                <w:p w14:paraId="1AC1D2B2">
                  <w:pPr>
                    <w:spacing w:line="240" w:lineRule="auto"/>
                    <w:jc w:val="center"/>
                    <w:rPr>
                      <w:rFonts w:hint="default" w:ascii="Times New Roman" w:hAnsi="Times New Roman" w:eastAsia="宋体" w:cs="Times New Roman"/>
                      <w:color w:val="FF0000"/>
                      <w:sz w:val="21"/>
                      <w:szCs w:val="21"/>
                      <w:highlight w:val="none"/>
                      <w:u w:val="single" w:color="auto"/>
                    </w:rPr>
                  </w:pPr>
                  <w:r>
                    <w:rPr>
                      <w:rFonts w:hint="default" w:ascii="Times New Roman" w:hAnsi="Times New Roman" w:eastAsia="宋体" w:cs="Times New Roman"/>
                      <w:color w:val="FF0000"/>
                      <w:sz w:val="21"/>
                      <w:szCs w:val="21"/>
                      <w:highlight w:val="none"/>
                      <w:u w:val="single" w:color="auto"/>
                    </w:rPr>
                    <w:t>能够刺伤或者割伤人体的废弃的医用锐器</w:t>
                  </w:r>
                </w:p>
              </w:tc>
              <w:tc>
                <w:tcPr>
                  <w:tcW w:w="2218" w:type="pct"/>
                  <w:tcBorders>
                    <w:tl2br w:val="nil"/>
                    <w:tr2bl w:val="nil"/>
                  </w:tcBorders>
                  <w:tcMar>
                    <w:top w:w="0" w:type="dxa"/>
                    <w:left w:w="108" w:type="dxa"/>
                    <w:bottom w:w="0" w:type="dxa"/>
                    <w:right w:w="108" w:type="dxa"/>
                  </w:tcMar>
                  <w:vAlign w:val="center"/>
                </w:tcPr>
                <w:p w14:paraId="60E47C98">
                  <w:pPr>
                    <w:spacing w:line="240" w:lineRule="auto"/>
                    <w:jc w:val="center"/>
                    <w:rPr>
                      <w:rFonts w:hint="default" w:ascii="Times New Roman" w:hAnsi="Times New Roman" w:eastAsia="宋体" w:cs="Times New Roman"/>
                      <w:color w:val="FF0000"/>
                      <w:sz w:val="21"/>
                      <w:szCs w:val="21"/>
                      <w:highlight w:val="none"/>
                      <w:u w:val="single" w:color="auto"/>
                      <w:lang w:val="en-US" w:eastAsia="zh-CN"/>
                    </w:rPr>
                  </w:pPr>
                  <w:r>
                    <w:rPr>
                      <w:rFonts w:hint="default" w:ascii="Times New Roman" w:hAnsi="Times New Roman" w:eastAsia="宋体" w:cs="Times New Roman"/>
                      <w:color w:val="FF0000"/>
                      <w:kern w:val="0"/>
                      <w:sz w:val="21"/>
                      <w:szCs w:val="21"/>
                      <w:highlight w:val="none"/>
                      <w:u w:val="single" w:color="auto"/>
                    </w:rPr>
                    <w:t>废弃的金属类锐器，如针头、缝合针、针灸针、探针、穿刺针、解剖刀、手术刀、手术锯、备皮刀、钢钉和导丝等</w:t>
                  </w:r>
                </w:p>
              </w:tc>
              <w:tc>
                <w:tcPr>
                  <w:tcW w:w="617" w:type="pct"/>
                  <w:tcBorders>
                    <w:tl2br w:val="nil"/>
                    <w:tr2bl w:val="nil"/>
                  </w:tcBorders>
                  <w:tcMar>
                    <w:top w:w="0" w:type="dxa"/>
                    <w:left w:w="108" w:type="dxa"/>
                    <w:bottom w:w="0" w:type="dxa"/>
                    <w:right w:w="108" w:type="dxa"/>
                  </w:tcMar>
                  <w:vAlign w:val="center"/>
                </w:tcPr>
                <w:p w14:paraId="7B50BB3F">
                  <w:pPr>
                    <w:spacing w:line="240" w:lineRule="auto"/>
                    <w:jc w:val="center"/>
                    <w:rPr>
                      <w:rFonts w:hint="default" w:ascii="Times New Roman" w:hAnsi="Times New Roman" w:eastAsia="宋体" w:cs="Times New Roman"/>
                      <w:color w:val="FF0000"/>
                      <w:sz w:val="21"/>
                      <w:szCs w:val="21"/>
                      <w:highlight w:val="none"/>
                      <w:u w:val="single" w:color="auto"/>
                    </w:rPr>
                  </w:pPr>
                  <w:r>
                    <w:rPr>
                      <w:rFonts w:hint="eastAsia" w:ascii="Times New Roman" w:hAnsi="Times New Roman" w:eastAsia="宋体" w:cs="Times New Roman"/>
                      <w:color w:val="FF0000"/>
                      <w:sz w:val="21"/>
                      <w:szCs w:val="21"/>
                      <w:highlight w:val="none"/>
                      <w:u w:val="single" w:color="auto"/>
                      <w:lang w:val="en-US" w:eastAsia="zh-CN"/>
                    </w:rPr>
                    <w:t>是</w:t>
                  </w:r>
                </w:p>
              </w:tc>
              <w:tc>
                <w:tcPr>
                  <w:tcW w:w="979" w:type="pct"/>
                  <w:vMerge w:val="restart"/>
                  <w:tcBorders>
                    <w:tl2br w:val="nil"/>
                    <w:tr2bl w:val="nil"/>
                  </w:tcBorders>
                  <w:tcMar>
                    <w:top w:w="0" w:type="dxa"/>
                    <w:left w:w="108" w:type="dxa"/>
                    <w:bottom w:w="0" w:type="dxa"/>
                    <w:right w:w="108" w:type="dxa"/>
                  </w:tcMar>
                  <w:vAlign w:val="center"/>
                </w:tcPr>
                <w:p w14:paraId="31B8C9F2">
                  <w:pPr>
                    <w:spacing w:line="240" w:lineRule="auto"/>
                    <w:jc w:val="center"/>
                    <w:rPr>
                      <w:rFonts w:hint="default" w:ascii="Times New Roman" w:hAnsi="Times New Roman" w:eastAsia="宋体" w:cs="Times New Roman"/>
                      <w:color w:val="FF0000"/>
                      <w:sz w:val="21"/>
                      <w:szCs w:val="21"/>
                      <w:highlight w:val="none"/>
                      <w:u w:val="single" w:color="auto"/>
                      <w:lang w:val="en-US" w:eastAsia="zh-CN"/>
                    </w:rPr>
                  </w:pPr>
                  <w:r>
                    <w:rPr>
                      <w:rFonts w:hint="default" w:ascii="Times New Roman" w:hAnsi="Times New Roman" w:eastAsia="宋体" w:cs="Times New Roman"/>
                      <w:color w:val="FF0000"/>
                      <w:sz w:val="21"/>
                      <w:szCs w:val="21"/>
                      <w:highlight w:val="none"/>
                      <w:u w:val="single" w:color="auto"/>
                      <w:lang w:val="en-US" w:eastAsia="zh-CN"/>
                    </w:rPr>
                    <w:t>HW01</w:t>
                  </w:r>
                </w:p>
                <w:p w14:paraId="5792ABB5">
                  <w:pPr>
                    <w:spacing w:line="240" w:lineRule="auto"/>
                    <w:jc w:val="center"/>
                    <w:rPr>
                      <w:rFonts w:hint="default" w:ascii="Times New Roman" w:hAnsi="Times New Roman" w:eastAsia="宋体" w:cs="Times New Roman"/>
                      <w:color w:val="FF0000"/>
                      <w:sz w:val="21"/>
                      <w:szCs w:val="21"/>
                      <w:highlight w:val="none"/>
                      <w:u w:val="single" w:color="auto"/>
                    </w:rPr>
                  </w:pPr>
                  <w:r>
                    <w:rPr>
                      <w:rFonts w:hint="default" w:ascii="Times New Roman" w:hAnsi="Times New Roman" w:eastAsia="宋体" w:cs="Times New Roman"/>
                      <w:color w:val="FF0000"/>
                      <w:sz w:val="21"/>
                      <w:szCs w:val="21"/>
                      <w:highlight w:val="none"/>
                      <w:u w:val="single" w:color="auto"/>
                      <w:lang w:val="en-US" w:eastAsia="zh-CN"/>
                    </w:rPr>
                    <w:t>841-002-01</w:t>
                  </w:r>
                </w:p>
              </w:tc>
            </w:tr>
            <w:tr w14:paraId="238AE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86" w:type="pct"/>
                  <w:vMerge w:val="continue"/>
                  <w:tcBorders>
                    <w:tl2br w:val="nil"/>
                    <w:tr2bl w:val="nil"/>
                  </w:tcBorders>
                  <w:tcMar>
                    <w:top w:w="0" w:type="dxa"/>
                    <w:left w:w="108" w:type="dxa"/>
                    <w:bottom w:w="0" w:type="dxa"/>
                    <w:right w:w="108" w:type="dxa"/>
                  </w:tcMar>
                  <w:vAlign w:val="center"/>
                </w:tcPr>
                <w:p w14:paraId="68304469">
                  <w:pPr>
                    <w:spacing w:line="240" w:lineRule="auto"/>
                    <w:jc w:val="center"/>
                    <w:rPr>
                      <w:rFonts w:hint="default" w:ascii="Times New Roman" w:hAnsi="Times New Roman" w:eastAsia="宋体" w:cs="Times New Roman"/>
                      <w:color w:val="FF0000"/>
                      <w:sz w:val="21"/>
                      <w:szCs w:val="21"/>
                      <w:highlight w:val="none"/>
                      <w:u w:val="single" w:color="auto"/>
                    </w:rPr>
                  </w:pPr>
                </w:p>
              </w:tc>
              <w:tc>
                <w:tcPr>
                  <w:tcW w:w="799" w:type="pct"/>
                  <w:vMerge w:val="continue"/>
                  <w:tcBorders>
                    <w:tl2br w:val="nil"/>
                    <w:tr2bl w:val="nil"/>
                  </w:tcBorders>
                  <w:tcMar>
                    <w:top w:w="0" w:type="dxa"/>
                    <w:left w:w="108" w:type="dxa"/>
                    <w:bottom w:w="0" w:type="dxa"/>
                    <w:right w:w="108" w:type="dxa"/>
                  </w:tcMar>
                  <w:vAlign w:val="center"/>
                </w:tcPr>
                <w:p w14:paraId="46B5ECD1">
                  <w:pPr>
                    <w:spacing w:line="240" w:lineRule="auto"/>
                    <w:jc w:val="center"/>
                    <w:rPr>
                      <w:rFonts w:hint="default" w:ascii="Times New Roman" w:hAnsi="Times New Roman" w:eastAsia="宋体" w:cs="Times New Roman"/>
                      <w:color w:val="FF0000"/>
                      <w:sz w:val="21"/>
                      <w:szCs w:val="21"/>
                      <w:highlight w:val="none"/>
                      <w:u w:val="single" w:color="auto"/>
                    </w:rPr>
                  </w:pPr>
                </w:p>
              </w:tc>
              <w:tc>
                <w:tcPr>
                  <w:tcW w:w="2218" w:type="pct"/>
                  <w:tcBorders>
                    <w:tl2br w:val="nil"/>
                    <w:tr2bl w:val="nil"/>
                  </w:tcBorders>
                  <w:tcMar>
                    <w:top w:w="0" w:type="dxa"/>
                    <w:left w:w="108" w:type="dxa"/>
                    <w:bottom w:w="0" w:type="dxa"/>
                    <w:right w:w="108" w:type="dxa"/>
                  </w:tcMar>
                  <w:vAlign w:val="center"/>
                </w:tcPr>
                <w:p w14:paraId="3B93C68B">
                  <w:pPr>
                    <w:spacing w:line="240" w:lineRule="auto"/>
                    <w:jc w:val="center"/>
                    <w:rPr>
                      <w:rFonts w:hint="default" w:ascii="Times New Roman" w:hAnsi="Times New Roman" w:eastAsia="宋体" w:cs="Times New Roman"/>
                      <w:color w:val="FF0000"/>
                      <w:sz w:val="21"/>
                      <w:szCs w:val="21"/>
                      <w:highlight w:val="none"/>
                      <w:u w:val="single" w:color="auto"/>
                      <w:lang w:val="en-US" w:eastAsia="zh-CN"/>
                    </w:rPr>
                  </w:pPr>
                  <w:r>
                    <w:rPr>
                      <w:rFonts w:hint="default" w:ascii="Times New Roman" w:hAnsi="Times New Roman" w:eastAsia="宋体" w:cs="Times New Roman"/>
                      <w:color w:val="FF0000"/>
                      <w:kern w:val="0"/>
                      <w:sz w:val="21"/>
                      <w:szCs w:val="21"/>
                      <w:highlight w:val="none"/>
                      <w:u w:val="single" w:color="auto"/>
                    </w:rPr>
                    <w:t>废弃的玻璃类锐器，如盖玻片、载玻片、玻璃安瓿等</w:t>
                  </w:r>
                </w:p>
              </w:tc>
              <w:tc>
                <w:tcPr>
                  <w:tcW w:w="617" w:type="pct"/>
                  <w:tcBorders>
                    <w:tl2br w:val="nil"/>
                    <w:tr2bl w:val="nil"/>
                  </w:tcBorders>
                  <w:tcMar>
                    <w:top w:w="0" w:type="dxa"/>
                    <w:left w:w="108" w:type="dxa"/>
                    <w:bottom w:w="0" w:type="dxa"/>
                    <w:right w:w="108" w:type="dxa"/>
                  </w:tcMar>
                  <w:vAlign w:val="center"/>
                </w:tcPr>
                <w:p w14:paraId="5CBF1BAE">
                  <w:pPr>
                    <w:spacing w:line="240" w:lineRule="auto"/>
                    <w:jc w:val="center"/>
                    <w:rPr>
                      <w:rFonts w:hint="default" w:ascii="Times New Roman" w:hAnsi="Times New Roman" w:eastAsia="宋体" w:cs="Times New Roman"/>
                      <w:color w:val="FF0000"/>
                      <w:sz w:val="21"/>
                      <w:szCs w:val="21"/>
                      <w:highlight w:val="none"/>
                      <w:u w:val="single" w:color="auto"/>
                    </w:rPr>
                  </w:pPr>
                  <w:r>
                    <w:rPr>
                      <w:rFonts w:hint="eastAsia" w:ascii="Times New Roman" w:hAnsi="Times New Roman" w:eastAsia="宋体" w:cs="Times New Roman"/>
                      <w:color w:val="FF0000"/>
                      <w:sz w:val="21"/>
                      <w:szCs w:val="21"/>
                      <w:highlight w:val="none"/>
                      <w:u w:val="single" w:color="auto"/>
                      <w:lang w:val="en-US" w:eastAsia="zh-CN"/>
                    </w:rPr>
                    <w:t>是</w:t>
                  </w:r>
                </w:p>
              </w:tc>
              <w:tc>
                <w:tcPr>
                  <w:tcW w:w="979" w:type="pct"/>
                  <w:vMerge w:val="continue"/>
                  <w:tcBorders>
                    <w:tl2br w:val="nil"/>
                    <w:tr2bl w:val="nil"/>
                  </w:tcBorders>
                  <w:tcMar>
                    <w:top w:w="0" w:type="dxa"/>
                    <w:left w:w="108" w:type="dxa"/>
                    <w:bottom w:w="0" w:type="dxa"/>
                    <w:right w:w="108" w:type="dxa"/>
                  </w:tcMar>
                  <w:vAlign w:val="center"/>
                </w:tcPr>
                <w:p w14:paraId="3A833701">
                  <w:pPr>
                    <w:spacing w:line="240" w:lineRule="auto"/>
                    <w:jc w:val="center"/>
                    <w:rPr>
                      <w:rFonts w:hint="default" w:ascii="Times New Roman" w:hAnsi="Times New Roman" w:eastAsia="宋体" w:cs="Times New Roman"/>
                      <w:color w:val="FF0000"/>
                      <w:sz w:val="21"/>
                      <w:szCs w:val="21"/>
                      <w:highlight w:val="none"/>
                      <w:u w:val="single" w:color="auto"/>
                    </w:rPr>
                  </w:pPr>
                </w:p>
              </w:tc>
            </w:tr>
            <w:tr w14:paraId="3E229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7" w:hRule="atLeast"/>
                <w:jc w:val="center"/>
              </w:trPr>
              <w:tc>
                <w:tcPr>
                  <w:tcW w:w="386" w:type="pct"/>
                  <w:vMerge w:val="continue"/>
                  <w:tcBorders>
                    <w:tl2br w:val="nil"/>
                    <w:tr2bl w:val="nil"/>
                  </w:tcBorders>
                  <w:tcMar>
                    <w:top w:w="0" w:type="dxa"/>
                    <w:left w:w="108" w:type="dxa"/>
                    <w:bottom w:w="0" w:type="dxa"/>
                    <w:right w:w="108" w:type="dxa"/>
                  </w:tcMar>
                  <w:vAlign w:val="center"/>
                </w:tcPr>
                <w:p w14:paraId="36DF791C">
                  <w:pPr>
                    <w:spacing w:line="240" w:lineRule="auto"/>
                    <w:jc w:val="center"/>
                    <w:rPr>
                      <w:rFonts w:hint="default" w:ascii="Times New Roman" w:hAnsi="Times New Roman" w:eastAsia="宋体" w:cs="Times New Roman"/>
                      <w:color w:val="FF0000"/>
                      <w:sz w:val="21"/>
                      <w:szCs w:val="21"/>
                      <w:highlight w:val="none"/>
                      <w:u w:val="single" w:color="auto"/>
                    </w:rPr>
                  </w:pPr>
                </w:p>
              </w:tc>
              <w:tc>
                <w:tcPr>
                  <w:tcW w:w="799" w:type="pct"/>
                  <w:vMerge w:val="continue"/>
                  <w:tcBorders>
                    <w:tl2br w:val="nil"/>
                    <w:tr2bl w:val="nil"/>
                  </w:tcBorders>
                  <w:tcMar>
                    <w:top w:w="0" w:type="dxa"/>
                    <w:left w:w="108" w:type="dxa"/>
                    <w:bottom w:w="0" w:type="dxa"/>
                    <w:right w:w="108" w:type="dxa"/>
                  </w:tcMar>
                  <w:vAlign w:val="center"/>
                </w:tcPr>
                <w:p w14:paraId="3856992F">
                  <w:pPr>
                    <w:spacing w:line="240" w:lineRule="auto"/>
                    <w:jc w:val="center"/>
                    <w:rPr>
                      <w:rFonts w:hint="default" w:ascii="Times New Roman" w:hAnsi="Times New Roman" w:eastAsia="宋体" w:cs="Times New Roman"/>
                      <w:color w:val="FF0000"/>
                      <w:sz w:val="21"/>
                      <w:szCs w:val="21"/>
                      <w:highlight w:val="none"/>
                      <w:u w:val="single" w:color="auto"/>
                    </w:rPr>
                  </w:pPr>
                </w:p>
              </w:tc>
              <w:tc>
                <w:tcPr>
                  <w:tcW w:w="2218" w:type="pct"/>
                  <w:tcBorders>
                    <w:tl2br w:val="nil"/>
                    <w:tr2bl w:val="nil"/>
                  </w:tcBorders>
                  <w:tcMar>
                    <w:top w:w="0" w:type="dxa"/>
                    <w:left w:w="108" w:type="dxa"/>
                    <w:bottom w:w="0" w:type="dxa"/>
                    <w:right w:w="108" w:type="dxa"/>
                  </w:tcMar>
                  <w:vAlign w:val="center"/>
                </w:tcPr>
                <w:p w14:paraId="3CBBB367">
                  <w:pPr>
                    <w:spacing w:line="240" w:lineRule="auto"/>
                    <w:jc w:val="center"/>
                    <w:rPr>
                      <w:rFonts w:hint="default" w:ascii="Times New Roman" w:hAnsi="Times New Roman" w:eastAsia="宋体" w:cs="Times New Roman"/>
                      <w:color w:val="FF0000"/>
                      <w:sz w:val="21"/>
                      <w:szCs w:val="21"/>
                      <w:highlight w:val="none"/>
                      <w:u w:val="single" w:color="auto"/>
                      <w:lang w:val="en-US" w:eastAsia="zh-CN"/>
                    </w:rPr>
                  </w:pPr>
                  <w:r>
                    <w:rPr>
                      <w:rFonts w:hint="default" w:ascii="Times New Roman" w:hAnsi="Times New Roman" w:eastAsia="宋体" w:cs="Times New Roman"/>
                      <w:color w:val="FF0000"/>
                      <w:kern w:val="0"/>
                      <w:sz w:val="21"/>
                      <w:szCs w:val="21"/>
                      <w:highlight w:val="none"/>
                      <w:u w:val="single" w:color="auto"/>
                    </w:rPr>
                    <w:t>废弃的其他材质类锐器</w:t>
                  </w:r>
                </w:p>
              </w:tc>
              <w:tc>
                <w:tcPr>
                  <w:tcW w:w="617" w:type="pct"/>
                  <w:tcBorders>
                    <w:tl2br w:val="nil"/>
                    <w:tr2bl w:val="nil"/>
                  </w:tcBorders>
                  <w:tcMar>
                    <w:top w:w="0" w:type="dxa"/>
                    <w:left w:w="108" w:type="dxa"/>
                    <w:bottom w:w="0" w:type="dxa"/>
                    <w:right w:w="108" w:type="dxa"/>
                  </w:tcMar>
                  <w:vAlign w:val="center"/>
                </w:tcPr>
                <w:p w14:paraId="2F950C55">
                  <w:pPr>
                    <w:spacing w:line="240" w:lineRule="auto"/>
                    <w:jc w:val="center"/>
                    <w:rPr>
                      <w:rFonts w:hint="default" w:ascii="Times New Roman" w:hAnsi="Times New Roman" w:eastAsia="宋体" w:cs="Times New Roman"/>
                      <w:color w:val="FF0000"/>
                      <w:sz w:val="21"/>
                      <w:szCs w:val="21"/>
                      <w:highlight w:val="none"/>
                      <w:u w:val="single" w:color="auto"/>
                    </w:rPr>
                  </w:pPr>
                  <w:r>
                    <w:rPr>
                      <w:rFonts w:hint="eastAsia" w:ascii="Times New Roman" w:hAnsi="Times New Roman" w:eastAsia="宋体" w:cs="Times New Roman"/>
                      <w:color w:val="FF0000"/>
                      <w:sz w:val="21"/>
                      <w:szCs w:val="21"/>
                      <w:highlight w:val="none"/>
                      <w:u w:val="single" w:color="auto"/>
                      <w:lang w:val="en-US" w:eastAsia="zh-CN"/>
                    </w:rPr>
                    <w:t>是</w:t>
                  </w:r>
                </w:p>
              </w:tc>
              <w:tc>
                <w:tcPr>
                  <w:tcW w:w="979" w:type="pct"/>
                  <w:vMerge w:val="continue"/>
                  <w:tcBorders>
                    <w:tl2br w:val="nil"/>
                    <w:tr2bl w:val="nil"/>
                  </w:tcBorders>
                  <w:tcMar>
                    <w:top w:w="0" w:type="dxa"/>
                    <w:left w:w="108" w:type="dxa"/>
                    <w:bottom w:w="0" w:type="dxa"/>
                    <w:right w:w="108" w:type="dxa"/>
                  </w:tcMar>
                  <w:vAlign w:val="center"/>
                </w:tcPr>
                <w:p w14:paraId="52B412FC">
                  <w:pPr>
                    <w:spacing w:line="240" w:lineRule="auto"/>
                    <w:jc w:val="center"/>
                    <w:rPr>
                      <w:rFonts w:hint="default" w:ascii="Times New Roman" w:hAnsi="Times New Roman" w:eastAsia="宋体" w:cs="Times New Roman"/>
                      <w:color w:val="FF0000"/>
                      <w:sz w:val="21"/>
                      <w:szCs w:val="21"/>
                      <w:highlight w:val="none"/>
                      <w:u w:val="single" w:color="auto"/>
                    </w:rPr>
                  </w:pPr>
                </w:p>
              </w:tc>
            </w:tr>
            <w:tr w14:paraId="154F0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 w:hRule="atLeast"/>
                <w:jc w:val="center"/>
              </w:trPr>
              <w:tc>
                <w:tcPr>
                  <w:tcW w:w="386" w:type="pct"/>
                  <w:vMerge w:val="restart"/>
                  <w:tcBorders>
                    <w:tl2br w:val="nil"/>
                    <w:tr2bl w:val="nil"/>
                  </w:tcBorders>
                  <w:tcMar>
                    <w:top w:w="0" w:type="dxa"/>
                    <w:left w:w="108" w:type="dxa"/>
                    <w:bottom w:w="0" w:type="dxa"/>
                    <w:right w:w="108" w:type="dxa"/>
                  </w:tcMar>
                  <w:vAlign w:val="center"/>
                </w:tcPr>
                <w:p w14:paraId="500BEFF4">
                  <w:pPr>
                    <w:spacing w:line="240" w:lineRule="auto"/>
                    <w:jc w:val="center"/>
                    <w:rPr>
                      <w:rFonts w:hint="default" w:ascii="Times New Roman" w:hAnsi="Times New Roman" w:eastAsia="宋体" w:cs="Times New Roman"/>
                      <w:color w:val="FF0000"/>
                      <w:sz w:val="21"/>
                      <w:szCs w:val="21"/>
                      <w:highlight w:val="none"/>
                      <w:u w:val="single" w:color="auto"/>
                    </w:rPr>
                  </w:pPr>
                  <w:r>
                    <w:rPr>
                      <w:rFonts w:hint="default" w:ascii="Times New Roman" w:hAnsi="Times New Roman" w:eastAsia="宋体" w:cs="Times New Roman"/>
                      <w:color w:val="FF0000"/>
                      <w:sz w:val="21"/>
                      <w:szCs w:val="21"/>
                      <w:highlight w:val="none"/>
                      <w:u w:val="single" w:color="auto"/>
                    </w:rPr>
                    <w:t>病理性废物</w:t>
                  </w:r>
                </w:p>
              </w:tc>
              <w:tc>
                <w:tcPr>
                  <w:tcW w:w="799" w:type="pct"/>
                  <w:vMerge w:val="restart"/>
                  <w:tcBorders>
                    <w:tl2br w:val="nil"/>
                    <w:tr2bl w:val="nil"/>
                  </w:tcBorders>
                  <w:tcMar>
                    <w:top w:w="0" w:type="dxa"/>
                    <w:left w:w="108" w:type="dxa"/>
                    <w:bottom w:w="0" w:type="dxa"/>
                    <w:right w:w="108" w:type="dxa"/>
                  </w:tcMar>
                  <w:vAlign w:val="center"/>
                </w:tcPr>
                <w:p w14:paraId="08F83D0D">
                  <w:pPr>
                    <w:spacing w:line="240" w:lineRule="auto"/>
                    <w:jc w:val="center"/>
                    <w:rPr>
                      <w:rFonts w:hint="default" w:ascii="Times New Roman" w:hAnsi="Times New Roman" w:eastAsia="宋体" w:cs="Times New Roman"/>
                      <w:color w:val="FF0000"/>
                      <w:sz w:val="21"/>
                      <w:szCs w:val="21"/>
                      <w:highlight w:val="none"/>
                      <w:u w:val="single" w:color="auto"/>
                    </w:rPr>
                  </w:pPr>
                  <w:r>
                    <w:rPr>
                      <w:rFonts w:hint="default" w:ascii="Times New Roman" w:hAnsi="Times New Roman" w:eastAsia="宋体" w:cs="Times New Roman"/>
                      <w:color w:val="FF0000"/>
                      <w:sz w:val="21"/>
                      <w:szCs w:val="21"/>
                      <w:highlight w:val="none"/>
                      <w:u w:val="single" w:color="auto"/>
                    </w:rPr>
                    <w:t>诊疗过程中产生的人体废弃物和医学实验动物尸体等</w:t>
                  </w:r>
                </w:p>
              </w:tc>
              <w:tc>
                <w:tcPr>
                  <w:tcW w:w="2218" w:type="pct"/>
                  <w:tcBorders>
                    <w:tl2br w:val="nil"/>
                    <w:tr2bl w:val="nil"/>
                  </w:tcBorders>
                  <w:tcMar>
                    <w:top w:w="0" w:type="dxa"/>
                    <w:left w:w="108" w:type="dxa"/>
                    <w:bottom w:w="0" w:type="dxa"/>
                    <w:right w:w="108" w:type="dxa"/>
                  </w:tcMar>
                  <w:vAlign w:val="center"/>
                </w:tcPr>
                <w:p w14:paraId="0CA29424">
                  <w:pPr>
                    <w:spacing w:line="240" w:lineRule="auto"/>
                    <w:jc w:val="center"/>
                    <w:rPr>
                      <w:rFonts w:hint="default" w:ascii="Times New Roman" w:hAnsi="Times New Roman" w:eastAsia="宋体" w:cs="Times New Roman"/>
                      <w:color w:val="FF0000"/>
                      <w:sz w:val="21"/>
                      <w:szCs w:val="21"/>
                      <w:highlight w:val="none"/>
                      <w:u w:val="single" w:color="auto"/>
                    </w:rPr>
                  </w:pPr>
                  <w:r>
                    <w:rPr>
                      <w:rFonts w:hint="default" w:ascii="Times New Roman" w:hAnsi="Times New Roman" w:eastAsia="宋体" w:cs="Times New Roman"/>
                      <w:color w:val="FF0000"/>
                      <w:kern w:val="0"/>
                      <w:sz w:val="21"/>
                      <w:szCs w:val="21"/>
                      <w:highlight w:val="none"/>
                      <w:u w:val="single" w:color="auto"/>
                    </w:rPr>
                    <w:t>手术及其他医学服务过程中产生的废弃的人体组织、器官</w:t>
                  </w:r>
                </w:p>
              </w:tc>
              <w:tc>
                <w:tcPr>
                  <w:tcW w:w="617" w:type="pct"/>
                  <w:tcBorders>
                    <w:tl2br w:val="nil"/>
                    <w:tr2bl w:val="nil"/>
                  </w:tcBorders>
                  <w:tcMar>
                    <w:top w:w="0" w:type="dxa"/>
                    <w:left w:w="108" w:type="dxa"/>
                    <w:bottom w:w="0" w:type="dxa"/>
                    <w:right w:w="108" w:type="dxa"/>
                  </w:tcMar>
                  <w:vAlign w:val="center"/>
                </w:tcPr>
                <w:p w14:paraId="5F60B3DD">
                  <w:pPr>
                    <w:spacing w:line="240" w:lineRule="auto"/>
                    <w:jc w:val="center"/>
                    <w:rPr>
                      <w:rFonts w:hint="eastAsia" w:ascii="Times New Roman" w:hAnsi="Times New Roman" w:eastAsia="宋体" w:cs="Times New Roman"/>
                      <w:color w:val="FF0000"/>
                      <w:sz w:val="21"/>
                      <w:szCs w:val="21"/>
                      <w:highlight w:val="none"/>
                      <w:u w:val="single" w:color="auto"/>
                      <w:lang w:val="en-US" w:eastAsia="zh-CN"/>
                    </w:rPr>
                  </w:pPr>
                  <w:r>
                    <w:rPr>
                      <w:rFonts w:hint="eastAsia" w:ascii="Times New Roman" w:hAnsi="Times New Roman" w:eastAsia="宋体" w:cs="Times New Roman"/>
                      <w:color w:val="FF0000"/>
                      <w:sz w:val="21"/>
                      <w:szCs w:val="21"/>
                      <w:highlight w:val="none"/>
                      <w:u w:val="single" w:color="auto"/>
                      <w:lang w:val="en-US" w:eastAsia="zh-CN"/>
                    </w:rPr>
                    <w:t>是</w:t>
                  </w:r>
                </w:p>
              </w:tc>
              <w:tc>
                <w:tcPr>
                  <w:tcW w:w="979" w:type="pct"/>
                  <w:vMerge w:val="restart"/>
                  <w:tcBorders>
                    <w:tl2br w:val="nil"/>
                    <w:tr2bl w:val="nil"/>
                  </w:tcBorders>
                  <w:tcMar>
                    <w:top w:w="0" w:type="dxa"/>
                    <w:left w:w="108" w:type="dxa"/>
                    <w:bottom w:w="0" w:type="dxa"/>
                    <w:right w:w="108" w:type="dxa"/>
                  </w:tcMar>
                  <w:vAlign w:val="center"/>
                </w:tcPr>
                <w:p w14:paraId="68D5588F">
                  <w:pPr>
                    <w:spacing w:line="240" w:lineRule="auto"/>
                    <w:jc w:val="center"/>
                    <w:rPr>
                      <w:rFonts w:hint="default" w:ascii="Times New Roman" w:hAnsi="Times New Roman" w:eastAsia="宋体" w:cs="Times New Roman"/>
                      <w:color w:val="FF0000"/>
                      <w:sz w:val="21"/>
                      <w:szCs w:val="21"/>
                      <w:highlight w:val="none"/>
                      <w:u w:val="single" w:color="auto"/>
                      <w:lang w:val="en-US" w:eastAsia="zh-CN"/>
                    </w:rPr>
                  </w:pPr>
                  <w:r>
                    <w:rPr>
                      <w:rFonts w:hint="default" w:ascii="Times New Roman" w:hAnsi="Times New Roman" w:eastAsia="宋体" w:cs="Times New Roman"/>
                      <w:color w:val="FF0000"/>
                      <w:sz w:val="21"/>
                      <w:szCs w:val="21"/>
                      <w:highlight w:val="none"/>
                      <w:u w:val="single" w:color="auto"/>
                      <w:lang w:val="en-US" w:eastAsia="zh-CN"/>
                    </w:rPr>
                    <w:t>HW01</w:t>
                  </w:r>
                </w:p>
                <w:p w14:paraId="67E35651">
                  <w:pPr>
                    <w:spacing w:line="240" w:lineRule="auto"/>
                    <w:jc w:val="center"/>
                    <w:rPr>
                      <w:rFonts w:hint="default" w:ascii="Times New Roman" w:hAnsi="Times New Roman" w:eastAsia="宋体" w:cs="Times New Roman"/>
                      <w:color w:val="FF0000"/>
                      <w:sz w:val="21"/>
                      <w:szCs w:val="21"/>
                      <w:highlight w:val="none"/>
                      <w:u w:val="single" w:color="auto"/>
                    </w:rPr>
                  </w:pPr>
                  <w:r>
                    <w:rPr>
                      <w:rFonts w:hint="default" w:ascii="Times New Roman" w:hAnsi="Times New Roman" w:eastAsia="宋体" w:cs="Times New Roman"/>
                      <w:color w:val="FF0000"/>
                      <w:sz w:val="21"/>
                      <w:szCs w:val="21"/>
                      <w:highlight w:val="none"/>
                      <w:u w:val="single" w:color="auto"/>
                      <w:lang w:val="en-US" w:eastAsia="zh-CN"/>
                    </w:rPr>
                    <w:t>841-003-01</w:t>
                  </w:r>
                </w:p>
              </w:tc>
            </w:tr>
            <w:tr w14:paraId="543E5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atLeast"/>
                <w:jc w:val="center"/>
              </w:trPr>
              <w:tc>
                <w:tcPr>
                  <w:tcW w:w="386" w:type="pct"/>
                  <w:vMerge w:val="continue"/>
                  <w:tcBorders>
                    <w:tl2br w:val="nil"/>
                    <w:tr2bl w:val="nil"/>
                  </w:tcBorders>
                  <w:tcMar>
                    <w:top w:w="0" w:type="dxa"/>
                    <w:left w:w="108" w:type="dxa"/>
                    <w:bottom w:w="0" w:type="dxa"/>
                    <w:right w:w="108" w:type="dxa"/>
                  </w:tcMar>
                  <w:vAlign w:val="center"/>
                </w:tcPr>
                <w:p w14:paraId="751BFF6E">
                  <w:pPr>
                    <w:spacing w:line="240" w:lineRule="auto"/>
                    <w:jc w:val="center"/>
                    <w:rPr>
                      <w:rFonts w:hint="default" w:ascii="Times New Roman" w:hAnsi="Times New Roman" w:eastAsia="宋体" w:cs="Times New Roman"/>
                      <w:color w:val="FF0000"/>
                      <w:sz w:val="21"/>
                      <w:szCs w:val="21"/>
                      <w:highlight w:val="none"/>
                      <w:u w:val="single" w:color="auto"/>
                    </w:rPr>
                  </w:pPr>
                </w:p>
              </w:tc>
              <w:tc>
                <w:tcPr>
                  <w:tcW w:w="799" w:type="pct"/>
                  <w:vMerge w:val="continue"/>
                  <w:tcBorders>
                    <w:tl2br w:val="nil"/>
                    <w:tr2bl w:val="nil"/>
                  </w:tcBorders>
                  <w:tcMar>
                    <w:top w:w="0" w:type="dxa"/>
                    <w:left w:w="108" w:type="dxa"/>
                    <w:bottom w:w="0" w:type="dxa"/>
                    <w:right w:w="108" w:type="dxa"/>
                  </w:tcMar>
                  <w:vAlign w:val="center"/>
                </w:tcPr>
                <w:p w14:paraId="0AF24F1C">
                  <w:pPr>
                    <w:spacing w:line="240" w:lineRule="auto"/>
                    <w:jc w:val="center"/>
                    <w:rPr>
                      <w:rFonts w:hint="default" w:ascii="Times New Roman" w:hAnsi="Times New Roman" w:eastAsia="宋体" w:cs="Times New Roman"/>
                      <w:color w:val="FF0000"/>
                      <w:sz w:val="21"/>
                      <w:szCs w:val="21"/>
                      <w:highlight w:val="none"/>
                      <w:u w:val="single" w:color="auto"/>
                    </w:rPr>
                  </w:pPr>
                </w:p>
              </w:tc>
              <w:tc>
                <w:tcPr>
                  <w:tcW w:w="2218" w:type="pct"/>
                  <w:tcBorders>
                    <w:tl2br w:val="nil"/>
                    <w:tr2bl w:val="nil"/>
                  </w:tcBorders>
                  <w:tcMar>
                    <w:top w:w="0" w:type="dxa"/>
                    <w:left w:w="108" w:type="dxa"/>
                    <w:bottom w:w="0" w:type="dxa"/>
                    <w:right w:w="108" w:type="dxa"/>
                  </w:tcMar>
                  <w:vAlign w:val="center"/>
                </w:tcPr>
                <w:p w14:paraId="0CCF2D9A">
                  <w:pPr>
                    <w:spacing w:line="240" w:lineRule="auto"/>
                    <w:jc w:val="center"/>
                    <w:rPr>
                      <w:rFonts w:hint="default" w:ascii="Times New Roman" w:hAnsi="Times New Roman" w:eastAsia="宋体" w:cs="Times New Roman"/>
                      <w:color w:val="FF0000"/>
                      <w:sz w:val="21"/>
                      <w:szCs w:val="21"/>
                      <w:highlight w:val="none"/>
                      <w:u w:val="single" w:color="auto"/>
                    </w:rPr>
                  </w:pPr>
                  <w:r>
                    <w:rPr>
                      <w:rFonts w:hint="default" w:ascii="Times New Roman" w:hAnsi="Times New Roman" w:eastAsia="宋体" w:cs="Times New Roman"/>
                      <w:color w:val="FF0000"/>
                      <w:kern w:val="0"/>
                      <w:sz w:val="21"/>
                      <w:szCs w:val="21"/>
                      <w:highlight w:val="none"/>
                      <w:u w:val="single" w:color="auto"/>
                    </w:rPr>
                    <w:t>病理切片后废弃的人体组织、病理蜡块</w:t>
                  </w:r>
                </w:p>
              </w:tc>
              <w:tc>
                <w:tcPr>
                  <w:tcW w:w="617" w:type="pct"/>
                  <w:tcBorders>
                    <w:tl2br w:val="nil"/>
                    <w:tr2bl w:val="nil"/>
                  </w:tcBorders>
                  <w:tcMar>
                    <w:top w:w="0" w:type="dxa"/>
                    <w:left w:w="108" w:type="dxa"/>
                    <w:bottom w:w="0" w:type="dxa"/>
                    <w:right w:w="108" w:type="dxa"/>
                  </w:tcMar>
                  <w:vAlign w:val="center"/>
                </w:tcPr>
                <w:p w14:paraId="09D85CDA">
                  <w:pPr>
                    <w:spacing w:line="240" w:lineRule="auto"/>
                    <w:jc w:val="center"/>
                    <w:rPr>
                      <w:rFonts w:hint="eastAsia" w:ascii="Times New Roman" w:hAnsi="Times New Roman" w:eastAsia="宋体" w:cs="Times New Roman"/>
                      <w:color w:val="FF0000"/>
                      <w:sz w:val="21"/>
                      <w:szCs w:val="21"/>
                      <w:highlight w:val="none"/>
                      <w:u w:val="single" w:color="auto"/>
                      <w:lang w:val="en-US" w:eastAsia="zh-CN"/>
                    </w:rPr>
                  </w:pPr>
                  <w:r>
                    <w:rPr>
                      <w:rFonts w:hint="eastAsia" w:ascii="Times New Roman" w:hAnsi="Times New Roman" w:eastAsia="宋体" w:cs="Times New Roman"/>
                      <w:color w:val="FF0000"/>
                      <w:sz w:val="21"/>
                      <w:szCs w:val="21"/>
                      <w:highlight w:val="none"/>
                      <w:u w:val="single" w:color="auto"/>
                      <w:lang w:val="en-US" w:eastAsia="zh-CN"/>
                    </w:rPr>
                    <w:t>是</w:t>
                  </w:r>
                </w:p>
              </w:tc>
              <w:tc>
                <w:tcPr>
                  <w:tcW w:w="979" w:type="pct"/>
                  <w:vMerge w:val="continue"/>
                  <w:tcBorders>
                    <w:tl2br w:val="nil"/>
                    <w:tr2bl w:val="nil"/>
                  </w:tcBorders>
                  <w:tcMar>
                    <w:top w:w="0" w:type="dxa"/>
                    <w:left w:w="108" w:type="dxa"/>
                    <w:bottom w:w="0" w:type="dxa"/>
                    <w:right w:w="108" w:type="dxa"/>
                  </w:tcMar>
                  <w:vAlign w:val="center"/>
                </w:tcPr>
                <w:p w14:paraId="0F41B1FF">
                  <w:pPr>
                    <w:spacing w:line="240" w:lineRule="auto"/>
                    <w:jc w:val="center"/>
                    <w:rPr>
                      <w:rFonts w:hint="default" w:ascii="Times New Roman" w:hAnsi="Times New Roman" w:eastAsia="宋体" w:cs="Times New Roman"/>
                      <w:color w:val="FF0000"/>
                      <w:sz w:val="21"/>
                      <w:szCs w:val="21"/>
                      <w:highlight w:val="none"/>
                      <w:u w:val="single" w:color="auto"/>
                    </w:rPr>
                  </w:pPr>
                </w:p>
              </w:tc>
            </w:tr>
            <w:tr w14:paraId="3A4D5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atLeast"/>
                <w:jc w:val="center"/>
              </w:trPr>
              <w:tc>
                <w:tcPr>
                  <w:tcW w:w="386" w:type="pct"/>
                  <w:vMerge w:val="continue"/>
                  <w:tcBorders>
                    <w:tl2br w:val="nil"/>
                    <w:tr2bl w:val="nil"/>
                  </w:tcBorders>
                  <w:tcMar>
                    <w:top w:w="0" w:type="dxa"/>
                    <w:left w:w="108" w:type="dxa"/>
                    <w:bottom w:w="0" w:type="dxa"/>
                    <w:right w:w="108" w:type="dxa"/>
                  </w:tcMar>
                  <w:vAlign w:val="center"/>
                </w:tcPr>
                <w:p w14:paraId="1D7DC22A">
                  <w:pPr>
                    <w:spacing w:line="240" w:lineRule="auto"/>
                    <w:jc w:val="center"/>
                    <w:rPr>
                      <w:rFonts w:hint="default" w:ascii="Times New Roman" w:hAnsi="Times New Roman" w:eastAsia="宋体" w:cs="Times New Roman"/>
                      <w:color w:val="FF0000"/>
                      <w:sz w:val="21"/>
                      <w:szCs w:val="21"/>
                      <w:highlight w:val="none"/>
                      <w:u w:val="single" w:color="auto"/>
                    </w:rPr>
                  </w:pPr>
                </w:p>
              </w:tc>
              <w:tc>
                <w:tcPr>
                  <w:tcW w:w="799" w:type="pct"/>
                  <w:vMerge w:val="continue"/>
                  <w:tcBorders>
                    <w:tl2br w:val="nil"/>
                    <w:tr2bl w:val="nil"/>
                  </w:tcBorders>
                  <w:tcMar>
                    <w:top w:w="0" w:type="dxa"/>
                    <w:left w:w="108" w:type="dxa"/>
                    <w:bottom w:w="0" w:type="dxa"/>
                    <w:right w:w="108" w:type="dxa"/>
                  </w:tcMar>
                  <w:vAlign w:val="center"/>
                </w:tcPr>
                <w:p w14:paraId="6616EE02">
                  <w:pPr>
                    <w:spacing w:line="240" w:lineRule="auto"/>
                    <w:jc w:val="center"/>
                    <w:rPr>
                      <w:rFonts w:hint="default" w:ascii="Times New Roman" w:hAnsi="Times New Roman" w:eastAsia="宋体" w:cs="Times New Roman"/>
                      <w:color w:val="FF0000"/>
                      <w:sz w:val="21"/>
                      <w:szCs w:val="21"/>
                      <w:highlight w:val="none"/>
                      <w:u w:val="single" w:color="auto"/>
                    </w:rPr>
                  </w:pPr>
                </w:p>
              </w:tc>
              <w:tc>
                <w:tcPr>
                  <w:tcW w:w="2218" w:type="pct"/>
                  <w:tcBorders>
                    <w:tl2br w:val="nil"/>
                    <w:tr2bl w:val="nil"/>
                  </w:tcBorders>
                  <w:tcMar>
                    <w:top w:w="0" w:type="dxa"/>
                    <w:left w:w="108" w:type="dxa"/>
                    <w:bottom w:w="0" w:type="dxa"/>
                    <w:right w:w="108" w:type="dxa"/>
                  </w:tcMar>
                  <w:vAlign w:val="center"/>
                </w:tcPr>
                <w:p w14:paraId="14D077B3">
                  <w:pPr>
                    <w:spacing w:line="240" w:lineRule="auto"/>
                    <w:jc w:val="center"/>
                    <w:rPr>
                      <w:rFonts w:hint="default" w:ascii="Times New Roman" w:hAnsi="Times New Roman" w:eastAsia="宋体" w:cs="Times New Roman"/>
                      <w:color w:val="FF0000"/>
                      <w:kern w:val="0"/>
                      <w:sz w:val="21"/>
                      <w:szCs w:val="21"/>
                      <w:highlight w:val="none"/>
                      <w:u w:val="single" w:color="auto"/>
                    </w:rPr>
                  </w:pPr>
                  <w:r>
                    <w:rPr>
                      <w:rFonts w:hint="default" w:ascii="Times New Roman" w:hAnsi="Times New Roman" w:eastAsia="宋体" w:cs="Times New Roman"/>
                      <w:color w:val="FF0000"/>
                      <w:kern w:val="0"/>
                      <w:sz w:val="21"/>
                      <w:szCs w:val="21"/>
                      <w:highlight w:val="none"/>
                      <w:u w:val="single" w:color="auto"/>
                    </w:rPr>
                    <w:t>废弃的医学实验动物的组织和尸体</w:t>
                  </w:r>
                </w:p>
              </w:tc>
              <w:tc>
                <w:tcPr>
                  <w:tcW w:w="617" w:type="pct"/>
                  <w:tcBorders>
                    <w:tl2br w:val="nil"/>
                    <w:tr2bl w:val="nil"/>
                  </w:tcBorders>
                  <w:tcMar>
                    <w:top w:w="0" w:type="dxa"/>
                    <w:left w:w="108" w:type="dxa"/>
                    <w:bottom w:w="0" w:type="dxa"/>
                    <w:right w:w="108" w:type="dxa"/>
                  </w:tcMar>
                  <w:vAlign w:val="center"/>
                </w:tcPr>
                <w:p w14:paraId="278B433A">
                  <w:pPr>
                    <w:spacing w:line="240" w:lineRule="auto"/>
                    <w:jc w:val="center"/>
                    <w:rPr>
                      <w:rFonts w:hint="eastAsia" w:ascii="Times New Roman" w:hAnsi="Times New Roman" w:eastAsia="宋体" w:cs="Times New Roman"/>
                      <w:color w:val="FF0000"/>
                      <w:sz w:val="21"/>
                      <w:szCs w:val="21"/>
                      <w:highlight w:val="none"/>
                      <w:u w:val="single" w:color="auto"/>
                      <w:lang w:val="en-US" w:eastAsia="zh-CN"/>
                    </w:rPr>
                  </w:pPr>
                  <w:r>
                    <w:rPr>
                      <w:rFonts w:hint="eastAsia" w:cs="Times New Roman"/>
                      <w:color w:val="FF0000"/>
                      <w:sz w:val="21"/>
                      <w:szCs w:val="21"/>
                      <w:highlight w:val="none"/>
                      <w:u w:val="single" w:color="auto"/>
                      <w:lang w:val="en-US" w:eastAsia="zh-CN"/>
                    </w:rPr>
                    <w:t>否</w:t>
                  </w:r>
                </w:p>
              </w:tc>
              <w:tc>
                <w:tcPr>
                  <w:tcW w:w="979" w:type="pct"/>
                  <w:vMerge w:val="continue"/>
                  <w:tcBorders>
                    <w:tl2br w:val="nil"/>
                    <w:tr2bl w:val="nil"/>
                  </w:tcBorders>
                  <w:tcMar>
                    <w:top w:w="0" w:type="dxa"/>
                    <w:left w:w="108" w:type="dxa"/>
                    <w:bottom w:w="0" w:type="dxa"/>
                    <w:right w:w="108" w:type="dxa"/>
                  </w:tcMar>
                  <w:vAlign w:val="center"/>
                </w:tcPr>
                <w:p w14:paraId="5704F826">
                  <w:pPr>
                    <w:spacing w:line="240" w:lineRule="auto"/>
                    <w:jc w:val="center"/>
                    <w:rPr>
                      <w:rFonts w:hint="default" w:ascii="Times New Roman" w:hAnsi="Times New Roman" w:eastAsia="宋体" w:cs="Times New Roman"/>
                      <w:color w:val="FF0000"/>
                      <w:sz w:val="21"/>
                      <w:szCs w:val="21"/>
                      <w:highlight w:val="none"/>
                      <w:u w:val="single" w:color="auto"/>
                    </w:rPr>
                  </w:pPr>
                </w:p>
              </w:tc>
            </w:tr>
            <w:tr w14:paraId="6DAA5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atLeast"/>
                <w:jc w:val="center"/>
              </w:trPr>
              <w:tc>
                <w:tcPr>
                  <w:tcW w:w="386" w:type="pct"/>
                  <w:vMerge w:val="continue"/>
                  <w:tcBorders>
                    <w:tl2br w:val="nil"/>
                    <w:tr2bl w:val="nil"/>
                  </w:tcBorders>
                  <w:tcMar>
                    <w:top w:w="0" w:type="dxa"/>
                    <w:left w:w="108" w:type="dxa"/>
                    <w:bottom w:w="0" w:type="dxa"/>
                    <w:right w:w="108" w:type="dxa"/>
                  </w:tcMar>
                  <w:vAlign w:val="center"/>
                </w:tcPr>
                <w:p w14:paraId="6C87CC1F">
                  <w:pPr>
                    <w:spacing w:line="240" w:lineRule="auto"/>
                    <w:jc w:val="center"/>
                    <w:rPr>
                      <w:rFonts w:hint="default" w:ascii="Times New Roman" w:hAnsi="Times New Roman" w:eastAsia="宋体" w:cs="Times New Roman"/>
                      <w:color w:val="FF0000"/>
                      <w:sz w:val="21"/>
                      <w:szCs w:val="21"/>
                      <w:highlight w:val="none"/>
                      <w:u w:val="single" w:color="auto"/>
                    </w:rPr>
                  </w:pPr>
                </w:p>
              </w:tc>
              <w:tc>
                <w:tcPr>
                  <w:tcW w:w="799" w:type="pct"/>
                  <w:vMerge w:val="continue"/>
                  <w:tcBorders>
                    <w:tl2br w:val="nil"/>
                    <w:tr2bl w:val="nil"/>
                  </w:tcBorders>
                  <w:tcMar>
                    <w:top w:w="0" w:type="dxa"/>
                    <w:left w:w="108" w:type="dxa"/>
                    <w:bottom w:w="0" w:type="dxa"/>
                    <w:right w:w="108" w:type="dxa"/>
                  </w:tcMar>
                  <w:vAlign w:val="center"/>
                </w:tcPr>
                <w:p w14:paraId="2584B7F1">
                  <w:pPr>
                    <w:spacing w:line="240" w:lineRule="auto"/>
                    <w:jc w:val="center"/>
                    <w:rPr>
                      <w:rFonts w:hint="default" w:ascii="Times New Roman" w:hAnsi="Times New Roman" w:eastAsia="宋体" w:cs="Times New Roman"/>
                      <w:color w:val="FF0000"/>
                      <w:sz w:val="21"/>
                      <w:szCs w:val="21"/>
                      <w:highlight w:val="none"/>
                      <w:u w:val="single" w:color="auto"/>
                    </w:rPr>
                  </w:pPr>
                </w:p>
              </w:tc>
              <w:tc>
                <w:tcPr>
                  <w:tcW w:w="2218" w:type="pct"/>
                  <w:tcBorders>
                    <w:tl2br w:val="nil"/>
                    <w:tr2bl w:val="nil"/>
                  </w:tcBorders>
                  <w:tcMar>
                    <w:top w:w="0" w:type="dxa"/>
                    <w:left w:w="108" w:type="dxa"/>
                    <w:bottom w:w="0" w:type="dxa"/>
                    <w:right w:w="108" w:type="dxa"/>
                  </w:tcMar>
                  <w:vAlign w:val="center"/>
                </w:tcPr>
                <w:p w14:paraId="016144E2">
                  <w:pPr>
                    <w:spacing w:line="240" w:lineRule="auto"/>
                    <w:jc w:val="center"/>
                    <w:rPr>
                      <w:rFonts w:hint="default" w:ascii="Times New Roman" w:hAnsi="Times New Roman" w:eastAsia="宋体" w:cs="Times New Roman"/>
                      <w:color w:val="FF0000"/>
                      <w:kern w:val="0"/>
                      <w:sz w:val="21"/>
                      <w:szCs w:val="21"/>
                      <w:highlight w:val="none"/>
                      <w:u w:val="single" w:color="auto"/>
                    </w:rPr>
                  </w:pPr>
                  <w:r>
                    <w:rPr>
                      <w:rFonts w:hint="default" w:ascii="Times New Roman" w:hAnsi="Times New Roman" w:eastAsia="宋体" w:cs="Times New Roman"/>
                      <w:color w:val="FF0000"/>
                      <w:kern w:val="0"/>
                      <w:sz w:val="21"/>
                      <w:szCs w:val="21"/>
                      <w:highlight w:val="none"/>
                      <w:u w:val="single" w:color="auto"/>
                    </w:rPr>
                    <w:t>16周胎龄以下或重量不足500克的胚胎组织等</w:t>
                  </w:r>
                </w:p>
              </w:tc>
              <w:tc>
                <w:tcPr>
                  <w:tcW w:w="617" w:type="pct"/>
                  <w:tcBorders>
                    <w:tl2br w:val="nil"/>
                    <w:tr2bl w:val="nil"/>
                  </w:tcBorders>
                  <w:tcMar>
                    <w:top w:w="0" w:type="dxa"/>
                    <w:left w:w="108" w:type="dxa"/>
                    <w:bottom w:w="0" w:type="dxa"/>
                    <w:right w:w="108" w:type="dxa"/>
                  </w:tcMar>
                  <w:vAlign w:val="center"/>
                </w:tcPr>
                <w:p w14:paraId="0797FE92">
                  <w:pPr>
                    <w:spacing w:line="240" w:lineRule="auto"/>
                    <w:jc w:val="center"/>
                    <w:rPr>
                      <w:rFonts w:hint="eastAsia" w:ascii="Times New Roman" w:hAnsi="Times New Roman" w:eastAsia="宋体" w:cs="Times New Roman"/>
                      <w:color w:val="FF0000"/>
                      <w:sz w:val="21"/>
                      <w:szCs w:val="21"/>
                      <w:highlight w:val="none"/>
                      <w:u w:val="single" w:color="auto"/>
                      <w:lang w:val="en-US" w:eastAsia="zh-CN"/>
                    </w:rPr>
                  </w:pPr>
                  <w:r>
                    <w:rPr>
                      <w:rFonts w:hint="eastAsia" w:cs="Times New Roman"/>
                      <w:color w:val="FF0000"/>
                      <w:sz w:val="21"/>
                      <w:szCs w:val="21"/>
                      <w:highlight w:val="none"/>
                      <w:u w:val="single" w:color="auto"/>
                      <w:lang w:val="en-US" w:eastAsia="zh-CN"/>
                    </w:rPr>
                    <w:t>是</w:t>
                  </w:r>
                </w:p>
              </w:tc>
              <w:tc>
                <w:tcPr>
                  <w:tcW w:w="979" w:type="pct"/>
                  <w:vMerge w:val="continue"/>
                  <w:tcBorders>
                    <w:tl2br w:val="nil"/>
                    <w:tr2bl w:val="nil"/>
                  </w:tcBorders>
                  <w:tcMar>
                    <w:top w:w="0" w:type="dxa"/>
                    <w:left w:w="108" w:type="dxa"/>
                    <w:bottom w:w="0" w:type="dxa"/>
                    <w:right w:w="108" w:type="dxa"/>
                  </w:tcMar>
                  <w:vAlign w:val="center"/>
                </w:tcPr>
                <w:p w14:paraId="0248D0F6">
                  <w:pPr>
                    <w:spacing w:line="240" w:lineRule="auto"/>
                    <w:jc w:val="center"/>
                    <w:rPr>
                      <w:rFonts w:hint="default" w:ascii="Times New Roman" w:hAnsi="Times New Roman" w:eastAsia="宋体" w:cs="Times New Roman"/>
                      <w:color w:val="FF0000"/>
                      <w:sz w:val="21"/>
                      <w:szCs w:val="21"/>
                      <w:highlight w:val="none"/>
                      <w:u w:val="single" w:color="auto"/>
                    </w:rPr>
                  </w:pPr>
                </w:p>
              </w:tc>
            </w:tr>
            <w:tr w14:paraId="7E7FF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386" w:type="pct"/>
                  <w:vMerge w:val="continue"/>
                  <w:tcBorders>
                    <w:tl2br w:val="nil"/>
                    <w:tr2bl w:val="nil"/>
                  </w:tcBorders>
                  <w:tcMar>
                    <w:top w:w="0" w:type="dxa"/>
                    <w:left w:w="108" w:type="dxa"/>
                    <w:bottom w:w="0" w:type="dxa"/>
                    <w:right w:w="108" w:type="dxa"/>
                  </w:tcMar>
                  <w:vAlign w:val="center"/>
                </w:tcPr>
                <w:p w14:paraId="3A26F6A7">
                  <w:pPr>
                    <w:spacing w:line="240" w:lineRule="auto"/>
                    <w:jc w:val="center"/>
                    <w:rPr>
                      <w:rFonts w:hint="default" w:ascii="Times New Roman" w:hAnsi="Times New Roman" w:eastAsia="宋体" w:cs="Times New Roman"/>
                      <w:color w:val="FF0000"/>
                      <w:sz w:val="21"/>
                      <w:szCs w:val="21"/>
                      <w:highlight w:val="none"/>
                      <w:u w:val="single" w:color="auto"/>
                    </w:rPr>
                  </w:pPr>
                </w:p>
              </w:tc>
              <w:tc>
                <w:tcPr>
                  <w:tcW w:w="799" w:type="pct"/>
                  <w:vMerge w:val="continue"/>
                  <w:tcBorders>
                    <w:tl2br w:val="nil"/>
                    <w:tr2bl w:val="nil"/>
                  </w:tcBorders>
                  <w:tcMar>
                    <w:top w:w="0" w:type="dxa"/>
                    <w:left w:w="108" w:type="dxa"/>
                    <w:bottom w:w="0" w:type="dxa"/>
                    <w:right w:w="108" w:type="dxa"/>
                  </w:tcMar>
                  <w:vAlign w:val="center"/>
                </w:tcPr>
                <w:p w14:paraId="3833804B">
                  <w:pPr>
                    <w:spacing w:line="240" w:lineRule="auto"/>
                    <w:jc w:val="center"/>
                    <w:rPr>
                      <w:rFonts w:hint="default" w:ascii="Times New Roman" w:hAnsi="Times New Roman" w:eastAsia="宋体" w:cs="Times New Roman"/>
                      <w:color w:val="FF0000"/>
                      <w:sz w:val="21"/>
                      <w:szCs w:val="21"/>
                      <w:highlight w:val="none"/>
                      <w:u w:val="single" w:color="auto"/>
                    </w:rPr>
                  </w:pPr>
                </w:p>
              </w:tc>
              <w:tc>
                <w:tcPr>
                  <w:tcW w:w="2218" w:type="pct"/>
                  <w:tcBorders>
                    <w:tl2br w:val="nil"/>
                    <w:tr2bl w:val="nil"/>
                  </w:tcBorders>
                  <w:tcMar>
                    <w:top w:w="0" w:type="dxa"/>
                    <w:left w:w="108" w:type="dxa"/>
                    <w:bottom w:w="0" w:type="dxa"/>
                    <w:right w:w="108" w:type="dxa"/>
                  </w:tcMar>
                  <w:vAlign w:val="center"/>
                </w:tcPr>
                <w:p w14:paraId="41C52A7D">
                  <w:pPr>
                    <w:spacing w:line="240" w:lineRule="auto"/>
                    <w:jc w:val="center"/>
                    <w:rPr>
                      <w:rFonts w:hint="default" w:ascii="Times New Roman" w:hAnsi="Times New Roman" w:eastAsia="宋体" w:cs="Times New Roman"/>
                      <w:color w:val="FF0000"/>
                      <w:sz w:val="21"/>
                      <w:szCs w:val="21"/>
                      <w:highlight w:val="none"/>
                      <w:u w:val="single" w:color="auto"/>
                    </w:rPr>
                  </w:pPr>
                  <w:r>
                    <w:rPr>
                      <w:rFonts w:hint="default" w:ascii="Times New Roman" w:hAnsi="Times New Roman" w:eastAsia="宋体" w:cs="Times New Roman"/>
                      <w:color w:val="FF0000"/>
                      <w:kern w:val="0"/>
                      <w:sz w:val="21"/>
                      <w:szCs w:val="21"/>
                      <w:highlight w:val="none"/>
                      <w:u w:val="single" w:color="auto"/>
                    </w:rPr>
                    <w:t>确诊、疑似传染病或携带传染病病原体的产妇的胎盘</w:t>
                  </w:r>
                </w:p>
              </w:tc>
              <w:tc>
                <w:tcPr>
                  <w:tcW w:w="617" w:type="pct"/>
                  <w:tcBorders>
                    <w:tl2br w:val="nil"/>
                    <w:tr2bl w:val="nil"/>
                  </w:tcBorders>
                  <w:tcMar>
                    <w:top w:w="0" w:type="dxa"/>
                    <w:left w:w="108" w:type="dxa"/>
                    <w:bottom w:w="0" w:type="dxa"/>
                    <w:right w:w="108" w:type="dxa"/>
                  </w:tcMar>
                  <w:vAlign w:val="center"/>
                </w:tcPr>
                <w:p w14:paraId="4BB7C541">
                  <w:pPr>
                    <w:spacing w:line="240" w:lineRule="auto"/>
                    <w:jc w:val="center"/>
                    <w:rPr>
                      <w:rFonts w:hint="eastAsia" w:ascii="Times New Roman" w:hAnsi="Times New Roman" w:eastAsia="宋体" w:cs="Times New Roman"/>
                      <w:color w:val="FF0000"/>
                      <w:sz w:val="21"/>
                      <w:szCs w:val="21"/>
                      <w:highlight w:val="none"/>
                      <w:u w:val="single" w:color="auto"/>
                      <w:lang w:val="en-US" w:eastAsia="zh-CN"/>
                    </w:rPr>
                  </w:pPr>
                  <w:r>
                    <w:rPr>
                      <w:rFonts w:hint="eastAsia" w:cs="Times New Roman"/>
                      <w:color w:val="FF0000"/>
                      <w:sz w:val="21"/>
                      <w:szCs w:val="21"/>
                      <w:highlight w:val="none"/>
                      <w:u w:val="single" w:color="auto"/>
                      <w:lang w:val="en-US" w:eastAsia="zh-CN"/>
                    </w:rPr>
                    <w:t>是</w:t>
                  </w:r>
                </w:p>
              </w:tc>
              <w:tc>
                <w:tcPr>
                  <w:tcW w:w="979" w:type="pct"/>
                  <w:vMerge w:val="continue"/>
                  <w:tcBorders>
                    <w:tl2br w:val="nil"/>
                    <w:tr2bl w:val="nil"/>
                  </w:tcBorders>
                  <w:tcMar>
                    <w:top w:w="0" w:type="dxa"/>
                    <w:left w:w="108" w:type="dxa"/>
                    <w:bottom w:w="0" w:type="dxa"/>
                    <w:right w:w="108" w:type="dxa"/>
                  </w:tcMar>
                  <w:vAlign w:val="center"/>
                </w:tcPr>
                <w:p w14:paraId="4EE972BF">
                  <w:pPr>
                    <w:spacing w:line="240" w:lineRule="auto"/>
                    <w:jc w:val="center"/>
                    <w:rPr>
                      <w:rFonts w:hint="default" w:ascii="Times New Roman" w:hAnsi="Times New Roman" w:eastAsia="宋体" w:cs="Times New Roman"/>
                      <w:color w:val="FF0000"/>
                      <w:sz w:val="21"/>
                      <w:szCs w:val="21"/>
                      <w:highlight w:val="none"/>
                      <w:u w:val="single" w:color="auto"/>
                    </w:rPr>
                  </w:pPr>
                </w:p>
              </w:tc>
            </w:tr>
            <w:tr w14:paraId="242A8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386" w:type="pct"/>
                  <w:vMerge w:val="restart"/>
                  <w:tcBorders>
                    <w:tl2br w:val="nil"/>
                    <w:tr2bl w:val="nil"/>
                  </w:tcBorders>
                  <w:tcMar>
                    <w:top w:w="0" w:type="dxa"/>
                    <w:left w:w="108" w:type="dxa"/>
                    <w:bottom w:w="0" w:type="dxa"/>
                    <w:right w:w="108" w:type="dxa"/>
                  </w:tcMar>
                  <w:vAlign w:val="center"/>
                </w:tcPr>
                <w:p w14:paraId="44199E46">
                  <w:pPr>
                    <w:spacing w:line="240" w:lineRule="auto"/>
                    <w:jc w:val="center"/>
                    <w:rPr>
                      <w:rFonts w:hint="default" w:ascii="Times New Roman" w:hAnsi="Times New Roman" w:eastAsia="宋体" w:cs="Times New Roman"/>
                      <w:color w:val="FF0000"/>
                      <w:sz w:val="21"/>
                      <w:szCs w:val="21"/>
                      <w:highlight w:val="none"/>
                      <w:u w:val="single" w:color="auto"/>
                    </w:rPr>
                  </w:pPr>
                  <w:r>
                    <w:rPr>
                      <w:rFonts w:hint="default" w:ascii="Times New Roman" w:hAnsi="Times New Roman" w:eastAsia="宋体" w:cs="Times New Roman"/>
                      <w:color w:val="FF0000"/>
                      <w:sz w:val="21"/>
                      <w:szCs w:val="21"/>
                      <w:highlight w:val="none"/>
                      <w:u w:val="single" w:color="auto"/>
                    </w:rPr>
                    <w:t>药物性废物</w:t>
                  </w:r>
                </w:p>
              </w:tc>
              <w:tc>
                <w:tcPr>
                  <w:tcW w:w="799" w:type="pct"/>
                  <w:vMerge w:val="restart"/>
                  <w:tcBorders>
                    <w:tl2br w:val="nil"/>
                    <w:tr2bl w:val="nil"/>
                  </w:tcBorders>
                  <w:tcMar>
                    <w:top w:w="0" w:type="dxa"/>
                    <w:left w:w="108" w:type="dxa"/>
                    <w:bottom w:w="0" w:type="dxa"/>
                    <w:right w:w="108" w:type="dxa"/>
                  </w:tcMar>
                  <w:vAlign w:val="center"/>
                </w:tcPr>
                <w:p w14:paraId="21DDF6AA">
                  <w:pPr>
                    <w:spacing w:line="240" w:lineRule="auto"/>
                    <w:jc w:val="center"/>
                    <w:rPr>
                      <w:rFonts w:hint="default" w:ascii="Times New Roman" w:hAnsi="Times New Roman" w:eastAsia="宋体" w:cs="Times New Roman"/>
                      <w:color w:val="FF0000"/>
                      <w:sz w:val="21"/>
                      <w:szCs w:val="21"/>
                      <w:highlight w:val="none"/>
                      <w:u w:val="single" w:color="auto"/>
                    </w:rPr>
                  </w:pPr>
                  <w:r>
                    <w:rPr>
                      <w:rFonts w:hint="default" w:ascii="Times New Roman" w:hAnsi="Times New Roman" w:eastAsia="宋体" w:cs="Times New Roman"/>
                      <w:color w:val="FF0000"/>
                      <w:sz w:val="21"/>
                      <w:szCs w:val="21"/>
                      <w:highlight w:val="none"/>
                      <w:u w:val="single" w:color="auto"/>
                    </w:rPr>
                    <w:t>过期、淘汰、变质或者被污染的废弃的药物</w:t>
                  </w:r>
                </w:p>
              </w:tc>
              <w:tc>
                <w:tcPr>
                  <w:tcW w:w="2218" w:type="pct"/>
                  <w:tcBorders>
                    <w:tl2br w:val="nil"/>
                    <w:tr2bl w:val="nil"/>
                  </w:tcBorders>
                  <w:tcMar>
                    <w:top w:w="0" w:type="dxa"/>
                    <w:left w:w="108" w:type="dxa"/>
                    <w:bottom w:w="0" w:type="dxa"/>
                    <w:right w:w="108" w:type="dxa"/>
                  </w:tcMar>
                  <w:vAlign w:val="center"/>
                </w:tcPr>
                <w:p w14:paraId="01BFF123">
                  <w:pPr>
                    <w:spacing w:line="240" w:lineRule="auto"/>
                    <w:jc w:val="center"/>
                    <w:rPr>
                      <w:rFonts w:hint="default" w:ascii="Times New Roman" w:hAnsi="Times New Roman" w:eastAsia="宋体" w:cs="Times New Roman"/>
                      <w:color w:val="FF0000"/>
                      <w:sz w:val="21"/>
                      <w:szCs w:val="21"/>
                      <w:highlight w:val="none"/>
                      <w:u w:val="single" w:color="auto"/>
                      <w:lang w:val="en-US" w:eastAsia="zh-CN"/>
                    </w:rPr>
                  </w:pPr>
                  <w:r>
                    <w:rPr>
                      <w:rFonts w:hint="default" w:ascii="Times New Roman" w:hAnsi="Times New Roman" w:eastAsia="宋体" w:cs="Times New Roman"/>
                      <w:color w:val="FF0000"/>
                      <w:kern w:val="0"/>
                      <w:sz w:val="21"/>
                      <w:szCs w:val="21"/>
                      <w:highlight w:val="none"/>
                      <w:u w:val="single" w:color="auto"/>
                    </w:rPr>
                    <w:t>废弃的一般性药物</w:t>
                  </w:r>
                </w:p>
              </w:tc>
              <w:tc>
                <w:tcPr>
                  <w:tcW w:w="617" w:type="pct"/>
                  <w:tcBorders>
                    <w:tl2br w:val="nil"/>
                    <w:tr2bl w:val="nil"/>
                  </w:tcBorders>
                  <w:tcMar>
                    <w:top w:w="0" w:type="dxa"/>
                    <w:left w:w="108" w:type="dxa"/>
                    <w:bottom w:w="0" w:type="dxa"/>
                    <w:right w:w="108" w:type="dxa"/>
                  </w:tcMar>
                  <w:vAlign w:val="center"/>
                </w:tcPr>
                <w:p w14:paraId="737EFDB0">
                  <w:pPr>
                    <w:spacing w:line="240" w:lineRule="auto"/>
                    <w:jc w:val="center"/>
                    <w:rPr>
                      <w:rFonts w:hint="default" w:ascii="Times New Roman" w:hAnsi="Times New Roman" w:eastAsia="宋体" w:cs="Times New Roman"/>
                      <w:color w:val="FF0000"/>
                      <w:sz w:val="21"/>
                      <w:szCs w:val="21"/>
                      <w:highlight w:val="none"/>
                      <w:u w:val="single" w:color="auto"/>
                    </w:rPr>
                  </w:pPr>
                  <w:r>
                    <w:rPr>
                      <w:rFonts w:hint="eastAsia" w:ascii="Times New Roman" w:hAnsi="Times New Roman" w:eastAsia="宋体" w:cs="Times New Roman"/>
                      <w:color w:val="FF0000"/>
                      <w:sz w:val="21"/>
                      <w:szCs w:val="21"/>
                      <w:highlight w:val="none"/>
                      <w:u w:val="single" w:color="auto"/>
                      <w:lang w:val="en-US" w:eastAsia="zh-CN"/>
                    </w:rPr>
                    <w:t>是</w:t>
                  </w:r>
                </w:p>
              </w:tc>
              <w:tc>
                <w:tcPr>
                  <w:tcW w:w="979" w:type="pct"/>
                  <w:vMerge w:val="restart"/>
                  <w:tcBorders>
                    <w:tl2br w:val="nil"/>
                    <w:tr2bl w:val="nil"/>
                  </w:tcBorders>
                  <w:tcMar>
                    <w:top w:w="0" w:type="dxa"/>
                    <w:left w:w="108" w:type="dxa"/>
                    <w:bottom w:w="0" w:type="dxa"/>
                    <w:right w:w="108" w:type="dxa"/>
                  </w:tcMar>
                  <w:vAlign w:val="center"/>
                </w:tcPr>
                <w:p w14:paraId="3097DFD0">
                  <w:pPr>
                    <w:spacing w:line="240" w:lineRule="auto"/>
                    <w:jc w:val="center"/>
                    <w:rPr>
                      <w:rFonts w:hint="default" w:ascii="Times New Roman" w:hAnsi="Times New Roman" w:eastAsia="宋体" w:cs="Times New Roman"/>
                      <w:color w:val="FF0000"/>
                      <w:sz w:val="21"/>
                      <w:szCs w:val="21"/>
                      <w:highlight w:val="none"/>
                      <w:u w:val="single" w:color="auto"/>
                      <w:lang w:val="en-US" w:eastAsia="zh-CN"/>
                    </w:rPr>
                  </w:pPr>
                  <w:r>
                    <w:rPr>
                      <w:rFonts w:hint="default" w:ascii="Times New Roman" w:hAnsi="Times New Roman" w:eastAsia="宋体" w:cs="Times New Roman"/>
                      <w:color w:val="FF0000"/>
                      <w:sz w:val="21"/>
                      <w:szCs w:val="21"/>
                      <w:highlight w:val="none"/>
                      <w:u w:val="single" w:color="auto"/>
                      <w:lang w:val="en-US" w:eastAsia="zh-CN"/>
                    </w:rPr>
                    <w:t>HW01</w:t>
                  </w:r>
                </w:p>
                <w:p w14:paraId="4D4CA0CE">
                  <w:pPr>
                    <w:spacing w:line="240" w:lineRule="auto"/>
                    <w:jc w:val="center"/>
                    <w:rPr>
                      <w:rFonts w:hint="default" w:ascii="Times New Roman" w:hAnsi="Times New Roman" w:eastAsia="宋体" w:cs="Times New Roman"/>
                      <w:color w:val="FF0000"/>
                      <w:sz w:val="21"/>
                      <w:szCs w:val="21"/>
                      <w:highlight w:val="none"/>
                      <w:u w:val="single" w:color="auto"/>
                    </w:rPr>
                  </w:pPr>
                  <w:r>
                    <w:rPr>
                      <w:rFonts w:hint="default" w:ascii="Times New Roman" w:hAnsi="Times New Roman" w:eastAsia="宋体" w:cs="Times New Roman"/>
                      <w:color w:val="FF0000"/>
                      <w:sz w:val="21"/>
                      <w:szCs w:val="21"/>
                      <w:highlight w:val="none"/>
                      <w:u w:val="single" w:color="auto"/>
                      <w:lang w:val="en-US" w:eastAsia="zh-CN"/>
                    </w:rPr>
                    <w:t>841-005-01</w:t>
                  </w:r>
                </w:p>
              </w:tc>
            </w:tr>
            <w:tr w14:paraId="1B78D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6" w:hRule="atLeast"/>
                <w:jc w:val="center"/>
              </w:trPr>
              <w:tc>
                <w:tcPr>
                  <w:tcW w:w="386" w:type="pct"/>
                  <w:vMerge w:val="continue"/>
                  <w:tcBorders>
                    <w:tl2br w:val="nil"/>
                    <w:tr2bl w:val="nil"/>
                  </w:tcBorders>
                  <w:tcMar>
                    <w:top w:w="0" w:type="dxa"/>
                    <w:left w:w="108" w:type="dxa"/>
                    <w:bottom w:w="0" w:type="dxa"/>
                    <w:right w:w="108" w:type="dxa"/>
                  </w:tcMar>
                  <w:vAlign w:val="center"/>
                </w:tcPr>
                <w:p w14:paraId="518A6F49">
                  <w:pPr>
                    <w:spacing w:line="240" w:lineRule="auto"/>
                    <w:jc w:val="center"/>
                    <w:rPr>
                      <w:rFonts w:hint="default" w:ascii="Times New Roman" w:hAnsi="Times New Roman" w:eastAsia="宋体" w:cs="Times New Roman"/>
                      <w:color w:val="FF0000"/>
                      <w:sz w:val="21"/>
                      <w:szCs w:val="21"/>
                      <w:highlight w:val="none"/>
                      <w:u w:val="single" w:color="auto"/>
                    </w:rPr>
                  </w:pPr>
                </w:p>
              </w:tc>
              <w:tc>
                <w:tcPr>
                  <w:tcW w:w="799" w:type="pct"/>
                  <w:vMerge w:val="continue"/>
                  <w:tcBorders>
                    <w:tl2br w:val="nil"/>
                    <w:tr2bl w:val="nil"/>
                  </w:tcBorders>
                  <w:tcMar>
                    <w:top w:w="0" w:type="dxa"/>
                    <w:left w:w="108" w:type="dxa"/>
                    <w:bottom w:w="0" w:type="dxa"/>
                    <w:right w:w="108" w:type="dxa"/>
                  </w:tcMar>
                  <w:vAlign w:val="center"/>
                </w:tcPr>
                <w:p w14:paraId="20CADE31">
                  <w:pPr>
                    <w:spacing w:line="240" w:lineRule="auto"/>
                    <w:jc w:val="center"/>
                    <w:rPr>
                      <w:rFonts w:hint="default" w:ascii="Times New Roman" w:hAnsi="Times New Roman" w:eastAsia="宋体" w:cs="Times New Roman"/>
                      <w:color w:val="FF0000"/>
                      <w:sz w:val="21"/>
                      <w:szCs w:val="21"/>
                      <w:highlight w:val="none"/>
                      <w:u w:val="single" w:color="auto"/>
                    </w:rPr>
                  </w:pPr>
                </w:p>
              </w:tc>
              <w:tc>
                <w:tcPr>
                  <w:tcW w:w="2218" w:type="pct"/>
                  <w:tcBorders>
                    <w:tl2br w:val="nil"/>
                    <w:tr2bl w:val="nil"/>
                  </w:tcBorders>
                  <w:tcMar>
                    <w:top w:w="0" w:type="dxa"/>
                    <w:left w:w="108" w:type="dxa"/>
                    <w:bottom w:w="0" w:type="dxa"/>
                    <w:right w:w="108" w:type="dxa"/>
                  </w:tcMar>
                  <w:vAlign w:val="center"/>
                </w:tcPr>
                <w:p w14:paraId="692839A9">
                  <w:pPr>
                    <w:spacing w:line="240" w:lineRule="auto"/>
                    <w:jc w:val="center"/>
                    <w:rPr>
                      <w:rFonts w:hint="default" w:ascii="Times New Roman" w:hAnsi="Times New Roman" w:eastAsia="宋体" w:cs="Times New Roman"/>
                      <w:color w:val="FF0000"/>
                      <w:sz w:val="21"/>
                      <w:szCs w:val="21"/>
                      <w:highlight w:val="none"/>
                      <w:u w:val="single" w:color="auto"/>
                      <w:lang w:val="en-US" w:eastAsia="zh-CN"/>
                    </w:rPr>
                  </w:pPr>
                  <w:r>
                    <w:rPr>
                      <w:rFonts w:hint="default" w:ascii="Times New Roman" w:hAnsi="Times New Roman" w:eastAsia="宋体" w:cs="Times New Roman"/>
                      <w:color w:val="FF0000"/>
                      <w:kern w:val="0"/>
                      <w:sz w:val="21"/>
                      <w:szCs w:val="21"/>
                      <w:highlight w:val="none"/>
                      <w:u w:val="single" w:color="auto"/>
                    </w:rPr>
                    <w:t>废弃的细胞毒性药物和遗传毒性药物</w:t>
                  </w:r>
                </w:p>
              </w:tc>
              <w:tc>
                <w:tcPr>
                  <w:tcW w:w="617" w:type="pct"/>
                  <w:tcBorders>
                    <w:tl2br w:val="nil"/>
                    <w:tr2bl w:val="nil"/>
                  </w:tcBorders>
                  <w:tcMar>
                    <w:top w:w="0" w:type="dxa"/>
                    <w:left w:w="108" w:type="dxa"/>
                    <w:bottom w:w="0" w:type="dxa"/>
                    <w:right w:w="108" w:type="dxa"/>
                  </w:tcMar>
                  <w:vAlign w:val="center"/>
                </w:tcPr>
                <w:p w14:paraId="454D1D9C">
                  <w:pPr>
                    <w:spacing w:line="240" w:lineRule="auto"/>
                    <w:jc w:val="center"/>
                    <w:rPr>
                      <w:rFonts w:hint="eastAsia" w:ascii="Times New Roman" w:hAnsi="Times New Roman" w:eastAsia="宋体" w:cs="Times New Roman"/>
                      <w:color w:val="FF0000"/>
                      <w:sz w:val="21"/>
                      <w:szCs w:val="21"/>
                      <w:highlight w:val="none"/>
                      <w:u w:val="single" w:color="auto"/>
                      <w:lang w:val="en-US" w:eastAsia="zh-CN"/>
                    </w:rPr>
                  </w:pPr>
                  <w:r>
                    <w:rPr>
                      <w:rFonts w:hint="eastAsia" w:ascii="Times New Roman" w:hAnsi="Times New Roman" w:eastAsia="宋体" w:cs="Times New Roman"/>
                      <w:color w:val="FF0000"/>
                      <w:sz w:val="21"/>
                      <w:szCs w:val="21"/>
                      <w:highlight w:val="none"/>
                      <w:u w:val="single" w:color="auto"/>
                      <w:lang w:val="en-US" w:eastAsia="zh-CN"/>
                    </w:rPr>
                    <w:t>否</w:t>
                  </w:r>
                </w:p>
              </w:tc>
              <w:tc>
                <w:tcPr>
                  <w:tcW w:w="979" w:type="pct"/>
                  <w:vMerge w:val="continue"/>
                  <w:tcBorders>
                    <w:tl2br w:val="nil"/>
                    <w:tr2bl w:val="nil"/>
                  </w:tcBorders>
                  <w:tcMar>
                    <w:top w:w="0" w:type="dxa"/>
                    <w:left w:w="108" w:type="dxa"/>
                    <w:bottom w:w="0" w:type="dxa"/>
                    <w:right w:w="108" w:type="dxa"/>
                  </w:tcMar>
                  <w:vAlign w:val="center"/>
                </w:tcPr>
                <w:p w14:paraId="3B1F84B4">
                  <w:pPr>
                    <w:spacing w:line="240" w:lineRule="auto"/>
                    <w:jc w:val="center"/>
                    <w:rPr>
                      <w:rFonts w:hint="default" w:ascii="Times New Roman" w:hAnsi="Times New Roman" w:eastAsia="宋体" w:cs="Times New Roman"/>
                      <w:color w:val="FF0000"/>
                      <w:sz w:val="21"/>
                      <w:szCs w:val="21"/>
                      <w:highlight w:val="none"/>
                      <w:u w:val="single" w:color="auto"/>
                    </w:rPr>
                  </w:pPr>
                </w:p>
              </w:tc>
            </w:tr>
            <w:tr w14:paraId="02544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86" w:type="pct"/>
                  <w:vMerge w:val="continue"/>
                  <w:tcBorders>
                    <w:tl2br w:val="nil"/>
                    <w:tr2bl w:val="nil"/>
                  </w:tcBorders>
                  <w:tcMar>
                    <w:top w:w="0" w:type="dxa"/>
                    <w:left w:w="108" w:type="dxa"/>
                    <w:bottom w:w="0" w:type="dxa"/>
                    <w:right w:w="108" w:type="dxa"/>
                  </w:tcMar>
                  <w:vAlign w:val="center"/>
                </w:tcPr>
                <w:p w14:paraId="111A50D0">
                  <w:pPr>
                    <w:spacing w:line="240" w:lineRule="auto"/>
                    <w:jc w:val="center"/>
                    <w:rPr>
                      <w:rFonts w:hint="default" w:ascii="Times New Roman" w:hAnsi="Times New Roman" w:eastAsia="宋体" w:cs="Times New Roman"/>
                      <w:color w:val="FF0000"/>
                      <w:sz w:val="21"/>
                      <w:szCs w:val="21"/>
                      <w:highlight w:val="none"/>
                      <w:u w:val="single" w:color="auto"/>
                    </w:rPr>
                  </w:pPr>
                </w:p>
              </w:tc>
              <w:tc>
                <w:tcPr>
                  <w:tcW w:w="799" w:type="pct"/>
                  <w:vMerge w:val="continue"/>
                  <w:tcBorders>
                    <w:tl2br w:val="nil"/>
                    <w:tr2bl w:val="nil"/>
                  </w:tcBorders>
                  <w:tcMar>
                    <w:top w:w="0" w:type="dxa"/>
                    <w:left w:w="108" w:type="dxa"/>
                    <w:bottom w:w="0" w:type="dxa"/>
                    <w:right w:w="108" w:type="dxa"/>
                  </w:tcMar>
                  <w:vAlign w:val="center"/>
                </w:tcPr>
                <w:p w14:paraId="5BA72480">
                  <w:pPr>
                    <w:spacing w:line="240" w:lineRule="auto"/>
                    <w:jc w:val="center"/>
                    <w:rPr>
                      <w:rFonts w:hint="default" w:ascii="Times New Roman" w:hAnsi="Times New Roman" w:eastAsia="宋体" w:cs="Times New Roman"/>
                      <w:color w:val="FF0000"/>
                      <w:sz w:val="21"/>
                      <w:szCs w:val="21"/>
                      <w:highlight w:val="none"/>
                      <w:u w:val="single" w:color="auto"/>
                    </w:rPr>
                  </w:pPr>
                </w:p>
              </w:tc>
              <w:tc>
                <w:tcPr>
                  <w:tcW w:w="2218" w:type="pct"/>
                  <w:tcBorders>
                    <w:tl2br w:val="nil"/>
                    <w:tr2bl w:val="nil"/>
                  </w:tcBorders>
                  <w:tcMar>
                    <w:top w:w="0" w:type="dxa"/>
                    <w:left w:w="108" w:type="dxa"/>
                    <w:bottom w:w="0" w:type="dxa"/>
                    <w:right w:w="108" w:type="dxa"/>
                  </w:tcMar>
                  <w:vAlign w:val="center"/>
                </w:tcPr>
                <w:p w14:paraId="5BA522D8">
                  <w:pPr>
                    <w:spacing w:line="240" w:lineRule="auto"/>
                    <w:jc w:val="center"/>
                    <w:rPr>
                      <w:rFonts w:hint="default" w:ascii="Times New Roman" w:hAnsi="Times New Roman" w:eastAsia="宋体" w:cs="Times New Roman"/>
                      <w:color w:val="FF0000"/>
                      <w:sz w:val="21"/>
                      <w:szCs w:val="21"/>
                      <w:highlight w:val="none"/>
                      <w:u w:val="single" w:color="auto"/>
                      <w:lang w:val="en-US" w:eastAsia="zh-CN"/>
                    </w:rPr>
                  </w:pPr>
                  <w:r>
                    <w:rPr>
                      <w:rFonts w:hint="default" w:ascii="Times New Roman" w:hAnsi="Times New Roman" w:eastAsia="宋体" w:cs="Times New Roman"/>
                      <w:color w:val="FF0000"/>
                      <w:kern w:val="0"/>
                      <w:sz w:val="21"/>
                      <w:szCs w:val="21"/>
                      <w:highlight w:val="none"/>
                      <w:u w:val="single" w:color="auto"/>
                    </w:rPr>
                    <w:t>废弃的疫苗及血液制品</w:t>
                  </w:r>
                </w:p>
              </w:tc>
              <w:tc>
                <w:tcPr>
                  <w:tcW w:w="617" w:type="pct"/>
                  <w:tcBorders>
                    <w:tl2br w:val="nil"/>
                    <w:tr2bl w:val="nil"/>
                  </w:tcBorders>
                  <w:tcMar>
                    <w:top w:w="0" w:type="dxa"/>
                    <w:left w:w="108" w:type="dxa"/>
                    <w:bottom w:w="0" w:type="dxa"/>
                    <w:right w:w="108" w:type="dxa"/>
                  </w:tcMar>
                  <w:vAlign w:val="center"/>
                </w:tcPr>
                <w:p w14:paraId="0E316809">
                  <w:pPr>
                    <w:spacing w:line="240" w:lineRule="auto"/>
                    <w:jc w:val="center"/>
                    <w:rPr>
                      <w:rFonts w:hint="default" w:ascii="Times New Roman" w:hAnsi="Times New Roman" w:eastAsia="宋体" w:cs="Times New Roman"/>
                      <w:color w:val="FF0000"/>
                      <w:sz w:val="21"/>
                      <w:szCs w:val="21"/>
                      <w:highlight w:val="none"/>
                      <w:u w:val="single" w:color="auto"/>
                    </w:rPr>
                  </w:pPr>
                  <w:r>
                    <w:rPr>
                      <w:rFonts w:hint="eastAsia" w:ascii="Times New Roman" w:hAnsi="Times New Roman" w:eastAsia="宋体" w:cs="Times New Roman"/>
                      <w:color w:val="FF0000"/>
                      <w:sz w:val="21"/>
                      <w:szCs w:val="21"/>
                      <w:highlight w:val="none"/>
                      <w:u w:val="single" w:color="auto"/>
                      <w:lang w:val="en-US" w:eastAsia="zh-CN"/>
                    </w:rPr>
                    <w:t>是</w:t>
                  </w:r>
                </w:p>
              </w:tc>
              <w:tc>
                <w:tcPr>
                  <w:tcW w:w="979" w:type="pct"/>
                  <w:vMerge w:val="continue"/>
                  <w:tcBorders>
                    <w:tl2br w:val="nil"/>
                    <w:tr2bl w:val="nil"/>
                  </w:tcBorders>
                  <w:tcMar>
                    <w:top w:w="0" w:type="dxa"/>
                    <w:left w:w="108" w:type="dxa"/>
                    <w:bottom w:w="0" w:type="dxa"/>
                    <w:right w:w="108" w:type="dxa"/>
                  </w:tcMar>
                  <w:vAlign w:val="center"/>
                </w:tcPr>
                <w:p w14:paraId="49D6D857">
                  <w:pPr>
                    <w:spacing w:line="240" w:lineRule="auto"/>
                    <w:jc w:val="center"/>
                    <w:rPr>
                      <w:rFonts w:hint="default" w:ascii="Times New Roman" w:hAnsi="Times New Roman" w:eastAsia="宋体" w:cs="Times New Roman"/>
                      <w:color w:val="FF0000"/>
                      <w:sz w:val="21"/>
                      <w:szCs w:val="21"/>
                      <w:highlight w:val="none"/>
                      <w:u w:val="single" w:color="auto"/>
                    </w:rPr>
                  </w:pPr>
                </w:p>
              </w:tc>
            </w:tr>
            <w:tr w14:paraId="79486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4" w:hRule="atLeast"/>
                <w:jc w:val="center"/>
              </w:trPr>
              <w:tc>
                <w:tcPr>
                  <w:tcW w:w="386" w:type="pct"/>
                  <w:tcBorders>
                    <w:tl2br w:val="nil"/>
                    <w:tr2bl w:val="nil"/>
                  </w:tcBorders>
                  <w:tcMar>
                    <w:top w:w="0" w:type="dxa"/>
                    <w:left w:w="108" w:type="dxa"/>
                    <w:bottom w:w="0" w:type="dxa"/>
                    <w:right w:w="108" w:type="dxa"/>
                  </w:tcMar>
                  <w:vAlign w:val="center"/>
                </w:tcPr>
                <w:p w14:paraId="05CB6D0A">
                  <w:pPr>
                    <w:spacing w:line="240" w:lineRule="auto"/>
                    <w:jc w:val="center"/>
                    <w:rPr>
                      <w:rFonts w:hint="default" w:ascii="Times New Roman" w:hAnsi="Times New Roman" w:eastAsia="宋体" w:cs="Times New Roman"/>
                      <w:color w:val="FF0000"/>
                      <w:sz w:val="21"/>
                      <w:szCs w:val="21"/>
                      <w:highlight w:val="none"/>
                      <w:u w:val="single" w:color="auto"/>
                    </w:rPr>
                  </w:pPr>
                  <w:r>
                    <w:rPr>
                      <w:rFonts w:hint="default" w:ascii="Times New Roman" w:hAnsi="Times New Roman" w:eastAsia="宋体" w:cs="Times New Roman"/>
                      <w:color w:val="FF0000"/>
                      <w:sz w:val="21"/>
                      <w:szCs w:val="21"/>
                      <w:highlight w:val="none"/>
                      <w:u w:val="single" w:color="auto"/>
                    </w:rPr>
                    <w:t>化学性废物</w:t>
                  </w:r>
                </w:p>
              </w:tc>
              <w:tc>
                <w:tcPr>
                  <w:tcW w:w="799" w:type="pct"/>
                  <w:tcBorders>
                    <w:tl2br w:val="nil"/>
                    <w:tr2bl w:val="nil"/>
                  </w:tcBorders>
                  <w:tcMar>
                    <w:top w:w="0" w:type="dxa"/>
                    <w:left w:w="108" w:type="dxa"/>
                    <w:bottom w:w="0" w:type="dxa"/>
                    <w:right w:w="108" w:type="dxa"/>
                  </w:tcMar>
                  <w:vAlign w:val="center"/>
                </w:tcPr>
                <w:p w14:paraId="0BFF215C">
                  <w:pPr>
                    <w:spacing w:line="240" w:lineRule="auto"/>
                    <w:jc w:val="center"/>
                    <w:rPr>
                      <w:rFonts w:hint="default" w:ascii="Times New Roman" w:hAnsi="Times New Roman" w:eastAsia="宋体" w:cs="Times New Roman"/>
                      <w:color w:val="FF0000"/>
                      <w:sz w:val="21"/>
                      <w:szCs w:val="21"/>
                      <w:highlight w:val="none"/>
                      <w:u w:val="single" w:color="auto"/>
                    </w:rPr>
                  </w:pPr>
                  <w:r>
                    <w:rPr>
                      <w:rFonts w:hint="default" w:ascii="Times New Roman" w:hAnsi="Times New Roman" w:eastAsia="宋体" w:cs="Times New Roman"/>
                      <w:color w:val="FF0000"/>
                      <w:sz w:val="21"/>
                      <w:szCs w:val="21"/>
                      <w:highlight w:val="none"/>
                      <w:u w:val="single" w:color="auto"/>
                    </w:rPr>
                    <w:t>具有毒性、腐蚀性、易燃性、反应性的废弃的化学物品</w:t>
                  </w:r>
                </w:p>
              </w:tc>
              <w:tc>
                <w:tcPr>
                  <w:tcW w:w="2218" w:type="pct"/>
                  <w:tcBorders>
                    <w:tl2br w:val="nil"/>
                    <w:tr2bl w:val="nil"/>
                  </w:tcBorders>
                  <w:tcMar>
                    <w:top w:w="0" w:type="dxa"/>
                    <w:left w:w="108" w:type="dxa"/>
                    <w:bottom w:w="0" w:type="dxa"/>
                    <w:right w:w="108" w:type="dxa"/>
                  </w:tcMar>
                  <w:vAlign w:val="center"/>
                </w:tcPr>
                <w:p w14:paraId="4217BAB1">
                  <w:pPr>
                    <w:spacing w:line="240" w:lineRule="auto"/>
                    <w:jc w:val="center"/>
                    <w:rPr>
                      <w:rFonts w:hint="default" w:ascii="Times New Roman" w:hAnsi="Times New Roman" w:eastAsia="宋体" w:cs="Times New Roman"/>
                      <w:color w:val="FF0000"/>
                      <w:sz w:val="21"/>
                      <w:szCs w:val="21"/>
                      <w:highlight w:val="none"/>
                      <w:u w:val="single" w:color="auto"/>
                      <w:lang w:val="en-US" w:eastAsia="zh-CN"/>
                    </w:rPr>
                  </w:pPr>
                  <w:r>
                    <w:rPr>
                      <w:rFonts w:hint="default" w:ascii="Times New Roman" w:hAnsi="Times New Roman" w:eastAsia="宋体" w:cs="Times New Roman"/>
                      <w:color w:val="FF0000"/>
                      <w:kern w:val="0"/>
                      <w:sz w:val="21"/>
                      <w:szCs w:val="21"/>
                      <w:highlight w:val="none"/>
                      <w:u w:val="single" w:color="auto"/>
                    </w:rPr>
                    <w:t>列入《国家危险废物名录》中的废弃危险化学品，如甲醛、二甲苯等；非特定行业来源的危险废物，如含汞血压计、含汞体温计，废弃的牙科汞合金材料及其残余物等</w:t>
                  </w:r>
                </w:p>
              </w:tc>
              <w:tc>
                <w:tcPr>
                  <w:tcW w:w="617" w:type="pct"/>
                  <w:tcBorders>
                    <w:tl2br w:val="nil"/>
                    <w:tr2bl w:val="nil"/>
                  </w:tcBorders>
                  <w:tcMar>
                    <w:top w:w="0" w:type="dxa"/>
                    <w:left w:w="108" w:type="dxa"/>
                    <w:bottom w:w="0" w:type="dxa"/>
                    <w:right w:w="108" w:type="dxa"/>
                  </w:tcMar>
                  <w:vAlign w:val="center"/>
                </w:tcPr>
                <w:p w14:paraId="59CA20B8">
                  <w:pPr>
                    <w:spacing w:line="240" w:lineRule="auto"/>
                    <w:jc w:val="center"/>
                    <w:rPr>
                      <w:rFonts w:hint="default" w:ascii="Times New Roman" w:hAnsi="Times New Roman" w:eastAsia="宋体" w:cs="Times New Roman"/>
                      <w:color w:val="FF0000"/>
                      <w:sz w:val="21"/>
                      <w:szCs w:val="21"/>
                      <w:highlight w:val="none"/>
                      <w:u w:val="single" w:color="auto"/>
                    </w:rPr>
                  </w:pPr>
                  <w:r>
                    <w:rPr>
                      <w:rFonts w:hint="eastAsia" w:ascii="Times New Roman" w:hAnsi="Times New Roman" w:eastAsia="宋体" w:cs="Times New Roman"/>
                      <w:color w:val="FF0000"/>
                      <w:sz w:val="21"/>
                      <w:szCs w:val="21"/>
                      <w:highlight w:val="none"/>
                      <w:u w:val="single" w:color="auto"/>
                      <w:lang w:val="en-US" w:eastAsia="zh-CN"/>
                    </w:rPr>
                    <w:t>是</w:t>
                  </w:r>
                </w:p>
                <w:p w14:paraId="3231F9E4">
                  <w:pPr>
                    <w:spacing w:line="240" w:lineRule="auto"/>
                    <w:jc w:val="center"/>
                    <w:rPr>
                      <w:rFonts w:hint="default" w:ascii="Times New Roman" w:hAnsi="Times New Roman" w:eastAsia="宋体" w:cs="Times New Roman"/>
                      <w:color w:val="FF0000"/>
                      <w:sz w:val="21"/>
                      <w:szCs w:val="21"/>
                      <w:highlight w:val="none"/>
                      <w:u w:val="single" w:color="auto"/>
                    </w:rPr>
                  </w:pPr>
                </w:p>
              </w:tc>
              <w:tc>
                <w:tcPr>
                  <w:tcW w:w="979" w:type="pct"/>
                  <w:tcBorders>
                    <w:tl2br w:val="nil"/>
                    <w:tr2bl w:val="nil"/>
                  </w:tcBorders>
                  <w:tcMar>
                    <w:top w:w="0" w:type="dxa"/>
                    <w:left w:w="108" w:type="dxa"/>
                    <w:bottom w:w="0" w:type="dxa"/>
                    <w:right w:w="108" w:type="dxa"/>
                  </w:tcMar>
                  <w:vAlign w:val="center"/>
                </w:tcPr>
                <w:p w14:paraId="1FE0B9A3">
                  <w:pPr>
                    <w:spacing w:line="240" w:lineRule="auto"/>
                    <w:jc w:val="center"/>
                    <w:rPr>
                      <w:rFonts w:hint="default" w:ascii="Times New Roman" w:hAnsi="Times New Roman" w:eastAsia="宋体" w:cs="Times New Roman"/>
                      <w:color w:val="FF0000"/>
                      <w:sz w:val="21"/>
                      <w:szCs w:val="21"/>
                      <w:highlight w:val="none"/>
                      <w:u w:val="single" w:color="auto"/>
                      <w:lang w:val="en-US" w:eastAsia="zh-CN"/>
                    </w:rPr>
                  </w:pPr>
                  <w:r>
                    <w:rPr>
                      <w:rFonts w:hint="default" w:ascii="Times New Roman" w:hAnsi="Times New Roman" w:eastAsia="宋体" w:cs="Times New Roman"/>
                      <w:color w:val="FF0000"/>
                      <w:sz w:val="21"/>
                      <w:szCs w:val="21"/>
                      <w:highlight w:val="none"/>
                      <w:u w:val="single" w:color="auto"/>
                      <w:lang w:val="en-US" w:eastAsia="zh-CN"/>
                    </w:rPr>
                    <w:t>HW01</w:t>
                  </w:r>
                </w:p>
                <w:p w14:paraId="7928E9F0">
                  <w:pPr>
                    <w:spacing w:line="240" w:lineRule="auto"/>
                    <w:jc w:val="center"/>
                    <w:rPr>
                      <w:rFonts w:hint="default" w:ascii="Times New Roman" w:hAnsi="Times New Roman" w:eastAsia="宋体" w:cs="Times New Roman"/>
                      <w:color w:val="FF0000"/>
                      <w:sz w:val="21"/>
                      <w:szCs w:val="21"/>
                      <w:highlight w:val="none"/>
                      <w:u w:val="single" w:color="auto"/>
                    </w:rPr>
                  </w:pPr>
                  <w:r>
                    <w:rPr>
                      <w:rFonts w:hint="default" w:ascii="Times New Roman" w:hAnsi="Times New Roman" w:eastAsia="宋体" w:cs="Times New Roman"/>
                      <w:color w:val="FF0000"/>
                      <w:sz w:val="21"/>
                      <w:szCs w:val="21"/>
                      <w:highlight w:val="none"/>
                      <w:u w:val="single" w:color="auto"/>
                      <w:lang w:val="en-US" w:eastAsia="zh-CN"/>
                    </w:rPr>
                    <w:t>841-004-01</w:t>
                  </w:r>
                </w:p>
              </w:tc>
            </w:tr>
          </w:tbl>
          <w:p w14:paraId="2C19078E">
            <w:pPr>
              <w:spacing w:line="360" w:lineRule="auto"/>
              <w:ind w:firstLine="480" w:firstLineChars="200"/>
              <w:jc w:val="left"/>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医疗废物主要为住院和门诊就医人员产生，</w:t>
            </w:r>
            <w:r>
              <w:rPr>
                <w:rFonts w:hint="eastAsia" w:cs="Times New Roman"/>
                <w:color w:val="auto"/>
                <w:sz w:val="24"/>
                <w:u w:val="none" w:color="auto"/>
                <w:lang w:eastAsia="zh-CN"/>
              </w:rPr>
              <w:t>参照</w:t>
            </w:r>
            <w:r>
              <w:rPr>
                <w:rFonts w:hint="default" w:ascii="Times New Roman" w:hAnsi="Times New Roman" w:eastAsia="宋体" w:cs="Times New Roman"/>
                <w:color w:val="auto"/>
                <w:sz w:val="24"/>
                <w:u w:val="none" w:color="auto"/>
              </w:rPr>
              <w:t>《第一次全国污染源普查 城镇生活源产排污系数手册》“第四分册：医院污染物产生、排放系数”，参照湖南省综合性医院病床数101～500床的医疗废物产污系数为0.53kg/床·d，按全年满负荷运营，则本项目产生包括病床和门诊在内的医疗废物约</w:t>
            </w:r>
            <w:r>
              <w:rPr>
                <w:rFonts w:hint="eastAsia" w:ascii="Times New Roman" w:hAnsi="Times New Roman" w:eastAsia="宋体" w:cs="Times New Roman"/>
                <w:color w:val="auto"/>
                <w:sz w:val="24"/>
                <w:u w:val="none" w:color="auto"/>
                <w:lang w:val="en-US" w:eastAsia="zh-CN"/>
              </w:rPr>
              <w:t>159</w:t>
            </w:r>
            <w:r>
              <w:rPr>
                <w:rFonts w:hint="default" w:ascii="Times New Roman" w:hAnsi="Times New Roman" w:eastAsia="宋体" w:cs="Times New Roman"/>
                <w:color w:val="auto"/>
                <w:sz w:val="24"/>
                <w:u w:val="none" w:color="auto"/>
              </w:rPr>
              <w:t>kg/d</w:t>
            </w:r>
            <w:r>
              <w:rPr>
                <w:rFonts w:hint="eastAsia" w:cs="Times New Roman"/>
                <w:color w:val="auto"/>
                <w:sz w:val="24"/>
                <w:u w:val="none" w:color="auto"/>
                <w:lang w:eastAsia="zh-CN"/>
              </w:rPr>
              <w:t>，</w:t>
            </w:r>
            <w:r>
              <w:rPr>
                <w:rFonts w:hint="eastAsia" w:ascii="Times New Roman" w:hAnsi="Times New Roman" w:eastAsia="宋体" w:cs="Times New Roman"/>
                <w:color w:val="auto"/>
                <w:sz w:val="24"/>
                <w:u w:val="none" w:color="auto"/>
                <w:lang w:val="en-US" w:eastAsia="zh-CN"/>
              </w:rPr>
              <w:t>58.035</w:t>
            </w:r>
            <w:r>
              <w:rPr>
                <w:rFonts w:hint="default" w:ascii="Times New Roman" w:hAnsi="Times New Roman" w:eastAsia="宋体" w:cs="Times New Roman"/>
                <w:color w:val="auto"/>
                <w:sz w:val="24"/>
                <w:u w:val="none" w:color="auto"/>
              </w:rPr>
              <w:t>t/a。医疗废物可分为</w:t>
            </w:r>
            <w:r>
              <w:rPr>
                <w:rFonts w:hint="eastAsia" w:cs="Times New Roman"/>
                <w:color w:val="auto"/>
                <w:sz w:val="24"/>
                <w:u w:val="none" w:color="auto"/>
                <w:lang w:eastAsia="zh-CN"/>
              </w:rPr>
              <w:t>一般医疗废物</w:t>
            </w:r>
            <w:r>
              <w:rPr>
                <w:rFonts w:hint="default" w:ascii="Times New Roman" w:hAnsi="Times New Roman" w:eastAsia="宋体" w:cs="Times New Roman"/>
                <w:color w:val="auto"/>
                <w:sz w:val="24"/>
                <w:u w:val="none" w:color="auto"/>
              </w:rPr>
              <w:t>和</w:t>
            </w:r>
            <w:r>
              <w:rPr>
                <w:rFonts w:hint="eastAsia" w:cs="Times New Roman"/>
                <w:color w:val="auto"/>
                <w:sz w:val="24"/>
                <w:u w:val="none" w:color="auto"/>
                <w:lang w:eastAsia="zh-CN"/>
              </w:rPr>
              <w:t>危险废物</w:t>
            </w:r>
            <w:r>
              <w:rPr>
                <w:rFonts w:hint="default" w:ascii="Times New Roman" w:hAnsi="Times New Roman" w:eastAsia="宋体" w:cs="Times New Roman"/>
                <w:color w:val="auto"/>
                <w:sz w:val="24"/>
                <w:u w:val="none" w:color="auto"/>
              </w:rPr>
              <w:t>，其中普通医疗垃圾</w:t>
            </w:r>
            <w:r>
              <w:rPr>
                <w:rFonts w:hint="eastAsia" w:cs="Times New Roman"/>
                <w:color w:val="auto"/>
                <w:sz w:val="24"/>
                <w:u w:val="none" w:color="auto"/>
                <w:lang w:eastAsia="zh-CN"/>
              </w:rPr>
              <w:t>约占</w:t>
            </w:r>
            <w:r>
              <w:rPr>
                <w:rFonts w:hint="default" w:ascii="Times New Roman" w:hAnsi="Times New Roman" w:eastAsia="宋体" w:cs="Times New Roman"/>
                <w:color w:val="auto"/>
                <w:sz w:val="24"/>
                <w:u w:val="none" w:color="auto"/>
              </w:rPr>
              <w:t>80%，主要使用后的各种玻璃(一次性塑料)输液瓶(袋)等；</w:t>
            </w:r>
            <w:r>
              <w:rPr>
                <w:rFonts w:hint="eastAsia" w:cs="Times New Roman"/>
                <w:color w:val="auto"/>
                <w:sz w:val="24"/>
                <w:u w:val="none" w:color="auto"/>
                <w:lang w:eastAsia="zh-CN"/>
              </w:rPr>
              <w:t>危险废物</w:t>
            </w:r>
            <w:r>
              <w:rPr>
                <w:rFonts w:hint="default" w:ascii="Times New Roman" w:hAnsi="Times New Roman" w:eastAsia="宋体" w:cs="Times New Roman"/>
                <w:color w:val="auto"/>
                <w:sz w:val="24"/>
                <w:u w:val="none" w:color="auto"/>
              </w:rPr>
              <w:t>约</w:t>
            </w:r>
            <w:r>
              <w:rPr>
                <w:rFonts w:hint="eastAsia" w:cs="Times New Roman"/>
                <w:color w:val="auto"/>
                <w:sz w:val="24"/>
                <w:u w:val="none" w:color="auto"/>
                <w:lang w:eastAsia="zh-CN"/>
              </w:rPr>
              <w:t>为</w:t>
            </w:r>
            <w:r>
              <w:rPr>
                <w:rFonts w:hint="default" w:ascii="Times New Roman" w:hAnsi="Times New Roman" w:eastAsia="宋体" w:cs="Times New Roman"/>
                <w:color w:val="auto"/>
                <w:sz w:val="24"/>
                <w:u w:val="none" w:color="auto"/>
              </w:rPr>
              <w:t>20%，其中感染性和病理性废物约占15%，化学性和药物性废物约占3.5%，损伤性废物约占1.5%。医疗垃圾组成情况如表</w:t>
            </w:r>
            <w:r>
              <w:rPr>
                <w:rFonts w:hint="eastAsia" w:cs="Times New Roman"/>
                <w:color w:val="auto"/>
                <w:sz w:val="24"/>
                <w:u w:val="none" w:color="auto"/>
                <w:lang w:val="en-US" w:eastAsia="zh-CN"/>
              </w:rPr>
              <w:t>4-15</w:t>
            </w:r>
            <w:r>
              <w:rPr>
                <w:rFonts w:hint="default" w:ascii="Times New Roman" w:hAnsi="Times New Roman" w:eastAsia="宋体" w:cs="Times New Roman"/>
                <w:color w:val="auto"/>
                <w:sz w:val="24"/>
                <w:u w:val="none" w:color="auto"/>
              </w:rPr>
              <w:t>所示。</w:t>
            </w:r>
          </w:p>
          <w:p w14:paraId="2FEA23B7">
            <w:pPr>
              <w:spacing w:line="360" w:lineRule="auto"/>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表</w:t>
            </w:r>
            <w:r>
              <w:rPr>
                <w:rFonts w:hint="eastAsia" w:ascii="Times New Roman" w:hAnsi="Times New Roman" w:eastAsia="宋体" w:cs="Times New Roman"/>
                <w:b/>
                <w:bCs/>
                <w:color w:val="auto"/>
                <w:sz w:val="21"/>
                <w:szCs w:val="21"/>
                <w:u w:val="none" w:color="auto"/>
                <w:lang w:val="en-US" w:eastAsia="zh-CN"/>
              </w:rPr>
              <w:t>4-</w:t>
            </w:r>
            <w:r>
              <w:rPr>
                <w:rFonts w:hint="eastAsia" w:cs="Times New Roman"/>
                <w:b/>
                <w:bCs/>
                <w:color w:val="auto"/>
                <w:sz w:val="21"/>
                <w:szCs w:val="21"/>
                <w:u w:val="none" w:color="auto"/>
                <w:lang w:val="en-US" w:eastAsia="zh-CN"/>
              </w:rPr>
              <w:t>15</w:t>
            </w:r>
            <w:r>
              <w:rPr>
                <w:rFonts w:hint="default" w:ascii="Times New Roman" w:hAnsi="Times New Roman" w:eastAsia="宋体" w:cs="Times New Roman"/>
                <w:b/>
                <w:bCs/>
                <w:color w:val="auto"/>
                <w:sz w:val="21"/>
                <w:szCs w:val="21"/>
                <w:u w:val="none" w:color="auto"/>
              </w:rPr>
              <w:t xml:space="preserve"> 医院医疗废物组成情况</w:t>
            </w:r>
          </w:p>
          <w:tbl>
            <w:tblPr>
              <w:tblStyle w:val="35"/>
              <w:tblW w:w="4996" w:type="pct"/>
              <w:tblInd w:w="-4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00"/>
              <w:gridCol w:w="1563"/>
              <w:gridCol w:w="2016"/>
              <w:gridCol w:w="2195"/>
              <w:gridCol w:w="1751"/>
            </w:tblGrid>
            <w:tr w14:paraId="215559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77" w:type="pct"/>
                  <w:vMerge w:val="restart"/>
                  <w:tcBorders>
                    <w:tl2br w:val="nil"/>
                    <w:tr2bl w:val="nil"/>
                  </w:tcBorders>
                  <w:noWrap w:val="0"/>
                  <w:vAlign w:val="center"/>
                </w:tcPr>
                <w:p w14:paraId="403302BB">
                  <w:pPr>
                    <w:jc w:val="center"/>
                    <w:rPr>
                      <w:rFonts w:hint="default" w:ascii="Times New Roman" w:hAnsi="Times New Roman" w:eastAsia="宋体" w:cs="Times New Roman"/>
                      <w:color w:val="FF0000"/>
                      <w:sz w:val="21"/>
                      <w:szCs w:val="21"/>
                      <w:u w:val="single" w:color="auto"/>
                    </w:rPr>
                  </w:pPr>
                  <w:r>
                    <w:rPr>
                      <w:rFonts w:hint="default" w:ascii="Times New Roman" w:hAnsi="Times New Roman" w:eastAsia="宋体" w:cs="Times New Roman"/>
                      <w:color w:val="FF0000"/>
                      <w:sz w:val="21"/>
                      <w:szCs w:val="21"/>
                      <w:u w:val="single" w:color="auto"/>
                    </w:rPr>
                    <w:t>医疗废物组成</w:t>
                  </w:r>
                </w:p>
              </w:tc>
              <w:tc>
                <w:tcPr>
                  <w:tcW w:w="856" w:type="pct"/>
                  <w:vMerge w:val="restart"/>
                  <w:tcBorders>
                    <w:tl2br w:val="nil"/>
                    <w:tr2bl w:val="nil"/>
                  </w:tcBorders>
                  <w:noWrap w:val="0"/>
                  <w:vAlign w:val="center"/>
                </w:tcPr>
                <w:p w14:paraId="12FEB619">
                  <w:pPr>
                    <w:jc w:val="center"/>
                    <w:rPr>
                      <w:rFonts w:hint="eastAsia" w:ascii="Times New Roman" w:hAnsi="Times New Roman" w:eastAsia="宋体" w:cs="Times New Roman"/>
                      <w:color w:val="FF0000"/>
                      <w:sz w:val="21"/>
                      <w:szCs w:val="21"/>
                      <w:u w:val="single" w:color="auto"/>
                      <w:lang w:eastAsia="zh-CN"/>
                    </w:rPr>
                  </w:pPr>
                  <w:r>
                    <w:rPr>
                      <w:rFonts w:hint="eastAsia" w:cs="Times New Roman"/>
                      <w:color w:val="FF0000"/>
                      <w:sz w:val="21"/>
                      <w:szCs w:val="21"/>
                      <w:u w:val="single" w:color="auto"/>
                      <w:lang w:eastAsia="zh-CN"/>
                    </w:rPr>
                    <w:t>一般</w:t>
                  </w:r>
                  <w:r>
                    <w:rPr>
                      <w:rFonts w:hint="default" w:ascii="Times New Roman" w:hAnsi="Times New Roman" w:eastAsia="宋体" w:cs="Times New Roman"/>
                      <w:color w:val="FF0000"/>
                      <w:sz w:val="21"/>
                      <w:szCs w:val="21"/>
                      <w:u w:val="single" w:color="auto"/>
                    </w:rPr>
                    <w:t>医疗垃圾</w:t>
                  </w:r>
                  <w:r>
                    <w:rPr>
                      <w:rFonts w:hint="eastAsia" w:cs="Times New Roman"/>
                      <w:color w:val="FF0000"/>
                      <w:sz w:val="21"/>
                      <w:szCs w:val="21"/>
                      <w:u w:val="single" w:color="auto"/>
                      <w:lang w:eastAsia="zh-CN"/>
                    </w:rPr>
                    <w:t>（输液袋等）</w:t>
                  </w:r>
                </w:p>
              </w:tc>
              <w:tc>
                <w:tcPr>
                  <w:tcW w:w="3265" w:type="pct"/>
                  <w:gridSpan w:val="3"/>
                  <w:tcBorders>
                    <w:tl2br w:val="nil"/>
                    <w:tr2bl w:val="nil"/>
                  </w:tcBorders>
                  <w:noWrap w:val="0"/>
                  <w:vAlign w:val="center"/>
                </w:tcPr>
                <w:p w14:paraId="1BF18929">
                  <w:pPr>
                    <w:jc w:val="center"/>
                    <w:rPr>
                      <w:rFonts w:hint="eastAsia" w:ascii="Times New Roman" w:hAnsi="Times New Roman" w:eastAsia="宋体" w:cs="Times New Roman"/>
                      <w:color w:val="FF0000"/>
                      <w:sz w:val="21"/>
                      <w:szCs w:val="21"/>
                      <w:u w:val="single" w:color="auto"/>
                      <w:lang w:eastAsia="zh-CN"/>
                    </w:rPr>
                  </w:pPr>
                  <w:r>
                    <w:rPr>
                      <w:rFonts w:hint="eastAsia" w:cs="Times New Roman"/>
                      <w:color w:val="FF0000"/>
                      <w:sz w:val="21"/>
                      <w:szCs w:val="21"/>
                      <w:u w:val="single" w:color="auto"/>
                      <w:lang w:eastAsia="zh-CN"/>
                    </w:rPr>
                    <w:t>危险废物</w:t>
                  </w:r>
                </w:p>
              </w:tc>
            </w:tr>
            <w:tr w14:paraId="345DD8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77" w:type="pct"/>
                  <w:vMerge w:val="continue"/>
                  <w:tcBorders>
                    <w:tl2br w:val="nil"/>
                    <w:tr2bl w:val="nil"/>
                  </w:tcBorders>
                  <w:noWrap w:val="0"/>
                  <w:vAlign w:val="center"/>
                </w:tcPr>
                <w:p w14:paraId="6B658F97">
                  <w:pPr>
                    <w:jc w:val="center"/>
                    <w:rPr>
                      <w:rFonts w:hint="default" w:ascii="Times New Roman" w:hAnsi="Times New Roman" w:eastAsia="宋体" w:cs="Times New Roman"/>
                      <w:color w:val="FF0000"/>
                      <w:sz w:val="21"/>
                      <w:szCs w:val="21"/>
                      <w:u w:val="single" w:color="auto"/>
                    </w:rPr>
                  </w:pPr>
                </w:p>
              </w:tc>
              <w:tc>
                <w:tcPr>
                  <w:tcW w:w="856" w:type="pct"/>
                  <w:vMerge w:val="continue"/>
                  <w:tcBorders>
                    <w:tl2br w:val="nil"/>
                    <w:tr2bl w:val="nil"/>
                  </w:tcBorders>
                  <w:noWrap w:val="0"/>
                  <w:vAlign w:val="center"/>
                </w:tcPr>
                <w:p w14:paraId="72D54C87">
                  <w:pPr>
                    <w:jc w:val="center"/>
                    <w:rPr>
                      <w:rFonts w:hint="default" w:ascii="Times New Roman" w:hAnsi="Times New Roman" w:eastAsia="宋体" w:cs="Times New Roman"/>
                      <w:color w:val="FF0000"/>
                      <w:sz w:val="21"/>
                      <w:szCs w:val="21"/>
                      <w:u w:val="single" w:color="auto"/>
                    </w:rPr>
                  </w:pPr>
                </w:p>
              </w:tc>
              <w:tc>
                <w:tcPr>
                  <w:tcW w:w="1104" w:type="pct"/>
                  <w:tcBorders>
                    <w:tl2br w:val="nil"/>
                    <w:tr2bl w:val="nil"/>
                  </w:tcBorders>
                  <w:noWrap w:val="0"/>
                  <w:vAlign w:val="center"/>
                </w:tcPr>
                <w:p w14:paraId="2CF0BAD3">
                  <w:pPr>
                    <w:jc w:val="center"/>
                    <w:rPr>
                      <w:rFonts w:hint="default" w:ascii="Times New Roman" w:hAnsi="Times New Roman" w:eastAsia="宋体" w:cs="Times New Roman"/>
                      <w:color w:val="FF0000"/>
                      <w:sz w:val="21"/>
                      <w:szCs w:val="21"/>
                      <w:u w:val="single" w:color="auto"/>
                    </w:rPr>
                  </w:pPr>
                  <w:r>
                    <w:rPr>
                      <w:rFonts w:hint="default" w:ascii="Times New Roman" w:hAnsi="Times New Roman" w:eastAsia="宋体" w:cs="Times New Roman"/>
                      <w:color w:val="FF0000"/>
                      <w:sz w:val="21"/>
                      <w:szCs w:val="21"/>
                      <w:u w:val="single" w:color="auto"/>
                    </w:rPr>
                    <w:t>感染性/病理性废物</w:t>
                  </w:r>
                </w:p>
              </w:tc>
              <w:tc>
                <w:tcPr>
                  <w:tcW w:w="1202" w:type="pct"/>
                  <w:tcBorders>
                    <w:tl2br w:val="nil"/>
                    <w:tr2bl w:val="nil"/>
                  </w:tcBorders>
                  <w:noWrap w:val="0"/>
                  <w:vAlign w:val="center"/>
                </w:tcPr>
                <w:p w14:paraId="72F5614E">
                  <w:pPr>
                    <w:jc w:val="center"/>
                    <w:rPr>
                      <w:rFonts w:hint="default" w:ascii="Times New Roman" w:hAnsi="Times New Roman" w:eastAsia="宋体" w:cs="Times New Roman"/>
                      <w:color w:val="FF0000"/>
                      <w:sz w:val="21"/>
                      <w:szCs w:val="21"/>
                      <w:u w:val="single" w:color="auto"/>
                    </w:rPr>
                  </w:pPr>
                  <w:r>
                    <w:rPr>
                      <w:rFonts w:hint="default" w:ascii="Times New Roman" w:hAnsi="Times New Roman" w:eastAsia="宋体" w:cs="Times New Roman"/>
                      <w:color w:val="FF0000"/>
                      <w:sz w:val="21"/>
                      <w:szCs w:val="21"/>
                      <w:u w:val="single" w:color="auto"/>
                    </w:rPr>
                    <w:t>化学性/药物性废物</w:t>
                  </w:r>
                </w:p>
              </w:tc>
              <w:tc>
                <w:tcPr>
                  <w:tcW w:w="958" w:type="pct"/>
                  <w:tcBorders>
                    <w:tl2br w:val="nil"/>
                    <w:tr2bl w:val="nil"/>
                  </w:tcBorders>
                  <w:noWrap w:val="0"/>
                  <w:vAlign w:val="center"/>
                </w:tcPr>
                <w:p w14:paraId="2C228F49">
                  <w:pPr>
                    <w:jc w:val="center"/>
                    <w:rPr>
                      <w:rFonts w:hint="default" w:ascii="Times New Roman" w:hAnsi="Times New Roman" w:eastAsia="宋体" w:cs="Times New Roman"/>
                      <w:color w:val="FF0000"/>
                      <w:sz w:val="21"/>
                      <w:szCs w:val="21"/>
                      <w:u w:val="single" w:color="auto"/>
                    </w:rPr>
                  </w:pPr>
                  <w:r>
                    <w:rPr>
                      <w:rFonts w:hint="default" w:ascii="Times New Roman" w:hAnsi="Times New Roman" w:eastAsia="宋体" w:cs="Times New Roman"/>
                      <w:color w:val="FF0000"/>
                      <w:sz w:val="21"/>
                      <w:szCs w:val="21"/>
                      <w:u w:val="single" w:color="auto"/>
                    </w:rPr>
                    <w:t>损伤性废物</w:t>
                  </w:r>
                </w:p>
              </w:tc>
            </w:tr>
            <w:tr w14:paraId="3B7F97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77" w:type="pct"/>
                  <w:tcBorders>
                    <w:tl2br w:val="nil"/>
                    <w:tr2bl w:val="nil"/>
                  </w:tcBorders>
                  <w:noWrap w:val="0"/>
                  <w:vAlign w:val="center"/>
                </w:tcPr>
                <w:p w14:paraId="276631E0">
                  <w:pPr>
                    <w:jc w:val="center"/>
                    <w:rPr>
                      <w:rFonts w:hint="default" w:ascii="Times New Roman" w:hAnsi="Times New Roman" w:eastAsia="宋体" w:cs="Times New Roman"/>
                      <w:color w:val="FF0000"/>
                      <w:sz w:val="21"/>
                      <w:szCs w:val="21"/>
                      <w:u w:val="single" w:color="auto"/>
                    </w:rPr>
                  </w:pPr>
                  <w:r>
                    <w:rPr>
                      <w:rFonts w:hint="default" w:ascii="Times New Roman" w:hAnsi="Times New Roman" w:eastAsia="宋体" w:cs="Times New Roman"/>
                      <w:color w:val="FF0000"/>
                      <w:sz w:val="21"/>
                      <w:szCs w:val="21"/>
                      <w:u w:val="single" w:color="auto"/>
                    </w:rPr>
                    <w:t>比例（%）</w:t>
                  </w:r>
                </w:p>
              </w:tc>
              <w:tc>
                <w:tcPr>
                  <w:tcW w:w="856" w:type="pct"/>
                  <w:tcBorders>
                    <w:tl2br w:val="nil"/>
                    <w:tr2bl w:val="nil"/>
                  </w:tcBorders>
                  <w:noWrap w:val="0"/>
                  <w:vAlign w:val="center"/>
                </w:tcPr>
                <w:p w14:paraId="00B1F30F">
                  <w:pPr>
                    <w:jc w:val="center"/>
                    <w:rPr>
                      <w:rFonts w:hint="default" w:ascii="Times New Roman" w:hAnsi="Times New Roman" w:eastAsia="宋体" w:cs="Times New Roman"/>
                      <w:color w:val="FF0000"/>
                      <w:sz w:val="21"/>
                      <w:szCs w:val="21"/>
                      <w:u w:val="single" w:color="auto"/>
                    </w:rPr>
                  </w:pPr>
                  <w:r>
                    <w:rPr>
                      <w:rFonts w:hint="default" w:ascii="Times New Roman" w:hAnsi="Times New Roman" w:eastAsia="宋体" w:cs="Times New Roman"/>
                      <w:color w:val="FF0000"/>
                      <w:sz w:val="21"/>
                      <w:szCs w:val="21"/>
                      <w:u w:val="single" w:color="auto"/>
                    </w:rPr>
                    <w:t>80</w:t>
                  </w:r>
                </w:p>
              </w:tc>
              <w:tc>
                <w:tcPr>
                  <w:tcW w:w="1104" w:type="pct"/>
                  <w:tcBorders>
                    <w:tl2br w:val="nil"/>
                    <w:tr2bl w:val="nil"/>
                  </w:tcBorders>
                  <w:noWrap w:val="0"/>
                  <w:vAlign w:val="center"/>
                </w:tcPr>
                <w:p w14:paraId="354A16BA">
                  <w:pPr>
                    <w:jc w:val="center"/>
                    <w:rPr>
                      <w:rFonts w:hint="default" w:ascii="Times New Roman" w:hAnsi="Times New Roman" w:eastAsia="宋体" w:cs="Times New Roman"/>
                      <w:color w:val="FF0000"/>
                      <w:sz w:val="21"/>
                      <w:szCs w:val="21"/>
                      <w:u w:val="single" w:color="auto"/>
                    </w:rPr>
                  </w:pPr>
                  <w:r>
                    <w:rPr>
                      <w:rFonts w:hint="default" w:ascii="Times New Roman" w:hAnsi="Times New Roman" w:eastAsia="宋体" w:cs="Times New Roman"/>
                      <w:color w:val="FF0000"/>
                      <w:sz w:val="21"/>
                      <w:szCs w:val="21"/>
                      <w:u w:val="single" w:color="auto"/>
                    </w:rPr>
                    <w:t>15</w:t>
                  </w:r>
                </w:p>
              </w:tc>
              <w:tc>
                <w:tcPr>
                  <w:tcW w:w="1202" w:type="pct"/>
                  <w:tcBorders>
                    <w:tl2br w:val="nil"/>
                    <w:tr2bl w:val="nil"/>
                  </w:tcBorders>
                  <w:noWrap w:val="0"/>
                  <w:vAlign w:val="center"/>
                </w:tcPr>
                <w:p w14:paraId="1C075A5F">
                  <w:pPr>
                    <w:jc w:val="center"/>
                    <w:rPr>
                      <w:rFonts w:hint="default" w:ascii="Times New Roman" w:hAnsi="Times New Roman" w:eastAsia="宋体" w:cs="Times New Roman"/>
                      <w:color w:val="FF0000"/>
                      <w:sz w:val="21"/>
                      <w:szCs w:val="21"/>
                      <w:u w:val="single" w:color="auto"/>
                    </w:rPr>
                  </w:pPr>
                  <w:r>
                    <w:rPr>
                      <w:rFonts w:hint="default" w:ascii="Times New Roman" w:hAnsi="Times New Roman" w:eastAsia="宋体" w:cs="Times New Roman"/>
                      <w:color w:val="FF0000"/>
                      <w:sz w:val="21"/>
                      <w:szCs w:val="21"/>
                      <w:u w:val="single" w:color="auto"/>
                    </w:rPr>
                    <w:t>3.5</w:t>
                  </w:r>
                </w:p>
              </w:tc>
              <w:tc>
                <w:tcPr>
                  <w:tcW w:w="958" w:type="pct"/>
                  <w:tcBorders>
                    <w:tl2br w:val="nil"/>
                    <w:tr2bl w:val="nil"/>
                  </w:tcBorders>
                  <w:noWrap w:val="0"/>
                  <w:vAlign w:val="center"/>
                </w:tcPr>
                <w:p w14:paraId="3C5705E0">
                  <w:pPr>
                    <w:jc w:val="center"/>
                    <w:rPr>
                      <w:rFonts w:hint="default" w:ascii="Times New Roman" w:hAnsi="Times New Roman" w:eastAsia="宋体" w:cs="Times New Roman"/>
                      <w:color w:val="FF0000"/>
                      <w:sz w:val="21"/>
                      <w:szCs w:val="21"/>
                      <w:u w:val="single" w:color="auto"/>
                    </w:rPr>
                  </w:pPr>
                  <w:r>
                    <w:rPr>
                      <w:rFonts w:hint="default" w:ascii="Times New Roman" w:hAnsi="Times New Roman" w:eastAsia="宋体" w:cs="Times New Roman"/>
                      <w:color w:val="FF0000"/>
                      <w:sz w:val="21"/>
                      <w:szCs w:val="21"/>
                      <w:u w:val="single" w:color="auto"/>
                    </w:rPr>
                    <w:t>1.5</w:t>
                  </w:r>
                </w:p>
              </w:tc>
            </w:tr>
            <w:tr w14:paraId="7846E1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877" w:type="pct"/>
                  <w:tcBorders>
                    <w:tl2br w:val="nil"/>
                    <w:tr2bl w:val="nil"/>
                  </w:tcBorders>
                  <w:noWrap w:val="0"/>
                  <w:vAlign w:val="center"/>
                </w:tcPr>
                <w:p w14:paraId="1EDA8448">
                  <w:pPr>
                    <w:jc w:val="center"/>
                    <w:rPr>
                      <w:rFonts w:hint="default" w:ascii="Times New Roman" w:hAnsi="Times New Roman" w:eastAsia="宋体" w:cs="Times New Roman"/>
                      <w:color w:val="FF0000"/>
                      <w:sz w:val="21"/>
                      <w:szCs w:val="21"/>
                      <w:u w:val="single" w:color="auto"/>
                    </w:rPr>
                  </w:pPr>
                  <w:r>
                    <w:rPr>
                      <w:rFonts w:hint="default" w:ascii="Times New Roman" w:hAnsi="Times New Roman" w:eastAsia="宋体" w:cs="Times New Roman"/>
                      <w:color w:val="FF0000"/>
                      <w:sz w:val="21"/>
                      <w:szCs w:val="21"/>
                      <w:u w:val="single" w:color="auto"/>
                    </w:rPr>
                    <w:t>产生量kg/d</w:t>
                  </w:r>
                </w:p>
              </w:tc>
              <w:tc>
                <w:tcPr>
                  <w:tcW w:w="856" w:type="pct"/>
                  <w:tcBorders>
                    <w:tl2br w:val="nil"/>
                    <w:tr2bl w:val="nil"/>
                  </w:tcBorders>
                  <w:noWrap w:val="0"/>
                  <w:vAlign w:val="center"/>
                </w:tcPr>
                <w:p w14:paraId="0708FC07">
                  <w:pPr>
                    <w:jc w:val="center"/>
                    <w:rPr>
                      <w:rFonts w:hint="default" w:ascii="Times New Roman" w:hAnsi="Times New Roman" w:eastAsia="宋体" w:cs="Times New Roman"/>
                      <w:color w:val="FF0000"/>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127.2</w:t>
                  </w:r>
                </w:p>
              </w:tc>
              <w:tc>
                <w:tcPr>
                  <w:tcW w:w="1104" w:type="pct"/>
                  <w:tcBorders>
                    <w:tl2br w:val="nil"/>
                    <w:tr2bl w:val="nil"/>
                  </w:tcBorders>
                  <w:noWrap w:val="0"/>
                  <w:vAlign w:val="center"/>
                </w:tcPr>
                <w:p w14:paraId="680F908C">
                  <w:pPr>
                    <w:jc w:val="center"/>
                    <w:rPr>
                      <w:rFonts w:hint="default" w:ascii="Times New Roman" w:hAnsi="Times New Roman" w:eastAsia="宋体" w:cs="Times New Roman"/>
                      <w:color w:val="FF0000"/>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23.85</w:t>
                  </w:r>
                </w:p>
              </w:tc>
              <w:tc>
                <w:tcPr>
                  <w:tcW w:w="1202" w:type="pct"/>
                  <w:tcBorders>
                    <w:tl2br w:val="nil"/>
                    <w:tr2bl w:val="nil"/>
                  </w:tcBorders>
                  <w:noWrap w:val="0"/>
                  <w:vAlign w:val="center"/>
                </w:tcPr>
                <w:p w14:paraId="0E7C34F9">
                  <w:pPr>
                    <w:jc w:val="center"/>
                    <w:rPr>
                      <w:rFonts w:hint="default" w:ascii="Times New Roman" w:hAnsi="Times New Roman" w:eastAsia="宋体" w:cs="Times New Roman"/>
                      <w:color w:val="FF0000"/>
                      <w:sz w:val="21"/>
                      <w:szCs w:val="21"/>
                      <w:u w:val="single" w:color="auto"/>
                      <w:lang w:val="en-US" w:eastAsia="zh-CN"/>
                    </w:rPr>
                  </w:pPr>
                  <w:r>
                    <w:rPr>
                      <w:rFonts w:hint="eastAsia" w:ascii="Times New Roman" w:hAnsi="Times New Roman" w:eastAsia="宋体" w:cs="Times New Roman"/>
                      <w:color w:val="FF0000"/>
                      <w:sz w:val="21"/>
                      <w:szCs w:val="21"/>
                      <w:u w:val="single" w:color="auto"/>
                      <w:lang w:val="en-US" w:eastAsia="zh-CN"/>
                    </w:rPr>
                    <w:t>5.565</w:t>
                  </w:r>
                </w:p>
              </w:tc>
              <w:tc>
                <w:tcPr>
                  <w:tcW w:w="958" w:type="pct"/>
                  <w:tcBorders>
                    <w:tl2br w:val="nil"/>
                    <w:tr2bl w:val="nil"/>
                  </w:tcBorders>
                  <w:noWrap w:val="0"/>
                  <w:vAlign w:val="center"/>
                </w:tcPr>
                <w:p w14:paraId="3DEE9585">
                  <w:pPr>
                    <w:jc w:val="center"/>
                    <w:rPr>
                      <w:rFonts w:hint="default" w:ascii="Times New Roman" w:hAnsi="Times New Roman" w:eastAsia="宋体" w:cs="Times New Roman"/>
                      <w:color w:val="FF0000"/>
                      <w:sz w:val="21"/>
                      <w:szCs w:val="21"/>
                      <w:u w:val="single" w:color="auto"/>
                      <w:lang w:val="en-US" w:eastAsia="zh-CN"/>
                    </w:rPr>
                  </w:pPr>
                  <w:r>
                    <w:rPr>
                      <w:rFonts w:hint="eastAsia" w:cs="Times New Roman"/>
                      <w:color w:val="FF0000"/>
                      <w:sz w:val="21"/>
                      <w:szCs w:val="21"/>
                      <w:u w:val="single" w:color="auto"/>
                      <w:lang w:val="en-US" w:eastAsia="zh-CN"/>
                    </w:rPr>
                    <w:t>2.385</w:t>
                  </w:r>
                </w:p>
              </w:tc>
            </w:tr>
            <w:tr w14:paraId="0D7BE4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77" w:type="pct"/>
                  <w:tcBorders>
                    <w:tl2br w:val="nil"/>
                    <w:tr2bl w:val="nil"/>
                  </w:tcBorders>
                  <w:noWrap w:val="0"/>
                  <w:vAlign w:val="center"/>
                </w:tcPr>
                <w:p w14:paraId="46FEE3E0">
                  <w:pPr>
                    <w:jc w:val="center"/>
                    <w:rPr>
                      <w:rFonts w:hint="default" w:ascii="Times New Roman" w:hAnsi="Times New Roman" w:eastAsia="宋体" w:cs="Times New Roman"/>
                      <w:color w:val="FF0000"/>
                      <w:sz w:val="21"/>
                      <w:szCs w:val="21"/>
                      <w:u w:val="single" w:color="auto"/>
                    </w:rPr>
                  </w:pPr>
                  <w:r>
                    <w:rPr>
                      <w:rFonts w:hint="eastAsia" w:ascii="Times New Roman" w:hAnsi="Times New Roman" w:eastAsia="宋体" w:cs="Times New Roman"/>
                      <w:color w:val="FF0000"/>
                      <w:sz w:val="21"/>
                      <w:szCs w:val="21"/>
                      <w:u w:val="single" w:color="auto"/>
                      <w:lang w:eastAsia="zh-CN"/>
                    </w:rPr>
                    <w:t>主要成分</w:t>
                  </w:r>
                </w:p>
              </w:tc>
              <w:tc>
                <w:tcPr>
                  <w:tcW w:w="856" w:type="pct"/>
                  <w:tcBorders>
                    <w:tl2br w:val="nil"/>
                    <w:tr2bl w:val="nil"/>
                  </w:tcBorders>
                  <w:noWrap w:val="0"/>
                  <w:vAlign w:val="center"/>
                </w:tcPr>
                <w:p w14:paraId="56911DC0">
                  <w:pPr>
                    <w:jc w:val="center"/>
                    <w:rPr>
                      <w:rFonts w:hint="default" w:ascii="Times New Roman" w:hAnsi="Times New Roman" w:eastAsia="宋体" w:cs="Times New Roman"/>
                      <w:color w:val="FF0000"/>
                      <w:sz w:val="21"/>
                      <w:szCs w:val="21"/>
                      <w:u w:val="single" w:color="auto"/>
                    </w:rPr>
                  </w:pPr>
                  <w:r>
                    <w:rPr>
                      <w:rFonts w:hint="default" w:ascii="Times New Roman" w:hAnsi="Times New Roman" w:eastAsia="宋体" w:cs="Times New Roman"/>
                      <w:color w:val="FF0000"/>
                      <w:sz w:val="21"/>
                      <w:szCs w:val="21"/>
                      <w:u w:val="single" w:color="auto"/>
                    </w:rPr>
                    <w:t>各种玻璃(一次性塑料)输液瓶(袋)</w:t>
                  </w:r>
                </w:p>
              </w:tc>
              <w:tc>
                <w:tcPr>
                  <w:tcW w:w="1104" w:type="pct"/>
                  <w:tcBorders>
                    <w:tl2br w:val="nil"/>
                    <w:tr2bl w:val="nil"/>
                  </w:tcBorders>
                  <w:noWrap w:val="0"/>
                  <w:vAlign w:val="center"/>
                </w:tcPr>
                <w:p w14:paraId="22479765">
                  <w:pPr>
                    <w:jc w:val="center"/>
                    <w:rPr>
                      <w:rFonts w:hint="default" w:ascii="Times New Roman" w:hAnsi="Times New Roman" w:eastAsia="宋体" w:cs="Times New Roman"/>
                      <w:color w:val="FF0000"/>
                      <w:sz w:val="21"/>
                      <w:szCs w:val="21"/>
                      <w:u w:val="single" w:color="auto"/>
                      <w:lang w:eastAsia="zh-CN"/>
                    </w:rPr>
                  </w:pPr>
                  <w:r>
                    <w:rPr>
                      <w:rFonts w:hint="default" w:ascii="Times New Roman" w:hAnsi="Times New Roman" w:eastAsia="宋体" w:cs="Times New Roman"/>
                      <w:color w:val="FF0000"/>
                      <w:kern w:val="0"/>
                      <w:sz w:val="21"/>
                      <w:szCs w:val="21"/>
                      <w:u w:val="single" w:color="auto"/>
                    </w:rPr>
                    <w:t>手术及其他医学服务过程中产生的废弃的人体组织</w:t>
                  </w:r>
                  <w:r>
                    <w:rPr>
                      <w:rFonts w:hint="default" w:cs="Times New Roman"/>
                      <w:color w:val="FF0000"/>
                      <w:sz w:val="21"/>
                      <w:szCs w:val="21"/>
                      <w:u w:val="single" w:color="auto"/>
                      <w:lang w:eastAsia="zh-CN"/>
                    </w:rPr>
                    <w:t>等，</w:t>
                  </w:r>
                  <w:r>
                    <w:rPr>
                      <w:rFonts w:hint="default" w:ascii="Times New Roman" w:hAnsi="Times New Roman" w:eastAsia="宋体" w:cs="Times New Roman"/>
                      <w:color w:val="FF0000"/>
                      <w:kern w:val="0"/>
                      <w:sz w:val="21"/>
                      <w:szCs w:val="21"/>
                      <w:u w:val="single" w:color="auto"/>
                    </w:rPr>
                    <w:t>实验室及科室废弃的血液、血清、分泌物</w:t>
                  </w:r>
                  <w:r>
                    <w:rPr>
                      <w:rFonts w:hint="eastAsia" w:cs="Times New Roman"/>
                      <w:color w:val="FF0000"/>
                      <w:kern w:val="0"/>
                      <w:sz w:val="21"/>
                      <w:szCs w:val="21"/>
                      <w:u w:val="single" w:color="auto"/>
                      <w:lang w:eastAsia="zh-CN"/>
                    </w:rPr>
                    <w:t>等标本和容器、化验室废液、使用过的废检验试剂盒</w:t>
                  </w:r>
                  <w:r>
                    <w:rPr>
                      <w:rFonts w:hint="default" w:ascii="Times New Roman" w:hAnsi="Times New Roman" w:eastAsia="宋体" w:cs="Times New Roman"/>
                      <w:color w:val="FF0000"/>
                      <w:kern w:val="0"/>
                      <w:sz w:val="21"/>
                      <w:szCs w:val="21"/>
                      <w:u w:val="single" w:color="auto"/>
                    </w:rPr>
                    <w:t>等</w:t>
                  </w:r>
                </w:p>
              </w:tc>
              <w:tc>
                <w:tcPr>
                  <w:tcW w:w="1202" w:type="pct"/>
                  <w:tcBorders>
                    <w:tl2br w:val="nil"/>
                    <w:tr2bl w:val="nil"/>
                  </w:tcBorders>
                  <w:noWrap w:val="0"/>
                  <w:vAlign w:val="center"/>
                </w:tcPr>
                <w:p w14:paraId="79B0C75F">
                  <w:pPr>
                    <w:jc w:val="center"/>
                    <w:rPr>
                      <w:rFonts w:hint="default" w:ascii="Times New Roman" w:hAnsi="Times New Roman" w:eastAsia="宋体" w:cs="Times New Roman"/>
                      <w:color w:val="FF0000"/>
                      <w:sz w:val="21"/>
                      <w:szCs w:val="21"/>
                      <w:u w:val="single" w:color="auto"/>
                      <w:lang w:eastAsia="zh-CN"/>
                    </w:rPr>
                  </w:pPr>
                  <w:r>
                    <w:rPr>
                      <w:rFonts w:hint="default" w:ascii="Times New Roman" w:hAnsi="Times New Roman" w:eastAsia="宋体" w:cs="Times New Roman"/>
                      <w:color w:val="FF0000"/>
                      <w:sz w:val="21"/>
                      <w:szCs w:val="21"/>
                      <w:u w:val="single" w:color="auto"/>
                    </w:rPr>
                    <w:t>过期、淘汰、变质或者被污染的废弃的药物</w:t>
                  </w:r>
                  <w:r>
                    <w:rPr>
                      <w:rFonts w:hint="eastAsia" w:cs="Times New Roman"/>
                      <w:color w:val="FF0000"/>
                      <w:sz w:val="21"/>
                      <w:szCs w:val="21"/>
                      <w:u w:val="single" w:color="auto"/>
                      <w:lang w:eastAsia="zh-CN"/>
                    </w:rPr>
                    <w:t>、废试剂瓶</w:t>
                  </w:r>
                  <w:r>
                    <w:rPr>
                      <w:rFonts w:hint="default" w:cs="Times New Roman"/>
                      <w:color w:val="FF0000"/>
                      <w:sz w:val="21"/>
                      <w:szCs w:val="21"/>
                      <w:u w:val="single" w:color="auto"/>
                      <w:lang w:eastAsia="zh-CN"/>
                    </w:rPr>
                    <w:t>，</w:t>
                  </w:r>
                  <w:r>
                    <w:rPr>
                      <w:rFonts w:hint="default" w:ascii="Times New Roman" w:hAnsi="Times New Roman" w:eastAsia="宋体" w:cs="Times New Roman"/>
                      <w:color w:val="FF0000"/>
                      <w:kern w:val="0"/>
                      <w:sz w:val="21"/>
                      <w:szCs w:val="21"/>
                      <w:u w:val="single" w:color="auto"/>
                    </w:rPr>
                    <w:t>含汞血压计、含汞体温计</w:t>
                  </w:r>
                  <w:r>
                    <w:rPr>
                      <w:rFonts w:hint="default" w:ascii="Times New Roman" w:hAnsi="Times New Roman" w:eastAsia="宋体" w:cs="Times New Roman"/>
                      <w:color w:val="FF0000"/>
                      <w:kern w:val="0"/>
                      <w:sz w:val="21"/>
                      <w:szCs w:val="21"/>
                      <w:u w:val="single" w:color="auto"/>
                      <w:lang w:eastAsia="zh-CN"/>
                    </w:rPr>
                    <w:t>等</w:t>
                  </w:r>
                </w:p>
              </w:tc>
              <w:tc>
                <w:tcPr>
                  <w:tcW w:w="958" w:type="pct"/>
                  <w:tcBorders>
                    <w:tl2br w:val="nil"/>
                    <w:tr2bl w:val="nil"/>
                  </w:tcBorders>
                  <w:noWrap w:val="0"/>
                  <w:vAlign w:val="center"/>
                </w:tcPr>
                <w:p w14:paraId="55961963">
                  <w:pPr>
                    <w:jc w:val="center"/>
                    <w:rPr>
                      <w:rFonts w:hint="default" w:ascii="Times New Roman" w:hAnsi="Times New Roman" w:eastAsia="宋体" w:cs="Times New Roman"/>
                      <w:color w:val="FF0000"/>
                      <w:sz w:val="21"/>
                      <w:szCs w:val="21"/>
                      <w:u w:val="single" w:color="auto"/>
                    </w:rPr>
                  </w:pPr>
                  <w:r>
                    <w:rPr>
                      <w:rFonts w:hint="default" w:ascii="Times New Roman" w:hAnsi="Times New Roman" w:eastAsia="宋体" w:cs="Times New Roman"/>
                      <w:color w:val="FF0000"/>
                      <w:kern w:val="0"/>
                      <w:sz w:val="21"/>
                      <w:szCs w:val="21"/>
                      <w:u w:val="single" w:color="auto"/>
                    </w:rPr>
                    <w:t>废弃的金属类锐器，如针头、缝合针、针灸针、探针、穿刺针、解剖刀、手术刀、手术锯、备皮刀、钢钉和导丝等</w:t>
                  </w:r>
                </w:p>
              </w:tc>
            </w:tr>
          </w:tbl>
          <w:p w14:paraId="12EF425B">
            <w:pPr>
              <w:spacing w:line="360" w:lineRule="auto"/>
              <w:ind w:firstLine="480" w:firstLineChars="200"/>
              <w:jc w:val="both"/>
              <w:rPr>
                <w:rFonts w:hint="default" w:ascii="Times New Roman" w:hAnsi="Times New Roman" w:eastAsia="宋体" w:cs="Times New Roman"/>
                <w:color w:val="auto"/>
                <w:sz w:val="24"/>
                <w:u w:val="none" w:color="auto"/>
                <w:shd w:val="clear" w:color="auto" w:fill="auto"/>
              </w:rPr>
            </w:pPr>
            <w:r>
              <w:rPr>
                <w:rFonts w:hint="default" w:ascii="Times New Roman" w:hAnsi="Times New Roman" w:eastAsia="宋体" w:cs="Times New Roman"/>
                <w:color w:val="auto"/>
                <w:sz w:val="24"/>
                <w:u w:val="none" w:color="auto"/>
                <w:shd w:val="clear" w:color="auto" w:fill="auto"/>
              </w:rPr>
              <w:t>本项目运营过程中所产生的医疗废物应当日消毒后，经专用防渗漏、防锐器穿透的包装物或密闭容器分类收集后，于项目医疗</w:t>
            </w:r>
            <w:r>
              <w:rPr>
                <w:rFonts w:hint="eastAsia" w:cs="Times New Roman"/>
                <w:color w:val="auto"/>
                <w:sz w:val="24"/>
                <w:u w:val="none" w:color="auto"/>
                <w:shd w:val="clear" w:color="auto" w:fill="auto"/>
                <w:lang w:eastAsia="zh-CN"/>
              </w:rPr>
              <w:t>废物</w:t>
            </w:r>
            <w:r>
              <w:rPr>
                <w:rFonts w:hint="default" w:ascii="Times New Roman" w:hAnsi="Times New Roman" w:eastAsia="宋体" w:cs="Times New Roman"/>
                <w:color w:val="auto"/>
                <w:sz w:val="24"/>
                <w:u w:val="none" w:color="auto"/>
                <w:shd w:val="clear" w:color="auto" w:fill="auto"/>
              </w:rPr>
              <w:t>暂存间内存放，并定期交由有资质的公司进行清运、处置。</w:t>
            </w:r>
          </w:p>
          <w:p w14:paraId="687A62FD">
            <w:pPr>
              <w:spacing w:line="360" w:lineRule="auto"/>
              <w:ind w:firstLine="480" w:firstLineChars="200"/>
              <w:jc w:val="both"/>
              <w:rPr>
                <w:rFonts w:hint="default" w:ascii="Times New Roman" w:hAnsi="Times New Roman" w:eastAsia="宋体" w:cs="Times New Roman"/>
                <w:color w:val="auto"/>
                <w:sz w:val="24"/>
                <w:u w:val="none" w:color="auto"/>
                <w:shd w:val="clear" w:color="auto" w:fill="auto"/>
              </w:rPr>
            </w:pPr>
            <w:r>
              <w:rPr>
                <w:rFonts w:hint="default" w:ascii="Times New Roman" w:hAnsi="Times New Roman" w:eastAsia="宋体" w:cs="Times New Roman"/>
                <w:color w:val="auto"/>
                <w:sz w:val="24"/>
                <w:u w:val="none" w:color="auto"/>
                <w:shd w:val="clear" w:color="auto" w:fill="auto"/>
              </w:rPr>
              <w:t>（</w:t>
            </w:r>
            <w:r>
              <w:rPr>
                <w:rFonts w:hint="eastAsia" w:cs="Times New Roman"/>
                <w:color w:val="auto"/>
                <w:sz w:val="24"/>
                <w:u w:val="none" w:color="auto"/>
                <w:shd w:val="clear" w:color="auto" w:fill="auto"/>
                <w:lang w:val="en-US" w:eastAsia="zh-CN"/>
              </w:rPr>
              <w:t>2</w:t>
            </w:r>
            <w:r>
              <w:rPr>
                <w:rFonts w:hint="default" w:ascii="Times New Roman" w:hAnsi="Times New Roman" w:eastAsia="宋体" w:cs="Times New Roman"/>
                <w:color w:val="auto"/>
                <w:sz w:val="24"/>
                <w:u w:val="none" w:color="auto"/>
                <w:shd w:val="clear" w:color="auto" w:fill="auto"/>
              </w:rPr>
              <w:t>）污水处理设施污泥</w:t>
            </w:r>
          </w:p>
          <w:p w14:paraId="74BD10A2">
            <w:pPr>
              <w:spacing w:line="360" w:lineRule="auto"/>
              <w:ind w:firstLine="480" w:firstLineChars="200"/>
              <w:jc w:val="both"/>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shd w:val="clear" w:color="auto" w:fill="auto"/>
              </w:rPr>
              <w:t>根据《国家危险废物名录》（</w:t>
            </w:r>
            <w:r>
              <w:rPr>
                <w:rFonts w:hint="eastAsia" w:cs="Times New Roman"/>
                <w:color w:val="auto"/>
                <w:sz w:val="24"/>
                <w:u w:val="none" w:color="auto"/>
                <w:shd w:val="clear" w:color="auto" w:fill="auto"/>
                <w:lang w:val="en-US" w:eastAsia="zh-CN"/>
              </w:rPr>
              <w:t>2025版</w:t>
            </w:r>
            <w:r>
              <w:rPr>
                <w:rFonts w:hint="default" w:ascii="Times New Roman" w:hAnsi="Times New Roman" w:eastAsia="宋体" w:cs="Times New Roman"/>
                <w:color w:val="auto"/>
                <w:sz w:val="24"/>
                <w:u w:val="none" w:color="auto"/>
                <w:shd w:val="clear" w:color="auto" w:fill="auto"/>
              </w:rPr>
              <w:t>）</w:t>
            </w:r>
            <w:r>
              <w:rPr>
                <w:rFonts w:hint="eastAsia" w:cs="Times New Roman"/>
                <w:color w:val="auto"/>
                <w:sz w:val="24"/>
                <w:u w:val="none" w:color="auto"/>
                <w:shd w:val="clear" w:color="auto" w:fill="auto"/>
                <w:lang w:eastAsia="zh-CN"/>
              </w:rPr>
              <w:t>，</w:t>
            </w:r>
            <w:r>
              <w:rPr>
                <w:rFonts w:hint="default" w:ascii="Times New Roman" w:hAnsi="Times New Roman" w:eastAsia="宋体" w:cs="Times New Roman"/>
                <w:color w:val="auto"/>
                <w:sz w:val="24"/>
                <w:u w:val="none" w:color="auto"/>
                <w:shd w:val="clear" w:color="auto" w:fill="auto"/>
              </w:rPr>
              <w:t>本项目医疗机构污水处理过程中产生的污泥属于</w:t>
            </w:r>
            <w:r>
              <w:rPr>
                <w:rFonts w:hint="default" w:ascii="Times New Roman" w:hAnsi="Times New Roman" w:cs="Times New Roman"/>
                <w:color w:val="auto"/>
                <w:sz w:val="24"/>
                <w:szCs w:val="22"/>
                <w:u w:val="none" w:color="auto"/>
                <w:lang w:val="en-US" w:eastAsia="zh-CN"/>
              </w:rPr>
              <w:t>“HW01 医疗废物中 8</w:t>
            </w:r>
            <w:r>
              <w:rPr>
                <w:rFonts w:hint="eastAsia" w:cs="Times New Roman"/>
                <w:color w:val="auto"/>
                <w:sz w:val="24"/>
                <w:szCs w:val="22"/>
                <w:u w:val="none" w:color="auto"/>
                <w:lang w:val="en-US" w:eastAsia="zh-CN"/>
              </w:rPr>
              <w:t>4</w:t>
            </w:r>
            <w:r>
              <w:rPr>
                <w:rFonts w:hint="default" w:ascii="Times New Roman" w:hAnsi="Times New Roman" w:cs="Times New Roman"/>
                <w:color w:val="auto"/>
                <w:sz w:val="24"/>
                <w:szCs w:val="22"/>
                <w:u w:val="none" w:color="auto"/>
                <w:lang w:val="en-US" w:eastAsia="zh-CN"/>
              </w:rPr>
              <w:t>1-001-01 感染性废物”类危险废物</w:t>
            </w:r>
            <w:r>
              <w:rPr>
                <w:rFonts w:hint="default" w:ascii="Times New Roman" w:hAnsi="Times New Roman" w:eastAsia="宋体" w:cs="Times New Roman"/>
                <w:color w:val="auto"/>
                <w:sz w:val="24"/>
                <w:u w:val="none" w:color="auto"/>
              </w:rPr>
              <w:t>。</w:t>
            </w:r>
            <w:r>
              <w:rPr>
                <w:rFonts w:hint="eastAsia" w:ascii="Times New Roman" w:hAnsi="Times New Roman" w:eastAsia="宋体" w:cs="Times New Roman"/>
                <w:color w:val="auto"/>
                <w:sz w:val="24"/>
                <w:szCs w:val="24"/>
                <w:lang w:val="en-US" w:eastAsia="zh-CN"/>
              </w:rPr>
              <w:t>根据《医疗机构污水处理工程技术标准》（GB51459-2024）表10.1.1可知，沉淀池污泥产生系数为54g/（床</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color w:val="auto"/>
                <w:sz w:val="24"/>
                <w:szCs w:val="24"/>
                <w:lang w:val="en-US" w:eastAsia="zh-CN"/>
              </w:rPr>
              <w:t>d），污泥含水率为92~95%，本项目设置</w:t>
            </w:r>
            <w:r>
              <w:rPr>
                <w:rFonts w:hint="eastAsia" w:cs="Times New Roman"/>
                <w:color w:val="auto"/>
                <w:sz w:val="24"/>
                <w:szCs w:val="24"/>
                <w:lang w:val="en-US" w:eastAsia="zh-CN"/>
              </w:rPr>
              <w:t>30</w:t>
            </w:r>
            <w:r>
              <w:rPr>
                <w:rFonts w:hint="eastAsia" w:ascii="Times New Roman" w:hAnsi="Times New Roman" w:eastAsia="宋体" w:cs="Times New Roman"/>
                <w:color w:val="auto"/>
                <w:sz w:val="24"/>
                <w:szCs w:val="24"/>
                <w:lang w:val="en-US" w:eastAsia="zh-CN"/>
              </w:rPr>
              <w:t>0张床位，故项目污泥产生量为</w:t>
            </w:r>
            <w:r>
              <w:rPr>
                <w:rFonts w:hint="eastAsia" w:cs="Times New Roman"/>
                <w:color w:val="auto"/>
                <w:sz w:val="24"/>
                <w:szCs w:val="24"/>
                <w:lang w:val="en-US" w:eastAsia="zh-CN"/>
              </w:rPr>
              <w:t>5.913</w:t>
            </w:r>
            <w:r>
              <w:rPr>
                <w:rFonts w:hint="default" w:ascii="Times New Roman" w:hAnsi="Times New Roman" w:cs="Times New Roman"/>
                <w:color w:val="auto"/>
                <w:sz w:val="24"/>
                <w:szCs w:val="24"/>
                <w:highlight w:val="none"/>
                <w:u w:val="none"/>
              </w:rPr>
              <w:t>t/a</w:t>
            </w:r>
            <w:r>
              <w:rPr>
                <w:rFonts w:hint="default" w:ascii="Times New Roman" w:hAnsi="Times New Roman" w:eastAsia="宋体" w:cs="Times New Roman"/>
                <w:color w:val="auto"/>
                <w:sz w:val="24"/>
                <w:u w:val="none" w:color="auto"/>
              </w:rPr>
              <w:t>，定期清掏，</w:t>
            </w:r>
            <w:r>
              <w:rPr>
                <w:rFonts w:hint="eastAsia" w:cs="Times New Roman"/>
                <w:color w:val="auto"/>
                <w:sz w:val="24"/>
                <w:u w:val="none" w:color="auto"/>
                <w:lang w:eastAsia="zh-CN"/>
              </w:rPr>
              <w:t>经消毒后交由</w:t>
            </w:r>
            <w:r>
              <w:rPr>
                <w:rFonts w:hint="default" w:ascii="Times New Roman" w:hAnsi="Times New Roman" w:eastAsia="宋体" w:cs="Times New Roman"/>
                <w:color w:val="auto"/>
                <w:sz w:val="24"/>
                <w:u w:val="none" w:color="auto"/>
              </w:rPr>
              <w:t>危废处理资质的单位处置。</w:t>
            </w:r>
          </w:p>
          <w:p w14:paraId="55D4F257">
            <w:pPr>
              <w:spacing w:line="360" w:lineRule="auto"/>
              <w:ind w:firstLine="480" w:firstLineChars="200"/>
              <w:jc w:val="both"/>
              <w:rPr>
                <w:rFonts w:hint="eastAsia" w:ascii="Times New Roman" w:hAnsi="Times New Roman" w:cs="Times New Roman"/>
                <w:color w:val="auto"/>
                <w:sz w:val="24"/>
                <w:highlight w:val="none"/>
                <w:u w:val="none" w:color="auto"/>
                <w:lang w:eastAsia="zh-CN"/>
              </w:rPr>
            </w:pPr>
            <w:r>
              <w:rPr>
                <w:rFonts w:hint="eastAsia" w:ascii="Times New Roman" w:hAnsi="Times New Roman" w:cs="Times New Roman"/>
                <w:color w:val="auto"/>
                <w:sz w:val="24"/>
                <w:highlight w:val="none"/>
                <w:u w:val="none" w:color="auto"/>
                <w:lang w:eastAsia="zh-CN"/>
              </w:rPr>
              <w:t>（</w:t>
            </w:r>
            <w:r>
              <w:rPr>
                <w:rFonts w:hint="eastAsia" w:cs="Times New Roman"/>
                <w:color w:val="auto"/>
                <w:sz w:val="24"/>
                <w:highlight w:val="none"/>
                <w:u w:val="none" w:color="auto"/>
                <w:lang w:val="en-US" w:eastAsia="zh-CN"/>
              </w:rPr>
              <w:t>3</w:t>
            </w:r>
            <w:r>
              <w:rPr>
                <w:rFonts w:hint="eastAsia" w:ascii="Times New Roman" w:hAnsi="Times New Roman" w:cs="Times New Roman"/>
                <w:color w:val="auto"/>
                <w:sz w:val="24"/>
                <w:highlight w:val="none"/>
                <w:u w:val="none" w:color="auto"/>
                <w:lang w:eastAsia="zh-CN"/>
              </w:rPr>
              <w:t>）</w:t>
            </w:r>
            <w:r>
              <w:rPr>
                <w:rFonts w:hint="default" w:ascii="Times New Roman" w:hAnsi="Times New Roman" w:eastAsia="宋体" w:cs="Times New Roman"/>
                <w:color w:val="auto"/>
                <w:sz w:val="24"/>
                <w:highlight w:val="none"/>
                <w:u w:val="none" w:color="auto"/>
              </w:rPr>
              <w:t>医用玻璃瓶</w:t>
            </w:r>
            <w:r>
              <w:rPr>
                <w:rFonts w:hint="eastAsia" w:ascii="Times New Roman" w:hAnsi="Times New Roman" w:cs="Times New Roman"/>
                <w:color w:val="auto"/>
                <w:sz w:val="24"/>
                <w:highlight w:val="none"/>
                <w:u w:val="none" w:color="auto"/>
                <w:lang w:eastAsia="zh-CN"/>
              </w:rPr>
              <w:t>和</w:t>
            </w:r>
            <w:r>
              <w:rPr>
                <w:rFonts w:hint="default" w:ascii="Times New Roman" w:hAnsi="Times New Roman" w:eastAsia="宋体" w:cs="Times New Roman"/>
                <w:color w:val="auto"/>
                <w:sz w:val="24"/>
                <w:highlight w:val="none"/>
                <w:u w:val="none" w:color="auto"/>
              </w:rPr>
              <w:t>一次性塑料输液瓶（袋）</w:t>
            </w:r>
          </w:p>
          <w:p w14:paraId="35CC65CB">
            <w:pPr>
              <w:spacing w:line="360" w:lineRule="auto"/>
              <w:ind w:firstLine="480" w:firstLineChars="200"/>
              <w:jc w:val="both"/>
              <w:rPr>
                <w:rFonts w:hint="default" w:ascii="Times New Roman" w:hAnsi="Times New Roman" w:cs="Times New Roman"/>
                <w:color w:val="auto"/>
                <w:sz w:val="24"/>
                <w:u w:val="none" w:color="auto"/>
                <w:lang w:val="en-US" w:eastAsia="zh-CN"/>
              </w:rPr>
            </w:pPr>
            <w:r>
              <w:rPr>
                <w:rFonts w:hint="default" w:ascii="Times New Roman" w:hAnsi="Times New Roman" w:eastAsia="宋体" w:cs="Times New Roman"/>
                <w:color w:val="auto"/>
                <w:sz w:val="24"/>
                <w:highlight w:val="none"/>
                <w:u w:val="none" w:color="auto"/>
              </w:rPr>
              <w:t>医用玻璃瓶</w:t>
            </w:r>
            <w:r>
              <w:rPr>
                <w:rFonts w:hint="eastAsia" w:ascii="Times New Roman" w:hAnsi="Times New Roman" w:cs="Times New Roman"/>
                <w:color w:val="auto"/>
                <w:sz w:val="24"/>
                <w:highlight w:val="none"/>
                <w:u w:val="none" w:color="auto"/>
                <w:lang w:eastAsia="zh-CN"/>
              </w:rPr>
              <w:t>和</w:t>
            </w:r>
            <w:r>
              <w:rPr>
                <w:rFonts w:hint="default" w:ascii="Times New Roman" w:hAnsi="Times New Roman" w:eastAsia="宋体" w:cs="Times New Roman"/>
                <w:color w:val="auto"/>
                <w:sz w:val="24"/>
                <w:highlight w:val="none"/>
                <w:u w:val="none" w:color="auto"/>
              </w:rPr>
              <w:t>一次性塑料输液瓶（袋）</w:t>
            </w:r>
            <w:r>
              <w:rPr>
                <w:rFonts w:hint="eastAsia" w:ascii="Times New Roman" w:hAnsi="Times New Roman" w:cs="Times New Roman"/>
                <w:color w:val="auto"/>
                <w:sz w:val="24"/>
                <w:highlight w:val="none"/>
                <w:u w:val="none" w:color="auto"/>
                <w:lang w:eastAsia="zh-CN"/>
              </w:rPr>
              <w:t>主要来自患者手术、输液等</w:t>
            </w:r>
            <w:r>
              <w:rPr>
                <w:rFonts w:hint="eastAsia" w:cs="Times New Roman"/>
                <w:color w:val="auto"/>
                <w:sz w:val="24"/>
                <w:highlight w:val="none"/>
                <w:u w:val="none" w:color="auto"/>
                <w:lang w:eastAsia="zh-CN"/>
              </w:rPr>
              <w:t>治疗活动</w:t>
            </w:r>
            <w:r>
              <w:rPr>
                <w:rFonts w:hint="eastAsia" w:ascii="Times New Roman" w:hAnsi="Times New Roman" w:cs="Times New Roman"/>
                <w:color w:val="auto"/>
                <w:sz w:val="24"/>
                <w:highlight w:val="none"/>
                <w:u w:val="none" w:color="auto"/>
                <w:lang w:eastAsia="zh-CN"/>
              </w:rPr>
              <w:t>，</w:t>
            </w:r>
            <w:r>
              <w:rPr>
                <w:rFonts w:hint="eastAsia" w:ascii="Times New Roman" w:hAnsi="Times New Roman" w:cs="Times New Roman"/>
                <w:color w:val="auto"/>
                <w:sz w:val="24"/>
                <w:u w:val="none" w:color="auto"/>
                <w:lang w:eastAsia="zh-CN"/>
              </w:rPr>
              <w:t>年产生量为</w:t>
            </w:r>
            <w:r>
              <w:rPr>
                <w:rFonts w:hint="eastAsia" w:cs="Times New Roman"/>
                <w:color w:val="auto"/>
                <w:sz w:val="24"/>
                <w:u w:val="none" w:color="auto"/>
                <w:lang w:val="en-US" w:eastAsia="zh-CN"/>
              </w:rPr>
              <w:t>127.2</w:t>
            </w:r>
            <w:r>
              <w:rPr>
                <w:rFonts w:hint="eastAsia" w:ascii="Times New Roman" w:hAnsi="Times New Roman" w:cs="Times New Roman"/>
                <w:color w:val="auto"/>
                <w:sz w:val="24"/>
                <w:u w:val="none" w:color="auto"/>
                <w:lang w:val="en-US" w:eastAsia="zh-CN"/>
              </w:rPr>
              <w:t>t/a，</w:t>
            </w:r>
            <w:r>
              <w:rPr>
                <w:rFonts w:hint="default" w:ascii="Times New Roman" w:hAnsi="Times New Roman" w:eastAsia="宋体" w:cs="Times New Roman"/>
                <w:color w:val="auto"/>
                <w:kern w:val="2"/>
                <w:sz w:val="24"/>
                <w:szCs w:val="24"/>
                <w:highlight w:val="none"/>
                <w:u w:val="none" w:color="auto"/>
                <w:lang w:val="en-US" w:eastAsia="zh-CN" w:bidi="ar-SA"/>
              </w:rPr>
              <w:t>根据《</w:t>
            </w:r>
            <w:r>
              <w:rPr>
                <w:rFonts w:hint="eastAsia" w:ascii="Times New Roman" w:hAnsi="Times New Roman" w:eastAsia="宋体" w:cs="Times New Roman"/>
                <w:color w:val="auto"/>
                <w:kern w:val="2"/>
                <w:sz w:val="24"/>
                <w:szCs w:val="24"/>
                <w:highlight w:val="none"/>
                <w:u w:val="none" w:color="auto"/>
                <w:lang w:val="en-US" w:eastAsia="zh-CN" w:bidi="ar-SA"/>
              </w:rPr>
              <w:t>固体废物分类与代码目录</w:t>
            </w:r>
            <w:r>
              <w:rPr>
                <w:rFonts w:hint="default" w:ascii="Times New Roman" w:hAnsi="Times New Roman" w:eastAsia="宋体" w:cs="Times New Roman"/>
                <w:color w:val="auto"/>
                <w:kern w:val="2"/>
                <w:sz w:val="24"/>
                <w:szCs w:val="24"/>
                <w:highlight w:val="none"/>
                <w:u w:val="none" w:color="auto"/>
                <w:lang w:val="en-US" w:eastAsia="zh-CN" w:bidi="ar-SA"/>
              </w:rPr>
              <w:t>》，</w:t>
            </w:r>
            <w:r>
              <w:rPr>
                <w:rFonts w:hint="eastAsia" w:cs="Times New Roman"/>
                <w:color w:val="auto"/>
                <w:sz w:val="24"/>
                <w:u w:val="none" w:color="auto"/>
                <w:lang w:val="en-US" w:eastAsia="zh-CN"/>
              </w:rPr>
              <w:t>代码分别为900-03-S17、900-04-S17，</w:t>
            </w:r>
            <w:r>
              <w:rPr>
                <w:rFonts w:hint="eastAsia" w:ascii="Times New Roman" w:hAnsi="Times New Roman" w:cs="Times New Roman"/>
                <w:color w:val="auto"/>
                <w:sz w:val="24"/>
                <w:u w:val="none" w:color="auto"/>
                <w:lang w:val="en-US" w:eastAsia="zh-CN"/>
              </w:rPr>
              <w:t>分类存放，定期交</w:t>
            </w:r>
            <w:r>
              <w:rPr>
                <w:rFonts w:hint="default" w:ascii="Times New Roman" w:hAnsi="Times New Roman" w:eastAsia="宋体" w:cs="Times New Roman"/>
                <w:color w:val="auto"/>
                <w:kern w:val="0"/>
                <w:sz w:val="24"/>
                <w:szCs w:val="24"/>
                <w:u w:val="none"/>
                <w:lang w:val="en-US" w:eastAsia="zh-CN" w:bidi="ar"/>
              </w:rPr>
              <w:t>回收公司统一回收资源化综合利用</w:t>
            </w:r>
            <w:r>
              <w:rPr>
                <w:rFonts w:hint="eastAsia" w:ascii="Times New Roman" w:hAnsi="Times New Roman" w:cs="Times New Roman"/>
                <w:color w:val="auto"/>
                <w:sz w:val="24"/>
                <w:u w:val="none" w:color="auto"/>
                <w:lang w:val="en-US" w:eastAsia="zh-CN"/>
              </w:rPr>
              <w:t>。</w:t>
            </w:r>
          </w:p>
          <w:p w14:paraId="78023181">
            <w:pPr>
              <w:spacing w:line="360" w:lineRule="auto"/>
              <w:ind w:firstLine="480" w:firstLineChars="200"/>
              <w:jc w:val="both"/>
              <w:rPr>
                <w:rFonts w:hint="eastAsia" w:ascii="Times New Roman" w:hAnsi="Times New Roman" w:eastAsia="宋体" w:cs="Times New Roman"/>
                <w:color w:val="auto"/>
                <w:sz w:val="24"/>
                <w:u w:val="none" w:color="auto"/>
                <w:lang w:eastAsia="zh-CN"/>
              </w:rPr>
            </w:pPr>
            <w:r>
              <w:rPr>
                <w:rFonts w:hint="eastAsia" w:ascii="Times New Roman" w:hAnsi="Times New Roman" w:cs="Times New Roman"/>
                <w:color w:val="auto"/>
                <w:sz w:val="24"/>
                <w:u w:val="none" w:color="auto"/>
                <w:lang w:eastAsia="zh-CN"/>
              </w:rPr>
              <w:t>（</w:t>
            </w:r>
            <w:r>
              <w:rPr>
                <w:rFonts w:hint="eastAsia" w:cs="Times New Roman"/>
                <w:color w:val="auto"/>
                <w:sz w:val="24"/>
                <w:u w:val="none" w:color="auto"/>
                <w:lang w:val="en-US" w:eastAsia="zh-CN"/>
              </w:rPr>
              <w:t>4</w:t>
            </w:r>
            <w:r>
              <w:rPr>
                <w:rFonts w:hint="eastAsia" w:ascii="Times New Roman" w:hAnsi="Times New Roman" w:cs="Times New Roman"/>
                <w:color w:val="auto"/>
                <w:sz w:val="24"/>
                <w:u w:val="none" w:color="auto"/>
                <w:lang w:eastAsia="zh-CN"/>
              </w:rPr>
              <w:t>）</w:t>
            </w:r>
            <w:r>
              <w:rPr>
                <w:rFonts w:hint="eastAsia" w:cs="Times New Roman"/>
                <w:color w:val="auto"/>
                <w:sz w:val="24"/>
                <w:u w:val="none" w:color="auto"/>
                <w:lang w:eastAsia="zh-CN"/>
              </w:rPr>
              <w:t>生活垃圾</w:t>
            </w:r>
          </w:p>
          <w:p w14:paraId="0C5F0DDF">
            <w:pPr>
              <w:spacing w:line="360" w:lineRule="auto"/>
              <w:ind w:firstLine="480" w:firstLineChars="200"/>
              <w:jc w:val="left"/>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按0.5kg/人·d计算，医护人员及管理、后勤人员195人，病患按照满床位</w:t>
            </w:r>
            <w:r>
              <w:rPr>
                <w:rFonts w:hint="eastAsia" w:ascii="Times New Roman" w:hAnsi="Times New Roman" w:eastAsia="宋体" w:cs="Times New Roman"/>
                <w:color w:val="auto"/>
                <w:sz w:val="24"/>
                <w:u w:val="none" w:color="auto"/>
                <w:lang w:eastAsia="zh-CN"/>
              </w:rPr>
              <w:t>300</w:t>
            </w:r>
            <w:r>
              <w:rPr>
                <w:rFonts w:hint="default" w:ascii="Times New Roman" w:hAnsi="Times New Roman" w:eastAsia="宋体" w:cs="Times New Roman"/>
                <w:color w:val="auto"/>
                <w:sz w:val="24"/>
                <w:u w:val="none" w:color="auto"/>
              </w:rPr>
              <w:t>计算，年工作365天，产生量约</w:t>
            </w:r>
            <w:r>
              <w:rPr>
                <w:rFonts w:hint="eastAsia" w:ascii="Times New Roman" w:hAnsi="Times New Roman" w:eastAsia="宋体" w:cs="Times New Roman"/>
                <w:color w:val="auto"/>
                <w:sz w:val="24"/>
                <w:u w:val="none" w:color="auto"/>
                <w:lang w:val="en-US" w:eastAsia="zh-CN"/>
              </w:rPr>
              <w:t>90.34</w:t>
            </w:r>
            <w:r>
              <w:rPr>
                <w:rFonts w:hint="default" w:ascii="Times New Roman" w:hAnsi="Times New Roman" w:eastAsia="宋体" w:cs="Times New Roman"/>
                <w:color w:val="auto"/>
                <w:sz w:val="24"/>
                <w:u w:val="none" w:color="auto"/>
              </w:rPr>
              <w:t>t/a。生活垃圾由医院及时收集清理、采用垃圾袋封闭式储存，统一由环卫部门每日清运。</w:t>
            </w:r>
          </w:p>
          <w:p w14:paraId="08B3B3C7">
            <w:pPr>
              <w:spacing w:line="360" w:lineRule="auto"/>
              <w:ind w:firstLine="480" w:firstLineChars="200"/>
              <w:jc w:val="left"/>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w:t>
            </w:r>
            <w:r>
              <w:rPr>
                <w:rFonts w:hint="eastAsia" w:cs="Times New Roman"/>
                <w:color w:val="auto"/>
                <w:sz w:val="24"/>
                <w:u w:val="none" w:color="auto"/>
                <w:lang w:val="en-US" w:eastAsia="zh-CN"/>
              </w:rPr>
              <w:t>5</w:t>
            </w:r>
            <w:r>
              <w:rPr>
                <w:rFonts w:hint="default" w:ascii="Times New Roman" w:hAnsi="Times New Roman" w:eastAsia="宋体" w:cs="Times New Roman"/>
                <w:color w:val="auto"/>
                <w:sz w:val="24"/>
                <w:u w:val="none" w:color="auto"/>
              </w:rPr>
              <w:t>）</w:t>
            </w:r>
            <w:r>
              <w:rPr>
                <w:rFonts w:hint="eastAsia" w:cs="Times New Roman"/>
                <w:color w:val="auto"/>
                <w:sz w:val="24"/>
                <w:u w:val="none" w:color="auto"/>
                <w:lang w:eastAsia="zh-CN"/>
              </w:rPr>
              <w:t>废煎药渣</w:t>
            </w:r>
          </w:p>
          <w:p w14:paraId="6F8C5546">
            <w:pPr>
              <w:ind w:firstLine="480" w:firstLineChars="200"/>
              <w:jc w:val="both"/>
              <w:rPr>
                <w:rFonts w:ascii="Times New Roman" w:hAnsi="Times New Roman" w:eastAsia="宋体" w:cs="Times New Roman"/>
                <w:color w:val="auto"/>
                <w:spacing w:val="0"/>
                <w:sz w:val="24"/>
                <w:szCs w:val="24"/>
                <w:u w:val="none" w:color="auto"/>
              </w:rPr>
            </w:pPr>
            <w:r>
              <w:rPr>
                <w:rFonts w:ascii="Times New Roman" w:hAnsi="Times New Roman" w:eastAsia="宋体" w:cs="Times New Roman"/>
                <w:color w:val="auto"/>
                <w:spacing w:val="0"/>
                <w:sz w:val="24"/>
                <w:szCs w:val="24"/>
                <w:u w:val="none" w:color="auto"/>
              </w:rPr>
              <w:t>项目设有煎药房，煎药过程中会产生药渣，药渣</w:t>
            </w:r>
            <w:r>
              <w:rPr>
                <w:rFonts w:ascii="Times New Roman" w:hAnsi="Times New Roman" w:eastAsia="宋体" w:cs="Times New Roman"/>
                <w:color w:val="auto"/>
                <w:sz w:val="24"/>
                <w:szCs w:val="24"/>
                <w:u w:val="none" w:color="auto"/>
              </w:rPr>
              <w:t>主要</w:t>
            </w:r>
            <w:r>
              <w:rPr>
                <w:rFonts w:hint="eastAsia" w:cs="Times New Roman"/>
                <w:color w:val="auto"/>
                <w:sz w:val="24"/>
                <w:szCs w:val="24"/>
                <w:u w:val="none" w:color="auto"/>
                <w:lang w:eastAsia="zh-CN"/>
              </w:rPr>
              <w:t>来自</w:t>
            </w:r>
            <w:r>
              <w:rPr>
                <w:rFonts w:ascii="Times New Roman" w:hAnsi="Times New Roman" w:eastAsia="宋体" w:cs="Times New Roman"/>
                <w:color w:val="auto"/>
                <w:sz w:val="24"/>
                <w:szCs w:val="24"/>
                <w:u w:val="none" w:color="auto"/>
              </w:rPr>
              <w:t>原辅材料，中药材大多是植物的根、茎、叶、花、实、皮，还有部分矿物质，含有丰富的有机物和无机物质，不含有毒有害组分，属于一般</w:t>
            </w:r>
            <w:r>
              <w:rPr>
                <w:rFonts w:ascii="Times New Roman" w:hAnsi="Times New Roman" w:eastAsia="宋体" w:cs="Times New Roman"/>
                <w:color w:val="auto"/>
                <w:spacing w:val="0"/>
                <w:sz w:val="24"/>
                <w:szCs w:val="24"/>
                <w:u w:val="none" w:color="auto"/>
              </w:rPr>
              <w:t>固废，因此可作为农业堆肥出售给相关厂家，本项目废煎药渣年产生量约</w:t>
            </w:r>
            <w:r>
              <w:rPr>
                <w:rFonts w:hint="eastAsia" w:ascii="Times New Roman" w:hAnsi="Times New Roman" w:eastAsia="宋体" w:cs="Times New Roman"/>
                <w:color w:val="auto"/>
                <w:spacing w:val="0"/>
                <w:sz w:val="24"/>
                <w:szCs w:val="24"/>
                <w:u w:val="none" w:color="auto"/>
                <w:lang w:val="en-US" w:eastAsia="zh-CN"/>
              </w:rPr>
              <w:t>2</w:t>
            </w:r>
            <w:r>
              <w:rPr>
                <w:rFonts w:ascii="Times New Roman" w:hAnsi="Times New Roman" w:eastAsia="宋体" w:cs="Times New Roman"/>
                <w:color w:val="auto"/>
                <w:spacing w:val="0"/>
                <w:sz w:val="24"/>
                <w:szCs w:val="24"/>
                <w:u w:val="none" w:color="auto"/>
              </w:rPr>
              <w:t>t</w:t>
            </w:r>
            <w:r>
              <w:rPr>
                <w:rFonts w:hint="eastAsia" w:cs="Times New Roman"/>
                <w:color w:val="auto"/>
                <w:spacing w:val="0"/>
                <w:sz w:val="24"/>
                <w:szCs w:val="24"/>
                <w:u w:val="none" w:color="auto"/>
                <w:lang w:eastAsia="zh-CN"/>
              </w:rPr>
              <w:t>，</w:t>
            </w:r>
            <w:r>
              <w:rPr>
                <w:rFonts w:hint="default" w:ascii="Times New Roman" w:hAnsi="Times New Roman" w:eastAsia="宋体" w:cs="Times New Roman"/>
                <w:color w:val="auto"/>
                <w:kern w:val="2"/>
                <w:sz w:val="24"/>
                <w:szCs w:val="24"/>
                <w:highlight w:val="none"/>
                <w:u w:val="none" w:color="auto"/>
                <w:lang w:val="en-US" w:eastAsia="zh-CN" w:bidi="ar-SA"/>
              </w:rPr>
              <w:t>根据《</w:t>
            </w:r>
            <w:r>
              <w:rPr>
                <w:rFonts w:hint="eastAsia" w:ascii="Times New Roman" w:hAnsi="Times New Roman" w:eastAsia="宋体" w:cs="Times New Roman"/>
                <w:color w:val="auto"/>
                <w:kern w:val="2"/>
                <w:sz w:val="24"/>
                <w:szCs w:val="24"/>
                <w:highlight w:val="none"/>
                <w:u w:val="none" w:color="auto"/>
                <w:lang w:val="en-US" w:eastAsia="zh-CN" w:bidi="ar-SA"/>
              </w:rPr>
              <w:t>固体废物分类与代码目录</w:t>
            </w:r>
            <w:r>
              <w:rPr>
                <w:rFonts w:hint="default" w:ascii="Times New Roman" w:hAnsi="Times New Roman" w:eastAsia="宋体" w:cs="Times New Roman"/>
                <w:color w:val="auto"/>
                <w:kern w:val="2"/>
                <w:sz w:val="24"/>
                <w:szCs w:val="24"/>
                <w:highlight w:val="none"/>
                <w:u w:val="none" w:color="auto"/>
                <w:lang w:val="en-US" w:eastAsia="zh-CN" w:bidi="ar-SA"/>
              </w:rPr>
              <w:t>》，代码为</w:t>
            </w:r>
            <w:r>
              <w:rPr>
                <w:rFonts w:hint="eastAsia" w:ascii="Times New Roman" w:hAnsi="Times New Roman" w:eastAsia="宋体" w:cs="Times New Roman"/>
                <w:color w:val="auto"/>
                <w:kern w:val="2"/>
                <w:sz w:val="24"/>
                <w:szCs w:val="24"/>
                <w:highlight w:val="none"/>
                <w:u w:val="none" w:color="auto"/>
                <w:lang w:val="en-US" w:eastAsia="zh-CN" w:bidi="ar-SA"/>
              </w:rPr>
              <w:t>900-099-S59</w:t>
            </w:r>
            <w:r>
              <w:rPr>
                <w:rFonts w:hint="default" w:ascii="Times New Roman" w:hAnsi="Times New Roman" w:eastAsia="宋体" w:cs="Times New Roman"/>
                <w:color w:val="auto"/>
                <w:kern w:val="2"/>
                <w:sz w:val="24"/>
                <w:szCs w:val="24"/>
                <w:highlight w:val="none"/>
                <w:u w:val="none" w:color="auto"/>
                <w:lang w:val="en-US" w:eastAsia="zh-CN" w:bidi="ar-SA"/>
              </w:rPr>
              <w:t>，外售综合利用</w:t>
            </w:r>
            <w:r>
              <w:rPr>
                <w:rFonts w:ascii="Times New Roman" w:hAnsi="Times New Roman" w:eastAsia="宋体" w:cs="Times New Roman"/>
                <w:color w:val="auto"/>
                <w:spacing w:val="0"/>
                <w:sz w:val="24"/>
                <w:szCs w:val="24"/>
                <w:u w:val="none" w:color="auto"/>
              </w:rPr>
              <w:t>。</w:t>
            </w:r>
          </w:p>
          <w:p w14:paraId="4A622422">
            <w:pPr>
              <w:ind w:firstLine="420"/>
              <w:jc w:val="center"/>
              <w:rPr>
                <w:rFonts w:hint="default" w:ascii="Times New Roman" w:hAnsi="Times New Roman" w:cs="Times New Roman"/>
                <w:b/>
                <w:color w:val="auto"/>
                <w:sz w:val="21"/>
                <w:szCs w:val="21"/>
                <w:u w:val="none"/>
              </w:rPr>
            </w:pPr>
            <w:r>
              <w:rPr>
                <w:rFonts w:hint="default" w:ascii="Times New Roman" w:hAnsi="Times New Roman" w:cs="Times New Roman"/>
                <w:b/>
                <w:color w:val="auto"/>
                <w:sz w:val="21"/>
                <w:szCs w:val="21"/>
                <w:u w:val="none"/>
              </w:rPr>
              <w:t>表4-</w:t>
            </w:r>
            <w:r>
              <w:rPr>
                <w:rFonts w:hint="default" w:ascii="Times New Roman" w:hAnsi="Times New Roman" w:cs="Times New Roman"/>
                <w:b/>
                <w:color w:val="auto"/>
                <w:sz w:val="21"/>
                <w:szCs w:val="21"/>
                <w:u w:val="none"/>
                <w:lang w:val="en-US" w:eastAsia="zh-CN"/>
              </w:rPr>
              <w:t>1</w:t>
            </w:r>
            <w:r>
              <w:rPr>
                <w:rFonts w:hint="eastAsia" w:cs="Times New Roman"/>
                <w:b/>
                <w:color w:val="auto"/>
                <w:sz w:val="21"/>
                <w:szCs w:val="21"/>
                <w:u w:val="none"/>
                <w:lang w:val="en-US" w:eastAsia="zh-CN"/>
              </w:rPr>
              <w:t>6</w:t>
            </w:r>
            <w:r>
              <w:rPr>
                <w:rFonts w:hint="default" w:ascii="Times New Roman" w:hAnsi="Times New Roman" w:cs="Times New Roman"/>
                <w:b/>
                <w:color w:val="auto"/>
                <w:sz w:val="21"/>
                <w:szCs w:val="21"/>
                <w:u w:val="none"/>
              </w:rPr>
              <w:t xml:space="preserve">   危险废物汇总表</w:t>
            </w:r>
          </w:p>
          <w:tbl>
            <w:tblPr>
              <w:tblStyle w:val="34"/>
              <w:tblW w:w="5000" w:type="pct"/>
              <w:tblInd w:w="-1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52"/>
              <w:gridCol w:w="667"/>
              <w:gridCol w:w="825"/>
              <w:gridCol w:w="1225"/>
              <w:gridCol w:w="913"/>
              <w:gridCol w:w="762"/>
              <w:gridCol w:w="600"/>
              <w:gridCol w:w="825"/>
              <w:gridCol w:w="913"/>
              <w:gridCol w:w="687"/>
              <w:gridCol w:w="575"/>
              <w:gridCol w:w="688"/>
            </w:tblGrid>
            <w:tr w14:paraId="52A05C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3" w:hRule="atLeast"/>
              </w:trPr>
              <w:tc>
                <w:tcPr>
                  <w:tcW w:w="247" w:type="pct"/>
                  <w:noWrap w:val="0"/>
                  <w:vAlign w:val="center"/>
                </w:tcPr>
                <w:p w14:paraId="2C472D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序号</w:t>
                  </w:r>
                </w:p>
              </w:tc>
              <w:tc>
                <w:tcPr>
                  <w:tcW w:w="365" w:type="pct"/>
                  <w:noWrap w:val="0"/>
                  <w:vAlign w:val="center"/>
                </w:tcPr>
                <w:p w14:paraId="48CCB1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危险废物名称</w:t>
                  </w:r>
                </w:p>
              </w:tc>
              <w:tc>
                <w:tcPr>
                  <w:tcW w:w="451" w:type="pct"/>
                  <w:noWrap w:val="0"/>
                  <w:vAlign w:val="center"/>
                </w:tcPr>
                <w:p w14:paraId="3DA79A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危险废物类别</w:t>
                  </w:r>
                </w:p>
              </w:tc>
              <w:tc>
                <w:tcPr>
                  <w:tcW w:w="670" w:type="pct"/>
                  <w:noWrap w:val="0"/>
                  <w:vAlign w:val="center"/>
                </w:tcPr>
                <w:p w14:paraId="6D4F10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危险废物代码</w:t>
                  </w:r>
                </w:p>
              </w:tc>
              <w:tc>
                <w:tcPr>
                  <w:tcW w:w="499" w:type="pct"/>
                  <w:noWrap w:val="0"/>
                  <w:vAlign w:val="center"/>
                </w:tcPr>
                <w:p w14:paraId="0D5E1F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产生量（</w:t>
                  </w:r>
                  <w:r>
                    <w:rPr>
                      <w:rFonts w:hint="default" w:ascii="Times New Roman" w:hAnsi="Times New Roman" w:cs="Times New Roman"/>
                      <w:snapToGrid w:val="0"/>
                      <w:color w:val="auto"/>
                      <w:sz w:val="21"/>
                      <w:szCs w:val="21"/>
                      <w:u w:val="none"/>
                    </w:rPr>
                    <w:t>t/a</w:t>
                  </w:r>
                  <w:r>
                    <w:rPr>
                      <w:rFonts w:hint="default" w:ascii="Times New Roman" w:hAnsi="Times New Roman" w:cs="Times New Roman"/>
                      <w:color w:val="auto"/>
                      <w:sz w:val="21"/>
                      <w:szCs w:val="21"/>
                      <w:u w:val="none"/>
                    </w:rPr>
                    <w:t>）</w:t>
                  </w:r>
                </w:p>
              </w:tc>
              <w:tc>
                <w:tcPr>
                  <w:tcW w:w="417" w:type="pct"/>
                  <w:noWrap w:val="0"/>
                  <w:vAlign w:val="center"/>
                </w:tcPr>
                <w:p w14:paraId="7C1E9A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产生工序及装置</w:t>
                  </w:r>
                </w:p>
              </w:tc>
              <w:tc>
                <w:tcPr>
                  <w:tcW w:w="328" w:type="pct"/>
                  <w:noWrap w:val="0"/>
                  <w:vAlign w:val="center"/>
                </w:tcPr>
                <w:p w14:paraId="246D96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形态</w:t>
                  </w:r>
                </w:p>
              </w:tc>
              <w:tc>
                <w:tcPr>
                  <w:tcW w:w="451" w:type="pct"/>
                  <w:noWrap w:val="0"/>
                  <w:vAlign w:val="center"/>
                </w:tcPr>
                <w:p w14:paraId="4C70C8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主要成分</w:t>
                  </w:r>
                </w:p>
              </w:tc>
              <w:tc>
                <w:tcPr>
                  <w:tcW w:w="499" w:type="pct"/>
                  <w:noWrap w:val="0"/>
                  <w:vAlign w:val="center"/>
                </w:tcPr>
                <w:p w14:paraId="2A6BF5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有害成分</w:t>
                  </w:r>
                </w:p>
              </w:tc>
              <w:tc>
                <w:tcPr>
                  <w:tcW w:w="376" w:type="pct"/>
                  <w:noWrap w:val="0"/>
                  <w:vAlign w:val="center"/>
                </w:tcPr>
                <w:p w14:paraId="33FC61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产废周期</w:t>
                  </w:r>
                </w:p>
              </w:tc>
              <w:tc>
                <w:tcPr>
                  <w:tcW w:w="314" w:type="pct"/>
                  <w:noWrap w:val="0"/>
                  <w:vAlign w:val="center"/>
                </w:tcPr>
                <w:p w14:paraId="601356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危险特性</w:t>
                  </w:r>
                </w:p>
              </w:tc>
              <w:tc>
                <w:tcPr>
                  <w:tcW w:w="376" w:type="pct"/>
                  <w:noWrap w:val="0"/>
                  <w:vAlign w:val="center"/>
                </w:tcPr>
                <w:p w14:paraId="7C3268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污染防治措施</w:t>
                  </w:r>
                </w:p>
              </w:tc>
            </w:tr>
            <w:tr w14:paraId="1CA0CA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247" w:type="pct"/>
                  <w:vMerge w:val="restart"/>
                  <w:noWrap w:val="0"/>
                  <w:vAlign w:val="center"/>
                </w:tcPr>
                <w:p w14:paraId="78A770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w:t>
                  </w:r>
                </w:p>
              </w:tc>
              <w:tc>
                <w:tcPr>
                  <w:tcW w:w="365" w:type="pct"/>
                  <w:vMerge w:val="restart"/>
                  <w:noWrap w:val="0"/>
                  <w:vAlign w:val="center"/>
                </w:tcPr>
                <w:p w14:paraId="0182EF09">
                  <w:pPr>
                    <w:pStyle w:val="131"/>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b w:val="0"/>
                      <w:color w:val="auto"/>
                      <w:sz w:val="21"/>
                      <w:szCs w:val="21"/>
                      <w:u w:val="none"/>
                    </w:rPr>
                  </w:pPr>
                  <w:r>
                    <w:rPr>
                      <w:rFonts w:hint="default" w:ascii="Times New Roman" w:hAnsi="Times New Roman" w:cs="Times New Roman"/>
                      <w:b w:val="0"/>
                      <w:color w:val="auto"/>
                      <w:sz w:val="21"/>
                      <w:szCs w:val="21"/>
                      <w:u w:val="none"/>
                    </w:rPr>
                    <w:t>医疗废物</w:t>
                  </w:r>
                </w:p>
              </w:tc>
              <w:tc>
                <w:tcPr>
                  <w:tcW w:w="451" w:type="pct"/>
                  <w:vMerge w:val="restart"/>
                  <w:noWrap w:val="0"/>
                  <w:vAlign w:val="center"/>
                </w:tcPr>
                <w:p w14:paraId="10B08ADD">
                  <w:pPr>
                    <w:pStyle w:val="131"/>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b w:val="0"/>
                      <w:color w:val="auto"/>
                      <w:sz w:val="21"/>
                      <w:szCs w:val="21"/>
                      <w:u w:val="none"/>
                    </w:rPr>
                  </w:pPr>
                  <w:r>
                    <w:rPr>
                      <w:rFonts w:hint="default" w:ascii="Times New Roman" w:hAnsi="Times New Roman" w:cs="Times New Roman"/>
                      <w:b w:val="0"/>
                      <w:color w:val="auto"/>
                      <w:sz w:val="21"/>
                      <w:szCs w:val="21"/>
                      <w:u w:val="none"/>
                    </w:rPr>
                    <w:t>HW01</w:t>
                  </w:r>
                </w:p>
              </w:tc>
              <w:tc>
                <w:tcPr>
                  <w:tcW w:w="670" w:type="pct"/>
                  <w:noWrap w:val="0"/>
                  <w:vAlign w:val="center"/>
                </w:tcPr>
                <w:p w14:paraId="605AC3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841-001-01</w:t>
                  </w:r>
                </w:p>
              </w:tc>
              <w:tc>
                <w:tcPr>
                  <w:tcW w:w="499" w:type="pct"/>
                  <w:vMerge w:val="restart"/>
                  <w:noWrap w:val="0"/>
                  <w:vAlign w:val="center"/>
                </w:tcPr>
                <w:p w14:paraId="54561FA6">
                  <w:pPr>
                    <w:pStyle w:val="131"/>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color w:val="auto"/>
                      <w:sz w:val="21"/>
                      <w:szCs w:val="21"/>
                      <w:u w:val="none"/>
                      <w:lang w:val="en-US" w:eastAsia="zh-CN"/>
                    </w:rPr>
                  </w:pPr>
                  <w:r>
                    <w:rPr>
                      <w:rFonts w:hint="eastAsia" w:cs="Times New Roman"/>
                      <w:b w:val="0"/>
                      <w:color w:val="auto"/>
                      <w:sz w:val="21"/>
                      <w:szCs w:val="21"/>
                      <w:u w:val="none"/>
                      <w:lang w:val="en-US" w:eastAsia="zh-CN"/>
                    </w:rPr>
                    <w:t>31.8</w:t>
                  </w:r>
                </w:p>
              </w:tc>
              <w:tc>
                <w:tcPr>
                  <w:tcW w:w="417" w:type="pct"/>
                  <w:vMerge w:val="restart"/>
                  <w:noWrap w:val="0"/>
                  <w:vAlign w:val="center"/>
                </w:tcPr>
                <w:p w14:paraId="60F2D0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医疗</w:t>
                  </w:r>
                </w:p>
              </w:tc>
              <w:tc>
                <w:tcPr>
                  <w:tcW w:w="328" w:type="pct"/>
                  <w:vMerge w:val="restart"/>
                  <w:noWrap w:val="0"/>
                  <w:vAlign w:val="center"/>
                </w:tcPr>
                <w:p w14:paraId="4EFAB5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固态</w:t>
                  </w:r>
                </w:p>
              </w:tc>
              <w:tc>
                <w:tcPr>
                  <w:tcW w:w="451" w:type="pct"/>
                  <w:vMerge w:val="restart"/>
                  <w:noWrap w:val="0"/>
                  <w:vAlign w:val="center"/>
                </w:tcPr>
                <w:p w14:paraId="69BD32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金属、塑料等</w:t>
                  </w:r>
                </w:p>
              </w:tc>
              <w:tc>
                <w:tcPr>
                  <w:tcW w:w="499" w:type="pct"/>
                  <w:noWrap w:val="0"/>
                  <w:vAlign w:val="center"/>
                </w:tcPr>
                <w:p w14:paraId="79D12E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感染性</w:t>
                  </w:r>
                </w:p>
              </w:tc>
              <w:tc>
                <w:tcPr>
                  <w:tcW w:w="376" w:type="pct"/>
                  <w:noWrap w:val="0"/>
                  <w:vAlign w:val="center"/>
                </w:tcPr>
                <w:p w14:paraId="08A1B7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每日</w:t>
                  </w:r>
                </w:p>
              </w:tc>
              <w:tc>
                <w:tcPr>
                  <w:tcW w:w="314" w:type="pct"/>
                  <w:noWrap w:val="0"/>
                  <w:vAlign w:val="center"/>
                </w:tcPr>
                <w:p w14:paraId="231361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In</w:t>
                  </w:r>
                </w:p>
              </w:tc>
              <w:tc>
                <w:tcPr>
                  <w:tcW w:w="376" w:type="pct"/>
                  <w:vMerge w:val="restart"/>
                  <w:noWrap w:val="0"/>
                  <w:vAlign w:val="center"/>
                </w:tcPr>
                <w:p w14:paraId="7B9FE5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暂存后交由有资质单位进行处置</w:t>
                  </w:r>
                </w:p>
              </w:tc>
            </w:tr>
            <w:tr w14:paraId="180A93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1" w:hRule="atLeast"/>
              </w:trPr>
              <w:tc>
                <w:tcPr>
                  <w:tcW w:w="247" w:type="pct"/>
                  <w:vMerge w:val="continue"/>
                  <w:noWrap w:val="0"/>
                  <w:vAlign w:val="center"/>
                </w:tcPr>
                <w:p w14:paraId="07B6DE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p>
              </w:tc>
              <w:tc>
                <w:tcPr>
                  <w:tcW w:w="365" w:type="pct"/>
                  <w:vMerge w:val="continue"/>
                  <w:noWrap w:val="0"/>
                  <w:vAlign w:val="center"/>
                </w:tcPr>
                <w:p w14:paraId="14D5CDF6">
                  <w:pPr>
                    <w:pStyle w:val="131"/>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b w:val="0"/>
                      <w:color w:val="auto"/>
                      <w:sz w:val="21"/>
                      <w:szCs w:val="21"/>
                      <w:u w:val="none"/>
                    </w:rPr>
                  </w:pPr>
                </w:p>
              </w:tc>
              <w:tc>
                <w:tcPr>
                  <w:tcW w:w="451" w:type="pct"/>
                  <w:vMerge w:val="continue"/>
                  <w:noWrap w:val="0"/>
                  <w:vAlign w:val="center"/>
                </w:tcPr>
                <w:p w14:paraId="6467A225">
                  <w:pPr>
                    <w:pStyle w:val="131"/>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b w:val="0"/>
                      <w:color w:val="auto"/>
                      <w:sz w:val="21"/>
                      <w:szCs w:val="21"/>
                      <w:u w:val="none"/>
                    </w:rPr>
                  </w:pPr>
                </w:p>
              </w:tc>
              <w:tc>
                <w:tcPr>
                  <w:tcW w:w="670" w:type="pct"/>
                  <w:noWrap w:val="0"/>
                  <w:vAlign w:val="center"/>
                </w:tcPr>
                <w:p w14:paraId="58723A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841-002-01</w:t>
                  </w:r>
                </w:p>
              </w:tc>
              <w:tc>
                <w:tcPr>
                  <w:tcW w:w="499" w:type="pct"/>
                  <w:vMerge w:val="continue"/>
                  <w:noWrap w:val="0"/>
                  <w:vAlign w:val="center"/>
                </w:tcPr>
                <w:p w14:paraId="5393D202">
                  <w:pPr>
                    <w:pStyle w:val="131"/>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b w:val="0"/>
                      <w:color w:val="auto"/>
                      <w:sz w:val="21"/>
                      <w:szCs w:val="21"/>
                      <w:u w:val="none"/>
                    </w:rPr>
                  </w:pPr>
                </w:p>
              </w:tc>
              <w:tc>
                <w:tcPr>
                  <w:tcW w:w="417" w:type="pct"/>
                  <w:vMerge w:val="continue"/>
                  <w:noWrap w:val="0"/>
                  <w:vAlign w:val="center"/>
                </w:tcPr>
                <w:p w14:paraId="0657DC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p>
              </w:tc>
              <w:tc>
                <w:tcPr>
                  <w:tcW w:w="328" w:type="pct"/>
                  <w:vMerge w:val="continue"/>
                  <w:noWrap w:val="0"/>
                  <w:vAlign w:val="center"/>
                </w:tcPr>
                <w:p w14:paraId="080D1C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p>
              </w:tc>
              <w:tc>
                <w:tcPr>
                  <w:tcW w:w="451" w:type="pct"/>
                  <w:vMerge w:val="continue"/>
                  <w:noWrap w:val="0"/>
                  <w:vAlign w:val="center"/>
                </w:tcPr>
                <w:p w14:paraId="701036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p>
              </w:tc>
              <w:tc>
                <w:tcPr>
                  <w:tcW w:w="499" w:type="pct"/>
                  <w:noWrap w:val="0"/>
                  <w:vAlign w:val="center"/>
                </w:tcPr>
                <w:p w14:paraId="0881B7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损伤性</w:t>
                  </w:r>
                </w:p>
              </w:tc>
              <w:tc>
                <w:tcPr>
                  <w:tcW w:w="376" w:type="pct"/>
                  <w:noWrap w:val="0"/>
                  <w:vAlign w:val="center"/>
                </w:tcPr>
                <w:p w14:paraId="63722D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每日</w:t>
                  </w:r>
                </w:p>
              </w:tc>
              <w:tc>
                <w:tcPr>
                  <w:tcW w:w="314" w:type="pct"/>
                  <w:noWrap w:val="0"/>
                  <w:vAlign w:val="center"/>
                </w:tcPr>
                <w:p w14:paraId="2A9AF1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In</w:t>
                  </w:r>
                </w:p>
              </w:tc>
              <w:tc>
                <w:tcPr>
                  <w:tcW w:w="376" w:type="pct"/>
                  <w:vMerge w:val="continue"/>
                  <w:noWrap w:val="0"/>
                  <w:vAlign w:val="center"/>
                </w:tcPr>
                <w:p w14:paraId="31BF5B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p>
              </w:tc>
            </w:tr>
            <w:tr w14:paraId="3370A2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1" w:hRule="atLeast"/>
              </w:trPr>
              <w:tc>
                <w:tcPr>
                  <w:tcW w:w="247" w:type="pct"/>
                  <w:vMerge w:val="continue"/>
                  <w:noWrap w:val="0"/>
                  <w:vAlign w:val="center"/>
                </w:tcPr>
                <w:p w14:paraId="0BE866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p>
              </w:tc>
              <w:tc>
                <w:tcPr>
                  <w:tcW w:w="365" w:type="pct"/>
                  <w:vMerge w:val="continue"/>
                  <w:noWrap w:val="0"/>
                  <w:vAlign w:val="center"/>
                </w:tcPr>
                <w:p w14:paraId="644D1C17">
                  <w:pPr>
                    <w:pStyle w:val="131"/>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b w:val="0"/>
                      <w:color w:val="auto"/>
                      <w:sz w:val="21"/>
                      <w:szCs w:val="21"/>
                      <w:u w:val="none"/>
                    </w:rPr>
                  </w:pPr>
                </w:p>
              </w:tc>
              <w:tc>
                <w:tcPr>
                  <w:tcW w:w="451" w:type="pct"/>
                  <w:vMerge w:val="continue"/>
                  <w:noWrap w:val="0"/>
                  <w:vAlign w:val="center"/>
                </w:tcPr>
                <w:p w14:paraId="344C1FF7">
                  <w:pPr>
                    <w:pStyle w:val="131"/>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b w:val="0"/>
                      <w:color w:val="auto"/>
                      <w:sz w:val="21"/>
                      <w:szCs w:val="21"/>
                      <w:u w:val="none"/>
                    </w:rPr>
                  </w:pPr>
                </w:p>
              </w:tc>
              <w:tc>
                <w:tcPr>
                  <w:tcW w:w="670" w:type="pct"/>
                  <w:noWrap w:val="0"/>
                  <w:vAlign w:val="center"/>
                </w:tcPr>
                <w:p w14:paraId="655F5E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841-003-01</w:t>
                  </w:r>
                </w:p>
              </w:tc>
              <w:tc>
                <w:tcPr>
                  <w:tcW w:w="499" w:type="pct"/>
                  <w:vMerge w:val="continue"/>
                  <w:noWrap w:val="0"/>
                  <w:vAlign w:val="center"/>
                </w:tcPr>
                <w:p w14:paraId="23F1B2CF">
                  <w:pPr>
                    <w:pStyle w:val="131"/>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b w:val="0"/>
                      <w:color w:val="auto"/>
                      <w:sz w:val="21"/>
                      <w:szCs w:val="21"/>
                      <w:u w:val="none"/>
                    </w:rPr>
                  </w:pPr>
                </w:p>
              </w:tc>
              <w:tc>
                <w:tcPr>
                  <w:tcW w:w="417" w:type="pct"/>
                  <w:vMerge w:val="continue"/>
                  <w:noWrap w:val="0"/>
                  <w:vAlign w:val="center"/>
                </w:tcPr>
                <w:p w14:paraId="46B7B3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p>
              </w:tc>
              <w:tc>
                <w:tcPr>
                  <w:tcW w:w="328" w:type="pct"/>
                  <w:vMerge w:val="continue"/>
                  <w:noWrap w:val="0"/>
                  <w:vAlign w:val="center"/>
                </w:tcPr>
                <w:p w14:paraId="32851A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p>
              </w:tc>
              <w:tc>
                <w:tcPr>
                  <w:tcW w:w="451" w:type="pct"/>
                  <w:vMerge w:val="continue"/>
                  <w:noWrap w:val="0"/>
                  <w:vAlign w:val="center"/>
                </w:tcPr>
                <w:p w14:paraId="20FFA0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p>
              </w:tc>
              <w:tc>
                <w:tcPr>
                  <w:tcW w:w="499" w:type="pct"/>
                  <w:noWrap w:val="0"/>
                  <w:vAlign w:val="center"/>
                </w:tcPr>
                <w:p w14:paraId="25515F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lang w:eastAsia="zh-CN"/>
                    </w:rPr>
                  </w:pPr>
                  <w:r>
                    <w:rPr>
                      <w:rFonts w:hint="eastAsia" w:cs="Times New Roman"/>
                      <w:color w:val="auto"/>
                      <w:sz w:val="21"/>
                      <w:szCs w:val="21"/>
                      <w:u w:val="none"/>
                      <w:lang w:eastAsia="zh-CN"/>
                    </w:rPr>
                    <w:t>病理性</w:t>
                  </w:r>
                </w:p>
              </w:tc>
              <w:tc>
                <w:tcPr>
                  <w:tcW w:w="376" w:type="pct"/>
                  <w:noWrap w:val="0"/>
                  <w:vAlign w:val="center"/>
                </w:tcPr>
                <w:p w14:paraId="4D381F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每日</w:t>
                  </w:r>
                </w:p>
              </w:tc>
              <w:tc>
                <w:tcPr>
                  <w:tcW w:w="314" w:type="pct"/>
                  <w:noWrap w:val="0"/>
                  <w:vAlign w:val="center"/>
                </w:tcPr>
                <w:p w14:paraId="032F7D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In</w:t>
                  </w:r>
                </w:p>
              </w:tc>
              <w:tc>
                <w:tcPr>
                  <w:tcW w:w="376" w:type="pct"/>
                  <w:vMerge w:val="continue"/>
                  <w:noWrap w:val="0"/>
                  <w:vAlign w:val="center"/>
                </w:tcPr>
                <w:p w14:paraId="71A071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p>
              </w:tc>
            </w:tr>
            <w:tr w14:paraId="128D08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247" w:type="pct"/>
                  <w:vMerge w:val="continue"/>
                  <w:noWrap w:val="0"/>
                  <w:vAlign w:val="center"/>
                </w:tcPr>
                <w:p w14:paraId="2BEBC3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p>
              </w:tc>
              <w:tc>
                <w:tcPr>
                  <w:tcW w:w="365" w:type="pct"/>
                  <w:vMerge w:val="continue"/>
                  <w:noWrap w:val="0"/>
                  <w:vAlign w:val="center"/>
                </w:tcPr>
                <w:p w14:paraId="2EACA558">
                  <w:pPr>
                    <w:pStyle w:val="131"/>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b w:val="0"/>
                      <w:color w:val="auto"/>
                      <w:sz w:val="21"/>
                      <w:szCs w:val="21"/>
                      <w:u w:val="none"/>
                    </w:rPr>
                  </w:pPr>
                </w:p>
              </w:tc>
              <w:tc>
                <w:tcPr>
                  <w:tcW w:w="451" w:type="pct"/>
                  <w:vMerge w:val="continue"/>
                  <w:noWrap w:val="0"/>
                  <w:vAlign w:val="center"/>
                </w:tcPr>
                <w:p w14:paraId="1EAF116F">
                  <w:pPr>
                    <w:pStyle w:val="131"/>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b w:val="0"/>
                      <w:color w:val="auto"/>
                      <w:sz w:val="21"/>
                      <w:szCs w:val="21"/>
                      <w:u w:val="none"/>
                    </w:rPr>
                  </w:pPr>
                </w:p>
              </w:tc>
              <w:tc>
                <w:tcPr>
                  <w:tcW w:w="670" w:type="pct"/>
                  <w:noWrap w:val="0"/>
                  <w:vAlign w:val="center"/>
                </w:tcPr>
                <w:p w14:paraId="06B14D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841-00</w:t>
                  </w:r>
                  <w:r>
                    <w:rPr>
                      <w:rFonts w:hint="eastAsia" w:cs="Times New Roman"/>
                      <w:color w:val="auto"/>
                      <w:sz w:val="21"/>
                      <w:szCs w:val="21"/>
                      <w:u w:val="none"/>
                      <w:lang w:val="en-US" w:eastAsia="zh-CN"/>
                    </w:rPr>
                    <w:t>4</w:t>
                  </w:r>
                  <w:r>
                    <w:rPr>
                      <w:rFonts w:hint="default" w:ascii="Times New Roman" w:hAnsi="Times New Roman" w:cs="Times New Roman"/>
                      <w:color w:val="auto"/>
                      <w:sz w:val="21"/>
                      <w:szCs w:val="21"/>
                      <w:u w:val="none"/>
                    </w:rPr>
                    <w:t>-01</w:t>
                  </w:r>
                </w:p>
              </w:tc>
              <w:tc>
                <w:tcPr>
                  <w:tcW w:w="499" w:type="pct"/>
                  <w:vMerge w:val="continue"/>
                  <w:noWrap w:val="0"/>
                  <w:vAlign w:val="center"/>
                </w:tcPr>
                <w:p w14:paraId="56AA6ACC">
                  <w:pPr>
                    <w:pStyle w:val="131"/>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b w:val="0"/>
                      <w:color w:val="auto"/>
                      <w:sz w:val="21"/>
                      <w:szCs w:val="21"/>
                      <w:u w:val="none"/>
                    </w:rPr>
                  </w:pPr>
                </w:p>
              </w:tc>
              <w:tc>
                <w:tcPr>
                  <w:tcW w:w="417" w:type="pct"/>
                  <w:vMerge w:val="continue"/>
                  <w:noWrap w:val="0"/>
                  <w:vAlign w:val="center"/>
                </w:tcPr>
                <w:p w14:paraId="43E19E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p>
              </w:tc>
              <w:tc>
                <w:tcPr>
                  <w:tcW w:w="328" w:type="pct"/>
                  <w:vMerge w:val="continue"/>
                  <w:noWrap w:val="0"/>
                  <w:vAlign w:val="center"/>
                </w:tcPr>
                <w:p w14:paraId="0B2A4D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p>
              </w:tc>
              <w:tc>
                <w:tcPr>
                  <w:tcW w:w="451" w:type="pct"/>
                  <w:vMerge w:val="continue"/>
                  <w:noWrap w:val="0"/>
                  <w:vAlign w:val="center"/>
                </w:tcPr>
                <w:p w14:paraId="16BAE5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p>
              </w:tc>
              <w:tc>
                <w:tcPr>
                  <w:tcW w:w="499" w:type="pct"/>
                  <w:noWrap w:val="0"/>
                  <w:vAlign w:val="center"/>
                </w:tcPr>
                <w:p w14:paraId="462CBE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r>
                    <w:rPr>
                      <w:rFonts w:hint="eastAsia" w:cs="Times New Roman"/>
                      <w:color w:val="auto"/>
                      <w:sz w:val="21"/>
                      <w:szCs w:val="21"/>
                      <w:u w:val="none"/>
                      <w:lang w:eastAsia="zh-CN"/>
                    </w:rPr>
                    <w:t>化学</w:t>
                  </w:r>
                  <w:r>
                    <w:rPr>
                      <w:rFonts w:hint="default" w:ascii="Times New Roman" w:hAnsi="Times New Roman" w:cs="Times New Roman"/>
                      <w:color w:val="auto"/>
                      <w:sz w:val="21"/>
                      <w:szCs w:val="21"/>
                      <w:u w:val="none"/>
                    </w:rPr>
                    <w:t>性</w:t>
                  </w:r>
                </w:p>
              </w:tc>
              <w:tc>
                <w:tcPr>
                  <w:tcW w:w="376" w:type="pct"/>
                  <w:noWrap w:val="0"/>
                  <w:vAlign w:val="center"/>
                </w:tcPr>
                <w:p w14:paraId="5423A3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每日</w:t>
                  </w:r>
                </w:p>
              </w:tc>
              <w:tc>
                <w:tcPr>
                  <w:tcW w:w="314" w:type="pct"/>
                  <w:noWrap w:val="0"/>
                  <w:vAlign w:val="center"/>
                </w:tcPr>
                <w:p w14:paraId="262224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lang w:val="en-US"/>
                    </w:rPr>
                  </w:pPr>
                  <w:r>
                    <w:rPr>
                      <w:rFonts w:hint="default" w:ascii="Times New Roman" w:hAnsi="Times New Roman" w:cs="Times New Roman"/>
                      <w:color w:val="auto"/>
                      <w:sz w:val="21"/>
                      <w:szCs w:val="21"/>
                      <w:u w:val="none"/>
                    </w:rPr>
                    <w:t>T</w:t>
                  </w:r>
                  <w:r>
                    <w:rPr>
                      <w:rFonts w:hint="eastAsia" w:cs="Times New Roman"/>
                      <w:color w:val="auto"/>
                      <w:sz w:val="21"/>
                      <w:szCs w:val="21"/>
                      <w:u w:val="none"/>
                      <w:lang w:val="en-US" w:eastAsia="zh-CN"/>
                    </w:rPr>
                    <w:t>/C/I/R</w:t>
                  </w:r>
                </w:p>
              </w:tc>
              <w:tc>
                <w:tcPr>
                  <w:tcW w:w="376" w:type="pct"/>
                  <w:vMerge w:val="continue"/>
                  <w:noWrap w:val="0"/>
                  <w:vAlign w:val="center"/>
                </w:tcPr>
                <w:p w14:paraId="75BC37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p>
              </w:tc>
            </w:tr>
            <w:tr w14:paraId="2DF76B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247" w:type="pct"/>
                  <w:vMerge w:val="continue"/>
                  <w:noWrap w:val="0"/>
                  <w:vAlign w:val="center"/>
                </w:tcPr>
                <w:p w14:paraId="5E7D38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lang w:val="en-US" w:eastAsia="zh-CN" w:bidi="ar-SA"/>
                    </w:rPr>
                  </w:pPr>
                </w:p>
              </w:tc>
              <w:tc>
                <w:tcPr>
                  <w:tcW w:w="365" w:type="pct"/>
                  <w:vMerge w:val="continue"/>
                  <w:noWrap w:val="0"/>
                  <w:vAlign w:val="center"/>
                </w:tcPr>
                <w:p w14:paraId="0BDF1928">
                  <w:pPr>
                    <w:pStyle w:val="131"/>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b w:val="0"/>
                      <w:color w:val="auto"/>
                      <w:kern w:val="24"/>
                      <w:sz w:val="21"/>
                      <w:szCs w:val="21"/>
                      <w:u w:val="none"/>
                      <w:lang w:val="zh-CN" w:eastAsia="zh-CN" w:bidi="ar-SA"/>
                    </w:rPr>
                  </w:pPr>
                </w:p>
              </w:tc>
              <w:tc>
                <w:tcPr>
                  <w:tcW w:w="451" w:type="pct"/>
                  <w:vMerge w:val="continue"/>
                  <w:noWrap w:val="0"/>
                  <w:vAlign w:val="center"/>
                </w:tcPr>
                <w:p w14:paraId="4DD014D9">
                  <w:pPr>
                    <w:pStyle w:val="131"/>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b w:val="0"/>
                      <w:color w:val="auto"/>
                      <w:kern w:val="24"/>
                      <w:sz w:val="21"/>
                      <w:szCs w:val="21"/>
                      <w:u w:val="none"/>
                      <w:lang w:val="zh-CN" w:eastAsia="zh-CN" w:bidi="ar-SA"/>
                    </w:rPr>
                  </w:pPr>
                </w:p>
              </w:tc>
              <w:tc>
                <w:tcPr>
                  <w:tcW w:w="670" w:type="pct"/>
                  <w:noWrap w:val="0"/>
                  <w:vAlign w:val="center"/>
                </w:tcPr>
                <w:p w14:paraId="7C7341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841-005-01</w:t>
                  </w:r>
                </w:p>
              </w:tc>
              <w:tc>
                <w:tcPr>
                  <w:tcW w:w="499" w:type="pct"/>
                  <w:vMerge w:val="continue"/>
                  <w:noWrap w:val="0"/>
                  <w:vAlign w:val="center"/>
                </w:tcPr>
                <w:p w14:paraId="2E992A11">
                  <w:pPr>
                    <w:pStyle w:val="131"/>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b w:val="0"/>
                      <w:color w:val="auto"/>
                      <w:kern w:val="24"/>
                      <w:sz w:val="21"/>
                      <w:szCs w:val="21"/>
                      <w:u w:val="none"/>
                      <w:lang w:val="en-US" w:eastAsia="zh-CN" w:bidi="ar-SA"/>
                    </w:rPr>
                  </w:pPr>
                </w:p>
              </w:tc>
              <w:tc>
                <w:tcPr>
                  <w:tcW w:w="417" w:type="pct"/>
                  <w:vMerge w:val="continue"/>
                  <w:noWrap w:val="0"/>
                  <w:vAlign w:val="center"/>
                </w:tcPr>
                <w:p w14:paraId="0AEDA7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u w:val="none"/>
                      <w:lang w:val="en-US" w:eastAsia="zh-CN" w:bidi="ar-SA"/>
                    </w:rPr>
                  </w:pPr>
                </w:p>
              </w:tc>
              <w:tc>
                <w:tcPr>
                  <w:tcW w:w="328" w:type="pct"/>
                  <w:vMerge w:val="continue"/>
                  <w:noWrap w:val="0"/>
                  <w:vAlign w:val="center"/>
                </w:tcPr>
                <w:p w14:paraId="2CBBF9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u w:val="none"/>
                      <w:lang w:val="en-US" w:eastAsia="zh-CN" w:bidi="ar-SA"/>
                    </w:rPr>
                  </w:pPr>
                </w:p>
              </w:tc>
              <w:tc>
                <w:tcPr>
                  <w:tcW w:w="451" w:type="pct"/>
                  <w:vMerge w:val="continue"/>
                  <w:noWrap w:val="0"/>
                  <w:vAlign w:val="center"/>
                </w:tcPr>
                <w:p w14:paraId="0F439E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u w:val="none"/>
                      <w:lang w:val="en-US" w:eastAsia="zh-CN" w:bidi="ar-SA"/>
                    </w:rPr>
                  </w:pPr>
                </w:p>
              </w:tc>
              <w:tc>
                <w:tcPr>
                  <w:tcW w:w="499" w:type="pct"/>
                  <w:noWrap w:val="0"/>
                  <w:vAlign w:val="center"/>
                </w:tcPr>
                <w:p w14:paraId="792E66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药物性</w:t>
                  </w:r>
                </w:p>
              </w:tc>
              <w:tc>
                <w:tcPr>
                  <w:tcW w:w="376" w:type="pct"/>
                  <w:noWrap w:val="0"/>
                  <w:vAlign w:val="center"/>
                </w:tcPr>
                <w:p w14:paraId="77414C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u w:val="none"/>
                      <w:lang w:val="en-US" w:eastAsia="zh-CN" w:bidi="ar-SA"/>
                    </w:rPr>
                  </w:pPr>
                  <w:r>
                    <w:rPr>
                      <w:rFonts w:hint="default" w:ascii="Times New Roman" w:hAnsi="Times New Roman" w:cs="Times New Roman"/>
                      <w:color w:val="auto"/>
                      <w:sz w:val="21"/>
                      <w:szCs w:val="21"/>
                      <w:u w:val="none"/>
                    </w:rPr>
                    <w:t>每日</w:t>
                  </w:r>
                </w:p>
              </w:tc>
              <w:tc>
                <w:tcPr>
                  <w:tcW w:w="314" w:type="pct"/>
                  <w:noWrap w:val="0"/>
                  <w:vAlign w:val="center"/>
                </w:tcPr>
                <w:p w14:paraId="6024B9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u w:val="none"/>
                      <w:lang w:val="en-US" w:eastAsia="zh-CN" w:bidi="ar-SA"/>
                    </w:rPr>
                  </w:pPr>
                  <w:r>
                    <w:rPr>
                      <w:rFonts w:hint="default" w:ascii="Times New Roman" w:hAnsi="Times New Roman" w:cs="Times New Roman"/>
                      <w:color w:val="auto"/>
                      <w:sz w:val="21"/>
                      <w:szCs w:val="21"/>
                      <w:u w:val="none"/>
                    </w:rPr>
                    <w:t>T</w:t>
                  </w:r>
                </w:p>
              </w:tc>
              <w:tc>
                <w:tcPr>
                  <w:tcW w:w="376" w:type="pct"/>
                  <w:vMerge w:val="continue"/>
                  <w:noWrap w:val="0"/>
                  <w:vAlign w:val="center"/>
                </w:tcPr>
                <w:p w14:paraId="43F7B0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p>
              </w:tc>
            </w:tr>
            <w:tr w14:paraId="59E091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24" w:hRule="atLeast"/>
              </w:trPr>
              <w:tc>
                <w:tcPr>
                  <w:tcW w:w="247" w:type="pct"/>
                  <w:noWrap w:val="0"/>
                  <w:vAlign w:val="center"/>
                </w:tcPr>
                <w:p w14:paraId="2CD6CB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lang w:eastAsia="zh-CN"/>
                    </w:rPr>
                  </w:pPr>
                  <w:r>
                    <w:rPr>
                      <w:rFonts w:hint="eastAsia" w:ascii="Times New Roman" w:hAnsi="Times New Roman" w:cs="Times New Roman"/>
                      <w:color w:val="auto"/>
                      <w:sz w:val="21"/>
                      <w:szCs w:val="21"/>
                      <w:u w:val="none"/>
                      <w:lang w:val="en-US" w:eastAsia="zh-CN"/>
                    </w:rPr>
                    <w:t>3</w:t>
                  </w:r>
                </w:p>
              </w:tc>
              <w:tc>
                <w:tcPr>
                  <w:tcW w:w="365" w:type="pct"/>
                  <w:noWrap w:val="0"/>
                  <w:vAlign w:val="center"/>
                </w:tcPr>
                <w:p w14:paraId="365ABDFD">
                  <w:pPr>
                    <w:pStyle w:val="131"/>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b w:val="0"/>
                      <w:color w:val="auto"/>
                      <w:sz w:val="21"/>
                      <w:szCs w:val="21"/>
                      <w:u w:val="none"/>
                    </w:rPr>
                  </w:pPr>
                  <w:r>
                    <w:rPr>
                      <w:rFonts w:hint="default" w:ascii="Times New Roman" w:hAnsi="Times New Roman" w:cs="Times New Roman"/>
                      <w:b w:val="0"/>
                      <w:color w:val="auto"/>
                      <w:sz w:val="21"/>
                      <w:szCs w:val="21"/>
                      <w:u w:val="none"/>
                    </w:rPr>
                    <w:t>污泥</w:t>
                  </w:r>
                </w:p>
              </w:tc>
              <w:tc>
                <w:tcPr>
                  <w:tcW w:w="451" w:type="pct"/>
                  <w:noWrap w:val="0"/>
                  <w:vAlign w:val="center"/>
                </w:tcPr>
                <w:p w14:paraId="70091B54">
                  <w:pPr>
                    <w:pStyle w:val="131"/>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b w:val="0"/>
                      <w:color w:val="auto"/>
                      <w:sz w:val="21"/>
                      <w:szCs w:val="21"/>
                      <w:u w:val="none"/>
                    </w:rPr>
                  </w:pPr>
                  <w:r>
                    <w:rPr>
                      <w:rFonts w:hint="default" w:ascii="Times New Roman" w:hAnsi="Times New Roman" w:cs="Times New Roman"/>
                      <w:b w:val="0"/>
                      <w:color w:val="auto"/>
                      <w:sz w:val="21"/>
                      <w:szCs w:val="21"/>
                      <w:u w:val="none"/>
                      <w:lang w:val="en-US"/>
                    </w:rPr>
                    <w:t>H</w:t>
                  </w:r>
                  <w:r>
                    <w:rPr>
                      <w:rFonts w:hint="default" w:ascii="Times New Roman" w:hAnsi="Times New Roman" w:cs="Times New Roman"/>
                      <w:b w:val="0"/>
                      <w:color w:val="auto"/>
                      <w:sz w:val="21"/>
                      <w:szCs w:val="21"/>
                      <w:u w:val="none"/>
                    </w:rPr>
                    <w:t>W01</w:t>
                  </w:r>
                </w:p>
              </w:tc>
              <w:tc>
                <w:tcPr>
                  <w:tcW w:w="670" w:type="pct"/>
                  <w:noWrap w:val="0"/>
                  <w:vAlign w:val="center"/>
                </w:tcPr>
                <w:p w14:paraId="7F09A9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841-001-01</w:t>
                  </w:r>
                </w:p>
              </w:tc>
              <w:tc>
                <w:tcPr>
                  <w:tcW w:w="499" w:type="pct"/>
                  <w:noWrap w:val="0"/>
                  <w:vAlign w:val="center"/>
                </w:tcPr>
                <w:p w14:paraId="0BA30B73">
                  <w:pPr>
                    <w:pStyle w:val="131"/>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color w:val="auto"/>
                      <w:sz w:val="21"/>
                      <w:szCs w:val="21"/>
                      <w:u w:val="none"/>
                      <w:lang w:val="en-US" w:eastAsia="zh-CN"/>
                    </w:rPr>
                  </w:pPr>
                  <w:r>
                    <w:rPr>
                      <w:rFonts w:hint="eastAsia" w:cs="Times New Roman"/>
                      <w:b w:val="0"/>
                      <w:color w:val="auto"/>
                      <w:sz w:val="21"/>
                      <w:szCs w:val="21"/>
                      <w:u w:val="none"/>
                      <w:lang w:val="en-US" w:eastAsia="zh-CN"/>
                    </w:rPr>
                    <w:t>5.913</w:t>
                  </w:r>
                </w:p>
              </w:tc>
              <w:tc>
                <w:tcPr>
                  <w:tcW w:w="417" w:type="pct"/>
                  <w:noWrap w:val="0"/>
                  <w:vAlign w:val="center"/>
                </w:tcPr>
                <w:p w14:paraId="131995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废水处理</w:t>
                  </w:r>
                </w:p>
              </w:tc>
              <w:tc>
                <w:tcPr>
                  <w:tcW w:w="328" w:type="pct"/>
                  <w:noWrap w:val="0"/>
                  <w:vAlign w:val="center"/>
                </w:tcPr>
                <w:p w14:paraId="0A15D1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半固态</w:t>
                  </w:r>
                </w:p>
              </w:tc>
              <w:tc>
                <w:tcPr>
                  <w:tcW w:w="451" w:type="pct"/>
                  <w:noWrap w:val="0"/>
                  <w:vAlign w:val="center"/>
                </w:tcPr>
                <w:p w14:paraId="77E20A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有机物</w:t>
                  </w:r>
                  <w:r>
                    <w:rPr>
                      <w:rFonts w:hint="eastAsia" w:cs="Times New Roman"/>
                      <w:color w:val="auto"/>
                      <w:sz w:val="21"/>
                      <w:szCs w:val="21"/>
                      <w:u w:val="none"/>
                      <w:lang w:eastAsia="zh-CN"/>
                    </w:rPr>
                    <w:t>、</w:t>
                  </w:r>
                  <w:r>
                    <w:rPr>
                      <w:rFonts w:hint="default" w:ascii="Times New Roman" w:hAnsi="Times New Roman" w:cs="Times New Roman"/>
                      <w:color w:val="auto"/>
                      <w:sz w:val="21"/>
                      <w:szCs w:val="21"/>
                      <w:u w:val="none"/>
                    </w:rPr>
                    <w:t>无机颗粒、胶体等</w:t>
                  </w:r>
                </w:p>
              </w:tc>
              <w:tc>
                <w:tcPr>
                  <w:tcW w:w="499" w:type="pct"/>
                  <w:noWrap w:val="0"/>
                  <w:vAlign w:val="center"/>
                </w:tcPr>
                <w:p w14:paraId="4E0CFC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感染性</w:t>
                  </w:r>
                </w:p>
              </w:tc>
              <w:tc>
                <w:tcPr>
                  <w:tcW w:w="376" w:type="pct"/>
                  <w:noWrap w:val="0"/>
                  <w:vAlign w:val="center"/>
                </w:tcPr>
                <w:p w14:paraId="2B6076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u w:val="none"/>
                    </w:rPr>
                  </w:pPr>
                  <w:r>
                    <w:rPr>
                      <w:rFonts w:hint="default" w:ascii="Times New Roman" w:hAnsi="Times New Roman" w:cs="Times New Roman"/>
                      <w:color w:val="auto"/>
                      <w:sz w:val="21"/>
                      <w:szCs w:val="21"/>
                      <w:u w:val="none"/>
                    </w:rPr>
                    <w:t>每</w:t>
                  </w:r>
                  <w:r>
                    <w:rPr>
                      <w:rFonts w:hint="eastAsia" w:cs="Times New Roman"/>
                      <w:color w:val="auto"/>
                      <w:sz w:val="21"/>
                      <w:szCs w:val="21"/>
                      <w:u w:val="none"/>
                      <w:lang w:eastAsia="zh-CN"/>
                    </w:rPr>
                    <w:t>季度</w:t>
                  </w:r>
                </w:p>
              </w:tc>
              <w:tc>
                <w:tcPr>
                  <w:tcW w:w="314" w:type="pct"/>
                  <w:noWrap w:val="0"/>
                  <w:vAlign w:val="center"/>
                </w:tcPr>
                <w:p w14:paraId="003E30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In</w:t>
                  </w:r>
                </w:p>
              </w:tc>
              <w:tc>
                <w:tcPr>
                  <w:tcW w:w="376" w:type="pct"/>
                  <w:noWrap w:val="0"/>
                  <w:vAlign w:val="center"/>
                </w:tcPr>
                <w:p w14:paraId="2FE8D1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lang w:eastAsia="zh-CN"/>
                    </w:rPr>
                  </w:pPr>
                  <w:r>
                    <w:rPr>
                      <w:rFonts w:hint="default" w:ascii="Times New Roman" w:hAnsi="Times New Roman" w:cs="Times New Roman"/>
                      <w:color w:val="auto"/>
                      <w:sz w:val="21"/>
                      <w:szCs w:val="21"/>
                      <w:u w:val="none"/>
                    </w:rPr>
                    <w:t>交由有资质单位进行处置</w:t>
                  </w:r>
                </w:p>
              </w:tc>
            </w:tr>
          </w:tbl>
          <w:p w14:paraId="5764926F">
            <w:pPr>
              <w:ind w:firstLine="420"/>
              <w:jc w:val="center"/>
              <w:rPr>
                <w:rFonts w:hint="default" w:ascii="Times New Roman" w:hAnsi="Times New Roman" w:cs="Times New Roman"/>
                <w:b/>
                <w:color w:val="auto"/>
                <w:sz w:val="21"/>
                <w:szCs w:val="21"/>
                <w:u w:val="none"/>
              </w:rPr>
            </w:pPr>
          </w:p>
          <w:p w14:paraId="76FC4171">
            <w:pPr>
              <w:ind w:firstLine="420"/>
              <w:jc w:val="center"/>
              <w:rPr>
                <w:rFonts w:hint="default" w:ascii="Times New Roman" w:hAnsi="Times New Roman" w:cs="Times New Roman"/>
                <w:b/>
                <w:color w:val="auto"/>
                <w:sz w:val="21"/>
                <w:szCs w:val="21"/>
                <w:u w:val="none"/>
              </w:rPr>
            </w:pPr>
            <w:r>
              <w:rPr>
                <w:rFonts w:hint="default" w:ascii="Times New Roman" w:hAnsi="Times New Roman" w:cs="Times New Roman"/>
                <w:b/>
                <w:color w:val="auto"/>
                <w:sz w:val="21"/>
                <w:szCs w:val="21"/>
                <w:u w:val="none"/>
              </w:rPr>
              <w:t>表4-1</w:t>
            </w:r>
            <w:r>
              <w:rPr>
                <w:rFonts w:hint="eastAsia" w:cs="Times New Roman"/>
                <w:b/>
                <w:color w:val="auto"/>
                <w:sz w:val="21"/>
                <w:szCs w:val="21"/>
                <w:u w:val="none"/>
                <w:lang w:val="en-US" w:eastAsia="zh-CN"/>
              </w:rPr>
              <w:t>7</w:t>
            </w:r>
            <w:r>
              <w:rPr>
                <w:rFonts w:hint="default" w:ascii="Times New Roman" w:hAnsi="Times New Roman" w:cs="Times New Roman"/>
                <w:b/>
                <w:color w:val="auto"/>
                <w:sz w:val="21"/>
                <w:szCs w:val="21"/>
                <w:u w:val="none"/>
              </w:rPr>
              <w:t xml:space="preserve">   </w:t>
            </w:r>
            <w:r>
              <w:rPr>
                <w:rFonts w:hint="eastAsia" w:cs="Times New Roman"/>
                <w:b/>
                <w:color w:val="auto"/>
                <w:sz w:val="21"/>
                <w:szCs w:val="21"/>
                <w:u w:val="none"/>
                <w:lang w:eastAsia="zh-CN"/>
              </w:rPr>
              <w:t>其他固体</w:t>
            </w:r>
            <w:r>
              <w:rPr>
                <w:rFonts w:hint="default" w:ascii="Times New Roman" w:hAnsi="Times New Roman" w:cs="Times New Roman"/>
                <w:b/>
                <w:color w:val="auto"/>
                <w:sz w:val="21"/>
                <w:szCs w:val="21"/>
                <w:u w:val="none"/>
              </w:rPr>
              <w:t>废物汇总表</w:t>
            </w:r>
          </w:p>
          <w:tbl>
            <w:tblPr>
              <w:tblStyle w:val="34"/>
              <w:tblW w:w="0" w:type="auto"/>
              <w:tblInd w:w="-15" w:type="dxa"/>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fixed"/>
              <w:tblCellMar>
                <w:top w:w="0" w:type="dxa"/>
                <w:left w:w="108" w:type="dxa"/>
                <w:bottom w:w="0" w:type="dxa"/>
                <w:right w:w="108" w:type="dxa"/>
              </w:tblCellMar>
            </w:tblPr>
            <w:tblGrid>
              <w:gridCol w:w="607"/>
              <w:gridCol w:w="3568"/>
              <w:gridCol w:w="1257"/>
              <w:gridCol w:w="1103"/>
              <w:gridCol w:w="2060"/>
            </w:tblGrid>
            <w:tr w14:paraId="2703A6DB">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c>
                <w:tcPr>
                  <w:tcW w:w="607" w:type="dxa"/>
                  <w:noWrap w:val="0"/>
                  <w:vAlign w:val="center"/>
                </w:tcPr>
                <w:p w14:paraId="6B5E37B3">
                  <w:pPr>
                    <w:pStyle w:val="132"/>
                    <w:snapToGrid w:val="0"/>
                    <w:spacing w:after="0" w:line="276" w:lineRule="auto"/>
                    <w:ind w:left="0" w:leftChars="0" w:firstLine="0" w:firstLineChars="0"/>
                    <w:jc w:val="center"/>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序号</w:t>
                  </w:r>
                </w:p>
              </w:tc>
              <w:tc>
                <w:tcPr>
                  <w:tcW w:w="3568" w:type="dxa"/>
                  <w:noWrap w:val="0"/>
                  <w:vAlign w:val="center"/>
                </w:tcPr>
                <w:p w14:paraId="06109400">
                  <w:pPr>
                    <w:pStyle w:val="132"/>
                    <w:snapToGrid w:val="0"/>
                    <w:spacing w:after="0" w:line="276" w:lineRule="auto"/>
                    <w:ind w:left="0" w:leftChars="0" w:firstLine="0" w:firstLineChars="0"/>
                    <w:jc w:val="center"/>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名称</w:t>
                  </w:r>
                </w:p>
              </w:tc>
              <w:tc>
                <w:tcPr>
                  <w:tcW w:w="1257" w:type="dxa"/>
                  <w:noWrap w:val="0"/>
                  <w:vAlign w:val="center"/>
                </w:tcPr>
                <w:p w14:paraId="53775D25">
                  <w:pPr>
                    <w:pStyle w:val="132"/>
                    <w:snapToGrid w:val="0"/>
                    <w:spacing w:after="0" w:line="276" w:lineRule="auto"/>
                    <w:ind w:left="0" w:leftChars="0" w:firstLine="0" w:firstLineChars="0"/>
                    <w:jc w:val="center"/>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产生量（t/a）</w:t>
                  </w:r>
                </w:p>
              </w:tc>
              <w:tc>
                <w:tcPr>
                  <w:tcW w:w="1103" w:type="dxa"/>
                  <w:noWrap w:val="0"/>
                  <w:vAlign w:val="center"/>
                </w:tcPr>
                <w:p w14:paraId="7071A365">
                  <w:pPr>
                    <w:pStyle w:val="132"/>
                    <w:snapToGrid w:val="0"/>
                    <w:spacing w:after="0" w:line="276" w:lineRule="auto"/>
                    <w:ind w:left="0" w:leftChars="0" w:firstLine="0" w:firstLineChars="0"/>
                    <w:jc w:val="center"/>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类型</w:t>
                  </w:r>
                </w:p>
              </w:tc>
              <w:tc>
                <w:tcPr>
                  <w:tcW w:w="2060" w:type="dxa"/>
                  <w:noWrap w:val="0"/>
                  <w:vAlign w:val="center"/>
                </w:tcPr>
                <w:p w14:paraId="6E012E18">
                  <w:pPr>
                    <w:pStyle w:val="132"/>
                    <w:snapToGrid w:val="0"/>
                    <w:spacing w:after="0" w:line="276" w:lineRule="auto"/>
                    <w:ind w:left="0" w:leftChars="0" w:firstLine="0" w:firstLineChars="0"/>
                    <w:jc w:val="center"/>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处置方式</w:t>
                  </w:r>
                </w:p>
              </w:tc>
            </w:tr>
            <w:tr w14:paraId="06CC5056">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c>
                <w:tcPr>
                  <w:tcW w:w="607" w:type="dxa"/>
                  <w:noWrap w:val="0"/>
                  <w:vAlign w:val="center"/>
                </w:tcPr>
                <w:p w14:paraId="72A84F7D">
                  <w:pPr>
                    <w:pStyle w:val="132"/>
                    <w:snapToGrid w:val="0"/>
                    <w:spacing w:after="0" w:line="276" w:lineRule="auto"/>
                    <w:ind w:left="0" w:leftChars="0" w:firstLine="0" w:firstLineChars="0"/>
                    <w:jc w:val="center"/>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1</w:t>
                  </w:r>
                </w:p>
              </w:tc>
              <w:tc>
                <w:tcPr>
                  <w:tcW w:w="3568" w:type="dxa"/>
                  <w:noWrap w:val="0"/>
                  <w:vAlign w:val="center"/>
                </w:tcPr>
                <w:p w14:paraId="75124AB2">
                  <w:pPr>
                    <w:pStyle w:val="132"/>
                    <w:snapToGrid w:val="0"/>
                    <w:spacing w:after="0" w:line="276" w:lineRule="auto"/>
                    <w:ind w:left="0" w:leftChars="0" w:firstLine="0" w:firstLineChars="0"/>
                    <w:jc w:val="center"/>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生活垃圾</w:t>
                  </w:r>
                </w:p>
              </w:tc>
              <w:tc>
                <w:tcPr>
                  <w:tcW w:w="1257" w:type="dxa"/>
                  <w:noWrap w:val="0"/>
                  <w:vAlign w:val="center"/>
                </w:tcPr>
                <w:p w14:paraId="285C560B">
                  <w:pPr>
                    <w:pStyle w:val="132"/>
                    <w:snapToGrid w:val="0"/>
                    <w:spacing w:after="0" w:line="276" w:lineRule="auto"/>
                    <w:ind w:left="0" w:leftChars="0" w:firstLine="0" w:firstLineChars="0"/>
                    <w:jc w:val="center"/>
                    <w:rPr>
                      <w:rFonts w:hint="default" w:ascii="Times New Roman" w:hAnsi="Times New Roman" w:eastAsia="宋体" w:cs="Times New Roman"/>
                      <w:snapToGrid w:val="0"/>
                      <w:color w:val="auto"/>
                      <w:sz w:val="21"/>
                      <w:szCs w:val="21"/>
                      <w:u w:val="none"/>
                      <w:lang w:val="en-US" w:eastAsia="zh-CN"/>
                    </w:rPr>
                  </w:pPr>
                  <w:r>
                    <w:rPr>
                      <w:rFonts w:hint="eastAsia" w:cs="Times New Roman"/>
                      <w:snapToGrid w:val="0"/>
                      <w:color w:val="auto"/>
                      <w:sz w:val="21"/>
                      <w:szCs w:val="21"/>
                      <w:u w:val="none"/>
                      <w:lang w:val="en-US" w:eastAsia="zh-CN"/>
                    </w:rPr>
                    <w:t>90.34</w:t>
                  </w:r>
                </w:p>
              </w:tc>
              <w:tc>
                <w:tcPr>
                  <w:tcW w:w="1103" w:type="dxa"/>
                  <w:noWrap w:val="0"/>
                  <w:vAlign w:val="center"/>
                </w:tcPr>
                <w:p w14:paraId="6540DADE">
                  <w:pPr>
                    <w:pStyle w:val="132"/>
                    <w:snapToGrid w:val="0"/>
                    <w:spacing w:after="0" w:line="276" w:lineRule="auto"/>
                    <w:ind w:left="0" w:leftChars="0" w:firstLine="0" w:firstLineChars="0"/>
                    <w:jc w:val="center"/>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生活垃圾</w:t>
                  </w:r>
                </w:p>
              </w:tc>
              <w:tc>
                <w:tcPr>
                  <w:tcW w:w="2060" w:type="dxa"/>
                  <w:noWrap w:val="0"/>
                  <w:vAlign w:val="center"/>
                </w:tcPr>
                <w:p w14:paraId="26BB11DB">
                  <w:pPr>
                    <w:pStyle w:val="132"/>
                    <w:snapToGrid w:val="0"/>
                    <w:spacing w:after="0" w:line="276" w:lineRule="auto"/>
                    <w:ind w:left="0" w:leftChars="0" w:firstLine="0" w:firstLineChars="0"/>
                    <w:jc w:val="center"/>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交由环卫部门处理</w:t>
                  </w:r>
                </w:p>
              </w:tc>
            </w:tr>
            <w:tr w14:paraId="05721FF6">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c>
                <w:tcPr>
                  <w:tcW w:w="607" w:type="dxa"/>
                  <w:noWrap w:val="0"/>
                  <w:vAlign w:val="center"/>
                </w:tcPr>
                <w:p w14:paraId="1F356518">
                  <w:pPr>
                    <w:pStyle w:val="132"/>
                    <w:snapToGrid w:val="0"/>
                    <w:spacing w:after="0" w:line="276" w:lineRule="auto"/>
                    <w:ind w:left="0" w:leftChars="0" w:firstLine="0" w:firstLineChars="0"/>
                    <w:jc w:val="center"/>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2</w:t>
                  </w:r>
                </w:p>
              </w:tc>
              <w:tc>
                <w:tcPr>
                  <w:tcW w:w="3568" w:type="dxa"/>
                  <w:noWrap w:val="0"/>
                  <w:vAlign w:val="center"/>
                </w:tcPr>
                <w:p w14:paraId="2FE0CCF6">
                  <w:pPr>
                    <w:pStyle w:val="132"/>
                    <w:snapToGrid w:val="0"/>
                    <w:spacing w:after="0" w:line="276" w:lineRule="auto"/>
                    <w:ind w:left="0" w:leftChars="0" w:firstLine="0" w:firstLineChars="0"/>
                    <w:jc w:val="center"/>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医用玻璃（一次性塑料）、输液瓶（袋）</w:t>
                  </w:r>
                </w:p>
              </w:tc>
              <w:tc>
                <w:tcPr>
                  <w:tcW w:w="1257" w:type="dxa"/>
                  <w:noWrap w:val="0"/>
                  <w:vAlign w:val="center"/>
                </w:tcPr>
                <w:p w14:paraId="390F9557">
                  <w:pPr>
                    <w:pStyle w:val="132"/>
                    <w:snapToGrid w:val="0"/>
                    <w:spacing w:after="0" w:line="276" w:lineRule="auto"/>
                    <w:ind w:left="0" w:leftChars="0" w:firstLine="0" w:firstLineChars="0"/>
                    <w:jc w:val="center"/>
                    <w:rPr>
                      <w:rFonts w:hint="default" w:ascii="Times New Roman" w:hAnsi="Times New Roman" w:eastAsia="宋体" w:cs="Times New Roman"/>
                      <w:snapToGrid w:val="0"/>
                      <w:color w:val="auto"/>
                      <w:sz w:val="21"/>
                      <w:szCs w:val="21"/>
                      <w:u w:val="none"/>
                      <w:lang w:val="en-US" w:eastAsia="zh-CN"/>
                    </w:rPr>
                  </w:pPr>
                  <w:r>
                    <w:rPr>
                      <w:rFonts w:hint="eastAsia" w:cs="Times New Roman"/>
                      <w:snapToGrid w:val="0"/>
                      <w:color w:val="auto"/>
                      <w:sz w:val="21"/>
                      <w:szCs w:val="21"/>
                      <w:u w:val="none"/>
                      <w:lang w:val="en-US" w:eastAsia="zh-CN"/>
                    </w:rPr>
                    <w:t>127.2</w:t>
                  </w:r>
                </w:p>
              </w:tc>
              <w:tc>
                <w:tcPr>
                  <w:tcW w:w="1103" w:type="dxa"/>
                  <w:noWrap w:val="0"/>
                  <w:vAlign w:val="center"/>
                </w:tcPr>
                <w:p w14:paraId="4CF84398">
                  <w:pPr>
                    <w:pStyle w:val="132"/>
                    <w:snapToGrid w:val="0"/>
                    <w:spacing w:after="0" w:line="276" w:lineRule="auto"/>
                    <w:ind w:left="0" w:leftChars="0" w:firstLine="0" w:firstLineChars="0"/>
                    <w:jc w:val="center"/>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一般固废</w:t>
                  </w:r>
                </w:p>
              </w:tc>
              <w:tc>
                <w:tcPr>
                  <w:tcW w:w="2060" w:type="dxa"/>
                  <w:noWrap w:val="0"/>
                  <w:vAlign w:val="center"/>
                </w:tcPr>
                <w:p w14:paraId="615CF3D7">
                  <w:pPr>
                    <w:pStyle w:val="132"/>
                    <w:snapToGrid w:val="0"/>
                    <w:spacing w:after="0" w:line="276" w:lineRule="auto"/>
                    <w:ind w:left="0" w:leftChars="0" w:firstLine="0" w:firstLineChars="0"/>
                    <w:jc w:val="center"/>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交由</w:t>
                  </w:r>
                  <w:r>
                    <w:rPr>
                      <w:rFonts w:hint="eastAsia" w:ascii="Times New Roman" w:hAnsi="Times New Roman" w:cs="Times New Roman"/>
                      <w:snapToGrid w:val="0"/>
                      <w:color w:val="auto"/>
                      <w:sz w:val="21"/>
                      <w:szCs w:val="21"/>
                      <w:u w:val="none"/>
                      <w:lang w:val="en-US" w:eastAsia="zh-CN"/>
                    </w:rPr>
                    <w:t>专业</w:t>
                  </w:r>
                  <w:r>
                    <w:rPr>
                      <w:rFonts w:hint="default" w:ascii="Times New Roman" w:hAnsi="Times New Roman" w:cs="Times New Roman"/>
                      <w:snapToGrid w:val="0"/>
                      <w:color w:val="auto"/>
                      <w:sz w:val="21"/>
                      <w:szCs w:val="21"/>
                      <w:u w:val="none"/>
                    </w:rPr>
                    <w:t>公司综合利用</w:t>
                  </w:r>
                </w:p>
              </w:tc>
            </w:tr>
            <w:tr w14:paraId="27BE4ADC">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c>
                <w:tcPr>
                  <w:tcW w:w="607" w:type="dxa"/>
                  <w:noWrap w:val="0"/>
                  <w:vAlign w:val="center"/>
                </w:tcPr>
                <w:p w14:paraId="52140F4F">
                  <w:pPr>
                    <w:pStyle w:val="132"/>
                    <w:snapToGrid w:val="0"/>
                    <w:spacing w:after="0" w:line="276" w:lineRule="auto"/>
                    <w:ind w:left="0" w:leftChars="0" w:firstLine="0" w:firstLineChars="0"/>
                    <w:jc w:val="center"/>
                    <w:rPr>
                      <w:rFonts w:hint="eastAsia" w:ascii="Times New Roman" w:hAnsi="Times New Roman" w:eastAsia="宋体" w:cs="Times New Roman"/>
                      <w:snapToGrid w:val="0"/>
                      <w:color w:val="auto"/>
                      <w:sz w:val="21"/>
                      <w:szCs w:val="21"/>
                      <w:u w:val="none"/>
                      <w:lang w:val="en-US" w:eastAsia="zh-CN"/>
                    </w:rPr>
                  </w:pPr>
                  <w:r>
                    <w:rPr>
                      <w:rFonts w:hint="eastAsia" w:ascii="Times New Roman" w:hAnsi="Times New Roman" w:cs="Times New Roman"/>
                      <w:snapToGrid w:val="0"/>
                      <w:color w:val="auto"/>
                      <w:sz w:val="21"/>
                      <w:szCs w:val="21"/>
                      <w:u w:val="none"/>
                      <w:lang w:val="en-US" w:eastAsia="zh-CN"/>
                    </w:rPr>
                    <w:t>3</w:t>
                  </w:r>
                </w:p>
              </w:tc>
              <w:tc>
                <w:tcPr>
                  <w:tcW w:w="3568" w:type="dxa"/>
                  <w:noWrap w:val="0"/>
                  <w:vAlign w:val="center"/>
                </w:tcPr>
                <w:p w14:paraId="1252BCE3">
                  <w:pPr>
                    <w:pStyle w:val="132"/>
                    <w:snapToGrid w:val="0"/>
                    <w:spacing w:after="0" w:line="276" w:lineRule="auto"/>
                    <w:ind w:left="0" w:leftChars="0" w:firstLine="0" w:firstLineChars="0"/>
                    <w:jc w:val="center"/>
                    <w:rPr>
                      <w:rFonts w:hint="default" w:ascii="Times New Roman" w:hAnsi="Times New Roman" w:cs="Times New Roman"/>
                      <w:snapToGrid w:val="0"/>
                      <w:color w:val="auto"/>
                      <w:kern w:val="0"/>
                      <w:sz w:val="21"/>
                      <w:szCs w:val="21"/>
                      <w:u w:val="none"/>
                      <w:lang w:val="en-US" w:eastAsia="zh-CN" w:bidi="ar-SA"/>
                    </w:rPr>
                  </w:pPr>
                  <w:r>
                    <w:rPr>
                      <w:rFonts w:hint="default" w:ascii="Times New Roman" w:hAnsi="Times New Roman" w:cs="Times New Roman"/>
                      <w:snapToGrid w:val="0"/>
                      <w:color w:val="auto"/>
                      <w:sz w:val="21"/>
                      <w:szCs w:val="21"/>
                      <w:u w:val="none"/>
                    </w:rPr>
                    <w:t>中药药渣</w:t>
                  </w:r>
                </w:p>
              </w:tc>
              <w:tc>
                <w:tcPr>
                  <w:tcW w:w="1257" w:type="dxa"/>
                  <w:noWrap w:val="0"/>
                  <w:vAlign w:val="center"/>
                </w:tcPr>
                <w:p w14:paraId="7D584FAB">
                  <w:pPr>
                    <w:pStyle w:val="132"/>
                    <w:snapToGrid w:val="0"/>
                    <w:spacing w:after="0" w:line="276" w:lineRule="auto"/>
                    <w:ind w:left="0" w:leftChars="0" w:firstLine="0" w:firstLineChars="0"/>
                    <w:jc w:val="center"/>
                    <w:rPr>
                      <w:rFonts w:hint="default" w:ascii="Times New Roman" w:hAnsi="Times New Roman" w:eastAsia="宋体" w:cs="Times New Roman"/>
                      <w:snapToGrid w:val="0"/>
                      <w:color w:val="auto"/>
                      <w:kern w:val="0"/>
                      <w:sz w:val="21"/>
                      <w:szCs w:val="21"/>
                      <w:u w:val="none"/>
                      <w:lang w:val="en-US" w:eastAsia="zh-CN" w:bidi="ar-SA"/>
                    </w:rPr>
                  </w:pPr>
                  <w:r>
                    <w:rPr>
                      <w:rFonts w:hint="eastAsia" w:cs="Times New Roman"/>
                      <w:snapToGrid w:val="0"/>
                      <w:color w:val="auto"/>
                      <w:sz w:val="21"/>
                      <w:szCs w:val="21"/>
                      <w:u w:val="none"/>
                      <w:lang w:val="en-US" w:eastAsia="zh-CN"/>
                    </w:rPr>
                    <w:t>2</w:t>
                  </w:r>
                </w:p>
              </w:tc>
              <w:tc>
                <w:tcPr>
                  <w:tcW w:w="1103" w:type="dxa"/>
                  <w:noWrap w:val="0"/>
                  <w:vAlign w:val="center"/>
                </w:tcPr>
                <w:p w14:paraId="2332C1DD">
                  <w:pPr>
                    <w:pStyle w:val="132"/>
                    <w:snapToGrid w:val="0"/>
                    <w:spacing w:after="0" w:line="276" w:lineRule="auto"/>
                    <w:ind w:left="0" w:leftChars="0" w:firstLine="0" w:firstLineChars="0"/>
                    <w:jc w:val="center"/>
                    <w:rPr>
                      <w:rFonts w:hint="default" w:ascii="Times New Roman" w:hAnsi="Times New Roman" w:cs="Times New Roman"/>
                      <w:snapToGrid w:val="0"/>
                      <w:color w:val="auto"/>
                      <w:kern w:val="0"/>
                      <w:sz w:val="21"/>
                      <w:szCs w:val="21"/>
                      <w:u w:val="none"/>
                      <w:lang w:val="en-US" w:eastAsia="zh-CN" w:bidi="ar-SA"/>
                    </w:rPr>
                  </w:pPr>
                  <w:r>
                    <w:rPr>
                      <w:rFonts w:hint="default" w:ascii="Times New Roman" w:hAnsi="Times New Roman" w:cs="Times New Roman"/>
                      <w:snapToGrid w:val="0"/>
                      <w:color w:val="auto"/>
                      <w:sz w:val="21"/>
                      <w:szCs w:val="21"/>
                      <w:u w:val="none"/>
                    </w:rPr>
                    <w:t>一般固废</w:t>
                  </w:r>
                </w:p>
              </w:tc>
              <w:tc>
                <w:tcPr>
                  <w:tcW w:w="2060" w:type="dxa"/>
                  <w:noWrap w:val="0"/>
                  <w:vAlign w:val="center"/>
                </w:tcPr>
                <w:p w14:paraId="0A599C9C">
                  <w:pPr>
                    <w:pStyle w:val="132"/>
                    <w:snapToGrid w:val="0"/>
                    <w:spacing w:after="0" w:line="276" w:lineRule="auto"/>
                    <w:ind w:left="0" w:leftChars="0" w:firstLine="0" w:firstLineChars="0"/>
                    <w:jc w:val="center"/>
                    <w:rPr>
                      <w:rFonts w:hint="default" w:ascii="Times New Roman" w:hAnsi="Times New Roman" w:cs="Times New Roman"/>
                      <w:snapToGrid w:val="0"/>
                      <w:color w:val="auto"/>
                      <w:kern w:val="0"/>
                      <w:sz w:val="21"/>
                      <w:szCs w:val="21"/>
                      <w:u w:val="none"/>
                      <w:lang w:val="en-US" w:eastAsia="zh-CN" w:bidi="ar-SA"/>
                    </w:rPr>
                  </w:pPr>
                  <w:r>
                    <w:rPr>
                      <w:rFonts w:hint="default" w:ascii="Times New Roman" w:hAnsi="Times New Roman" w:eastAsia="宋体" w:cs="Times New Roman"/>
                      <w:snapToGrid w:val="0"/>
                      <w:color w:val="auto"/>
                      <w:kern w:val="0"/>
                      <w:sz w:val="21"/>
                      <w:szCs w:val="21"/>
                      <w:u w:val="none"/>
                      <w:lang w:val="en-US" w:eastAsia="zh-CN" w:bidi="ar-SA"/>
                    </w:rPr>
                    <w:t>外售综合利用</w:t>
                  </w:r>
                </w:p>
              </w:tc>
            </w:tr>
          </w:tbl>
          <w:p w14:paraId="1747ED41">
            <w:pPr>
              <w:keepNext w:val="0"/>
              <w:keepLines w:val="0"/>
              <w:widowControl/>
              <w:suppressLineNumbers w:val="0"/>
              <w:ind w:firstLine="482" w:firstLineChars="200"/>
              <w:jc w:val="left"/>
              <w:rPr>
                <w:color w:val="auto"/>
                <w:highlight w:val="none"/>
                <w:u w:val="none" w:color="auto"/>
              </w:rPr>
            </w:pPr>
            <w:r>
              <w:rPr>
                <w:rFonts w:hint="default" w:ascii="Times New Roman Bold" w:hAnsi="Times New Roman Bold" w:cs="Times New Roman Bold"/>
                <w:b/>
                <w:bCs/>
                <w:color w:val="auto"/>
                <w:kern w:val="0"/>
                <w:sz w:val="24"/>
                <w:szCs w:val="24"/>
                <w:highlight w:val="none"/>
                <w:u w:val="none" w:color="auto"/>
                <w:lang w:val="en-US" w:eastAsia="zh-CN" w:bidi="ar"/>
              </w:rPr>
              <w:t>4.</w:t>
            </w:r>
            <w:r>
              <w:rPr>
                <w:rFonts w:hint="eastAsia" w:ascii="Times New Roman Bold" w:hAnsi="Times New Roman Bold" w:cs="Times New Roman Bold"/>
                <w:b/>
                <w:bCs/>
                <w:color w:val="auto"/>
                <w:kern w:val="0"/>
                <w:sz w:val="24"/>
                <w:szCs w:val="24"/>
                <w:highlight w:val="none"/>
                <w:u w:val="none" w:color="auto"/>
                <w:lang w:val="en-US" w:eastAsia="zh-CN" w:bidi="ar"/>
              </w:rPr>
              <w:t>5</w:t>
            </w:r>
            <w:r>
              <w:rPr>
                <w:rFonts w:hint="default" w:ascii="Times New Roman Bold" w:hAnsi="Times New Roman Bold" w:cs="Times New Roman Bold"/>
                <w:b/>
                <w:bCs/>
                <w:color w:val="auto"/>
                <w:kern w:val="0"/>
                <w:sz w:val="24"/>
                <w:szCs w:val="24"/>
                <w:highlight w:val="none"/>
                <w:u w:val="none" w:color="auto"/>
                <w:lang w:val="en-US" w:eastAsia="zh-CN" w:bidi="ar"/>
              </w:rPr>
              <w:t>.2</w:t>
            </w:r>
            <w:r>
              <w:rPr>
                <w:rFonts w:hint="default" w:ascii="Times New Roman Regular" w:hAnsi="Times New Roman Regular" w:eastAsia="宋体" w:cs="Times New Roman Regular"/>
                <w:b/>
                <w:bCs w:val="0"/>
                <w:color w:val="auto"/>
                <w:kern w:val="0"/>
                <w:sz w:val="24"/>
                <w:szCs w:val="24"/>
                <w:highlight w:val="none"/>
                <w:u w:val="none" w:color="auto"/>
                <w:lang w:val="en-US" w:eastAsia="zh-CN" w:bidi="ar"/>
              </w:rPr>
              <w:t>固</w:t>
            </w:r>
            <w:r>
              <w:rPr>
                <w:rFonts w:hint="eastAsia" w:ascii="宋体" w:hAnsi="宋体" w:eastAsia="宋体" w:cs="宋体"/>
                <w:b/>
                <w:bCs/>
                <w:color w:val="auto"/>
                <w:kern w:val="0"/>
                <w:sz w:val="24"/>
                <w:szCs w:val="24"/>
                <w:highlight w:val="none"/>
                <w:u w:val="none" w:color="auto"/>
                <w:lang w:val="en-US" w:eastAsia="zh-CN" w:bidi="ar"/>
              </w:rPr>
              <w:t>体废物暂存和处置要求</w:t>
            </w:r>
          </w:p>
          <w:p w14:paraId="6C1183BA">
            <w:pPr>
              <w:keepNext w:val="0"/>
              <w:keepLines w:val="0"/>
              <w:widowControl/>
              <w:suppressLineNumbers w:val="0"/>
              <w:ind w:firstLine="482" w:firstLineChars="200"/>
              <w:jc w:val="left"/>
              <w:rPr>
                <w:b/>
                <w:bCs/>
                <w:color w:val="auto"/>
                <w:highlight w:val="none"/>
                <w:u w:val="none" w:color="auto"/>
              </w:rPr>
            </w:pPr>
            <w:r>
              <w:rPr>
                <w:rFonts w:hint="default" w:ascii="Times New Roman" w:hAnsi="Times New Roman" w:eastAsia="宋体" w:cs="Times New Roman"/>
                <w:b/>
                <w:bCs/>
                <w:color w:val="auto"/>
                <w:kern w:val="0"/>
                <w:sz w:val="24"/>
                <w:szCs w:val="24"/>
                <w:highlight w:val="none"/>
                <w:u w:val="none" w:color="auto"/>
                <w:lang w:val="en-US" w:eastAsia="zh-CN" w:bidi="ar"/>
              </w:rPr>
              <w:t>（1）一般</w:t>
            </w:r>
            <w:r>
              <w:rPr>
                <w:rFonts w:hint="eastAsia" w:ascii="宋体" w:hAnsi="宋体" w:eastAsia="宋体" w:cs="宋体"/>
                <w:b/>
                <w:bCs/>
                <w:color w:val="auto"/>
                <w:kern w:val="0"/>
                <w:sz w:val="24"/>
                <w:szCs w:val="24"/>
                <w:highlight w:val="none"/>
                <w:u w:val="none" w:color="auto"/>
                <w:lang w:val="en-US" w:eastAsia="zh-CN" w:bidi="ar"/>
              </w:rPr>
              <w:t>固体废物</w:t>
            </w:r>
          </w:p>
          <w:p w14:paraId="65394ED8">
            <w:pPr>
              <w:keepNext w:val="0"/>
              <w:keepLines w:val="0"/>
              <w:widowControl/>
              <w:suppressLineNumbers w:val="0"/>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一般固体废物中的未被污染的废输液瓶（袋）</w:t>
            </w:r>
            <w:r>
              <w:rPr>
                <w:rFonts w:hint="eastAsia" w:ascii="宋体" w:hAnsi="宋体" w:cs="宋体"/>
                <w:color w:val="auto"/>
                <w:kern w:val="0"/>
                <w:sz w:val="24"/>
                <w:szCs w:val="24"/>
                <w:highlight w:val="none"/>
                <w:u w:val="none" w:color="auto"/>
                <w:lang w:val="en-US" w:eastAsia="zh-CN" w:bidi="ar"/>
              </w:rPr>
              <w:t>等</w:t>
            </w:r>
            <w:r>
              <w:rPr>
                <w:rFonts w:hint="eastAsia" w:ascii="宋体" w:hAnsi="宋体" w:eastAsia="宋体" w:cs="宋体"/>
                <w:color w:val="auto"/>
                <w:kern w:val="0"/>
                <w:sz w:val="24"/>
                <w:szCs w:val="24"/>
                <w:highlight w:val="none"/>
                <w:u w:val="none" w:color="auto"/>
                <w:lang w:val="en-US" w:eastAsia="zh-CN" w:bidi="ar"/>
              </w:rPr>
              <w:t>集中收集后</w:t>
            </w:r>
            <w:r>
              <w:rPr>
                <w:rFonts w:hint="eastAsia" w:ascii="宋体" w:hAnsi="宋体" w:cs="宋体"/>
                <w:color w:val="auto"/>
                <w:kern w:val="0"/>
                <w:sz w:val="24"/>
                <w:szCs w:val="24"/>
                <w:highlight w:val="none"/>
                <w:u w:val="none" w:color="auto"/>
                <w:lang w:val="en-US" w:eastAsia="zh-CN" w:bidi="ar"/>
              </w:rPr>
              <w:t>交由</w:t>
            </w:r>
            <w:r>
              <w:rPr>
                <w:rFonts w:hint="default" w:ascii="Times New Roman" w:hAnsi="Times New Roman" w:eastAsia="宋体" w:cs="Times New Roman"/>
                <w:color w:val="auto"/>
                <w:kern w:val="0"/>
                <w:sz w:val="24"/>
                <w:szCs w:val="24"/>
                <w:u w:val="none" w:color="auto"/>
                <w:lang w:val="en-US" w:eastAsia="zh-CN" w:bidi="ar"/>
              </w:rPr>
              <w:t>回收公司统一回收资源化综合利用</w:t>
            </w:r>
            <w:r>
              <w:rPr>
                <w:rFonts w:hint="eastAsia" w:ascii="宋体" w:hAnsi="宋体" w:eastAsia="宋体" w:cs="宋体"/>
                <w:color w:val="auto"/>
                <w:kern w:val="0"/>
                <w:sz w:val="24"/>
                <w:szCs w:val="24"/>
                <w:highlight w:val="none"/>
                <w:u w:val="none" w:color="auto"/>
                <w:lang w:val="en-US" w:eastAsia="zh-CN" w:bidi="ar"/>
              </w:rPr>
              <w:t>，暂时堆放于</w:t>
            </w:r>
            <w:r>
              <w:rPr>
                <w:rFonts w:hint="eastAsia" w:ascii="宋体" w:hAnsi="宋体" w:cs="宋体"/>
                <w:color w:val="auto"/>
                <w:kern w:val="0"/>
                <w:sz w:val="24"/>
                <w:szCs w:val="24"/>
                <w:highlight w:val="none"/>
                <w:u w:val="none" w:color="auto"/>
                <w:lang w:val="en-US" w:eastAsia="zh-CN" w:bidi="ar"/>
              </w:rPr>
              <w:t>院</w:t>
            </w:r>
            <w:r>
              <w:rPr>
                <w:rFonts w:hint="eastAsia" w:ascii="宋体" w:hAnsi="宋体" w:eastAsia="宋体" w:cs="宋体"/>
                <w:color w:val="auto"/>
                <w:kern w:val="0"/>
                <w:sz w:val="24"/>
                <w:szCs w:val="24"/>
                <w:highlight w:val="none"/>
                <w:u w:val="none" w:color="auto"/>
                <w:lang w:val="en-US" w:eastAsia="zh-CN" w:bidi="ar"/>
              </w:rPr>
              <w:t>区内专用的一般固体废物暂存间内</w:t>
            </w:r>
            <w:r>
              <w:rPr>
                <w:rFonts w:hint="eastAsia" w:ascii="宋体" w:hAnsi="宋体" w:cs="宋体"/>
                <w:color w:val="auto"/>
                <w:kern w:val="0"/>
                <w:sz w:val="24"/>
                <w:szCs w:val="24"/>
                <w:highlight w:val="none"/>
                <w:u w:val="none" w:color="auto"/>
                <w:lang w:val="en-US" w:eastAsia="zh-CN" w:bidi="ar"/>
              </w:rPr>
              <w:t>（</w:t>
            </w:r>
            <w:r>
              <w:rPr>
                <w:rFonts w:hint="default" w:ascii="Times New Roman" w:hAnsi="Times New Roman" w:cs="Times New Roman"/>
                <w:color w:val="auto"/>
                <w:kern w:val="0"/>
                <w:sz w:val="24"/>
                <w:szCs w:val="24"/>
                <w:highlight w:val="none"/>
                <w:u w:val="none" w:color="auto"/>
                <w:lang w:val="en-US" w:eastAsia="zh-CN" w:bidi="ar"/>
              </w:rPr>
              <w:t>30</w:t>
            </w:r>
            <w:r>
              <w:rPr>
                <w:rFonts w:hint="default" w:cs="Times New Roman"/>
                <w:color w:val="auto"/>
                <w:sz w:val="24"/>
                <w:szCs w:val="24"/>
                <w:highlight w:val="none"/>
                <w:u w:val="none" w:color="auto"/>
                <w:lang w:val="en-US" w:eastAsia="zh-CN"/>
              </w:rPr>
              <w:t>m</w:t>
            </w:r>
            <w:r>
              <w:rPr>
                <w:rFonts w:hint="default" w:cs="Times New Roman"/>
                <w:color w:val="auto"/>
                <w:sz w:val="24"/>
                <w:szCs w:val="24"/>
                <w:highlight w:val="none"/>
                <w:u w:val="none" w:color="auto"/>
                <w:vertAlign w:val="superscript"/>
                <w:lang w:val="en-US" w:eastAsia="zh-CN"/>
              </w:rPr>
              <w:t>2</w:t>
            </w:r>
            <w:r>
              <w:rPr>
                <w:rFonts w:hint="eastAsia" w:ascii="宋体" w:hAnsi="宋体" w:cs="宋体"/>
                <w:color w:val="auto"/>
                <w:kern w:val="0"/>
                <w:sz w:val="24"/>
                <w:szCs w:val="24"/>
                <w:highlight w:val="none"/>
                <w:u w:val="none" w:color="auto"/>
                <w:lang w:val="en-US" w:eastAsia="zh-CN" w:bidi="ar"/>
              </w:rPr>
              <w:t>）</w:t>
            </w:r>
            <w:r>
              <w:rPr>
                <w:rFonts w:hint="eastAsia" w:ascii="宋体" w:hAnsi="宋体" w:eastAsia="宋体" w:cs="宋体"/>
                <w:color w:val="auto"/>
                <w:kern w:val="0"/>
                <w:sz w:val="24"/>
                <w:szCs w:val="24"/>
                <w:highlight w:val="none"/>
                <w:u w:val="none" w:color="auto"/>
                <w:lang w:val="en-US" w:eastAsia="zh-CN" w:bidi="ar"/>
              </w:rPr>
              <w:t>。一般固废暂存间应按</w:t>
            </w:r>
            <w:r>
              <w:rPr>
                <w:rFonts w:hint="eastAsia" w:ascii="宋体" w:hAnsi="宋体" w:cs="宋体"/>
                <w:color w:val="auto"/>
                <w:kern w:val="0"/>
                <w:sz w:val="24"/>
                <w:szCs w:val="24"/>
                <w:highlight w:val="none"/>
                <w:u w:val="none" w:color="auto"/>
                <w:lang w:val="en-US" w:eastAsia="zh-CN" w:bidi="ar"/>
              </w:rPr>
              <w:t>《</w:t>
            </w:r>
            <w:r>
              <w:rPr>
                <w:rFonts w:hint="eastAsia" w:ascii="宋体" w:hAnsi="宋体" w:eastAsia="宋体" w:cs="宋体"/>
                <w:color w:val="auto"/>
                <w:kern w:val="0"/>
                <w:sz w:val="24"/>
                <w:szCs w:val="24"/>
                <w:highlight w:val="none"/>
                <w:u w:val="none" w:color="auto"/>
                <w:lang w:val="en-US" w:eastAsia="zh-CN" w:bidi="ar"/>
              </w:rPr>
              <w:t>一般工业固体废物贮存和填埋污染控制标准》（</w:t>
            </w:r>
            <w:r>
              <w:rPr>
                <w:rFonts w:hint="default" w:ascii="Times New Roman" w:hAnsi="Times New Roman" w:eastAsia="宋体" w:cs="Times New Roman"/>
                <w:color w:val="auto"/>
                <w:kern w:val="0"/>
                <w:sz w:val="24"/>
                <w:szCs w:val="24"/>
                <w:highlight w:val="none"/>
                <w:u w:val="none" w:color="auto"/>
                <w:lang w:val="en-US" w:eastAsia="zh-CN" w:bidi="ar"/>
              </w:rPr>
              <w:t>GB18599-2020</w:t>
            </w:r>
            <w:r>
              <w:rPr>
                <w:rFonts w:hint="eastAsia" w:ascii="宋体" w:hAnsi="宋体" w:eastAsia="宋体" w:cs="宋体"/>
                <w:color w:val="auto"/>
                <w:kern w:val="0"/>
                <w:sz w:val="24"/>
                <w:szCs w:val="24"/>
                <w:highlight w:val="none"/>
                <w:u w:val="none" w:color="auto"/>
                <w:lang w:val="en-US" w:eastAsia="zh-CN" w:bidi="ar"/>
              </w:rPr>
              <w:t>）禁止危险废物混入。</w:t>
            </w:r>
          </w:p>
          <w:p w14:paraId="7408B5E6">
            <w:pPr>
              <w:keepNext w:val="0"/>
              <w:keepLines w:val="0"/>
              <w:widowControl/>
              <w:suppressLineNumbers w:val="0"/>
              <w:ind w:firstLine="482" w:firstLineChars="200"/>
              <w:jc w:val="left"/>
              <w:rPr>
                <w:rFonts w:hint="default" w:ascii="Times New Roman" w:hAnsi="Times New Roman" w:cs="Times New Roman"/>
                <w:b/>
                <w:bCs/>
                <w:color w:val="auto"/>
                <w:highlight w:val="none"/>
                <w:u w:val="none" w:color="auto"/>
              </w:rPr>
            </w:pPr>
            <w:r>
              <w:rPr>
                <w:rFonts w:hint="eastAsia" w:ascii="Times New Roman" w:hAnsi="Times New Roman" w:eastAsia="宋体" w:cs="Times New Roman"/>
                <w:b/>
                <w:bCs/>
                <w:color w:val="auto"/>
                <w:kern w:val="0"/>
                <w:sz w:val="24"/>
                <w:szCs w:val="24"/>
                <w:highlight w:val="none"/>
                <w:u w:val="none" w:color="auto"/>
                <w:lang w:val="en-US" w:eastAsia="zh-CN" w:bidi="ar"/>
              </w:rPr>
              <w:t>（2）</w:t>
            </w:r>
            <w:r>
              <w:rPr>
                <w:rFonts w:hint="default" w:ascii="Times New Roman" w:hAnsi="Times New Roman" w:eastAsia="宋体" w:cs="Times New Roman"/>
                <w:b/>
                <w:bCs/>
                <w:color w:val="auto"/>
                <w:kern w:val="0"/>
                <w:sz w:val="24"/>
                <w:szCs w:val="24"/>
                <w:highlight w:val="none"/>
                <w:u w:val="none" w:color="auto"/>
                <w:lang w:val="en-US" w:eastAsia="zh-CN" w:bidi="ar"/>
              </w:rPr>
              <w:t>危险废物</w:t>
            </w:r>
          </w:p>
          <w:p w14:paraId="1ACA2BD4">
            <w:pPr>
              <w:keepNext w:val="0"/>
              <w:keepLines w:val="0"/>
              <w:widowControl/>
              <w:suppressLineNumbers w:val="0"/>
              <w:ind w:firstLine="480" w:firstLineChars="200"/>
              <w:jc w:val="left"/>
              <w:rPr>
                <w:rFonts w:hint="eastAsia" w:ascii="宋体" w:hAnsi="宋体" w:eastAsia="宋体" w:cs="宋体"/>
                <w:color w:val="auto"/>
                <w:kern w:val="0"/>
                <w:sz w:val="24"/>
                <w:szCs w:val="24"/>
                <w:highlight w:val="none"/>
                <w:u w:val="none" w:color="auto"/>
                <w:lang w:val="en-US" w:eastAsia="zh-CN" w:bidi="ar"/>
              </w:rPr>
            </w:pPr>
            <w:r>
              <w:rPr>
                <w:rFonts w:hint="eastAsia" w:ascii="Times New Roman" w:hAnsi="Times New Roman" w:eastAsia="宋体" w:cs="Times New Roman"/>
                <w:color w:val="auto"/>
                <w:highlight w:val="none"/>
                <w:u w:val="none" w:color="auto"/>
                <w:lang w:val="en-US" w:eastAsia="zh-CN"/>
              </w:rPr>
              <w:t>本项目医疗危险废物</w:t>
            </w:r>
            <w:r>
              <w:rPr>
                <w:rFonts w:hint="eastAsia" w:cs="Times New Roman"/>
                <w:color w:val="auto"/>
                <w:highlight w:val="none"/>
                <w:u w:val="none" w:color="auto"/>
                <w:lang w:val="en-US" w:eastAsia="zh-CN"/>
              </w:rPr>
              <w:t>暂存于医废暂存间（</w:t>
            </w:r>
            <w:r>
              <w:rPr>
                <w:rFonts w:hint="eastAsia" w:ascii="Times New Roman" w:hAnsi="Times New Roman" w:eastAsia="宋体" w:cs="Times New Roman"/>
                <w:color w:val="auto"/>
                <w:kern w:val="0"/>
                <w:sz w:val="24"/>
                <w:szCs w:val="24"/>
                <w:highlight w:val="none"/>
                <w:u w:val="none" w:color="auto"/>
                <w:lang w:val="en-US" w:eastAsia="zh-CN" w:bidi="ar"/>
              </w:rPr>
              <w:t>2</w:t>
            </w:r>
            <w:r>
              <w:rPr>
                <w:rFonts w:hint="default" w:ascii="Times New Roman" w:hAnsi="Times New Roman" w:eastAsia="宋体" w:cs="Times New Roman"/>
                <w:color w:val="auto"/>
                <w:kern w:val="0"/>
                <w:sz w:val="24"/>
                <w:szCs w:val="24"/>
                <w:highlight w:val="none"/>
                <w:u w:val="none" w:color="auto"/>
                <w:lang w:val="en-US" w:eastAsia="zh-CN" w:bidi="ar"/>
              </w:rPr>
              <w:t>0</w:t>
            </w:r>
            <w:r>
              <w:rPr>
                <w:rFonts w:hint="default" w:cs="Times New Roman"/>
                <w:color w:val="000000" w:themeColor="text1"/>
                <w:sz w:val="24"/>
                <w:szCs w:val="24"/>
                <w:highlight w:val="none"/>
                <w:lang w:val="en-US" w:eastAsia="zh-CN"/>
                <w14:textFill>
                  <w14:solidFill>
                    <w14:schemeClr w14:val="tx1"/>
                  </w14:solidFill>
                </w14:textFill>
              </w:rPr>
              <w:t>m</w:t>
            </w:r>
            <w:r>
              <w:rPr>
                <w:rFonts w:hint="default" w:cs="Times New Roman"/>
                <w:color w:val="000000" w:themeColor="text1"/>
                <w:sz w:val="24"/>
                <w:szCs w:val="24"/>
                <w:highlight w:val="none"/>
                <w:vertAlign w:val="superscript"/>
                <w:lang w:val="en-US" w:eastAsia="zh-CN"/>
                <w14:textFill>
                  <w14:solidFill>
                    <w14:schemeClr w14:val="tx1"/>
                  </w14:solidFill>
                </w14:textFill>
              </w:rPr>
              <w:t>2</w:t>
            </w:r>
            <w:r>
              <w:rPr>
                <w:rFonts w:hint="eastAsia" w:cs="Times New Roman"/>
                <w:color w:val="auto"/>
                <w:highlight w:val="none"/>
                <w:u w:val="none" w:color="auto"/>
                <w:lang w:val="en-US" w:eastAsia="zh-CN"/>
              </w:rPr>
              <w:t>）</w:t>
            </w:r>
            <w:r>
              <w:rPr>
                <w:rFonts w:hint="eastAsia" w:ascii="Times New Roman" w:hAnsi="Times New Roman" w:eastAsia="宋体" w:cs="Times New Roman"/>
                <w:color w:val="auto"/>
                <w:sz w:val="24"/>
                <w:szCs w:val="24"/>
                <w:highlight w:val="none"/>
                <w:u w:val="none" w:color="auto"/>
                <w:lang w:val="en-US" w:eastAsia="zh-CN"/>
              </w:rPr>
              <w:t>，定期交由</w:t>
            </w:r>
            <w:r>
              <w:rPr>
                <w:rFonts w:hint="eastAsia" w:cs="Times New Roman"/>
                <w:color w:val="auto"/>
                <w:sz w:val="24"/>
                <w:szCs w:val="24"/>
                <w:highlight w:val="none"/>
                <w:u w:val="none" w:color="auto"/>
                <w:lang w:val="en-US" w:eastAsia="zh-CN"/>
              </w:rPr>
              <w:t>有资质的</w:t>
            </w:r>
            <w:r>
              <w:rPr>
                <w:rFonts w:hint="eastAsia" w:cs="Times New Roman"/>
                <w:b w:val="0"/>
                <w:bCs w:val="0"/>
                <w:color w:val="auto"/>
                <w:sz w:val="24"/>
                <w:szCs w:val="24"/>
                <w:highlight w:val="none"/>
                <w:u w:val="none" w:color="auto"/>
                <w:lang w:val="en-US" w:eastAsia="zh-CN"/>
              </w:rPr>
              <w:t>单位</w:t>
            </w:r>
            <w:r>
              <w:rPr>
                <w:rFonts w:hint="eastAsia" w:cs="Times New Roman"/>
                <w:color w:val="auto"/>
                <w:sz w:val="24"/>
                <w:szCs w:val="24"/>
                <w:highlight w:val="none"/>
                <w:u w:val="none" w:color="auto"/>
                <w:lang w:val="en-US" w:eastAsia="zh-CN"/>
              </w:rPr>
              <w:t>处理</w:t>
            </w:r>
            <w:r>
              <w:rPr>
                <w:rFonts w:hint="eastAsia" w:ascii="Times New Roman" w:hAnsi="Times New Roman" w:eastAsia="宋体" w:cs="Times New Roman"/>
                <w:color w:val="auto"/>
                <w:sz w:val="24"/>
                <w:szCs w:val="24"/>
                <w:highlight w:val="none"/>
                <w:u w:val="none" w:color="auto"/>
                <w:lang w:val="en-US" w:eastAsia="zh-CN"/>
              </w:rPr>
              <w:t>，储存措施应符合</w:t>
            </w:r>
            <w:r>
              <w:rPr>
                <w:rFonts w:hint="eastAsia" w:cs="Times New Roman"/>
                <w:color w:val="auto"/>
                <w:sz w:val="24"/>
                <w:szCs w:val="24"/>
                <w:highlight w:val="none"/>
                <w:u w:val="none" w:color="auto"/>
                <w:lang w:val="en-US" w:eastAsia="zh-CN"/>
              </w:rPr>
              <w:t>《危险废物贮存污染控制标准》（GB18597-2023）</w:t>
            </w:r>
            <w:r>
              <w:rPr>
                <w:rFonts w:hint="eastAsia" w:ascii="Times New Roman" w:hAnsi="Times New Roman" w:eastAsia="宋体" w:cs="Times New Roman"/>
                <w:color w:val="auto"/>
                <w:sz w:val="24"/>
                <w:szCs w:val="24"/>
                <w:highlight w:val="none"/>
                <w:u w:val="none" w:color="auto"/>
                <w:lang w:val="en-US" w:eastAsia="zh-CN"/>
              </w:rPr>
              <w:t>、《医疗废物集中处置技术规范》</w:t>
            </w:r>
            <w:r>
              <w:rPr>
                <w:rFonts w:hint="eastAsia" w:ascii="Times New Roman" w:hAnsi="Times New Roman" w:eastAsia="宋体" w:cs="Times New Roman"/>
                <w:color w:val="auto"/>
                <w:sz w:val="24"/>
                <w:u w:val="none" w:color="auto"/>
                <w:lang w:val="en-US" w:eastAsia="zh-CN"/>
              </w:rPr>
              <w:t>（环发</w:t>
            </w:r>
            <w:r>
              <w:rPr>
                <w:rFonts w:hint="eastAsia" w:cs="Times New Roman"/>
                <w:color w:val="auto"/>
                <w:sz w:val="24"/>
                <w:u w:val="none" w:color="auto"/>
                <w:lang w:val="en-US" w:eastAsia="zh-CN"/>
              </w:rPr>
              <w:t>〔2003〕</w:t>
            </w:r>
            <w:r>
              <w:rPr>
                <w:rFonts w:hint="default" w:ascii="Times New Roman" w:hAnsi="Times New Roman" w:eastAsia="宋体" w:cs="Times New Roman"/>
                <w:color w:val="auto"/>
                <w:sz w:val="24"/>
                <w:u w:val="none" w:color="auto"/>
                <w:lang w:val="en-US" w:eastAsia="zh-CN"/>
              </w:rPr>
              <w:t xml:space="preserve"> 206 </w:t>
            </w:r>
            <w:r>
              <w:rPr>
                <w:rFonts w:hint="eastAsia" w:ascii="Times New Roman" w:hAnsi="Times New Roman" w:eastAsia="宋体" w:cs="Times New Roman"/>
                <w:color w:val="auto"/>
                <w:sz w:val="24"/>
                <w:u w:val="none" w:color="auto"/>
                <w:lang w:val="en-US" w:eastAsia="zh-CN"/>
              </w:rPr>
              <w:t>号）</w:t>
            </w:r>
            <w:r>
              <w:rPr>
                <w:rFonts w:hint="eastAsia" w:cs="Times New Roman"/>
                <w:color w:val="auto"/>
                <w:sz w:val="24"/>
                <w:szCs w:val="24"/>
                <w:highlight w:val="none"/>
                <w:u w:val="none" w:color="auto"/>
                <w:lang w:val="en-US" w:eastAsia="zh-CN"/>
              </w:rPr>
              <w:t>等</w:t>
            </w:r>
            <w:r>
              <w:rPr>
                <w:rFonts w:hint="eastAsia" w:ascii="Times New Roman" w:hAnsi="Times New Roman" w:eastAsia="宋体" w:cs="Times New Roman"/>
                <w:color w:val="auto"/>
                <w:sz w:val="24"/>
                <w:szCs w:val="24"/>
                <w:highlight w:val="none"/>
                <w:u w:val="none" w:color="auto"/>
                <w:lang w:val="en-US" w:eastAsia="zh-CN"/>
              </w:rPr>
              <w:t>要求。</w:t>
            </w:r>
          </w:p>
          <w:p w14:paraId="0D78F69B">
            <w:pPr>
              <w:keepNext w:val="0"/>
              <w:keepLines w:val="0"/>
              <w:widowControl/>
              <w:suppressLineNumbers w:val="0"/>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①收集容器的规定</w:t>
            </w:r>
          </w:p>
          <w:p w14:paraId="4F5D2F05">
            <w:pPr>
              <w:keepNext w:val="0"/>
              <w:keepLines w:val="0"/>
              <w:widowControl/>
              <w:suppressLineNumbers w:val="0"/>
              <w:ind w:firstLine="480" w:firstLineChars="200"/>
              <w:jc w:val="left"/>
              <w:rPr>
                <w:color w:val="auto"/>
                <w:highlight w:val="none"/>
                <w:u w:val="none" w:color="auto"/>
              </w:rPr>
            </w:pPr>
            <w:r>
              <w:rPr>
                <w:rFonts w:hint="default" w:ascii="Times New Roman Regular" w:hAnsi="Times New Roman Regular" w:cs="Times New Roman Regular"/>
                <w:color w:val="auto"/>
                <w:kern w:val="0"/>
                <w:sz w:val="24"/>
                <w:szCs w:val="24"/>
                <w:highlight w:val="none"/>
                <w:u w:val="none" w:color="auto"/>
                <w:lang w:val="en-US" w:eastAsia="zh-CN" w:bidi="ar"/>
              </w:rPr>
              <w:t>a.</w:t>
            </w:r>
            <w:r>
              <w:rPr>
                <w:rFonts w:hint="eastAsia" w:ascii="宋体" w:hAnsi="宋体" w:eastAsia="宋体" w:cs="宋体"/>
                <w:color w:val="auto"/>
                <w:kern w:val="0"/>
                <w:sz w:val="24"/>
                <w:szCs w:val="24"/>
                <w:highlight w:val="none"/>
                <w:u w:val="none" w:color="auto"/>
                <w:lang w:val="en-US" w:eastAsia="zh-CN" w:bidi="ar"/>
              </w:rPr>
              <w:t>收集容器应符合《医疗废物专用包装袋、容器和警示标志标准》（</w:t>
            </w:r>
            <w:r>
              <w:rPr>
                <w:rFonts w:hint="default" w:ascii="Times New Roman" w:hAnsi="Times New Roman" w:eastAsia="宋体" w:cs="Times New Roman"/>
                <w:color w:val="auto"/>
                <w:kern w:val="0"/>
                <w:sz w:val="24"/>
                <w:szCs w:val="24"/>
                <w:highlight w:val="none"/>
                <w:u w:val="none" w:color="auto"/>
                <w:lang w:val="en-US" w:eastAsia="zh-CN" w:bidi="ar"/>
              </w:rPr>
              <w:t>HJ421-2008</w:t>
            </w:r>
            <w:r>
              <w:rPr>
                <w:rFonts w:hint="eastAsia" w:ascii="宋体" w:hAnsi="宋体" w:eastAsia="宋体" w:cs="宋体"/>
                <w:color w:val="auto"/>
                <w:kern w:val="0"/>
                <w:sz w:val="24"/>
                <w:szCs w:val="24"/>
                <w:highlight w:val="none"/>
                <w:u w:val="none" w:color="auto"/>
                <w:lang w:val="en-US" w:eastAsia="zh-CN" w:bidi="ar"/>
              </w:rPr>
              <w:t>）的要求。包装袋在正常使用情况下，不应出现渗漏、破裂和穿孔；包装袋容积大小应适中，便于操作，配合周转箱（桶）运输；医疗废物包装袋的颜色为淡黄，颜色应符合</w:t>
            </w:r>
            <w:r>
              <w:rPr>
                <w:rFonts w:hint="default" w:ascii="Times New Roman" w:hAnsi="Times New Roman" w:eastAsia="宋体" w:cs="Times New Roman"/>
                <w:color w:val="auto"/>
                <w:kern w:val="0"/>
                <w:sz w:val="24"/>
                <w:szCs w:val="24"/>
                <w:highlight w:val="none"/>
                <w:u w:val="none" w:color="auto"/>
                <w:lang w:val="en-US" w:eastAsia="zh-CN" w:bidi="ar"/>
              </w:rPr>
              <w:t>GB/T3181</w:t>
            </w:r>
            <w:r>
              <w:rPr>
                <w:rFonts w:hint="eastAsia" w:ascii="宋体" w:hAnsi="宋体" w:eastAsia="宋体" w:cs="宋体"/>
                <w:color w:val="auto"/>
                <w:kern w:val="0"/>
                <w:sz w:val="24"/>
                <w:szCs w:val="24"/>
                <w:highlight w:val="none"/>
                <w:u w:val="none" w:color="auto"/>
                <w:lang w:val="en-US" w:eastAsia="zh-CN" w:bidi="ar"/>
              </w:rPr>
              <w:t>中</w:t>
            </w:r>
            <w:r>
              <w:rPr>
                <w:rFonts w:hint="default" w:ascii="Times New Roman" w:hAnsi="Times New Roman" w:eastAsia="宋体" w:cs="Times New Roman"/>
                <w:color w:val="auto"/>
                <w:kern w:val="0"/>
                <w:sz w:val="24"/>
                <w:szCs w:val="24"/>
                <w:highlight w:val="none"/>
                <w:u w:val="none" w:color="auto"/>
                <w:lang w:val="en-US" w:eastAsia="zh-CN" w:bidi="ar"/>
              </w:rPr>
              <w:t>Y06</w:t>
            </w:r>
            <w:r>
              <w:rPr>
                <w:rFonts w:hint="eastAsia" w:ascii="宋体" w:hAnsi="宋体" w:eastAsia="宋体" w:cs="宋体"/>
                <w:color w:val="auto"/>
                <w:kern w:val="0"/>
                <w:sz w:val="24"/>
                <w:szCs w:val="24"/>
                <w:highlight w:val="none"/>
                <w:u w:val="none" w:color="auto"/>
                <w:lang w:val="en-US" w:eastAsia="zh-CN" w:bidi="ar"/>
              </w:rPr>
              <w:t>的要求，包装袋的明显处应印制警示标志和警告语。</w:t>
            </w:r>
          </w:p>
          <w:p w14:paraId="2B387EF5">
            <w:pPr>
              <w:keepNext w:val="0"/>
              <w:keepLines w:val="0"/>
              <w:widowControl/>
              <w:suppressLineNumbers w:val="0"/>
              <w:ind w:firstLine="480" w:firstLineChars="200"/>
              <w:jc w:val="left"/>
              <w:rPr>
                <w:color w:val="auto"/>
                <w:highlight w:val="none"/>
                <w:u w:val="none" w:color="auto"/>
              </w:rPr>
            </w:pPr>
            <w:r>
              <w:rPr>
                <w:rFonts w:hint="default" w:ascii="Times New Roman Regular" w:hAnsi="Times New Roman Regular" w:cs="Times New Roman Regular"/>
                <w:color w:val="auto"/>
                <w:kern w:val="0"/>
                <w:sz w:val="24"/>
                <w:szCs w:val="24"/>
                <w:highlight w:val="none"/>
                <w:u w:val="none" w:color="auto"/>
                <w:lang w:val="en-US" w:eastAsia="zh-CN" w:bidi="ar"/>
              </w:rPr>
              <w:t>b.</w:t>
            </w:r>
            <w:r>
              <w:rPr>
                <w:rFonts w:hint="eastAsia" w:ascii="宋体" w:hAnsi="宋体" w:eastAsia="宋体" w:cs="宋体"/>
                <w:color w:val="auto"/>
                <w:kern w:val="0"/>
                <w:sz w:val="24"/>
                <w:szCs w:val="24"/>
                <w:highlight w:val="none"/>
                <w:u w:val="none" w:color="auto"/>
                <w:lang w:val="en-US" w:eastAsia="zh-CN" w:bidi="ar"/>
              </w:rPr>
              <w:t>包装袋外观质量：表面基本平整、无皱褶、污迹和杂质，无划痕、气泡、缩孔、针孔以及其他缺陷；包装袋物理机械性能应符合相应的规定。</w:t>
            </w:r>
          </w:p>
          <w:p w14:paraId="1E4E21B7">
            <w:pPr>
              <w:keepNext w:val="0"/>
              <w:keepLines w:val="0"/>
              <w:widowControl/>
              <w:suppressLineNumbers w:val="0"/>
              <w:ind w:firstLine="480" w:firstLineChars="200"/>
              <w:jc w:val="left"/>
              <w:rPr>
                <w:color w:val="auto"/>
                <w:highlight w:val="none"/>
                <w:u w:val="none" w:color="auto"/>
              </w:rPr>
            </w:pPr>
            <w:r>
              <w:rPr>
                <w:rFonts w:hint="default" w:ascii="Times New Roman Regular" w:hAnsi="Times New Roman Regular" w:cs="Times New Roman Regular"/>
                <w:color w:val="auto"/>
                <w:kern w:val="0"/>
                <w:sz w:val="24"/>
                <w:szCs w:val="24"/>
                <w:highlight w:val="none"/>
                <w:u w:val="none" w:color="auto"/>
                <w:lang w:val="en-US" w:eastAsia="zh-CN" w:bidi="ar"/>
              </w:rPr>
              <w:t>c.</w:t>
            </w:r>
            <w:r>
              <w:rPr>
                <w:rFonts w:hint="eastAsia" w:ascii="宋体" w:hAnsi="宋体" w:eastAsia="宋体" w:cs="宋体"/>
                <w:color w:val="auto"/>
                <w:kern w:val="0"/>
                <w:sz w:val="24"/>
                <w:szCs w:val="24"/>
                <w:highlight w:val="none"/>
                <w:u w:val="none" w:color="auto"/>
                <w:lang w:val="en-US" w:eastAsia="zh-CN" w:bidi="ar"/>
              </w:rPr>
              <w:t>利器盒整体为硬质材料制成，封闭且防刺穿，以保证在正常情况下，利器盒内盛装物不撒漏，并且利器盒一旦被封口，在不破坏的情况下无法被再次打开；利器盒整体颜色为淡黄，颜色应符合</w:t>
            </w:r>
            <w:r>
              <w:rPr>
                <w:rFonts w:hint="default" w:ascii="Times New Roman" w:hAnsi="Times New Roman" w:eastAsia="宋体" w:cs="Times New Roman"/>
                <w:color w:val="auto"/>
                <w:kern w:val="0"/>
                <w:sz w:val="24"/>
                <w:szCs w:val="24"/>
                <w:highlight w:val="none"/>
                <w:u w:val="none" w:color="auto"/>
                <w:lang w:val="en-US" w:eastAsia="zh-CN" w:bidi="ar"/>
              </w:rPr>
              <w:t>GB/T3181</w:t>
            </w:r>
            <w:r>
              <w:rPr>
                <w:rFonts w:hint="eastAsia" w:ascii="宋体" w:hAnsi="宋体" w:eastAsia="宋体" w:cs="宋体"/>
                <w:color w:val="auto"/>
                <w:kern w:val="0"/>
                <w:sz w:val="24"/>
                <w:szCs w:val="24"/>
                <w:highlight w:val="none"/>
                <w:u w:val="none" w:color="auto"/>
                <w:lang w:val="en-US" w:eastAsia="zh-CN" w:bidi="ar"/>
              </w:rPr>
              <w:t>中</w:t>
            </w:r>
            <w:r>
              <w:rPr>
                <w:rFonts w:hint="default" w:ascii="Times New Roman" w:hAnsi="Times New Roman" w:eastAsia="宋体" w:cs="Times New Roman"/>
                <w:color w:val="auto"/>
                <w:kern w:val="0"/>
                <w:sz w:val="24"/>
                <w:szCs w:val="24"/>
                <w:highlight w:val="none"/>
                <w:u w:val="none" w:color="auto"/>
                <w:lang w:val="en-US" w:eastAsia="zh-CN" w:bidi="ar"/>
              </w:rPr>
              <w:t>Y06</w:t>
            </w:r>
            <w:r>
              <w:rPr>
                <w:rFonts w:hint="eastAsia" w:ascii="宋体" w:hAnsi="宋体" w:eastAsia="宋体" w:cs="宋体"/>
                <w:color w:val="auto"/>
                <w:kern w:val="0"/>
                <w:sz w:val="24"/>
                <w:szCs w:val="24"/>
                <w:highlight w:val="none"/>
                <w:u w:val="none" w:color="auto"/>
                <w:lang w:val="en-US" w:eastAsia="zh-CN" w:bidi="ar"/>
              </w:rPr>
              <w:t>的要求。利器盒侧面明显处应印制警示标志，警告语为“警告！损伤性废物”；满盛装量的利器盒从</w:t>
            </w:r>
            <w:r>
              <w:rPr>
                <w:rFonts w:hint="default" w:ascii="Times New Roman" w:hAnsi="Times New Roman" w:eastAsia="宋体" w:cs="Times New Roman"/>
                <w:color w:val="auto"/>
                <w:kern w:val="0"/>
                <w:sz w:val="24"/>
                <w:szCs w:val="24"/>
                <w:highlight w:val="none"/>
                <w:u w:val="none" w:color="auto"/>
                <w:lang w:val="en-US" w:eastAsia="zh-CN" w:bidi="ar"/>
              </w:rPr>
              <w:t>1.20m</w:t>
            </w:r>
            <w:r>
              <w:rPr>
                <w:rFonts w:hint="eastAsia" w:ascii="宋体" w:hAnsi="宋体" w:eastAsia="宋体" w:cs="宋体"/>
                <w:color w:val="auto"/>
                <w:kern w:val="0"/>
                <w:sz w:val="24"/>
                <w:szCs w:val="24"/>
                <w:highlight w:val="none"/>
                <w:u w:val="none" w:color="auto"/>
                <w:lang w:val="en-US" w:eastAsia="zh-CN" w:bidi="ar"/>
              </w:rPr>
              <w:t>高处自由跌落至水泥地面，连续</w:t>
            </w:r>
            <w:r>
              <w:rPr>
                <w:rFonts w:hint="default" w:ascii="Times New Roman" w:hAnsi="Times New Roman" w:eastAsia="宋体" w:cs="Times New Roman"/>
                <w:color w:val="auto"/>
                <w:kern w:val="0"/>
                <w:sz w:val="24"/>
                <w:szCs w:val="24"/>
                <w:highlight w:val="none"/>
                <w:u w:val="none" w:color="auto"/>
                <w:lang w:val="en-US" w:eastAsia="zh-CN" w:bidi="ar"/>
              </w:rPr>
              <w:t>3</w:t>
            </w:r>
            <w:r>
              <w:rPr>
                <w:rFonts w:hint="eastAsia" w:ascii="宋体" w:hAnsi="宋体" w:eastAsia="宋体" w:cs="宋体"/>
                <w:color w:val="auto"/>
                <w:kern w:val="0"/>
                <w:sz w:val="24"/>
                <w:szCs w:val="24"/>
                <w:highlight w:val="none"/>
                <w:u w:val="none" w:color="auto"/>
                <w:lang w:val="en-US" w:eastAsia="zh-CN" w:bidi="ar"/>
              </w:rPr>
              <w:t>次，不会出现破裂、被刺穿等情况。</w:t>
            </w:r>
          </w:p>
          <w:p w14:paraId="4BFDC446">
            <w:pPr>
              <w:keepNext w:val="0"/>
              <w:keepLines w:val="0"/>
              <w:widowControl/>
              <w:suppressLineNumbers w:val="0"/>
              <w:ind w:firstLine="480" w:firstLineChars="200"/>
              <w:jc w:val="left"/>
              <w:rPr>
                <w:color w:val="auto"/>
                <w:highlight w:val="none"/>
                <w:u w:val="none" w:color="auto"/>
              </w:rPr>
            </w:pPr>
            <w:r>
              <w:rPr>
                <w:rFonts w:hint="default" w:ascii="Times New Roman Regular" w:hAnsi="Times New Roman Regular" w:cs="Times New Roman Regular"/>
                <w:color w:val="auto"/>
                <w:kern w:val="0"/>
                <w:sz w:val="24"/>
                <w:szCs w:val="24"/>
                <w:highlight w:val="none"/>
                <w:u w:val="none" w:color="auto"/>
                <w:lang w:val="en-US" w:eastAsia="zh-CN" w:bidi="ar"/>
              </w:rPr>
              <w:t>d.</w:t>
            </w:r>
            <w:r>
              <w:rPr>
                <w:rFonts w:hint="eastAsia" w:ascii="宋体" w:hAnsi="宋体" w:eastAsia="宋体" w:cs="宋体"/>
                <w:color w:val="auto"/>
                <w:kern w:val="0"/>
                <w:sz w:val="24"/>
                <w:szCs w:val="24"/>
                <w:highlight w:val="none"/>
                <w:u w:val="none" w:color="auto"/>
                <w:lang w:val="en-US" w:eastAsia="zh-CN" w:bidi="ar"/>
              </w:rPr>
              <w:t>周转箱（桶）整体应防液体渗漏，应便于清洗和消毒；周转箱（桶）整体为淡黄，颜色应符合</w:t>
            </w:r>
            <w:r>
              <w:rPr>
                <w:rFonts w:hint="default" w:ascii="Times New Roman" w:hAnsi="Times New Roman" w:eastAsia="宋体" w:cs="Times New Roman"/>
                <w:color w:val="auto"/>
                <w:kern w:val="0"/>
                <w:sz w:val="24"/>
                <w:szCs w:val="24"/>
                <w:highlight w:val="none"/>
                <w:u w:val="none" w:color="auto"/>
                <w:lang w:val="en-US" w:eastAsia="zh-CN" w:bidi="ar"/>
              </w:rPr>
              <w:t>GB/T3181</w:t>
            </w:r>
            <w:r>
              <w:rPr>
                <w:rFonts w:hint="eastAsia" w:ascii="宋体" w:hAnsi="宋体" w:eastAsia="宋体" w:cs="宋体"/>
                <w:color w:val="auto"/>
                <w:kern w:val="0"/>
                <w:sz w:val="24"/>
                <w:szCs w:val="24"/>
                <w:highlight w:val="none"/>
                <w:u w:val="none" w:color="auto"/>
                <w:lang w:val="en-US" w:eastAsia="zh-CN" w:bidi="ar"/>
              </w:rPr>
              <w:t>中</w:t>
            </w:r>
            <w:r>
              <w:rPr>
                <w:rFonts w:hint="default" w:ascii="Times New Roman" w:hAnsi="Times New Roman" w:eastAsia="宋体" w:cs="Times New Roman"/>
                <w:color w:val="auto"/>
                <w:kern w:val="0"/>
                <w:sz w:val="24"/>
                <w:szCs w:val="24"/>
                <w:highlight w:val="none"/>
                <w:u w:val="none" w:color="auto"/>
                <w:lang w:val="en-US" w:eastAsia="zh-CN" w:bidi="ar"/>
              </w:rPr>
              <w:t>Y06</w:t>
            </w:r>
            <w:r>
              <w:rPr>
                <w:rFonts w:hint="eastAsia" w:ascii="宋体" w:hAnsi="宋体" w:eastAsia="宋体" w:cs="宋体"/>
                <w:color w:val="auto"/>
                <w:kern w:val="0"/>
                <w:sz w:val="24"/>
                <w:szCs w:val="24"/>
                <w:highlight w:val="none"/>
                <w:u w:val="none" w:color="auto"/>
                <w:lang w:val="en-US" w:eastAsia="zh-CN" w:bidi="ar"/>
              </w:rPr>
              <w:t>的要求。箱体侧面或桶身明显处应印（喷）制警示标志和警告语；周转箱整体装配密闭，箱体与箱盖能牢固扣紧，扣紧后不分离；表面光滑平整，完整无裂损，没有明显凹陷，边缘及提手无毛刺；周转箱的箱底和顶部有配合牙槽，具有防滑功能；周转箱物理机械性能应符合相应规定。</w:t>
            </w:r>
          </w:p>
          <w:p w14:paraId="4DC9651A">
            <w:pPr>
              <w:keepNext w:val="0"/>
              <w:keepLines w:val="0"/>
              <w:widowControl/>
              <w:suppressLineNumbers w:val="0"/>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②分类收集的措施</w:t>
            </w:r>
          </w:p>
          <w:p w14:paraId="2DD15043">
            <w:pPr>
              <w:keepNext w:val="0"/>
              <w:keepLines w:val="0"/>
              <w:widowControl/>
              <w:suppressLineNumbers w:val="0"/>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根据医疗废物的类别，将医疗废物分置于符合《医疗废物专用包装袋、容器和警示标志标准》的包装物或者容器内。在盛装医疗废物前，应当对医疗废物包装物或者容器进行认真检查，确保无破损、渗漏和其他缺陷。感染性废物、病理性废物、损伤性废物、药物性废物及化学性废物不能混合收集。少量的药物性废物可以混入感染性废物，但应当在标签上注明；废弃的麻醉、精神、放射性、毒性等药品及其相关的废物的管理，依照有关法律、行政法规和国家有关规定、标准执行；化学性废物中批量的废化学试剂应当交由专门机构处置；</w:t>
            </w:r>
            <w:r>
              <w:rPr>
                <w:rFonts w:hint="eastAsia" w:ascii="宋体" w:hAnsi="宋体" w:cs="宋体"/>
                <w:color w:val="auto"/>
                <w:kern w:val="0"/>
                <w:sz w:val="24"/>
                <w:szCs w:val="24"/>
                <w:highlight w:val="none"/>
                <w:u w:val="none" w:color="auto"/>
                <w:lang w:val="en-US" w:eastAsia="zh-CN" w:bidi="ar"/>
              </w:rPr>
              <w:t>医疗</w:t>
            </w:r>
            <w:r>
              <w:rPr>
                <w:rFonts w:hint="eastAsia" w:ascii="宋体" w:hAnsi="宋体" w:eastAsia="宋体" w:cs="宋体"/>
                <w:color w:val="auto"/>
                <w:kern w:val="0"/>
                <w:sz w:val="24"/>
                <w:szCs w:val="24"/>
                <w:highlight w:val="none"/>
                <w:u w:val="none" w:color="auto"/>
                <w:lang w:val="en-US" w:eastAsia="zh-CN" w:bidi="ar"/>
              </w:rPr>
              <w:t>废物收集处理盛装的医疗废物达到包装物或者容器的</w:t>
            </w:r>
            <w:r>
              <w:rPr>
                <w:rFonts w:hint="default" w:ascii="Times New Roman" w:hAnsi="Times New Roman" w:eastAsia="宋体" w:cs="Times New Roman"/>
                <w:color w:val="auto"/>
                <w:kern w:val="0"/>
                <w:sz w:val="24"/>
                <w:szCs w:val="24"/>
                <w:highlight w:val="none"/>
                <w:u w:val="none" w:color="auto"/>
                <w:lang w:val="en-US" w:eastAsia="zh-CN" w:bidi="ar"/>
              </w:rPr>
              <w:t>3/4</w:t>
            </w:r>
            <w:r>
              <w:rPr>
                <w:rFonts w:hint="eastAsia" w:ascii="宋体" w:hAnsi="宋体" w:eastAsia="宋体" w:cs="宋体"/>
                <w:color w:val="auto"/>
                <w:kern w:val="0"/>
                <w:sz w:val="24"/>
                <w:szCs w:val="24"/>
                <w:highlight w:val="none"/>
                <w:u w:val="none" w:color="auto"/>
                <w:lang w:val="en-US" w:eastAsia="zh-CN" w:bidi="ar"/>
              </w:rPr>
              <w:t>时，应当使用有效的封口方式，使包装物或者容器的封口紧实、严密。包装物或者容器的外表面被感染性废物污染时，应当对被污染处进行消毒处理或者增加一层包装。</w:t>
            </w:r>
          </w:p>
          <w:p w14:paraId="552FF2D8">
            <w:pPr>
              <w:keepNext w:val="0"/>
              <w:keepLines w:val="0"/>
              <w:widowControl/>
              <w:suppressLineNumbers w:val="0"/>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③暂时贮存措施</w:t>
            </w:r>
          </w:p>
          <w:p w14:paraId="413908C0">
            <w:pPr>
              <w:keepNext w:val="0"/>
              <w:keepLines w:val="0"/>
              <w:widowControl/>
              <w:suppressLineNumbers w:val="0"/>
              <w:ind w:firstLine="480" w:firstLineChars="200"/>
              <w:jc w:val="left"/>
              <w:rPr>
                <w:rFonts w:hint="default" w:ascii="宋体" w:hAnsi="宋体" w:eastAsia="宋体" w:cs="宋体"/>
                <w:color w:val="auto"/>
                <w:kern w:val="0"/>
                <w:sz w:val="24"/>
                <w:szCs w:val="24"/>
                <w:highlight w:val="none"/>
                <w:u w:val="none" w:color="auto"/>
                <w:lang w:val="en-US" w:eastAsia="zh-CN" w:bidi="ar"/>
              </w:rPr>
            </w:pPr>
            <w:r>
              <w:rPr>
                <w:rFonts w:hint="default" w:ascii="Times New Roman Regular" w:hAnsi="Times New Roman Regular" w:eastAsia="宋体" w:cs="Times New Roman Regular"/>
                <w:color w:val="auto"/>
                <w:kern w:val="0"/>
                <w:sz w:val="24"/>
                <w:szCs w:val="24"/>
                <w:highlight w:val="none"/>
                <w:u w:val="none" w:color="auto"/>
                <w:lang w:val="en-US" w:eastAsia="zh-CN" w:bidi="ar"/>
              </w:rPr>
              <w:t>a.</w:t>
            </w:r>
            <w:r>
              <w:rPr>
                <w:rFonts w:hint="eastAsia" w:ascii="宋体" w:hAnsi="宋体" w:eastAsia="宋体" w:cs="宋体"/>
                <w:color w:val="auto"/>
                <w:kern w:val="0"/>
                <w:sz w:val="24"/>
                <w:szCs w:val="24"/>
                <w:highlight w:val="none"/>
                <w:u w:val="none" w:color="auto"/>
                <w:lang w:val="en-US" w:eastAsia="zh-CN" w:bidi="ar"/>
              </w:rPr>
              <w:t>具有住院病床的医疗卫生机构应建立专门的医疗废物暂时贮存库；</w:t>
            </w:r>
          </w:p>
          <w:p w14:paraId="12E82B6C">
            <w:pPr>
              <w:keepNext w:val="0"/>
              <w:keepLines w:val="0"/>
              <w:widowControl/>
              <w:suppressLineNumbers w:val="0"/>
              <w:ind w:firstLine="480" w:firstLineChars="200"/>
              <w:jc w:val="left"/>
              <w:rPr>
                <w:rFonts w:hint="default" w:ascii="宋体" w:hAnsi="宋体" w:eastAsia="宋体" w:cs="宋体"/>
                <w:color w:val="auto"/>
                <w:kern w:val="0"/>
                <w:sz w:val="24"/>
                <w:szCs w:val="24"/>
                <w:highlight w:val="none"/>
                <w:u w:val="none" w:color="auto"/>
                <w:lang w:val="en-US" w:eastAsia="zh-CN" w:bidi="ar"/>
              </w:rPr>
            </w:pPr>
            <w:r>
              <w:rPr>
                <w:rFonts w:hint="default" w:ascii="Times New Roman Regular" w:hAnsi="Times New Roman Regular" w:eastAsia="宋体" w:cs="Times New Roman Regular"/>
                <w:color w:val="auto"/>
                <w:kern w:val="0"/>
                <w:sz w:val="24"/>
                <w:szCs w:val="24"/>
                <w:highlight w:val="none"/>
                <w:u w:val="none" w:color="auto"/>
                <w:lang w:val="en-US" w:eastAsia="zh-CN" w:bidi="ar"/>
              </w:rPr>
              <w:t>b.</w:t>
            </w:r>
            <w:r>
              <w:rPr>
                <w:rFonts w:hint="eastAsia" w:ascii="宋体" w:hAnsi="宋体" w:eastAsia="宋体" w:cs="宋体"/>
                <w:color w:val="auto"/>
                <w:kern w:val="0"/>
                <w:sz w:val="24"/>
                <w:szCs w:val="24"/>
                <w:highlight w:val="none"/>
                <w:u w:val="none" w:color="auto"/>
                <w:lang w:val="en-US" w:eastAsia="zh-CN" w:bidi="ar"/>
              </w:rPr>
              <w:t>必须与生活垃圾存放地分开，有防雨淋的装置，地基高度应确保设施内不受雨洪冲击或浸泡；</w:t>
            </w:r>
          </w:p>
          <w:p w14:paraId="048A928A">
            <w:pPr>
              <w:keepNext w:val="0"/>
              <w:keepLines w:val="0"/>
              <w:widowControl/>
              <w:suppressLineNumbers w:val="0"/>
              <w:ind w:firstLine="480" w:firstLineChars="200"/>
              <w:jc w:val="left"/>
              <w:rPr>
                <w:rFonts w:hint="default" w:ascii="宋体" w:hAnsi="宋体" w:eastAsia="宋体" w:cs="宋体"/>
                <w:color w:val="auto"/>
                <w:kern w:val="0"/>
                <w:sz w:val="24"/>
                <w:szCs w:val="24"/>
                <w:highlight w:val="none"/>
                <w:u w:val="none" w:color="auto"/>
                <w:lang w:val="en-US" w:eastAsia="zh-CN" w:bidi="ar"/>
              </w:rPr>
            </w:pPr>
            <w:r>
              <w:rPr>
                <w:rFonts w:hint="default" w:ascii="Times New Roman Regular" w:hAnsi="Times New Roman Regular" w:eastAsia="宋体" w:cs="Times New Roman Regular"/>
                <w:color w:val="auto"/>
                <w:kern w:val="0"/>
                <w:sz w:val="24"/>
                <w:szCs w:val="24"/>
                <w:highlight w:val="none"/>
                <w:u w:val="none" w:color="auto"/>
                <w:lang w:val="en-US" w:eastAsia="zh-CN" w:bidi="ar"/>
              </w:rPr>
              <w:t>c.</w:t>
            </w:r>
            <w:r>
              <w:rPr>
                <w:rFonts w:hint="eastAsia" w:ascii="宋体" w:hAnsi="宋体" w:eastAsia="宋体" w:cs="宋体"/>
                <w:color w:val="auto"/>
                <w:kern w:val="0"/>
                <w:sz w:val="24"/>
                <w:szCs w:val="24"/>
                <w:highlight w:val="none"/>
                <w:u w:val="none" w:color="auto"/>
                <w:lang w:val="en-US" w:eastAsia="zh-CN" w:bidi="ar"/>
              </w:rPr>
              <w:t>必须与医疗区、食品加工区和人员活动密集区隔开，方便医疗废物的装卸、装卸人员及运送车辆的出入；</w:t>
            </w:r>
          </w:p>
          <w:p w14:paraId="39616C1A">
            <w:pPr>
              <w:keepNext w:val="0"/>
              <w:keepLines w:val="0"/>
              <w:widowControl/>
              <w:suppressLineNumbers w:val="0"/>
              <w:ind w:firstLine="480" w:firstLineChars="200"/>
              <w:jc w:val="left"/>
              <w:rPr>
                <w:rFonts w:hint="default" w:ascii="宋体" w:hAnsi="宋体" w:eastAsia="宋体" w:cs="宋体"/>
                <w:color w:val="auto"/>
                <w:kern w:val="0"/>
                <w:sz w:val="24"/>
                <w:szCs w:val="24"/>
                <w:highlight w:val="none"/>
                <w:u w:val="none" w:color="auto"/>
                <w:lang w:val="en-US" w:eastAsia="zh-CN" w:bidi="ar"/>
              </w:rPr>
            </w:pPr>
            <w:r>
              <w:rPr>
                <w:rFonts w:hint="default" w:ascii="Times New Roman Regular" w:hAnsi="Times New Roman Regular" w:eastAsia="宋体" w:cs="Times New Roman Regular"/>
                <w:color w:val="auto"/>
                <w:kern w:val="0"/>
                <w:sz w:val="24"/>
                <w:szCs w:val="24"/>
                <w:highlight w:val="none"/>
                <w:u w:val="none" w:color="auto"/>
                <w:lang w:val="en-US" w:eastAsia="zh-CN" w:bidi="ar"/>
              </w:rPr>
              <w:t>d.</w:t>
            </w:r>
            <w:r>
              <w:rPr>
                <w:rFonts w:hint="eastAsia" w:ascii="宋体" w:hAnsi="宋体" w:eastAsia="宋体" w:cs="宋体"/>
                <w:color w:val="auto"/>
                <w:kern w:val="0"/>
                <w:sz w:val="24"/>
                <w:szCs w:val="24"/>
                <w:highlight w:val="none"/>
                <w:u w:val="none" w:color="auto"/>
                <w:lang w:val="en-US" w:eastAsia="zh-CN" w:bidi="ar"/>
              </w:rPr>
              <w:t>应有严密的封闭措施，设专人管理，避免非工作人员进出，以及防鼠、防蚊蝇、防蟑螂、防盗以及预防儿童接触等安全措施；</w:t>
            </w:r>
          </w:p>
          <w:p w14:paraId="77877871">
            <w:pPr>
              <w:keepNext w:val="0"/>
              <w:keepLines w:val="0"/>
              <w:widowControl/>
              <w:suppressLineNumbers w:val="0"/>
              <w:ind w:firstLine="480" w:firstLineChars="200"/>
              <w:jc w:val="left"/>
              <w:rPr>
                <w:rFonts w:hint="default" w:ascii="宋体" w:hAnsi="宋体" w:eastAsia="宋体" w:cs="宋体"/>
                <w:color w:val="auto"/>
                <w:kern w:val="0"/>
                <w:sz w:val="24"/>
                <w:szCs w:val="24"/>
                <w:highlight w:val="none"/>
                <w:u w:val="none" w:color="auto"/>
                <w:lang w:val="en-US" w:eastAsia="zh-CN" w:bidi="ar"/>
              </w:rPr>
            </w:pPr>
            <w:r>
              <w:rPr>
                <w:rFonts w:hint="default" w:ascii="Times New Roman Regular" w:hAnsi="Times New Roman Regular" w:eastAsia="宋体" w:cs="Times New Roman Regular"/>
                <w:color w:val="auto"/>
                <w:kern w:val="0"/>
                <w:sz w:val="24"/>
                <w:szCs w:val="24"/>
                <w:highlight w:val="none"/>
                <w:u w:val="none" w:color="auto"/>
                <w:lang w:val="en-US" w:eastAsia="zh-CN" w:bidi="ar"/>
              </w:rPr>
              <w:t>e.</w:t>
            </w:r>
            <w:r>
              <w:rPr>
                <w:rFonts w:hint="eastAsia" w:ascii="宋体" w:hAnsi="宋体" w:eastAsia="宋体" w:cs="宋体"/>
                <w:color w:val="auto"/>
                <w:kern w:val="0"/>
                <w:sz w:val="24"/>
                <w:szCs w:val="24"/>
                <w:highlight w:val="none"/>
                <w:u w:val="none" w:color="auto"/>
                <w:lang w:val="en-US" w:eastAsia="zh-CN" w:bidi="ar"/>
              </w:rPr>
              <w:t>医疗废物应盛装于周转箱内贮存于医疗废物暂时贮存库房中；</w:t>
            </w:r>
          </w:p>
          <w:p w14:paraId="6AEA6ED4">
            <w:pPr>
              <w:keepNext w:val="0"/>
              <w:keepLines w:val="0"/>
              <w:widowControl/>
              <w:suppressLineNumbers w:val="0"/>
              <w:ind w:firstLine="480" w:firstLineChars="200"/>
              <w:jc w:val="left"/>
              <w:rPr>
                <w:rFonts w:hint="default" w:ascii="宋体" w:hAnsi="宋体" w:eastAsia="宋体" w:cs="宋体"/>
                <w:color w:val="auto"/>
                <w:kern w:val="0"/>
                <w:sz w:val="24"/>
                <w:szCs w:val="24"/>
                <w:highlight w:val="none"/>
                <w:u w:val="none" w:color="auto"/>
                <w:lang w:val="en-US" w:eastAsia="zh-CN" w:bidi="ar"/>
              </w:rPr>
            </w:pPr>
            <w:r>
              <w:rPr>
                <w:rFonts w:hint="default" w:ascii="Times New Roman Regular" w:hAnsi="Times New Roman Regular" w:eastAsia="宋体" w:cs="Times New Roman Regular"/>
                <w:color w:val="auto"/>
                <w:kern w:val="0"/>
                <w:sz w:val="24"/>
                <w:szCs w:val="24"/>
                <w:highlight w:val="none"/>
                <w:u w:val="none" w:color="auto"/>
                <w:lang w:val="en-US" w:eastAsia="zh-CN" w:bidi="ar"/>
              </w:rPr>
              <w:t>f.</w:t>
            </w:r>
            <w:r>
              <w:rPr>
                <w:rFonts w:hint="eastAsia" w:ascii="宋体" w:hAnsi="宋体" w:eastAsia="宋体" w:cs="宋体"/>
                <w:color w:val="auto"/>
                <w:kern w:val="0"/>
                <w:sz w:val="24"/>
                <w:szCs w:val="24"/>
                <w:highlight w:val="none"/>
                <w:u w:val="none" w:color="auto"/>
                <w:lang w:val="en-US" w:eastAsia="zh-CN" w:bidi="ar"/>
              </w:rPr>
              <w:t>医疗废物暂时贮存库房地面和</w:t>
            </w:r>
            <w:r>
              <w:rPr>
                <w:rFonts w:hint="default" w:ascii="Times New Roman Regular" w:hAnsi="Times New Roman Regular" w:eastAsia="宋体" w:cs="Times New Roman Regular"/>
                <w:color w:val="auto"/>
                <w:kern w:val="0"/>
                <w:sz w:val="24"/>
                <w:szCs w:val="24"/>
                <w:highlight w:val="none"/>
                <w:u w:val="none" w:color="auto"/>
                <w:lang w:val="en-US" w:eastAsia="zh-CN" w:bidi="ar"/>
              </w:rPr>
              <w:t>1.0</w:t>
            </w:r>
            <w:r>
              <w:rPr>
                <w:rFonts w:hint="eastAsia" w:ascii="宋体" w:hAnsi="宋体" w:eastAsia="宋体" w:cs="宋体"/>
                <w:color w:val="auto"/>
                <w:kern w:val="0"/>
                <w:sz w:val="24"/>
                <w:szCs w:val="24"/>
                <w:highlight w:val="none"/>
                <w:u w:val="none" w:color="auto"/>
                <w:lang w:val="en-US" w:eastAsia="zh-CN" w:bidi="ar"/>
              </w:rPr>
              <w:t>米高的墙裙须进行防渗处理，地面有良好的排水性能，易于清洁和消毒；</w:t>
            </w:r>
          </w:p>
          <w:p w14:paraId="182C80AA">
            <w:pPr>
              <w:keepNext w:val="0"/>
              <w:keepLines w:val="0"/>
              <w:widowControl/>
              <w:suppressLineNumbers w:val="0"/>
              <w:ind w:firstLine="480" w:firstLineChars="200"/>
              <w:jc w:val="left"/>
              <w:rPr>
                <w:rFonts w:hint="default" w:ascii="宋体" w:hAnsi="宋体" w:eastAsia="宋体" w:cs="宋体"/>
                <w:color w:val="auto"/>
                <w:kern w:val="0"/>
                <w:sz w:val="24"/>
                <w:szCs w:val="24"/>
                <w:highlight w:val="none"/>
                <w:u w:val="none" w:color="auto"/>
                <w:lang w:val="en-US" w:eastAsia="zh-CN" w:bidi="ar"/>
              </w:rPr>
            </w:pPr>
            <w:r>
              <w:rPr>
                <w:rFonts w:hint="default" w:ascii="Times New Roman Regular" w:hAnsi="Times New Roman Regular" w:eastAsia="宋体" w:cs="Times New Roman Regular"/>
                <w:color w:val="auto"/>
                <w:kern w:val="0"/>
                <w:sz w:val="24"/>
                <w:szCs w:val="24"/>
                <w:highlight w:val="none"/>
                <w:u w:val="none" w:color="auto"/>
                <w:lang w:val="en-US" w:eastAsia="zh-CN" w:bidi="ar"/>
              </w:rPr>
              <w:t>g.</w:t>
            </w:r>
            <w:r>
              <w:rPr>
                <w:rFonts w:hint="eastAsia" w:ascii="宋体" w:hAnsi="宋体" w:eastAsia="宋体" w:cs="宋体"/>
                <w:color w:val="auto"/>
                <w:kern w:val="0"/>
                <w:sz w:val="24"/>
                <w:szCs w:val="24"/>
                <w:highlight w:val="none"/>
                <w:u w:val="none" w:color="auto"/>
                <w:lang w:val="en-US" w:eastAsia="zh-CN" w:bidi="ar"/>
              </w:rPr>
              <w:t>避免阳光直射库内，应有良好的照明设备和通风条件；</w:t>
            </w:r>
          </w:p>
          <w:p w14:paraId="66979228">
            <w:pPr>
              <w:keepNext w:val="0"/>
              <w:keepLines w:val="0"/>
              <w:widowControl/>
              <w:suppressLineNumbers w:val="0"/>
              <w:ind w:firstLine="480" w:firstLineChars="200"/>
              <w:jc w:val="left"/>
              <w:rPr>
                <w:rFonts w:hint="default" w:ascii="宋体" w:hAnsi="宋体" w:eastAsia="宋体" w:cs="宋体"/>
                <w:color w:val="auto"/>
                <w:kern w:val="0"/>
                <w:sz w:val="24"/>
                <w:szCs w:val="24"/>
                <w:highlight w:val="none"/>
                <w:u w:val="none" w:color="auto"/>
                <w:lang w:val="en-US" w:eastAsia="zh-CN" w:bidi="ar"/>
              </w:rPr>
            </w:pPr>
            <w:r>
              <w:rPr>
                <w:rFonts w:hint="default" w:ascii="Times New Roman Regular" w:hAnsi="Times New Roman Regular" w:eastAsia="宋体" w:cs="Times New Roman Regular"/>
                <w:color w:val="auto"/>
                <w:kern w:val="0"/>
                <w:sz w:val="24"/>
                <w:szCs w:val="24"/>
                <w:highlight w:val="none"/>
                <w:u w:val="none" w:color="auto"/>
                <w:lang w:val="en-US" w:eastAsia="zh-CN" w:bidi="ar"/>
              </w:rPr>
              <w:t>h.</w:t>
            </w:r>
            <w:r>
              <w:rPr>
                <w:rFonts w:hint="eastAsia" w:ascii="宋体" w:hAnsi="宋体" w:eastAsia="宋体" w:cs="宋体"/>
                <w:color w:val="auto"/>
                <w:kern w:val="0"/>
                <w:sz w:val="24"/>
                <w:szCs w:val="24"/>
                <w:highlight w:val="none"/>
                <w:u w:val="none" w:color="auto"/>
                <w:lang w:val="en-US" w:eastAsia="zh-CN" w:bidi="ar"/>
              </w:rPr>
              <w:t>库房内应张贴“禁止吸烟、饮食”的警示标识；应按</w:t>
            </w:r>
            <w:r>
              <w:rPr>
                <w:rFonts w:hint="default" w:ascii="Times New Roman Regular" w:hAnsi="Times New Roman Regular" w:eastAsia="宋体" w:cs="Times New Roman Regular"/>
                <w:color w:val="auto"/>
                <w:kern w:val="0"/>
                <w:sz w:val="24"/>
                <w:szCs w:val="24"/>
                <w:highlight w:val="none"/>
                <w:u w:val="none" w:color="auto"/>
                <w:lang w:val="en-US" w:eastAsia="zh-CN" w:bidi="ar"/>
              </w:rPr>
              <w:t>GB15562.2</w:t>
            </w:r>
            <w:r>
              <w:rPr>
                <w:rFonts w:hint="eastAsia" w:ascii="宋体" w:hAnsi="宋体" w:eastAsia="宋体" w:cs="宋体"/>
                <w:color w:val="auto"/>
                <w:kern w:val="0"/>
                <w:sz w:val="24"/>
                <w:szCs w:val="24"/>
                <w:highlight w:val="none"/>
                <w:u w:val="none" w:color="auto"/>
                <w:lang w:val="en-US" w:eastAsia="zh-CN" w:bidi="ar"/>
              </w:rPr>
              <w:t>和卫生、</w:t>
            </w:r>
            <w:r>
              <w:rPr>
                <w:rFonts w:hint="default" w:ascii="宋体" w:hAnsi="宋体" w:eastAsia="宋体" w:cs="宋体"/>
                <w:color w:val="auto"/>
                <w:kern w:val="0"/>
                <w:sz w:val="24"/>
                <w:szCs w:val="24"/>
                <w:highlight w:val="none"/>
                <w:u w:val="none" w:color="auto"/>
                <w:lang w:val="en-US" w:eastAsia="zh-CN" w:bidi="ar"/>
              </w:rPr>
              <w:t>环保部门制定的专用医疗废物警示标识要求，在库房外的明显处同时设置危险废物和医疗废物的警示标识；</w:t>
            </w:r>
          </w:p>
          <w:p w14:paraId="6A960C24">
            <w:pPr>
              <w:keepNext w:val="0"/>
              <w:keepLines w:val="0"/>
              <w:widowControl/>
              <w:suppressLineNumbers w:val="0"/>
              <w:ind w:firstLine="480" w:firstLineChars="200"/>
              <w:jc w:val="left"/>
              <w:rPr>
                <w:rFonts w:hint="default" w:ascii="宋体" w:hAnsi="宋体" w:eastAsia="宋体" w:cs="宋体"/>
                <w:color w:val="auto"/>
                <w:kern w:val="0"/>
                <w:sz w:val="24"/>
                <w:szCs w:val="24"/>
                <w:highlight w:val="none"/>
                <w:u w:val="none" w:color="auto"/>
                <w:lang w:val="en-US" w:eastAsia="zh-CN" w:bidi="ar"/>
              </w:rPr>
            </w:pPr>
            <w:r>
              <w:rPr>
                <w:rFonts w:hint="default" w:ascii="Times New Roman Regular" w:hAnsi="Times New Roman Regular" w:eastAsia="宋体" w:cs="Times New Roman Regular"/>
                <w:color w:val="auto"/>
                <w:kern w:val="0"/>
                <w:sz w:val="24"/>
                <w:szCs w:val="24"/>
                <w:highlight w:val="none"/>
                <w:u w:val="none" w:color="auto"/>
                <w:lang w:val="en-US" w:eastAsia="zh-CN" w:bidi="ar"/>
              </w:rPr>
              <w:t>i.</w:t>
            </w:r>
            <w:r>
              <w:rPr>
                <w:rFonts w:hint="default" w:ascii="宋体" w:hAnsi="宋体" w:eastAsia="宋体" w:cs="宋体"/>
                <w:color w:val="auto"/>
                <w:kern w:val="0"/>
                <w:sz w:val="24"/>
                <w:szCs w:val="24"/>
                <w:highlight w:val="none"/>
                <w:u w:val="none" w:color="auto"/>
                <w:lang w:val="en-US" w:eastAsia="zh-CN" w:bidi="ar"/>
              </w:rPr>
              <w:t>医疗废物暂时贮存库房每天应在废物清运之后消毒冲洗，冲洗液应排入医疗卫生机构内的医疗废水消毒、处理系统；</w:t>
            </w:r>
          </w:p>
          <w:p w14:paraId="5C92BDF5">
            <w:pPr>
              <w:keepNext w:val="0"/>
              <w:keepLines w:val="0"/>
              <w:widowControl/>
              <w:suppressLineNumbers w:val="0"/>
              <w:ind w:firstLine="480" w:firstLineChars="200"/>
              <w:jc w:val="left"/>
              <w:rPr>
                <w:rFonts w:hint="default" w:ascii="宋体" w:hAnsi="宋体" w:eastAsia="宋体" w:cs="宋体"/>
                <w:color w:val="auto"/>
                <w:kern w:val="0"/>
                <w:sz w:val="24"/>
                <w:szCs w:val="24"/>
                <w:highlight w:val="none"/>
                <w:u w:val="none" w:color="auto"/>
                <w:lang w:val="en-US" w:eastAsia="zh-CN" w:bidi="ar"/>
              </w:rPr>
            </w:pPr>
            <w:r>
              <w:rPr>
                <w:rFonts w:hint="default" w:ascii="Times New Roman Regular" w:hAnsi="Times New Roman Regular" w:eastAsia="宋体" w:cs="Times New Roman Regular"/>
                <w:color w:val="auto"/>
                <w:kern w:val="0"/>
                <w:sz w:val="24"/>
                <w:szCs w:val="24"/>
                <w:highlight w:val="none"/>
                <w:u w:val="none" w:color="auto"/>
                <w:lang w:val="en-US" w:eastAsia="zh-CN" w:bidi="ar"/>
              </w:rPr>
              <w:t>j.</w:t>
            </w:r>
            <w:r>
              <w:rPr>
                <w:rFonts w:hint="default" w:ascii="宋体" w:hAnsi="宋体" w:eastAsia="宋体" w:cs="宋体"/>
                <w:color w:val="auto"/>
                <w:kern w:val="0"/>
                <w:sz w:val="24"/>
                <w:szCs w:val="24"/>
                <w:highlight w:val="none"/>
                <w:u w:val="none" w:color="auto"/>
                <w:lang w:val="en-US" w:eastAsia="zh-CN" w:bidi="ar"/>
              </w:rPr>
              <w:t>尽量做到日产日清，确实不能做到日产日清，且当地最高气温高于</w:t>
            </w:r>
            <w:r>
              <w:rPr>
                <w:rFonts w:hint="default" w:ascii="Times New Roman Regular" w:hAnsi="Times New Roman Regular" w:eastAsia="宋体" w:cs="Times New Roman Regular"/>
                <w:color w:val="auto"/>
                <w:kern w:val="0"/>
                <w:sz w:val="24"/>
                <w:szCs w:val="24"/>
                <w:highlight w:val="none"/>
                <w:u w:val="none" w:color="auto"/>
                <w:lang w:val="en-US" w:eastAsia="zh-CN" w:bidi="ar"/>
              </w:rPr>
              <w:t>25</w:t>
            </w:r>
            <w:r>
              <w:rPr>
                <w:rFonts w:hint="default" w:ascii="宋体" w:hAnsi="宋体" w:eastAsia="宋体" w:cs="宋体"/>
                <w:color w:val="auto"/>
                <w:kern w:val="0"/>
                <w:sz w:val="24"/>
                <w:szCs w:val="24"/>
                <w:highlight w:val="none"/>
                <w:u w:val="none" w:color="auto"/>
                <w:lang w:val="en-US" w:eastAsia="zh-CN" w:bidi="ar"/>
              </w:rPr>
              <w:t>℃时，应将医疗废物低温暂时贮存，暂时贮存温度应低于</w:t>
            </w:r>
            <w:r>
              <w:rPr>
                <w:rFonts w:hint="default" w:ascii="Times New Roman Regular" w:hAnsi="Times New Roman Regular" w:eastAsia="宋体" w:cs="Times New Roman Regular"/>
                <w:color w:val="auto"/>
                <w:kern w:val="0"/>
                <w:sz w:val="24"/>
                <w:szCs w:val="24"/>
                <w:highlight w:val="none"/>
                <w:u w:val="none" w:color="auto"/>
                <w:lang w:val="en-US" w:eastAsia="zh-CN" w:bidi="ar"/>
              </w:rPr>
              <w:t>20</w:t>
            </w:r>
            <w:r>
              <w:rPr>
                <w:rFonts w:hint="default" w:ascii="宋体" w:hAnsi="宋体" w:eastAsia="宋体" w:cs="宋体"/>
                <w:color w:val="auto"/>
                <w:kern w:val="0"/>
                <w:sz w:val="24"/>
                <w:szCs w:val="24"/>
                <w:highlight w:val="none"/>
                <w:u w:val="none" w:color="auto"/>
                <w:lang w:val="en-US" w:eastAsia="zh-CN" w:bidi="ar"/>
              </w:rPr>
              <w:t>℃，时间最长不超过</w:t>
            </w:r>
            <w:r>
              <w:rPr>
                <w:rFonts w:hint="default" w:ascii="Times New Roman Regular" w:hAnsi="Times New Roman Regular" w:eastAsia="宋体" w:cs="Times New Roman Regular"/>
                <w:color w:val="auto"/>
                <w:kern w:val="0"/>
                <w:sz w:val="24"/>
                <w:szCs w:val="24"/>
                <w:highlight w:val="none"/>
                <w:u w:val="none" w:color="auto"/>
                <w:lang w:val="en-US" w:eastAsia="zh-CN" w:bidi="ar"/>
              </w:rPr>
              <w:t>48</w:t>
            </w:r>
            <w:r>
              <w:rPr>
                <w:rFonts w:hint="default" w:ascii="宋体" w:hAnsi="宋体" w:eastAsia="宋体" w:cs="宋体"/>
                <w:color w:val="auto"/>
                <w:kern w:val="0"/>
                <w:sz w:val="24"/>
                <w:szCs w:val="24"/>
                <w:highlight w:val="none"/>
                <w:u w:val="none" w:color="auto"/>
                <w:lang w:val="en-US" w:eastAsia="zh-CN" w:bidi="ar"/>
              </w:rPr>
              <w:t>小时；</w:t>
            </w:r>
          </w:p>
          <w:p w14:paraId="5839612F">
            <w:pPr>
              <w:keepNext w:val="0"/>
              <w:keepLines w:val="0"/>
              <w:widowControl/>
              <w:suppressLineNumbers w:val="0"/>
              <w:ind w:firstLine="480" w:firstLineChars="200"/>
              <w:jc w:val="left"/>
              <w:rPr>
                <w:rFonts w:hint="eastAsia" w:ascii="宋体" w:hAnsi="宋体" w:eastAsia="宋体" w:cs="宋体"/>
                <w:color w:val="auto"/>
                <w:kern w:val="0"/>
                <w:sz w:val="24"/>
                <w:szCs w:val="24"/>
                <w:highlight w:val="none"/>
                <w:u w:val="none" w:color="auto"/>
                <w:lang w:val="en-US" w:eastAsia="zh-CN" w:bidi="ar"/>
              </w:rPr>
            </w:pPr>
            <w:r>
              <w:rPr>
                <w:rFonts w:hint="default" w:ascii="Times New Roman Regular" w:hAnsi="Times New Roman Regular" w:eastAsia="宋体" w:cs="Times New Roman Regular"/>
                <w:color w:val="auto"/>
                <w:kern w:val="0"/>
                <w:sz w:val="24"/>
                <w:szCs w:val="24"/>
                <w:highlight w:val="none"/>
                <w:u w:val="none" w:color="auto"/>
                <w:lang w:val="en-US" w:eastAsia="zh-CN" w:bidi="ar"/>
              </w:rPr>
              <w:t>k.</w:t>
            </w:r>
            <w:r>
              <w:rPr>
                <w:rFonts w:hint="default" w:ascii="宋体" w:hAnsi="宋体" w:eastAsia="宋体" w:cs="宋体"/>
                <w:color w:val="auto"/>
                <w:kern w:val="0"/>
                <w:sz w:val="24"/>
                <w:szCs w:val="24"/>
                <w:highlight w:val="none"/>
                <w:u w:val="none" w:color="auto"/>
                <w:lang w:val="en-US" w:eastAsia="zh-CN" w:bidi="ar"/>
              </w:rPr>
              <w:t>设置医疗废物出入库记录台账，交由有资质的公司进行处理，医疗卫生机构采用周转箱（桶）收集、转移医疗废物，并应执行危险废物转移联单管理制度。</w:t>
            </w:r>
          </w:p>
          <w:p w14:paraId="39001C79">
            <w:pPr>
              <w:keepNext w:val="0"/>
              <w:keepLines w:val="0"/>
              <w:widowControl/>
              <w:suppressLineNumbers w:val="0"/>
              <w:ind w:firstLine="480" w:firstLineChars="200"/>
              <w:jc w:val="left"/>
              <w:rPr>
                <w:rFonts w:hint="eastAsia" w:ascii="宋体" w:hAnsi="宋体" w:eastAsia="宋体" w:cs="宋体"/>
                <w:color w:val="auto"/>
                <w:kern w:val="0"/>
                <w:sz w:val="24"/>
                <w:szCs w:val="24"/>
                <w:highlight w:val="none"/>
                <w:u w:val="none" w:color="auto"/>
                <w:lang w:val="en-US" w:eastAsia="zh-CN" w:bidi="ar"/>
              </w:rPr>
            </w:pPr>
            <w:r>
              <w:rPr>
                <w:rFonts w:hint="eastAsia" w:ascii="Times New Roman" w:hAnsi="Times New Roman" w:eastAsia="宋体" w:cs="Times New Roman"/>
                <w:b w:val="0"/>
                <w:bCs w:val="0"/>
                <w:color w:val="auto"/>
                <w:kern w:val="0"/>
                <w:sz w:val="24"/>
                <w:szCs w:val="24"/>
                <w:highlight w:val="none"/>
                <w:u w:val="none" w:color="auto"/>
                <w:lang w:val="en-US" w:eastAsia="zh-CN" w:bidi="ar"/>
              </w:rPr>
              <w:t>④医疗废物的</w:t>
            </w:r>
            <w:r>
              <w:rPr>
                <w:rFonts w:hint="eastAsia" w:cs="Times New Roman"/>
                <w:b w:val="0"/>
                <w:bCs w:val="0"/>
                <w:color w:val="auto"/>
                <w:kern w:val="0"/>
                <w:sz w:val="24"/>
                <w:szCs w:val="24"/>
                <w:highlight w:val="none"/>
                <w:u w:val="none" w:color="auto"/>
                <w:lang w:val="en-US" w:eastAsia="zh-CN" w:bidi="ar"/>
              </w:rPr>
              <w:t>清运和</w:t>
            </w:r>
            <w:r>
              <w:rPr>
                <w:rFonts w:hint="eastAsia" w:ascii="Times New Roman" w:hAnsi="Times New Roman" w:eastAsia="宋体" w:cs="Times New Roman"/>
                <w:b w:val="0"/>
                <w:bCs w:val="0"/>
                <w:color w:val="auto"/>
                <w:kern w:val="0"/>
                <w:sz w:val="24"/>
                <w:szCs w:val="24"/>
                <w:highlight w:val="none"/>
                <w:u w:val="none" w:color="auto"/>
                <w:lang w:val="en-US" w:eastAsia="zh-CN" w:bidi="ar"/>
              </w:rPr>
              <w:t>交接</w:t>
            </w:r>
          </w:p>
          <w:p w14:paraId="68DA16F4">
            <w:pPr>
              <w:keepNext w:val="0"/>
              <w:keepLines w:val="0"/>
              <w:widowControl/>
              <w:suppressLineNumbers w:val="0"/>
              <w:ind w:firstLine="480" w:firstLineChars="200"/>
              <w:jc w:val="left"/>
              <w:rPr>
                <w:rFonts w:hint="default" w:ascii="Times New Roman Regular" w:hAnsi="Times New Roman Regular" w:eastAsia="宋体" w:cs="Times New Roman Regular"/>
                <w:color w:val="auto"/>
                <w:kern w:val="0"/>
                <w:sz w:val="24"/>
                <w:szCs w:val="24"/>
                <w:highlight w:val="none"/>
                <w:u w:val="none" w:color="auto"/>
                <w:lang w:val="en-US" w:eastAsia="zh-CN" w:bidi="ar"/>
              </w:rPr>
            </w:pPr>
            <w:r>
              <w:rPr>
                <w:rFonts w:hint="default" w:ascii="Times New Roman Regular" w:hAnsi="Times New Roman Regular" w:eastAsia="宋体" w:cs="Times New Roman Regular"/>
                <w:color w:val="auto"/>
                <w:kern w:val="0"/>
                <w:sz w:val="24"/>
                <w:szCs w:val="24"/>
                <w:highlight w:val="none"/>
                <w:u w:val="none" w:color="auto"/>
                <w:lang w:val="en-US" w:eastAsia="zh-CN" w:bidi="ar"/>
              </w:rPr>
              <w:t>a.安排专人负责医疗废物的交接，按照《医疗废物集中处置技术规范》填写和保存《危险废物转移联单》（医疗废物专用）及《医疗废物运送登记卡》，医疗废物定期有资质单位转运并处置。</w:t>
            </w:r>
          </w:p>
          <w:p w14:paraId="2E432123">
            <w:pPr>
              <w:keepNext w:val="0"/>
              <w:keepLines w:val="0"/>
              <w:widowControl/>
              <w:suppressLineNumbers w:val="0"/>
              <w:ind w:firstLine="480" w:firstLineChars="200"/>
              <w:jc w:val="left"/>
              <w:rPr>
                <w:rFonts w:hint="default" w:ascii="Times New Roman Regular" w:hAnsi="Times New Roman Regular" w:eastAsia="宋体" w:cs="Times New Roman Regular"/>
                <w:color w:val="auto"/>
                <w:kern w:val="0"/>
                <w:sz w:val="24"/>
                <w:szCs w:val="24"/>
                <w:highlight w:val="none"/>
                <w:u w:val="none" w:color="auto"/>
                <w:lang w:val="en-US" w:eastAsia="zh-CN" w:bidi="ar"/>
              </w:rPr>
            </w:pPr>
            <w:r>
              <w:rPr>
                <w:rFonts w:hint="default" w:ascii="Times New Roman Regular" w:hAnsi="Times New Roman Regular" w:eastAsia="宋体" w:cs="Times New Roman Regular"/>
                <w:color w:val="auto"/>
                <w:kern w:val="0"/>
                <w:sz w:val="24"/>
                <w:szCs w:val="24"/>
                <w:highlight w:val="none"/>
                <w:u w:val="none" w:color="auto"/>
                <w:lang w:val="en-US" w:eastAsia="zh-CN" w:bidi="ar"/>
              </w:rPr>
              <w:t>b.盛装医疗废物的塑料袋或者利器盒一旦达到2/3体积后，收集至医疗废物储存间。</w:t>
            </w:r>
          </w:p>
          <w:p w14:paraId="7762B9DD">
            <w:pPr>
              <w:keepNext w:val="0"/>
              <w:keepLines w:val="0"/>
              <w:widowControl/>
              <w:suppressLineNumbers w:val="0"/>
              <w:ind w:firstLine="480" w:firstLineChars="200"/>
              <w:jc w:val="left"/>
              <w:rPr>
                <w:rFonts w:hint="default" w:ascii="Times New Roman Regular" w:hAnsi="Times New Roman Regular" w:eastAsia="宋体" w:cs="Times New Roman Regular"/>
                <w:color w:val="auto"/>
                <w:kern w:val="0"/>
                <w:sz w:val="24"/>
                <w:szCs w:val="24"/>
                <w:highlight w:val="none"/>
                <w:u w:val="none" w:color="auto"/>
                <w:lang w:val="en-US" w:eastAsia="zh-CN" w:bidi="ar"/>
              </w:rPr>
            </w:pPr>
            <w:r>
              <w:rPr>
                <w:rFonts w:hint="default" w:ascii="Times New Roman Regular" w:hAnsi="Times New Roman Regular" w:eastAsia="宋体" w:cs="Times New Roman Regular"/>
                <w:color w:val="auto"/>
                <w:kern w:val="0"/>
                <w:sz w:val="24"/>
                <w:szCs w:val="24"/>
                <w:highlight w:val="none"/>
                <w:u w:val="none" w:color="auto"/>
                <w:lang w:val="en-US" w:eastAsia="zh-CN" w:bidi="ar"/>
              </w:rPr>
              <w:t>c.医疗废物储存间应该尽量避开人群活动区域，与普通生活垃圾收集箱相隔一定的安全距离。医疗废物储存间需要定期消毒清洗，可与转运车的消毒同时进行。</w:t>
            </w:r>
          </w:p>
          <w:p w14:paraId="08AA0E52">
            <w:pPr>
              <w:keepNext w:val="0"/>
              <w:keepLines w:val="0"/>
              <w:widowControl/>
              <w:suppressLineNumbers w:val="0"/>
              <w:ind w:firstLine="480" w:firstLineChars="200"/>
              <w:jc w:val="left"/>
              <w:rPr>
                <w:rFonts w:hint="default" w:ascii="Times New Roman Regular" w:hAnsi="Times New Roman Regular" w:eastAsia="宋体" w:cs="Times New Roman Regular"/>
                <w:color w:val="auto"/>
                <w:kern w:val="0"/>
                <w:sz w:val="24"/>
                <w:szCs w:val="24"/>
                <w:highlight w:val="none"/>
                <w:u w:val="none" w:color="auto"/>
                <w:lang w:val="en-US" w:eastAsia="zh-CN" w:bidi="ar"/>
              </w:rPr>
            </w:pPr>
            <w:r>
              <w:rPr>
                <w:rFonts w:hint="default" w:ascii="Times New Roman Regular" w:hAnsi="Times New Roman Regular" w:eastAsia="宋体" w:cs="Times New Roman Regular"/>
                <w:color w:val="auto"/>
                <w:kern w:val="0"/>
                <w:sz w:val="24"/>
                <w:szCs w:val="24"/>
                <w:highlight w:val="none"/>
                <w:u w:val="none" w:color="auto"/>
                <w:lang w:val="en-US" w:eastAsia="zh-CN" w:bidi="ar"/>
              </w:rPr>
              <w:t>d.医疗废物储存间外张贴了医疗废物专用的警示标识，应补充张贴禁止吸烟、饮食的警示标识，除工作人员外，其他人不能任意进出。</w:t>
            </w:r>
          </w:p>
          <w:p w14:paraId="7356CB25">
            <w:pPr>
              <w:keepNext w:val="0"/>
              <w:keepLines w:val="0"/>
              <w:widowControl/>
              <w:suppressLineNumbers w:val="0"/>
              <w:ind w:firstLine="480" w:firstLineChars="200"/>
              <w:jc w:val="left"/>
              <w:rPr>
                <w:rFonts w:hint="default" w:ascii="Times New Roman Regular" w:hAnsi="Times New Roman Regular" w:eastAsia="宋体" w:cs="Times New Roman Regular"/>
                <w:color w:val="auto"/>
                <w:kern w:val="0"/>
                <w:sz w:val="24"/>
                <w:szCs w:val="24"/>
                <w:highlight w:val="none"/>
                <w:u w:val="none" w:color="auto"/>
                <w:lang w:val="en-US" w:eastAsia="zh-CN" w:bidi="ar"/>
              </w:rPr>
            </w:pPr>
            <w:r>
              <w:rPr>
                <w:rFonts w:hint="default" w:ascii="Times New Roman Regular" w:hAnsi="Times New Roman Regular" w:eastAsia="宋体" w:cs="Times New Roman Regular"/>
                <w:color w:val="auto"/>
                <w:kern w:val="0"/>
                <w:sz w:val="24"/>
                <w:szCs w:val="24"/>
                <w:highlight w:val="none"/>
                <w:u w:val="none" w:color="auto"/>
                <w:lang w:val="en-US" w:eastAsia="zh-CN" w:bidi="ar"/>
              </w:rPr>
              <w:t>e.医疗废物集中贮存时间最长不得超过2天。在夏季，容易导致废物腐败发臭，贮存场所应优先选择在通风和阴凉的地方，同时应与废物处置单位加强沟通和联系尽可能做到日产日清。</w:t>
            </w:r>
          </w:p>
          <w:p w14:paraId="5A4BBA2C">
            <w:pPr>
              <w:keepNext w:val="0"/>
              <w:keepLines w:val="0"/>
              <w:widowControl/>
              <w:suppressLineNumbers w:val="0"/>
              <w:ind w:firstLine="480" w:firstLineChars="200"/>
              <w:jc w:val="left"/>
              <w:rPr>
                <w:rFonts w:hint="default" w:ascii="Times New Roman Regular" w:hAnsi="Times New Roman Regular" w:eastAsia="宋体" w:cs="Times New Roman Regular"/>
                <w:color w:val="auto"/>
                <w:kern w:val="0"/>
                <w:sz w:val="24"/>
                <w:szCs w:val="24"/>
                <w:highlight w:val="none"/>
                <w:u w:val="none" w:color="auto"/>
                <w:lang w:val="en-US" w:eastAsia="zh-CN" w:bidi="ar"/>
              </w:rPr>
            </w:pPr>
            <w:r>
              <w:rPr>
                <w:rFonts w:hint="default" w:ascii="Times New Roman Regular" w:hAnsi="Times New Roman Regular" w:eastAsia="宋体" w:cs="Times New Roman Regular"/>
                <w:color w:val="auto"/>
                <w:kern w:val="0"/>
                <w:sz w:val="24"/>
                <w:szCs w:val="24"/>
                <w:highlight w:val="none"/>
                <w:u w:val="none" w:color="auto"/>
                <w:lang w:val="en-US" w:eastAsia="zh-CN" w:bidi="ar"/>
              </w:rPr>
              <w:t>f.医院医疗废物管理者应加强集中贮存的内部管理和监督检查频次，确保所有医疗废物不会流入社会。</w:t>
            </w:r>
          </w:p>
          <w:p w14:paraId="2555F750">
            <w:pPr>
              <w:keepNext w:val="0"/>
              <w:keepLines w:val="0"/>
              <w:widowControl/>
              <w:suppressLineNumbers w:val="0"/>
              <w:ind w:firstLine="480" w:firstLineChars="200"/>
              <w:jc w:val="left"/>
              <w:rPr>
                <w:rFonts w:hint="default" w:ascii="Times New Roman Regular" w:hAnsi="Times New Roman Regular" w:eastAsia="宋体" w:cs="Times New Roman Regular"/>
                <w:color w:val="auto"/>
                <w:kern w:val="0"/>
                <w:sz w:val="24"/>
                <w:szCs w:val="24"/>
                <w:highlight w:val="none"/>
                <w:u w:val="none" w:color="auto"/>
                <w:lang w:val="en-US" w:eastAsia="zh-CN" w:bidi="ar"/>
              </w:rPr>
            </w:pPr>
            <w:r>
              <w:rPr>
                <w:rFonts w:hint="default" w:ascii="Times New Roman Regular" w:hAnsi="Times New Roman Regular" w:eastAsia="宋体" w:cs="Times New Roman Regular"/>
                <w:color w:val="auto"/>
                <w:kern w:val="0"/>
                <w:sz w:val="24"/>
                <w:szCs w:val="24"/>
                <w:highlight w:val="none"/>
                <w:u w:val="none" w:color="auto"/>
                <w:lang w:val="en-US" w:eastAsia="zh-CN" w:bidi="ar"/>
              </w:rPr>
              <w:t>g.医院必须合理安排固定的医疗废物运输通道，不能与人流通道混用。运送人员每天从医疗废物产生地点将分类包装的医疗废物按照规定的时间和路线运送至医疗废物暂存间。在运送医疗废物前，应当检查包装物或者容器的标识、标签及封口是否符合要求，不得将不符合要求的医疗废物送至医疗废物暂存间。</w:t>
            </w:r>
          </w:p>
          <w:p w14:paraId="5513DDB0">
            <w:pPr>
              <w:keepNext w:val="0"/>
              <w:keepLines w:val="0"/>
              <w:widowControl/>
              <w:suppressLineNumbers w:val="0"/>
              <w:ind w:firstLine="480" w:firstLineChars="200"/>
              <w:jc w:val="left"/>
              <w:rPr>
                <w:rFonts w:hint="eastAsia" w:ascii="宋体" w:hAnsi="宋体" w:eastAsia="宋体" w:cs="宋体"/>
                <w:color w:val="auto"/>
                <w:kern w:val="0"/>
                <w:sz w:val="24"/>
                <w:szCs w:val="24"/>
                <w:highlight w:val="none"/>
                <w:u w:val="none" w:color="auto"/>
                <w:lang w:val="en-US" w:eastAsia="zh-CN" w:bidi="ar"/>
              </w:rPr>
            </w:pPr>
            <w:r>
              <w:rPr>
                <w:rFonts w:hint="default" w:ascii="Times New Roman Regular" w:hAnsi="Times New Roman Regular" w:eastAsia="宋体" w:cs="Times New Roman Regular"/>
                <w:color w:val="auto"/>
                <w:kern w:val="0"/>
                <w:sz w:val="24"/>
                <w:szCs w:val="24"/>
                <w:highlight w:val="none"/>
                <w:u w:val="none" w:color="auto"/>
                <w:lang w:val="en-US" w:eastAsia="zh-CN" w:bidi="ar"/>
              </w:rPr>
              <w:t>h.运送人员在运送医疗废物时，应当防止造成包装物或容器破损和医疗废物的流失、泄漏和扩散，并防止医疗废物直接接触身体。运送医疗废物应当使用防渗漏、防遗撒、无锐利边角、易于装卸和清洁的专用运送工具。每天运送工作结束后，应当对运送工具及时进行清洁和消毒。</w:t>
            </w:r>
          </w:p>
          <w:p w14:paraId="6EFC360A">
            <w:pPr>
              <w:keepNext w:val="0"/>
              <w:keepLines w:val="0"/>
              <w:widowControl/>
              <w:suppressLineNumbers w:val="0"/>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综上所述，对于本项目产生的固废，只要切实做到强化管理，采取上述措施后，本项目固体废物均可得到妥善地处理，对区域环境影响较小。</w:t>
            </w:r>
          </w:p>
          <w:p w14:paraId="24669A13">
            <w:pPr>
              <w:keepNext w:val="0"/>
              <w:keepLines w:val="0"/>
              <w:widowControl/>
              <w:suppressLineNumbers w:val="0"/>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⑤事故应急措施</w:t>
            </w:r>
          </w:p>
          <w:p w14:paraId="238D7ED6">
            <w:pPr>
              <w:keepNext w:val="0"/>
              <w:keepLines w:val="0"/>
              <w:widowControl/>
              <w:suppressLineNumbers w:val="0"/>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发生医疗废物流失、泄漏、扩散和意外事故时，应当按照以下要求及时采取紧急处理措施：确定流失、泄漏、扩散的医疗废物的类别、数量、发生时间、影响范围及严重程度；组织有关人员尽快按照应急方案，对发生医疗废物泄漏、扩散的现场进行处理；对被医疗废物污染的区域进行处理时，应当尽可能减少对病人、医务人员、其他现场人员及环境的影响；采取适当的安全处置措施，对泄漏物及受污染的区域、物品进行消毒或者其他无害化处置，必要时封锁污染区域，以防扩大污染；对感染性废物污染区域进行消毒时，消毒工作从污染最轻区域向污染最严重区域进行，对可能被污染的所有使用过的工具也应当进行消毒；工作人员应当做好卫生安全防护后进行工作。处理工作结束后，医疗卫生机构应当对事件的起因进行调查，并采取有效的防范措施预防类似事件的发生。</w:t>
            </w:r>
          </w:p>
          <w:p w14:paraId="11C440C3">
            <w:pPr>
              <w:keepNext w:val="0"/>
              <w:keepLines w:val="0"/>
              <w:widowControl/>
              <w:suppressLineNumbers w:val="0"/>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⑥分区防渗</w:t>
            </w:r>
          </w:p>
          <w:p w14:paraId="091F6179">
            <w:pPr>
              <w:keepNext w:val="0"/>
              <w:keepLines w:val="0"/>
              <w:widowControl/>
              <w:suppressLineNumbers w:val="0"/>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从源头控制，包括医疗废物暂存间、污水处理站等构筑物采取防渗措施，防止和降低污染物跑、冒、滴、漏，将污染物泄漏的环境风险事故降到最低程度。</w:t>
            </w:r>
          </w:p>
          <w:p w14:paraId="71C8CADA">
            <w:pPr>
              <w:keepNext w:val="0"/>
              <w:keepLines w:val="0"/>
              <w:widowControl/>
              <w:suppressLineNumbers w:val="0"/>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污染防治区分为一般污染防治区和重点污染防治区。其中，重点污染防治区是指物料危害性大、对地下水环境隐患大的生产区域，主要为医疗废物暂存间、污水处理站</w:t>
            </w:r>
            <w:r>
              <w:rPr>
                <w:rFonts w:hint="eastAsia" w:ascii="宋体" w:hAnsi="宋体" w:cs="宋体"/>
                <w:color w:val="auto"/>
                <w:kern w:val="0"/>
                <w:sz w:val="24"/>
                <w:szCs w:val="24"/>
                <w:highlight w:val="none"/>
                <w:u w:val="none" w:color="auto"/>
                <w:lang w:val="en-US" w:eastAsia="zh-CN" w:bidi="ar"/>
              </w:rPr>
              <w:t>、应急事故池</w:t>
            </w:r>
            <w:r>
              <w:rPr>
                <w:rFonts w:hint="eastAsia" w:ascii="宋体" w:hAnsi="宋体" w:eastAsia="宋体" w:cs="宋体"/>
                <w:color w:val="auto"/>
                <w:kern w:val="0"/>
                <w:sz w:val="24"/>
                <w:szCs w:val="24"/>
                <w:highlight w:val="none"/>
                <w:u w:val="none" w:color="auto"/>
                <w:lang w:val="en-US" w:eastAsia="zh-CN" w:bidi="ar"/>
              </w:rPr>
              <w:t>；一般污染防治区是指危害性相对较小的区域，主要为一般固废暂存间、生活垃圾收集场所及其他区域。</w:t>
            </w:r>
          </w:p>
          <w:p w14:paraId="543AC34A">
            <w:pPr>
              <w:keepNext w:val="0"/>
              <w:keepLines w:val="0"/>
              <w:widowControl/>
              <w:suppressLineNumbers w:val="0"/>
              <w:ind w:firstLine="480" w:firstLineChars="200"/>
              <w:jc w:val="left"/>
              <w:rPr>
                <w:rFonts w:hint="default" w:ascii="Times New Roman" w:hAnsi="Times New Roman" w:eastAsia="宋体" w:cs="Times New Roman"/>
                <w:color w:val="auto"/>
                <w:kern w:val="0"/>
                <w:sz w:val="24"/>
                <w:szCs w:val="24"/>
                <w:highlight w:val="none"/>
                <w:u w:val="none" w:color="auto"/>
                <w:lang w:val="en-US" w:eastAsia="zh-CN" w:bidi="ar"/>
              </w:rPr>
            </w:pPr>
            <w:r>
              <w:rPr>
                <w:rFonts w:hint="default" w:ascii="Times New Roman" w:hAnsi="Times New Roman" w:eastAsia="宋体" w:cs="Times New Roman"/>
                <w:color w:val="auto"/>
                <w:kern w:val="0"/>
                <w:sz w:val="24"/>
                <w:szCs w:val="24"/>
                <w:highlight w:val="none"/>
                <w:u w:val="none" w:color="auto"/>
                <w:lang w:val="en-US" w:eastAsia="zh-CN" w:bidi="ar"/>
              </w:rPr>
              <w:t>项目医疗废物暂存间、污水处理站</w:t>
            </w:r>
            <w:r>
              <w:rPr>
                <w:rFonts w:hint="eastAsia" w:ascii="宋体" w:hAnsi="宋体" w:cs="宋体"/>
                <w:color w:val="auto"/>
                <w:kern w:val="0"/>
                <w:sz w:val="24"/>
                <w:szCs w:val="24"/>
                <w:highlight w:val="none"/>
                <w:u w:val="none" w:color="auto"/>
                <w:lang w:val="en-US" w:eastAsia="zh-CN" w:bidi="ar"/>
              </w:rPr>
              <w:t>、应急事故池</w:t>
            </w:r>
            <w:r>
              <w:rPr>
                <w:rFonts w:hint="default" w:ascii="Times New Roman" w:hAnsi="Times New Roman" w:eastAsia="宋体" w:cs="Times New Roman"/>
                <w:color w:val="auto"/>
                <w:kern w:val="0"/>
                <w:sz w:val="24"/>
                <w:szCs w:val="24"/>
                <w:highlight w:val="none"/>
                <w:u w:val="none" w:color="auto"/>
                <w:lang w:val="en-US" w:eastAsia="zh-CN" w:bidi="ar"/>
              </w:rPr>
              <w:t>应按照</w:t>
            </w:r>
            <w:r>
              <w:rPr>
                <w:rFonts w:hint="eastAsia" w:cs="Times New Roman"/>
                <w:color w:val="auto"/>
                <w:kern w:val="0"/>
                <w:sz w:val="24"/>
                <w:szCs w:val="24"/>
                <w:highlight w:val="none"/>
                <w:u w:val="none" w:color="auto"/>
                <w:lang w:val="en-US" w:eastAsia="zh-CN" w:bidi="ar"/>
              </w:rPr>
              <w:t>《危险废物贮存污染控制标准》（GB18597-2023）</w:t>
            </w:r>
            <w:r>
              <w:rPr>
                <w:rFonts w:hint="default" w:ascii="Times New Roman" w:hAnsi="Times New Roman" w:eastAsia="宋体" w:cs="Times New Roman"/>
                <w:color w:val="auto"/>
                <w:kern w:val="0"/>
                <w:sz w:val="24"/>
                <w:szCs w:val="24"/>
                <w:highlight w:val="none"/>
                <w:u w:val="none" w:color="auto"/>
                <w:lang w:val="en-US" w:eastAsia="zh-CN" w:bidi="ar"/>
              </w:rPr>
              <w:t>进行防渗，可采用抗渗混凝土、高密度聚乙烯膜、钠基膨润土防水毯或其他防渗性能等效的材料。贮存的危险废物直接接触地面的，还应进行基础防渗，防渗层为至少1m厚黏土层（渗透系数不大于10</w:t>
            </w:r>
            <w:r>
              <w:rPr>
                <w:rFonts w:hint="eastAsia" w:cs="Times New Roman"/>
                <w:color w:val="auto"/>
                <w:kern w:val="0"/>
                <w:sz w:val="24"/>
                <w:szCs w:val="24"/>
                <w:highlight w:val="none"/>
                <w:u w:val="none" w:color="auto"/>
                <w:vertAlign w:val="superscript"/>
                <w:lang w:val="en-US" w:eastAsia="zh-CN" w:bidi="ar"/>
              </w:rPr>
              <w:t>-</w:t>
            </w:r>
            <w:r>
              <w:rPr>
                <w:rFonts w:hint="default"/>
                <w:color w:val="auto"/>
                <w:highlight w:val="none"/>
                <w:u w:val="none" w:color="auto"/>
                <w:vertAlign w:val="superscript"/>
                <w:lang w:val="en-US" w:eastAsia="zh-CN"/>
              </w:rPr>
              <w:t>7</w:t>
            </w:r>
            <w:r>
              <w:rPr>
                <w:rFonts w:hint="default" w:ascii="Times New Roman" w:hAnsi="Times New Roman" w:eastAsia="宋体" w:cs="Times New Roman"/>
                <w:color w:val="auto"/>
                <w:kern w:val="0"/>
                <w:sz w:val="24"/>
                <w:szCs w:val="24"/>
                <w:highlight w:val="none"/>
                <w:u w:val="none" w:color="auto"/>
                <w:lang w:val="en-US" w:eastAsia="zh-CN" w:bidi="ar"/>
              </w:rPr>
              <w:t>cm/s），或至少2mm厚高密度聚乙烯膜等人工防渗材料（渗透系数不大于10</w:t>
            </w:r>
            <w:r>
              <w:rPr>
                <w:rFonts w:hint="eastAsia" w:cs="Times New Roman"/>
                <w:color w:val="auto"/>
                <w:kern w:val="0"/>
                <w:sz w:val="24"/>
                <w:szCs w:val="24"/>
                <w:highlight w:val="none"/>
                <w:u w:val="none" w:color="auto"/>
                <w:vertAlign w:val="superscript"/>
                <w:lang w:val="en-US" w:eastAsia="zh-CN" w:bidi="ar"/>
              </w:rPr>
              <w:t>-</w:t>
            </w:r>
            <w:r>
              <w:rPr>
                <w:rFonts w:hint="default"/>
                <w:color w:val="auto"/>
                <w:highlight w:val="none"/>
                <w:u w:val="none" w:color="auto"/>
                <w:vertAlign w:val="superscript"/>
                <w:lang w:val="en-US" w:eastAsia="zh-CN"/>
              </w:rPr>
              <w:t>10</w:t>
            </w:r>
            <w:r>
              <w:rPr>
                <w:rFonts w:hint="default" w:ascii="Times New Roman" w:hAnsi="Times New Roman" w:eastAsia="宋体" w:cs="Times New Roman"/>
                <w:color w:val="auto"/>
                <w:kern w:val="0"/>
                <w:sz w:val="24"/>
                <w:szCs w:val="24"/>
                <w:highlight w:val="none"/>
                <w:u w:val="none" w:color="auto"/>
                <w:lang w:val="en-US" w:eastAsia="zh-CN" w:bidi="ar"/>
              </w:rPr>
              <w:t>cm/s），或其他防渗性能等效的材料。</w:t>
            </w:r>
          </w:p>
          <w:p w14:paraId="39646FF3">
            <w:pPr>
              <w:keepNext w:val="0"/>
              <w:keepLines w:val="0"/>
              <w:widowControl/>
              <w:suppressLineNumbers w:val="0"/>
              <w:ind w:firstLine="482" w:firstLineChars="200"/>
              <w:jc w:val="left"/>
              <w:rPr>
                <w:rFonts w:hint="default" w:ascii="Times New Roman" w:hAnsi="Times New Roman" w:cs="Times New Roman"/>
                <w:color w:val="auto"/>
                <w:highlight w:val="none"/>
                <w:u w:val="none" w:color="auto"/>
              </w:rPr>
            </w:pPr>
            <w:r>
              <w:rPr>
                <w:rFonts w:hint="eastAsia" w:cs="Times New Roman"/>
                <w:b/>
                <w:bCs/>
                <w:color w:val="auto"/>
                <w:kern w:val="0"/>
                <w:sz w:val="24"/>
                <w:szCs w:val="24"/>
                <w:highlight w:val="none"/>
                <w:u w:val="none" w:color="auto"/>
                <w:lang w:val="en-US" w:eastAsia="zh-CN" w:bidi="ar"/>
              </w:rPr>
              <w:t>4.5.3</w:t>
            </w:r>
            <w:r>
              <w:rPr>
                <w:rFonts w:hint="default" w:ascii="Times New Roman" w:hAnsi="Times New Roman" w:eastAsia="宋体" w:cs="Times New Roman"/>
                <w:b/>
                <w:bCs/>
                <w:color w:val="auto"/>
                <w:kern w:val="0"/>
                <w:sz w:val="24"/>
                <w:szCs w:val="24"/>
                <w:highlight w:val="none"/>
                <w:u w:val="none" w:color="auto"/>
                <w:lang w:val="en-US" w:eastAsia="zh-CN" w:bidi="ar"/>
              </w:rPr>
              <w:t>固体废物环境影响分析结论</w:t>
            </w:r>
          </w:p>
          <w:p w14:paraId="54F750D1">
            <w:pPr>
              <w:keepNext w:val="0"/>
              <w:keepLines w:val="0"/>
              <w:widowControl/>
              <w:suppressLineNumbers w:val="0"/>
              <w:ind w:firstLine="480" w:firstLineChars="200"/>
              <w:jc w:val="left"/>
              <w:rPr>
                <w:rFonts w:hint="eastAsia" w:ascii="宋体" w:hAnsi="宋体" w:eastAsia="宋体" w:cs="宋体"/>
                <w:color w:val="auto"/>
                <w:kern w:val="0"/>
                <w:sz w:val="24"/>
                <w:szCs w:val="24"/>
                <w:highlight w:val="none"/>
                <w:u w:val="none" w:color="auto"/>
                <w:lang w:val="en-US" w:eastAsia="zh-CN" w:bidi="ar"/>
              </w:rPr>
            </w:pPr>
            <w:r>
              <w:rPr>
                <w:rFonts w:hint="eastAsia" w:ascii="宋体" w:hAnsi="宋体" w:eastAsia="宋体" w:cs="宋体"/>
                <w:color w:val="auto"/>
                <w:kern w:val="0"/>
                <w:sz w:val="24"/>
                <w:szCs w:val="24"/>
                <w:highlight w:val="none"/>
                <w:u w:val="none" w:color="auto"/>
                <w:lang w:val="en-US" w:eastAsia="zh-CN" w:bidi="ar"/>
              </w:rPr>
              <w:t>综上，本项目运营期以“减量化、资源化、无害化”为原则，严格对固体废物进行分类收集、暂存和处置过程中严格按照相关要求执行，对运营期产生的固体废物采取有效措施防止固体废物在产生、收集、贮存、运输过程中的散失，并采用有效处置方案对固废进行处理，项目运营期各类固体废物均得到妥善有效</w:t>
            </w:r>
            <w:r>
              <w:rPr>
                <w:rFonts w:hint="eastAsia" w:ascii="宋体" w:hAnsi="宋体" w:cs="宋体"/>
                <w:color w:val="auto"/>
                <w:kern w:val="0"/>
                <w:sz w:val="24"/>
                <w:szCs w:val="24"/>
                <w:highlight w:val="none"/>
                <w:u w:val="none" w:color="auto"/>
                <w:lang w:val="en-US" w:eastAsia="zh-CN" w:bidi="ar"/>
              </w:rPr>
              <w:t>地</w:t>
            </w:r>
            <w:r>
              <w:rPr>
                <w:rFonts w:hint="eastAsia" w:ascii="宋体" w:hAnsi="宋体" w:eastAsia="宋体" w:cs="宋体"/>
                <w:color w:val="auto"/>
                <w:kern w:val="0"/>
                <w:sz w:val="24"/>
                <w:szCs w:val="24"/>
                <w:highlight w:val="none"/>
                <w:u w:val="none" w:color="auto"/>
                <w:lang w:val="en-US" w:eastAsia="zh-CN" w:bidi="ar"/>
              </w:rPr>
              <w:t>处置或综合利用，不会对周围环境产生二次污染。</w:t>
            </w:r>
          </w:p>
          <w:p w14:paraId="14D84540">
            <w:pPr>
              <w:keepNext w:val="0"/>
              <w:keepLines w:val="0"/>
              <w:widowControl/>
              <w:suppressLineNumbers w:val="0"/>
              <w:ind w:firstLine="482" w:firstLineChars="200"/>
              <w:jc w:val="left"/>
              <w:rPr>
                <w:rFonts w:hint="default" w:ascii="Times New Roman" w:hAnsi="Times New Roman" w:cs="Times New Roman"/>
                <w:color w:val="auto"/>
                <w:highlight w:val="none"/>
                <w:u w:val="none" w:color="auto"/>
              </w:rPr>
            </w:pPr>
            <w:r>
              <w:rPr>
                <w:rFonts w:hint="default" w:ascii="Times New Roman" w:hAnsi="Times New Roman" w:eastAsia="宋体" w:cs="Times New Roman"/>
                <w:b/>
                <w:bCs/>
                <w:color w:val="auto"/>
                <w:kern w:val="0"/>
                <w:sz w:val="24"/>
                <w:szCs w:val="24"/>
                <w:highlight w:val="none"/>
                <w:u w:val="none" w:color="auto"/>
                <w:lang w:val="en-US" w:eastAsia="zh-CN" w:bidi="ar"/>
              </w:rPr>
              <w:t>4.</w:t>
            </w:r>
            <w:r>
              <w:rPr>
                <w:rFonts w:hint="eastAsia" w:cs="Times New Roman"/>
                <w:b/>
                <w:bCs/>
                <w:color w:val="auto"/>
                <w:kern w:val="0"/>
                <w:sz w:val="24"/>
                <w:szCs w:val="24"/>
                <w:highlight w:val="none"/>
                <w:u w:val="none" w:color="auto"/>
                <w:lang w:val="en-US" w:eastAsia="zh-CN" w:bidi="ar"/>
              </w:rPr>
              <w:t>6土壤、地下水</w:t>
            </w:r>
            <w:r>
              <w:rPr>
                <w:rFonts w:hint="default" w:ascii="Times New Roman" w:hAnsi="Times New Roman" w:eastAsia="宋体" w:cs="Times New Roman"/>
                <w:b/>
                <w:bCs/>
                <w:color w:val="auto"/>
                <w:kern w:val="0"/>
                <w:sz w:val="24"/>
                <w:szCs w:val="24"/>
                <w:highlight w:val="none"/>
                <w:u w:val="none" w:color="auto"/>
                <w:lang w:val="en-US" w:eastAsia="zh-CN" w:bidi="ar"/>
              </w:rPr>
              <w:t>环境影响分析</w:t>
            </w:r>
          </w:p>
          <w:p w14:paraId="6E52F219">
            <w:pPr>
              <w:pStyle w:val="133"/>
              <w:spacing w:line="360" w:lineRule="auto"/>
              <w:ind w:firstLine="480"/>
              <w:jc w:val="both"/>
              <w:rPr>
                <w:rFonts w:hint="default" w:ascii="Times New Roman" w:hAnsi="Times New Roman" w:cs="Times New Roman"/>
                <w:b/>
                <w:bCs/>
                <w:color w:val="auto"/>
                <w:kern w:val="24"/>
                <w:szCs w:val="24"/>
              </w:rPr>
            </w:pPr>
            <w:r>
              <w:rPr>
                <w:rFonts w:hint="default" w:ascii="Times New Roman" w:hAnsi="Times New Roman" w:eastAsia="宋体" w:cs="Times New Roman"/>
                <w:color w:val="auto"/>
                <w:sz w:val="24"/>
                <w:szCs w:val="24"/>
              </w:rPr>
              <w:t>本项目要求</w:t>
            </w:r>
            <w:r>
              <w:rPr>
                <w:rFonts w:hint="eastAsia" w:cs="Times New Roman"/>
                <w:color w:val="auto"/>
                <w:sz w:val="24"/>
                <w:szCs w:val="24"/>
                <w:lang w:eastAsia="zh-CN"/>
              </w:rPr>
              <w:t>污水处理站等</w:t>
            </w:r>
            <w:r>
              <w:rPr>
                <w:rFonts w:hint="default" w:ascii="Times New Roman" w:hAnsi="Times New Roman" w:eastAsia="宋体" w:cs="Times New Roman"/>
                <w:color w:val="auto"/>
                <w:sz w:val="24"/>
                <w:szCs w:val="24"/>
              </w:rPr>
              <w:t>区域做地面防渗处理，防止废水、医疗废物发生渗漏对地下水、土壤造成影响。</w:t>
            </w:r>
          </w:p>
          <w:p w14:paraId="1C6E24A5">
            <w:pPr>
              <w:keepNext w:val="0"/>
              <w:keepLines w:val="0"/>
              <w:widowControl/>
              <w:suppressLineNumbers w:val="0"/>
              <w:ind w:firstLine="482" w:firstLineChars="200"/>
              <w:jc w:val="left"/>
              <w:rPr>
                <w:b/>
                <w:bCs/>
                <w:color w:val="auto"/>
                <w:highlight w:val="none"/>
                <w:u w:val="none" w:color="auto"/>
              </w:rPr>
            </w:pPr>
            <w:r>
              <w:rPr>
                <w:rFonts w:hint="eastAsia" w:cs="Times New Roman"/>
                <w:b/>
                <w:bCs/>
                <w:color w:val="auto"/>
                <w:kern w:val="0"/>
                <w:sz w:val="24"/>
                <w:szCs w:val="24"/>
                <w:highlight w:val="none"/>
                <w:u w:val="none" w:color="auto"/>
                <w:lang w:val="en-US" w:eastAsia="zh-CN" w:bidi="ar"/>
              </w:rPr>
              <w:t>（</w:t>
            </w:r>
            <w:r>
              <w:rPr>
                <w:rFonts w:hint="default" w:ascii="Times New Roman" w:hAnsi="Times New Roman" w:eastAsia="宋体" w:cs="Times New Roman"/>
                <w:b/>
                <w:bCs/>
                <w:color w:val="auto"/>
                <w:kern w:val="0"/>
                <w:sz w:val="24"/>
                <w:szCs w:val="24"/>
                <w:highlight w:val="none"/>
                <w:u w:val="none" w:color="auto"/>
                <w:lang w:val="en-US" w:eastAsia="zh-CN" w:bidi="ar"/>
              </w:rPr>
              <w:t>1</w:t>
            </w:r>
            <w:r>
              <w:rPr>
                <w:rFonts w:hint="eastAsia" w:ascii="宋体" w:hAnsi="宋体" w:eastAsia="宋体" w:cs="宋体"/>
                <w:b/>
                <w:bCs/>
                <w:color w:val="auto"/>
                <w:kern w:val="0"/>
                <w:sz w:val="24"/>
                <w:szCs w:val="24"/>
                <w:highlight w:val="none"/>
                <w:u w:val="none" w:color="auto"/>
                <w:lang w:val="en-US" w:eastAsia="zh-CN" w:bidi="ar"/>
              </w:rPr>
              <w:t>）源头控制</w:t>
            </w:r>
          </w:p>
          <w:p w14:paraId="6DAAE3B6">
            <w:pPr>
              <w:keepNext w:val="0"/>
              <w:keepLines w:val="0"/>
              <w:widowControl/>
              <w:suppressLineNumbers w:val="0"/>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控制项目污染物的排放。大力推广闭路循环、清洁工艺，以减少污染物；控制污染物排放的数量和浓度，使之符合排放标准和总量控制要求。</w:t>
            </w:r>
          </w:p>
          <w:p w14:paraId="7BE53B23">
            <w:pPr>
              <w:keepNext w:val="0"/>
              <w:keepLines w:val="0"/>
              <w:widowControl/>
              <w:suppressLineNumbers w:val="0"/>
              <w:ind w:firstLine="482" w:firstLineChars="200"/>
              <w:jc w:val="left"/>
              <w:rPr>
                <w:b/>
                <w:bCs/>
                <w:color w:val="auto"/>
                <w:highlight w:val="none"/>
                <w:u w:val="none" w:color="auto"/>
              </w:rPr>
            </w:pPr>
            <w:r>
              <w:rPr>
                <w:rFonts w:hint="eastAsia" w:cs="Times New Roman"/>
                <w:b/>
                <w:bCs/>
                <w:color w:val="auto"/>
                <w:kern w:val="0"/>
                <w:sz w:val="24"/>
                <w:szCs w:val="24"/>
                <w:highlight w:val="none"/>
                <w:u w:val="none" w:color="auto"/>
                <w:lang w:val="en-US" w:eastAsia="zh-CN" w:bidi="ar"/>
              </w:rPr>
              <w:t>（</w:t>
            </w:r>
            <w:r>
              <w:rPr>
                <w:rFonts w:hint="default" w:ascii="Times New Roman" w:hAnsi="Times New Roman" w:eastAsia="宋体" w:cs="Times New Roman"/>
                <w:b/>
                <w:bCs/>
                <w:color w:val="auto"/>
                <w:kern w:val="0"/>
                <w:sz w:val="24"/>
                <w:szCs w:val="24"/>
                <w:highlight w:val="none"/>
                <w:u w:val="none" w:color="auto"/>
                <w:lang w:val="en-US" w:eastAsia="zh-CN" w:bidi="ar"/>
              </w:rPr>
              <w:t>2</w:t>
            </w:r>
            <w:r>
              <w:rPr>
                <w:rFonts w:hint="eastAsia" w:ascii="宋体" w:hAnsi="宋体" w:eastAsia="宋体" w:cs="宋体"/>
                <w:b/>
                <w:bCs/>
                <w:color w:val="auto"/>
                <w:kern w:val="0"/>
                <w:sz w:val="24"/>
                <w:szCs w:val="24"/>
                <w:highlight w:val="none"/>
                <w:u w:val="none" w:color="auto"/>
                <w:lang w:val="en-US" w:eastAsia="zh-CN" w:bidi="ar"/>
              </w:rPr>
              <w:t>）过程防控措施</w:t>
            </w:r>
          </w:p>
          <w:p w14:paraId="799E4718">
            <w:pPr>
              <w:keepNext w:val="0"/>
              <w:keepLines w:val="0"/>
              <w:widowControl/>
              <w:suppressLineNumbers w:val="0"/>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①严格按照分区</w:t>
            </w:r>
            <w:r>
              <w:rPr>
                <w:rFonts w:hint="eastAsia" w:ascii="宋体" w:hAnsi="宋体" w:cs="宋体"/>
                <w:color w:val="auto"/>
                <w:kern w:val="0"/>
                <w:sz w:val="24"/>
                <w:szCs w:val="24"/>
                <w:highlight w:val="none"/>
                <w:u w:val="none" w:color="auto"/>
                <w:lang w:val="en-US" w:eastAsia="zh-CN" w:bidi="ar"/>
              </w:rPr>
              <w:t>防渗</w:t>
            </w:r>
            <w:r>
              <w:rPr>
                <w:rFonts w:hint="eastAsia" w:ascii="宋体" w:hAnsi="宋体" w:eastAsia="宋体" w:cs="宋体"/>
                <w:color w:val="auto"/>
                <w:kern w:val="0"/>
                <w:sz w:val="24"/>
                <w:szCs w:val="24"/>
                <w:highlight w:val="none"/>
                <w:u w:val="none" w:color="auto"/>
                <w:lang w:val="en-US" w:eastAsia="zh-CN" w:bidi="ar"/>
              </w:rPr>
              <w:t>要求，对各构筑物采取相应的防渗措施；装置和管道等</w:t>
            </w:r>
            <w:r>
              <w:rPr>
                <w:rFonts w:hint="eastAsia" w:ascii="宋体" w:hAnsi="宋体" w:cs="宋体"/>
                <w:color w:val="auto"/>
                <w:kern w:val="0"/>
                <w:sz w:val="24"/>
                <w:szCs w:val="24"/>
                <w:highlight w:val="none"/>
                <w:u w:val="none" w:color="auto"/>
                <w:lang w:val="en-US" w:eastAsia="zh-CN" w:bidi="ar"/>
              </w:rPr>
              <w:t>存在</w:t>
            </w:r>
            <w:r>
              <w:rPr>
                <w:rFonts w:hint="eastAsia" w:ascii="宋体" w:hAnsi="宋体" w:eastAsia="宋体" w:cs="宋体"/>
                <w:color w:val="auto"/>
                <w:kern w:val="0"/>
                <w:sz w:val="24"/>
                <w:szCs w:val="24"/>
                <w:highlight w:val="none"/>
                <w:u w:val="none" w:color="auto"/>
                <w:lang w:val="en-US" w:eastAsia="zh-CN" w:bidi="ar"/>
              </w:rPr>
              <w:t>土壤污染风险的设施，应当按照国家有关标准和规范的要求，设计、建设和安装有关防腐蚀、防泄漏设施和泄漏装置，从而杜绝污染物通过垂直渗入影响土壤环境。</w:t>
            </w:r>
          </w:p>
          <w:p w14:paraId="22D438C9">
            <w:pPr>
              <w:keepNext w:val="0"/>
              <w:keepLines w:val="0"/>
              <w:widowControl/>
              <w:suppressLineNumbers w:val="0"/>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废水：本项目对产生的废水进行合理的治理，使用先进的处理工艺、良好的管道、设备和污水储存设施，尽可能从源头上减少污染物的产生；严格按照国家相关规范要求，对工艺、管道、设备、污水储存及处理构筑物采取相应的措施，以防止和降低污染物的跑冒滴漏，将环境风险事故降到最低。</w:t>
            </w:r>
          </w:p>
          <w:p w14:paraId="3BEC072C">
            <w:pPr>
              <w:keepNext w:val="0"/>
              <w:keepLines w:val="0"/>
              <w:widowControl/>
              <w:suppressLineNumbers w:val="0"/>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医疗废物暂存间：本次评价要求对医疗废物采用双层复合防渗结构，即</w:t>
            </w:r>
            <w:r>
              <w:rPr>
                <w:rFonts w:hint="default" w:ascii="Times New Roman" w:hAnsi="Times New Roman" w:eastAsia="宋体" w:cs="Times New Roman"/>
                <w:color w:val="auto"/>
                <w:kern w:val="0"/>
                <w:sz w:val="24"/>
                <w:szCs w:val="24"/>
                <w:highlight w:val="none"/>
                <w:u w:val="none" w:color="auto"/>
                <w:lang w:val="en-US" w:eastAsia="zh-CN" w:bidi="ar"/>
              </w:rPr>
              <w:t>2mm</w:t>
            </w:r>
            <w:r>
              <w:rPr>
                <w:rFonts w:hint="eastAsia" w:ascii="宋体" w:hAnsi="宋体" w:eastAsia="宋体" w:cs="宋体"/>
                <w:color w:val="auto"/>
                <w:kern w:val="0"/>
                <w:sz w:val="24"/>
                <w:szCs w:val="24"/>
                <w:highlight w:val="none"/>
                <w:u w:val="none" w:color="auto"/>
                <w:lang w:val="en-US" w:eastAsia="zh-CN" w:bidi="ar"/>
              </w:rPr>
              <w:t>厚的环氧树脂涂料＋抗渗混凝土（厚度不宜小于</w:t>
            </w:r>
            <w:r>
              <w:rPr>
                <w:rFonts w:hint="default" w:ascii="Times New Roman" w:hAnsi="Times New Roman" w:eastAsia="宋体" w:cs="Times New Roman"/>
                <w:color w:val="auto"/>
                <w:kern w:val="0"/>
                <w:sz w:val="24"/>
                <w:szCs w:val="24"/>
                <w:highlight w:val="none"/>
                <w:u w:val="none" w:color="auto"/>
                <w:lang w:val="en-US" w:eastAsia="zh-CN" w:bidi="ar"/>
              </w:rPr>
              <w:t>100mm</w:t>
            </w:r>
            <w:r>
              <w:rPr>
                <w:rFonts w:hint="eastAsia" w:ascii="宋体" w:hAnsi="宋体" w:eastAsia="宋体" w:cs="宋体"/>
                <w:color w:val="auto"/>
                <w:kern w:val="0"/>
                <w:sz w:val="24"/>
                <w:szCs w:val="24"/>
                <w:highlight w:val="none"/>
                <w:u w:val="none" w:color="auto"/>
                <w:lang w:val="en-US" w:eastAsia="zh-CN" w:bidi="ar"/>
              </w:rPr>
              <w:t>），渗透系数</w:t>
            </w:r>
            <w:r>
              <w:rPr>
                <w:rFonts w:hint="default" w:ascii="Times New Roman" w:hAnsi="Times New Roman" w:eastAsia="宋体" w:cs="Times New Roman"/>
                <w:color w:val="auto"/>
                <w:kern w:val="0"/>
                <w:sz w:val="24"/>
                <w:szCs w:val="24"/>
                <w:highlight w:val="none"/>
                <w:u w:val="none" w:color="auto"/>
                <w:lang w:val="en-US" w:eastAsia="zh-CN" w:bidi="ar"/>
              </w:rPr>
              <w:t>K≤1</w:t>
            </w:r>
            <w:r>
              <w:rPr>
                <w:rFonts w:hint="eastAsia" w:ascii="宋体" w:hAnsi="宋体" w:eastAsia="宋体" w:cs="宋体"/>
                <w:color w:val="auto"/>
                <w:kern w:val="0"/>
                <w:sz w:val="24"/>
                <w:szCs w:val="24"/>
                <w:highlight w:val="none"/>
                <w:u w:val="none" w:color="auto"/>
                <w:lang w:val="en-US" w:eastAsia="zh-CN" w:bidi="ar"/>
              </w:rPr>
              <w:t>×</w:t>
            </w:r>
            <w:r>
              <w:rPr>
                <w:rFonts w:hint="default" w:ascii="Times New Roman" w:hAnsi="Times New Roman" w:eastAsia="宋体" w:cs="Times New Roman"/>
                <w:color w:val="auto"/>
                <w:kern w:val="0"/>
                <w:sz w:val="24"/>
                <w:szCs w:val="24"/>
                <w:highlight w:val="none"/>
                <w:u w:val="none" w:color="auto"/>
                <w:lang w:val="en-US" w:eastAsia="zh-CN" w:bidi="ar"/>
              </w:rPr>
              <w:t>10</w:t>
            </w:r>
            <w:r>
              <w:rPr>
                <w:rFonts w:hint="eastAsia" w:cs="Times New Roman"/>
                <w:color w:val="auto"/>
                <w:kern w:val="0"/>
                <w:sz w:val="24"/>
                <w:szCs w:val="24"/>
                <w:highlight w:val="none"/>
                <w:u w:val="none" w:color="auto"/>
                <w:vertAlign w:val="superscript"/>
                <w:lang w:val="en-US" w:eastAsia="zh-CN" w:bidi="ar"/>
              </w:rPr>
              <w:t>-</w:t>
            </w:r>
            <w:r>
              <w:rPr>
                <w:rFonts w:hint="default"/>
                <w:color w:val="auto"/>
                <w:highlight w:val="none"/>
                <w:u w:val="none" w:color="auto"/>
                <w:vertAlign w:val="superscript"/>
                <w:lang w:val="en-US" w:eastAsia="zh-CN"/>
              </w:rPr>
              <w:t>10</w:t>
            </w:r>
            <w:r>
              <w:rPr>
                <w:rFonts w:hint="default" w:ascii="Times New Roman" w:hAnsi="Times New Roman" w:eastAsia="宋体" w:cs="Times New Roman"/>
                <w:color w:val="auto"/>
                <w:kern w:val="0"/>
                <w:sz w:val="24"/>
                <w:szCs w:val="24"/>
                <w:highlight w:val="none"/>
                <w:u w:val="none" w:color="auto"/>
                <w:lang w:val="en-US" w:eastAsia="zh-CN" w:bidi="ar"/>
              </w:rPr>
              <w:t>cm/s</w:t>
            </w:r>
            <w:r>
              <w:rPr>
                <w:rFonts w:hint="eastAsia" w:ascii="宋体" w:hAnsi="宋体" w:eastAsia="宋体" w:cs="宋体"/>
                <w:color w:val="auto"/>
                <w:kern w:val="0"/>
                <w:sz w:val="24"/>
                <w:szCs w:val="24"/>
                <w:highlight w:val="none"/>
                <w:u w:val="none" w:color="auto"/>
                <w:lang w:val="en-US" w:eastAsia="zh-CN" w:bidi="ar"/>
              </w:rPr>
              <w:t>。危险废物的临时收集贮存、转移、处置均应按照相关要求进行。</w:t>
            </w:r>
          </w:p>
          <w:p w14:paraId="0C0D3404">
            <w:pPr>
              <w:keepNext w:val="0"/>
              <w:keepLines w:val="0"/>
              <w:widowControl/>
              <w:suppressLineNumbers w:val="0"/>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②院区内设事故应急水池，事故状态下产生的事故废水暂贮存于事故水池。</w:t>
            </w:r>
          </w:p>
          <w:p w14:paraId="62F8D4D9">
            <w:pPr>
              <w:keepNext w:val="0"/>
              <w:keepLines w:val="0"/>
              <w:widowControl/>
              <w:suppressLineNumbers w:val="0"/>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③建立土壤污染隐患排查治理制度，定期对重点区域、重点设施开展隐患排查。发现污染隐患的，应当制定整改方案，及时采取技术、管理措施消除隐患。隐患排查、治理情况应当如实记录并建立档案。</w:t>
            </w:r>
          </w:p>
          <w:p w14:paraId="5BF37D2D">
            <w:pPr>
              <w:keepNext w:val="0"/>
              <w:keepLines w:val="0"/>
              <w:widowControl/>
              <w:suppressLineNumbers w:val="0"/>
              <w:ind w:firstLine="482" w:firstLineChars="200"/>
              <w:jc w:val="left"/>
              <w:rPr>
                <w:color w:val="auto"/>
                <w:highlight w:val="none"/>
                <w:u w:val="none" w:color="auto"/>
              </w:rPr>
            </w:pPr>
            <w:r>
              <w:rPr>
                <w:rFonts w:hint="default" w:ascii="Times New Roman" w:hAnsi="Times New Roman" w:eastAsia="宋体" w:cs="Times New Roman"/>
                <w:b/>
                <w:bCs/>
                <w:color w:val="auto"/>
                <w:kern w:val="0"/>
                <w:sz w:val="24"/>
                <w:szCs w:val="24"/>
                <w:highlight w:val="none"/>
                <w:u w:val="none" w:color="auto"/>
                <w:lang w:val="en-US" w:eastAsia="zh-CN" w:bidi="ar"/>
              </w:rPr>
              <w:t>4.</w:t>
            </w:r>
            <w:r>
              <w:rPr>
                <w:rFonts w:hint="eastAsia" w:cs="Times New Roman"/>
                <w:b/>
                <w:bCs/>
                <w:color w:val="auto"/>
                <w:kern w:val="0"/>
                <w:sz w:val="24"/>
                <w:szCs w:val="24"/>
                <w:highlight w:val="none"/>
                <w:u w:val="none" w:color="auto"/>
                <w:lang w:val="en-US" w:eastAsia="zh-CN" w:bidi="ar"/>
              </w:rPr>
              <w:t>7</w:t>
            </w:r>
            <w:r>
              <w:rPr>
                <w:rFonts w:hint="eastAsia" w:ascii="Times New Roman" w:hAnsi="Times New Roman" w:eastAsia="宋体" w:cs="宋体"/>
                <w:b/>
                <w:color w:val="auto"/>
                <w:highlight w:val="none"/>
                <w:u w:val="none" w:color="auto"/>
                <w:lang w:val="en-US" w:bidi="ar"/>
              </w:rPr>
              <w:t>生态环境影响和保护措施</w:t>
            </w:r>
          </w:p>
          <w:p w14:paraId="633E1BAF">
            <w:pPr>
              <w:keepNext w:val="0"/>
              <w:keepLines w:val="0"/>
              <w:widowControl/>
              <w:suppressLineNumbers w:val="0"/>
              <w:ind w:firstLine="480" w:firstLineChars="200"/>
              <w:jc w:val="left"/>
              <w:rPr>
                <w:color w:val="auto"/>
                <w:highlight w:val="none"/>
                <w:u w:val="none" w:color="auto"/>
              </w:rPr>
            </w:pPr>
            <w:r>
              <w:rPr>
                <w:rFonts w:hint="eastAsia" w:ascii="宋体" w:hAnsi="宋体" w:cs="宋体"/>
                <w:color w:val="auto"/>
                <w:kern w:val="0"/>
                <w:sz w:val="24"/>
                <w:szCs w:val="24"/>
                <w:highlight w:val="none"/>
                <w:u w:val="none" w:color="auto"/>
                <w:lang w:val="en-US" w:eastAsia="zh-CN" w:bidi="ar"/>
              </w:rPr>
              <w:t>本项目用地性质为医疗卫生用地，用地内现状为荒地和水田，不涉及基本农田、生态红线等，拟采取以下措施</w:t>
            </w:r>
            <w:r>
              <w:rPr>
                <w:rFonts w:hint="eastAsia" w:ascii="宋体" w:hAnsi="宋体" w:eastAsia="宋体" w:cs="宋体"/>
                <w:color w:val="auto"/>
                <w:kern w:val="0"/>
                <w:sz w:val="24"/>
                <w:szCs w:val="24"/>
                <w:highlight w:val="none"/>
                <w:u w:val="none" w:color="auto"/>
                <w:lang w:val="en-US" w:eastAsia="zh-CN" w:bidi="ar"/>
              </w:rPr>
              <w:t>：</w:t>
            </w:r>
          </w:p>
          <w:p w14:paraId="013CC50B">
            <w:pPr>
              <w:keepNext w:val="0"/>
              <w:keepLines w:val="0"/>
              <w:widowControl/>
              <w:suppressLineNumbers w:val="0"/>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①</w:t>
            </w:r>
            <w:r>
              <w:rPr>
                <w:rFonts w:hint="default" w:ascii="Times New Roman" w:hAnsi="Times New Roman" w:eastAsia="宋体" w:cs="Times New Roman"/>
                <w:color w:val="auto"/>
                <w:sz w:val="24"/>
                <w:u w:val="none" w:color="auto"/>
                <w:lang w:val="en-US"/>
              </w:rPr>
              <w:t>建设项目占用</w:t>
            </w:r>
            <w:r>
              <w:rPr>
                <w:rFonts w:hint="eastAsia" w:cs="Times New Roman"/>
                <w:color w:val="auto"/>
                <w:sz w:val="24"/>
                <w:u w:val="none" w:color="auto"/>
                <w:lang w:val="en-US" w:eastAsia="zh-CN"/>
              </w:rPr>
              <w:t>现状</w:t>
            </w:r>
            <w:r>
              <w:rPr>
                <w:rFonts w:hint="eastAsia" w:ascii="Times New Roman" w:hAnsi="Times New Roman" w:eastAsia="宋体" w:cs="Times New Roman"/>
                <w:color w:val="auto"/>
                <w:sz w:val="24"/>
                <w:u w:val="none" w:color="auto"/>
                <w:lang w:val="en-US" w:eastAsia="zh-CN"/>
              </w:rPr>
              <w:t>为</w:t>
            </w:r>
            <w:r>
              <w:rPr>
                <w:rFonts w:hint="eastAsia" w:cs="Times New Roman"/>
                <w:color w:val="auto"/>
                <w:sz w:val="24"/>
                <w:u w:val="none" w:color="auto"/>
                <w:lang w:val="en-US" w:eastAsia="zh-CN"/>
              </w:rPr>
              <w:t>荒地和水田</w:t>
            </w:r>
            <w:r>
              <w:rPr>
                <w:rFonts w:hint="default" w:ascii="Times New Roman" w:hAnsi="Times New Roman" w:eastAsia="宋体" w:cs="Times New Roman"/>
                <w:color w:val="auto"/>
                <w:sz w:val="24"/>
                <w:u w:val="none" w:color="auto"/>
                <w:lang w:val="en-US"/>
              </w:rPr>
              <w:t>等，为</w:t>
            </w:r>
            <w:r>
              <w:rPr>
                <w:rFonts w:hint="eastAsia" w:cs="Times New Roman"/>
                <w:color w:val="auto"/>
                <w:sz w:val="24"/>
                <w:u w:val="none" w:color="auto"/>
                <w:lang w:val="en-US" w:eastAsia="zh-CN"/>
              </w:rPr>
              <w:t>保护表土</w:t>
            </w:r>
            <w:r>
              <w:rPr>
                <w:rFonts w:hint="default" w:ascii="Times New Roman" w:hAnsi="Times New Roman" w:eastAsia="宋体" w:cs="Times New Roman"/>
                <w:color w:val="auto"/>
                <w:sz w:val="24"/>
                <w:u w:val="none" w:color="auto"/>
                <w:lang w:val="en-US"/>
              </w:rPr>
              <w:t>，本环评要求建设单位</w:t>
            </w:r>
            <w:r>
              <w:rPr>
                <w:rFonts w:hint="eastAsia" w:cs="Times New Roman"/>
                <w:color w:val="auto"/>
                <w:sz w:val="24"/>
                <w:u w:val="none" w:color="auto"/>
                <w:lang w:val="en-US" w:eastAsia="zh-CN"/>
              </w:rPr>
              <w:t>在进行建设之前进行表土剥离，妥善保存，可在项目建成后回用于绿化或用于异地复垦</w:t>
            </w:r>
            <w:r>
              <w:rPr>
                <w:rFonts w:hint="eastAsia" w:ascii="宋体" w:hAnsi="宋体" w:eastAsia="宋体" w:cs="宋体"/>
                <w:color w:val="auto"/>
                <w:kern w:val="0"/>
                <w:sz w:val="24"/>
                <w:szCs w:val="24"/>
                <w:highlight w:val="none"/>
                <w:u w:val="none" w:color="auto"/>
                <w:lang w:val="en-US" w:eastAsia="zh-CN" w:bidi="ar"/>
              </w:rPr>
              <w:t>。</w:t>
            </w:r>
          </w:p>
          <w:p w14:paraId="312ABD1F">
            <w:pPr>
              <w:keepNext w:val="0"/>
              <w:keepLines w:val="0"/>
              <w:widowControl/>
              <w:suppressLineNumbers w:val="0"/>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②</w:t>
            </w:r>
            <w:r>
              <w:rPr>
                <w:rFonts w:hint="default" w:ascii="Times New Roman" w:hAnsi="Times New Roman" w:eastAsia="宋体" w:cs="Times New Roman"/>
                <w:color w:val="auto"/>
                <w:sz w:val="24"/>
                <w:u w:val="none" w:color="auto"/>
                <w:lang w:val="en-US"/>
              </w:rPr>
              <w:t>根据现场</w:t>
            </w:r>
            <w:r>
              <w:rPr>
                <w:rFonts w:hint="eastAsia" w:ascii="Times New Roman" w:hAnsi="Times New Roman" w:eastAsia="宋体" w:cs="Times New Roman"/>
                <w:color w:val="auto"/>
                <w:sz w:val="24"/>
                <w:u w:val="none" w:color="auto"/>
                <w:lang w:val="en-US" w:eastAsia="zh-CN"/>
              </w:rPr>
              <w:t>勘探</w:t>
            </w:r>
            <w:r>
              <w:rPr>
                <w:rFonts w:hint="default" w:ascii="Times New Roman" w:hAnsi="Times New Roman" w:eastAsia="宋体" w:cs="Times New Roman"/>
                <w:color w:val="auto"/>
                <w:sz w:val="24"/>
                <w:u w:val="none" w:color="auto"/>
                <w:lang w:val="en-US"/>
              </w:rPr>
              <w:t>，项目</w:t>
            </w:r>
            <w:r>
              <w:rPr>
                <w:rFonts w:hint="eastAsia" w:cs="Times New Roman"/>
                <w:color w:val="auto"/>
                <w:sz w:val="24"/>
                <w:u w:val="none" w:color="auto"/>
                <w:lang w:val="en-US" w:eastAsia="zh-CN"/>
              </w:rPr>
              <w:t>用地周边有少量林木，均为人工种植的常见树种，不涉及古树名木，在施工期间禁止砍伐树木</w:t>
            </w:r>
            <w:r>
              <w:rPr>
                <w:rFonts w:hint="eastAsia" w:ascii="宋体" w:hAnsi="宋体" w:eastAsia="宋体" w:cs="宋体"/>
                <w:color w:val="auto"/>
                <w:kern w:val="0"/>
                <w:sz w:val="24"/>
                <w:szCs w:val="24"/>
                <w:highlight w:val="none"/>
                <w:u w:val="none" w:color="auto"/>
                <w:lang w:val="en-US" w:eastAsia="zh-CN" w:bidi="ar"/>
              </w:rPr>
              <w:t>。</w:t>
            </w:r>
          </w:p>
          <w:p w14:paraId="5562F4E6">
            <w:pPr>
              <w:pStyle w:val="54"/>
              <w:widowControl w:val="0"/>
              <w:ind w:left="0" w:leftChars="0" w:firstLine="482" w:firstLineChars="200"/>
              <w:rPr>
                <w:rFonts w:cs="宋体"/>
                <w:bCs/>
                <w:color w:val="auto"/>
                <w:highlight w:val="none"/>
                <w:u w:val="none" w:color="auto"/>
                <w:lang w:bidi="ar"/>
              </w:rPr>
            </w:pPr>
            <w:r>
              <w:rPr>
                <w:rFonts w:hint="eastAsia" w:cs="宋体"/>
                <w:b/>
                <w:color w:val="auto"/>
                <w:highlight w:val="none"/>
                <w:u w:val="none" w:color="auto"/>
                <w:lang w:bidi="ar"/>
              </w:rPr>
              <w:t>4</w:t>
            </w:r>
            <w:r>
              <w:rPr>
                <w:rFonts w:cs="宋体"/>
                <w:b/>
                <w:color w:val="auto"/>
                <w:highlight w:val="none"/>
                <w:u w:val="none" w:color="auto"/>
                <w:lang w:bidi="ar"/>
              </w:rPr>
              <w:t>.</w:t>
            </w:r>
            <w:r>
              <w:rPr>
                <w:rFonts w:hint="eastAsia" w:cs="宋体"/>
                <w:b/>
                <w:color w:val="auto"/>
                <w:highlight w:val="none"/>
                <w:u w:val="none" w:color="auto"/>
                <w:lang w:val="en-US" w:eastAsia="zh-CN" w:bidi="ar"/>
              </w:rPr>
              <w:t>8</w:t>
            </w:r>
            <w:r>
              <w:rPr>
                <w:rFonts w:hint="eastAsia" w:cs="宋体"/>
                <w:b/>
                <w:color w:val="auto"/>
                <w:highlight w:val="none"/>
                <w:u w:val="none" w:color="auto"/>
                <w:lang w:bidi="ar"/>
              </w:rPr>
              <w:t>运营期</w:t>
            </w:r>
            <w:r>
              <w:rPr>
                <w:rFonts w:hint="eastAsia" w:cs="宋体"/>
                <w:b/>
                <w:color w:val="auto"/>
                <w:highlight w:val="none"/>
                <w:u w:val="none" w:color="auto"/>
                <w:lang w:val="en-US" w:eastAsia="zh-CN" w:bidi="ar"/>
              </w:rPr>
              <w:t>环境</w:t>
            </w:r>
            <w:r>
              <w:rPr>
                <w:rFonts w:hint="eastAsia" w:cs="宋体"/>
                <w:b/>
                <w:color w:val="auto"/>
                <w:highlight w:val="none"/>
                <w:u w:val="none" w:color="auto"/>
                <w:lang w:bidi="ar"/>
              </w:rPr>
              <w:t>风险影响和保护措施</w:t>
            </w:r>
          </w:p>
          <w:p w14:paraId="6B45F128">
            <w:pPr>
              <w:keepNext w:val="0"/>
              <w:keepLines w:val="0"/>
              <w:widowControl/>
              <w:suppressLineNumbers w:val="0"/>
              <w:spacing w:line="360" w:lineRule="auto"/>
              <w:ind w:firstLine="480" w:firstLineChars="200"/>
              <w:jc w:val="left"/>
              <w:rPr>
                <w:color w:val="auto"/>
                <w:u w:val="none" w:color="auto"/>
              </w:rPr>
            </w:pPr>
            <w:r>
              <w:rPr>
                <w:rFonts w:hint="eastAsia" w:ascii="宋体" w:hAnsi="宋体" w:eastAsia="宋体" w:cs="宋体"/>
                <w:color w:val="auto"/>
                <w:kern w:val="0"/>
                <w:sz w:val="24"/>
                <w:szCs w:val="24"/>
                <w:highlight w:val="none"/>
                <w:u w:val="none" w:color="auto"/>
                <w:lang w:val="en-US" w:eastAsia="zh-CN" w:bidi="ar"/>
              </w:rPr>
              <w:t>根据生态环境部办公厅</w:t>
            </w:r>
            <w:r>
              <w:rPr>
                <w:rFonts w:hint="default" w:ascii="Times New Roman" w:hAnsi="Times New Roman" w:eastAsia="宋体" w:cs="Times New Roman"/>
                <w:color w:val="auto"/>
                <w:kern w:val="0"/>
                <w:sz w:val="24"/>
                <w:szCs w:val="24"/>
                <w:highlight w:val="none"/>
                <w:u w:val="none" w:color="auto"/>
                <w:lang w:val="en-US" w:eastAsia="zh-CN" w:bidi="ar"/>
              </w:rPr>
              <w:t>2020</w:t>
            </w:r>
            <w:r>
              <w:rPr>
                <w:rFonts w:hint="eastAsia" w:ascii="宋体" w:hAnsi="宋体" w:eastAsia="宋体" w:cs="宋体"/>
                <w:color w:val="auto"/>
                <w:kern w:val="0"/>
                <w:sz w:val="24"/>
                <w:szCs w:val="24"/>
                <w:highlight w:val="none"/>
                <w:u w:val="none" w:color="auto"/>
                <w:lang w:val="en-US" w:eastAsia="zh-CN" w:bidi="ar"/>
              </w:rPr>
              <w:t>年</w:t>
            </w:r>
            <w:r>
              <w:rPr>
                <w:rFonts w:hint="default" w:ascii="Times New Roman" w:hAnsi="Times New Roman" w:eastAsia="宋体" w:cs="Times New Roman"/>
                <w:color w:val="auto"/>
                <w:kern w:val="0"/>
                <w:sz w:val="24"/>
                <w:szCs w:val="24"/>
                <w:highlight w:val="none"/>
                <w:u w:val="none" w:color="auto"/>
                <w:lang w:val="en-US" w:eastAsia="zh-CN" w:bidi="ar"/>
              </w:rPr>
              <w:t>12</w:t>
            </w:r>
            <w:r>
              <w:rPr>
                <w:rFonts w:hint="eastAsia" w:ascii="宋体" w:hAnsi="宋体" w:eastAsia="宋体" w:cs="宋体"/>
                <w:color w:val="auto"/>
                <w:kern w:val="0"/>
                <w:sz w:val="24"/>
                <w:szCs w:val="24"/>
                <w:highlight w:val="none"/>
                <w:u w:val="none" w:color="auto"/>
                <w:lang w:val="en-US" w:eastAsia="zh-CN" w:bidi="ar"/>
              </w:rPr>
              <w:t>月</w:t>
            </w:r>
            <w:r>
              <w:rPr>
                <w:rFonts w:hint="default" w:ascii="Times New Roman" w:hAnsi="Times New Roman" w:eastAsia="宋体" w:cs="Times New Roman"/>
                <w:color w:val="auto"/>
                <w:kern w:val="0"/>
                <w:sz w:val="24"/>
                <w:szCs w:val="24"/>
                <w:highlight w:val="none"/>
                <w:u w:val="none" w:color="auto"/>
                <w:lang w:val="en-US" w:eastAsia="zh-CN" w:bidi="ar"/>
              </w:rPr>
              <w:t>24</w:t>
            </w:r>
            <w:r>
              <w:rPr>
                <w:rFonts w:hint="eastAsia" w:ascii="宋体" w:hAnsi="宋体" w:eastAsia="宋体" w:cs="宋体"/>
                <w:color w:val="auto"/>
                <w:kern w:val="0"/>
                <w:sz w:val="24"/>
                <w:szCs w:val="24"/>
                <w:highlight w:val="none"/>
                <w:u w:val="none" w:color="auto"/>
                <w:lang w:val="en-US" w:eastAsia="zh-CN" w:bidi="ar"/>
              </w:rPr>
              <w:t>日印发的《建设项目环境影响报告表编制技术指南（污染影响类）（试行）》中具体编制要求“明确有毒有害和易燃易爆等风险物质和风险源分布及可能影响途径，并提出相应环境风险防范措施”。</w:t>
            </w:r>
          </w:p>
          <w:p w14:paraId="3E7EE141">
            <w:pPr>
              <w:keepNext w:val="0"/>
              <w:keepLines w:val="0"/>
              <w:widowControl/>
              <w:numPr>
                <w:ilvl w:val="0"/>
                <w:numId w:val="0"/>
              </w:numPr>
              <w:suppressLineNumbers w:val="0"/>
              <w:spacing w:line="360" w:lineRule="auto"/>
              <w:ind w:firstLine="482" w:firstLineChars="200"/>
              <w:jc w:val="left"/>
              <w:rPr>
                <w:color w:val="auto"/>
                <w:highlight w:val="none"/>
                <w:u w:val="none" w:color="auto"/>
              </w:rPr>
            </w:pPr>
            <w:r>
              <w:rPr>
                <w:rFonts w:hint="eastAsia" w:cs="Times New Roman"/>
                <w:b/>
                <w:bCs/>
                <w:color w:val="auto"/>
                <w:kern w:val="0"/>
                <w:sz w:val="24"/>
                <w:szCs w:val="24"/>
                <w:highlight w:val="none"/>
                <w:u w:val="none" w:color="auto"/>
                <w:lang w:val="en-US" w:eastAsia="zh-CN" w:bidi="ar"/>
              </w:rPr>
              <w:t>4.8.1</w:t>
            </w:r>
            <w:r>
              <w:rPr>
                <w:rFonts w:hint="default" w:ascii="Times New Roman" w:hAnsi="Times New Roman" w:eastAsia="宋体" w:cs="Times New Roman"/>
                <w:b/>
                <w:bCs/>
                <w:color w:val="auto"/>
                <w:kern w:val="0"/>
                <w:sz w:val="24"/>
                <w:szCs w:val="24"/>
                <w:highlight w:val="none"/>
                <w:u w:val="none" w:color="auto"/>
                <w:lang w:val="en-US" w:eastAsia="zh-CN" w:bidi="ar"/>
              </w:rPr>
              <w:t>风险</w:t>
            </w:r>
            <w:r>
              <w:rPr>
                <w:rFonts w:hint="eastAsia" w:cs="Times New Roman"/>
                <w:b/>
                <w:bCs/>
                <w:color w:val="auto"/>
                <w:kern w:val="0"/>
                <w:sz w:val="24"/>
                <w:szCs w:val="24"/>
                <w:highlight w:val="none"/>
                <w:u w:val="none" w:color="auto"/>
                <w:lang w:val="en-US" w:eastAsia="zh-CN" w:bidi="ar"/>
              </w:rPr>
              <w:t>源识别</w:t>
            </w:r>
          </w:p>
          <w:p w14:paraId="34991B24">
            <w:pPr>
              <w:pStyle w:val="134"/>
              <w:widowControl/>
              <w:ind w:firstLine="480"/>
              <w:rPr>
                <w:rFonts w:hint="default" w:ascii="Times New Roman" w:hAnsi="Times New Roman" w:cs="Times New Roman"/>
                <w:bCs/>
                <w:color w:val="auto"/>
                <w:u w:val="none"/>
              </w:rPr>
            </w:pPr>
            <w:r>
              <w:rPr>
                <w:rFonts w:hint="default" w:ascii="Times New Roman" w:hAnsi="Times New Roman" w:cs="Times New Roman"/>
                <w:bCs/>
                <w:color w:val="auto"/>
                <w:u w:val="none"/>
              </w:rPr>
              <w:t>本医院不设传染病房、结核病房等，其污水经“</w:t>
            </w:r>
            <w:r>
              <w:rPr>
                <w:rFonts w:hint="eastAsia" w:cs="Times New Roman"/>
                <w:bCs/>
                <w:color w:val="auto"/>
                <w:u w:val="none"/>
                <w:lang w:val="en-US" w:eastAsia="zh-CN"/>
              </w:rPr>
              <w:t>格栅</w:t>
            </w:r>
            <w:r>
              <w:rPr>
                <w:rFonts w:hint="eastAsia" w:cs="Times New Roman"/>
                <w:bCs/>
                <w:color w:val="auto"/>
                <w:u w:val="none"/>
                <w:lang w:eastAsia="zh-CN"/>
              </w:rPr>
              <w:t>+调节池+混凝沉淀</w:t>
            </w:r>
            <w:r>
              <w:rPr>
                <w:rFonts w:hint="eastAsia" w:cs="Times New Roman"/>
                <w:bCs/>
                <w:color w:val="auto"/>
                <w:u w:val="none"/>
                <w:lang w:val="en-US" w:eastAsia="zh-CN"/>
              </w:rPr>
              <w:t>+</w:t>
            </w:r>
            <w:r>
              <w:rPr>
                <w:rFonts w:hint="eastAsia" w:cs="Times New Roman"/>
                <w:bCs/>
                <w:color w:val="auto"/>
                <w:u w:val="none"/>
                <w:lang w:eastAsia="zh-CN"/>
              </w:rPr>
              <w:t>消毒</w:t>
            </w:r>
            <w:r>
              <w:rPr>
                <w:rFonts w:hint="default" w:ascii="Times New Roman" w:hAnsi="Times New Roman" w:cs="Times New Roman"/>
                <w:bCs/>
                <w:color w:val="auto"/>
                <w:u w:val="none"/>
              </w:rPr>
              <w:t>”设施处理后进入市政管网排入</w:t>
            </w:r>
            <w:r>
              <w:rPr>
                <w:rFonts w:hint="eastAsia" w:cs="Times New Roman"/>
                <w:bCs/>
                <w:color w:val="auto"/>
                <w:u w:val="none"/>
                <w:lang w:eastAsia="zh-CN"/>
              </w:rPr>
              <w:t>低庄镇污水处理厂</w:t>
            </w:r>
            <w:r>
              <w:rPr>
                <w:rFonts w:hint="default" w:ascii="Times New Roman" w:hAnsi="Times New Roman" w:cs="Times New Roman"/>
                <w:bCs/>
                <w:color w:val="auto"/>
                <w:u w:val="none"/>
              </w:rPr>
              <w:t>，对照《建设项目环境风险评价技术导则》（HJ169-2018）附录 B 以及《危险化学品重大危险源辨识》（GB18218-2018），运行过程中主要原辅材料、产品和生产过程中</w:t>
            </w:r>
            <w:r>
              <w:rPr>
                <w:rFonts w:hint="eastAsia" w:cs="Times New Roman"/>
                <w:bCs/>
                <w:color w:val="auto"/>
                <w:u w:val="none"/>
                <w:lang w:eastAsia="zh-CN"/>
              </w:rPr>
              <w:t>涉及</w:t>
            </w:r>
            <w:r>
              <w:rPr>
                <w:rFonts w:hint="default" w:ascii="Times New Roman" w:hAnsi="Times New Roman" w:cs="Times New Roman"/>
                <w:bCs/>
                <w:color w:val="auto"/>
                <w:u w:val="none"/>
              </w:rPr>
              <w:t>有毒有害、易燃易爆物质主要为医用有毒有害物质（如消毒液、化学试剂）以及各类公辅设施涉及的有毒有害物质、助燃物质）等。本项目</w:t>
            </w:r>
            <w:r>
              <w:rPr>
                <w:rFonts w:hint="eastAsia" w:cs="Times New Roman"/>
                <w:bCs/>
                <w:color w:val="auto"/>
                <w:u w:val="none"/>
                <w:lang w:eastAsia="zh-CN"/>
              </w:rPr>
              <w:t>涉及</w:t>
            </w:r>
            <w:r>
              <w:rPr>
                <w:rFonts w:hint="default" w:ascii="Times New Roman" w:hAnsi="Times New Roman" w:cs="Times New Roman"/>
                <w:bCs/>
                <w:color w:val="auto"/>
                <w:u w:val="none"/>
              </w:rPr>
              <w:t>的以上各类主要危险物质日常存量及危险物质数量与临界量比值计算见下表；</w:t>
            </w:r>
          </w:p>
          <w:p w14:paraId="0F5B0B4E">
            <w:pPr>
              <w:pStyle w:val="134"/>
              <w:widowControl/>
              <w:ind w:firstLine="0" w:firstLineChars="0"/>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表4-</w:t>
            </w:r>
            <w:r>
              <w:rPr>
                <w:rFonts w:hint="eastAsia" w:cs="Times New Roman"/>
                <w:b/>
                <w:bCs/>
                <w:color w:val="auto"/>
                <w:sz w:val="21"/>
                <w:szCs w:val="21"/>
                <w:u w:val="none"/>
                <w:lang w:val="en-US" w:eastAsia="zh-CN"/>
              </w:rPr>
              <w:t>18</w:t>
            </w:r>
            <w:r>
              <w:rPr>
                <w:rFonts w:hint="default" w:ascii="Times New Roman" w:hAnsi="Times New Roman" w:cs="Times New Roman"/>
                <w:b/>
                <w:bCs/>
                <w:color w:val="auto"/>
                <w:sz w:val="21"/>
                <w:szCs w:val="21"/>
                <w:u w:val="none"/>
              </w:rPr>
              <w:t xml:space="preserve">  主要的危险物质名称及临界量</w:t>
            </w:r>
          </w:p>
          <w:tbl>
            <w:tblPr>
              <w:tblStyle w:val="34"/>
              <w:tblW w:w="8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2850"/>
              <w:gridCol w:w="1755"/>
              <w:gridCol w:w="1950"/>
              <w:gridCol w:w="1170"/>
            </w:tblGrid>
            <w:tr w14:paraId="451E9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93" w:type="dxa"/>
                  <w:noWrap w:val="0"/>
                  <w:vAlign w:val="top"/>
                </w:tcPr>
                <w:p w14:paraId="01B6B8AF">
                  <w:pPr>
                    <w:pStyle w:val="134"/>
                    <w:widowControl/>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序号</w:t>
                  </w:r>
                </w:p>
              </w:tc>
              <w:tc>
                <w:tcPr>
                  <w:tcW w:w="2850" w:type="dxa"/>
                  <w:noWrap w:val="0"/>
                  <w:vAlign w:val="top"/>
                </w:tcPr>
                <w:p w14:paraId="5E13677F">
                  <w:pPr>
                    <w:pStyle w:val="134"/>
                    <w:widowControl/>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物质名称</w:t>
                  </w:r>
                </w:p>
              </w:tc>
              <w:tc>
                <w:tcPr>
                  <w:tcW w:w="1755" w:type="dxa"/>
                  <w:noWrap w:val="0"/>
                  <w:vAlign w:val="top"/>
                </w:tcPr>
                <w:p w14:paraId="2F011DDC">
                  <w:pPr>
                    <w:pStyle w:val="134"/>
                    <w:widowControl/>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标准临界量</w:t>
                  </w:r>
                  <w:r>
                    <w:rPr>
                      <w:rFonts w:hint="default" w:ascii="Times New Roman" w:hAnsi="Times New Roman" w:cs="Times New Roman"/>
                      <w:color w:val="auto"/>
                      <w:sz w:val="21"/>
                      <w:szCs w:val="21"/>
                      <w:u w:val="none"/>
                      <w:lang w:val="en-US" w:eastAsia="zh-CN"/>
                    </w:rPr>
                    <w:t>Q</w:t>
                  </w:r>
                  <w:r>
                    <w:rPr>
                      <w:rFonts w:hint="default" w:ascii="Times New Roman" w:hAnsi="Times New Roman" w:cs="Times New Roman"/>
                      <w:color w:val="auto"/>
                      <w:sz w:val="21"/>
                      <w:szCs w:val="21"/>
                      <w:u w:val="none"/>
                    </w:rPr>
                    <w:t>（t）</w:t>
                  </w:r>
                </w:p>
              </w:tc>
              <w:tc>
                <w:tcPr>
                  <w:tcW w:w="1950" w:type="dxa"/>
                  <w:noWrap w:val="0"/>
                  <w:vAlign w:val="top"/>
                </w:tcPr>
                <w:p w14:paraId="4A32E984">
                  <w:pPr>
                    <w:pStyle w:val="134"/>
                    <w:widowControl/>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最大</w:t>
                  </w:r>
                  <w:r>
                    <w:rPr>
                      <w:rFonts w:hint="eastAsia" w:cs="Times New Roman"/>
                      <w:color w:val="auto"/>
                      <w:sz w:val="21"/>
                      <w:szCs w:val="21"/>
                      <w:u w:val="none"/>
                      <w:lang w:eastAsia="zh-CN"/>
                    </w:rPr>
                    <w:t>暂</w:t>
                  </w:r>
                  <w:r>
                    <w:rPr>
                      <w:rFonts w:hint="default" w:ascii="Times New Roman" w:hAnsi="Times New Roman" w:cs="Times New Roman"/>
                      <w:color w:val="auto"/>
                      <w:sz w:val="21"/>
                      <w:szCs w:val="21"/>
                      <w:u w:val="none"/>
                    </w:rPr>
                    <w:t>存量</w:t>
                  </w:r>
                  <w:r>
                    <w:rPr>
                      <w:rFonts w:hint="default" w:ascii="Times New Roman" w:hAnsi="Times New Roman" w:cs="Times New Roman"/>
                      <w:color w:val="auto"/>
                      <w:sz w:val="21"/>
                      <w:szCs w:val="21"/>
                      <w:u w:val="none"/>
                      <w:lang w:val="en-US" w:eastAsia="zh-CN"/>
                    </w:rPr>
                    <w:t>q</w:t>
                  </w:r>
                  <w:r>
                    <w:rPr>
                      <w:rFonts w:hint="default" w:ascii="Times New Roman" w:hAnsi="Times New Roman" w:cs="Times New Roman"/>
                      <w:color w:val="auto"/>
                      <w:sz w:val="21"/>
                      <w:szCs w:val="21"/>
                      <w:u w:val="none"/>
                    </w:rPr>
                    <w:t>（t）</w:t>
                  </w:r>
                </w:p>
              </w:tc>
              <w:tc>
                <w:tcPr>
                  <w:tcW w:w="1170" w:type="dxa"/>
                  <w:noWrap w:val="0"/>
                  <w:vAlign w:val="top"/>
                </w:tcPr>
                <w:p w14:paraId="750028C5">
                  <w:pPr>
                    <w:pStyle w:val="134"/>
                    <w:widowControl/>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qn/Qn</w:t>
                  </w:r>
                </w:p>
              </w:tc>
            </w:tr>
            <w:tr w14:paraId="26F14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noWrap w:val="0"/>
                  <w:vAlign w:val="top"/>
                </w:tcPr>
                <w:p w14:paraId="58F103F0">
                  <w:pPr>
                    <w:pStyle w:val="134"/>
                    <w:widowControl/>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w:t>
                  </w:r>
                </w:p>
              </w:tc>
              <w:tc>
                <w:tcPr>
                  <w:tcW w:w="2850" w:type="dxa"/>
                  <w:noWrap w:val="0"/>
                  <w:vAlign w:val="top"/>
                </w:tcPr>
                <w:p w14:paraId="17E24035">
                  <w:pPr>
                    <w:pStyle w:val="134"/>
                    <w:widowControl/>
                    <w:spacing w:line="240" w:lineRule="auto"/>
                    <w:ind w:firstLine="0" w:firstLine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cs="Times New Roman"/>
                      <w:color w:val="auto"/>
                      <w:sz w:val="21"/>
                      <w:szCs w:val="21"/>
                      <w:u w:val="none"/>
                      <w:lang w:eastAsia="zh-CN"/>
                    </w:rPr>
                    <w:t>医疗危废</w:t>
                  </w:r>
                </w:p>
              </w:tc>
              <w:tc>
                <w:tcPr>
                  <w:tcW w:w="1755" w:type="dxa"/>
                  <w:noWrap w:val="0"/>
                  <w:vAlign w:val="top"/>
                </w:tcPr>
                <w:p w14:paraId="4949CAB0">
                  <w:pPr>
                    <w:pStyle w:val="134"/>
                    <w:widowControl/>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50</w:t>
                  </w:r>
                </w:p>
              </w:tc>
              <w:tc>
                <w:tcPr>
                  <w:tcW w:w="1950" w:type="dxa"/>
                  <w:noWrap w:val="0"/>
                  <w:vAlign w:val="top"/>
                </w:tcPr>
                <w:p w14:paraId="2759EF99">
                  <w:pPr>
                    <w:pStyle w:val="134"/>
                    <w:widowControl/>
                    <w:spacing w:line="240" w:lineRule="auto"/>
                    <w:ind w:firstLine="0" w:firstLineChars="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1.654</w:t>
                  </w:r>
                </w:p>
              </w:tc>
              <w:tc>
                <w:tcPr>
                  <w:tcW w:w="1170" w:type="dxa"/>
                  <w:noWrap w:val="0"/>
                  <w:vAlign w:val="top"/>
                </w:tcPr>
                <w:p w14:paraId="315862C2">
                  <w:pPr>
                    <w:pStyle w:val="134"/>
                    <w:widowControl/>
                    <w:spacing w:line="240" w:lineRule="auto"/>
                    <w:ind w:firstLine="0" w:firstLineChars="0"/>
                    <w:jc w:val="center"/>
                    <w:rPr>
                      <w:rFonts w:hint="default" w:ascii="Times New Roman" w:hAnsi="Times New Roman" w:eastAsia="宋体" w:cs="Times New Roman"/>
                      <w:b/>
                      <w:bCs/>
                      <w:color w:val="auto"/>
                      <w:sz w:val="21"/>
                      <w:szCs w:val="21"/>
                      <w:u w:val="none"/>
                      <w:lang w:val="en-US" w:eastAsia="zh-CN"/>
                    </w:rPr>
                  </w:pPr>
                  <w:r>
                    <w:rPr>
                      <w:rFonts w:hint="eastAsia" w:cs="Times New Roman"/>
                      <w:color w:val="auto"/>
                      <w:sz w:val="21"/>
                      <w:szCs w:val="21"/>
                      <w:u w:val="none"/>
                      <w:lang w:val="en-US" w:eastAsia="zh-CN"/>
                    </w:rPr>
                    <w:t>0.033</w:t>
                  </w:r>
                </w:p>
              </w:tc>
            </w:tr>
            <w:tr w14:paraId="23739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noWrap w:val="0"/>
                  <w:vAlign w:val="top"/>
                </w:tcPr>
                <w:p w14:paraId="668D0819">
                  <w:pPr>
                    <w:pStyle w:val="134"/>
                    <w:widowControl/>
                    <w:spacing w:line="240" w:lineRule="auto"/>
                    <w:ind w:firstLine="0" w:firstLineChars="0"/>
                    <w:jc w:val="center"/>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2</w:t>
                  </w:r>
                </w:p>
              </w:tc>
              <w:tc>
                <w:tcPr>
                  <w:tcW w:w="2850" w:type="dxa"/>
                  <w:noWrap w:val="0"/>
                  <w:vAlign w:val="top"/>
                </w:tcPr>
                <w:p w14:paraId="79EC3438">
                  <w:pPr>
                    <w:pStyle w:val="134"/>
                    <w:widowControl/>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lang w:val="en-US" w:eastAsia="zh-CN" w:bidi="ar"/>
                    </w:rPr>
                  </w:pPr>
                  <w:r>
                    <w:rPr>
                      <w:rFonts w:hint="default" w:ascii="Times New Roman" w:hAnsi="Times New Roman" w:cs="Times New Roman"/>
                      <w:color w:val="auto"/>
                      <w:sz w:val="21"/>
                      <w:szCs w:val="21"/>
                      <w:u w:val="none"/>
                    </w:rPr>
                    <w:t>84消毒液</w:t>
                  </w:r>
                </w:p>
              </w:tc>
              <w:tc>
                <w:tcPr>
                  <w:tcW w:w="1755" w:type="dxa"/>
                  <w:noWrap w:val="0"/>
                  <w:vAlign w:val="top"/>
                </w:tcPr>
                <w:p w14:paraId="42B1605C">
                  <w:pPr>
                    <w:pStyle w:val="134"/>
                    <w:widowControl/>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lang w:val="en-US" w:eastAsia="zh-CN" w:bidi="ar"/>
                    </w:rPr>
                  </w:pPr>
                  <w:r>
                    <w:rPr>
                      <w:rFonts w:hint="default" w:ascii="Times New Roman" w:hAnsi="Times New Roman" w:cs="Times New Roman"/>
                      <w:color w:val="auto"/>
                      <w:sz w:val="21"/>
                      <w:szCs w:val="21"/>
                      <w:u w:val="none"/>
                      <w:lang w:val="en-US" w:eastAsia="zh-CN"/>
                    </w:rPr>
                    <w:t>50</w:t>
                  </w:r>
                </w:p>
              </w:tc>
              <w:tc>
                <w:tcPr>
                  <w:tcW w:w="1950" w:type="dxa"/>
                  <w:noWrap w:val="0"/>
                  <w:vAlign w:val="top"/>
                </w:tcPr>
                <w:p w14:paraId="56E19401">
                  <w:pPr>
                    <w:pStyle w:val="134"/>
                    <w:widowControl/>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lang w:val="en-US" w:eastAsia="zh-CN" w:bidi="ar"/>
                    </w:rPr>
                  </w:pPr>
                  <w:r>
                    <w:rPr>
                      <w:rFonts w:hint="eastAsia" w:cs="Times New Roman"/>
                      <w:color w:val="auto"/>
                      <w:sz w:val="21"/>
                      <w:szCs w:val="21"/>
                      <w:u w:val="none"/>
                      <w:lang w:val="en-US" w:eastAsia="zh-CN"/>
                    </w:rPr>
                    <w:t>0.25</w:t>
                  </w:r>
                </w:p>
              </w:tc>
              <w:tc>
                <w:tcPr>
                  <w:tcW w:w="1170" w:type="dxa"/>
                  <w:noWrap w:val="0"/>
                  <w:vAlign w:val="top"/>
                </w:tcPr>
                <w:p w14:paraId="4BE2344B">
                  <w:pPr>
                    <w:pStyle w:val="134"/>
                    <w:widowControl/>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lang w:val="en-US" w:eastAsia="zh-CN" w:bidi="ar"/>
                    </w:rPr>
                  </w:pPr>
                  <w:r>
                    <w:rPr>
                      <w:rFonts w:hint="eastAsia" w:cs="Times New Roman"/>
                      <w:color w:val="auto"/>
                      <w:sz w:val="21"/>
                      <w:szCs w:val="21"/>
                      <w:u w:val="none"/>
                      <w:lang w:val="en-US" w:eastAsia="zh-CN"/>
                    </w:rPr>
                    <w:t>0.005</w:t>
                  </w:r>
                </w:p>
              </w:tc>
            </w:tr>
            <w:tr w14:paraId="627B5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noWrap w:val="0"/>
                  <w:vAlign w:val="top"/>
                </w:tcPr>
                <w:p w14:paraId="1D60AC68">
                  <w:pPr>
                    <w:pStyle w:val="134"/>
                    <w:widowControl/>
                    <w:spacing w:line="240" w:lineRule="auto"/>
                    <w:ind w:firstLine="0" w:firstLineChars="0"/>
                    <w:jc w:val="center"/>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3</w:t>
                  </w:r>
                </w:p>
              </w:tc>
              <w:tc>
                <w:tcPr>
                  <w:tcW w:w="2850" w:type="dxa"/>
                  <w:noWrap w:val="0"/>
                  <w:vAlign w:val="top"/>
                </w:tcPr>
                <w:p w14:paraId="1663E5B3">
                  <w:pPr>
                    <w:pStyle w:val="134"/>
                    <w:widowControl/>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lang w:val="en-US" w:eastAsia="zh-CN" w:bidi="ar"/>
                    </w:rPr>
                  </w:pPr>
                  <w:r>
                    <w:rPr>
                      <w:rFonts w:hint="eastAsia" w:cs="Times New Roman"/>
                      <w:color w:val="auto"/>
                      <w:sz w:val="21"/>
                      <w:szCs w:val="21"/>
                      <w:u w:val="none"/>
                      <w:lang w:eastAsia="zh-CN"/>
                    </w:rPr>
                    <w:t>乙醇消毒液</w:t>
                  </w:r>
                </w:p>
              </w:tc>
              <w:tc>
                <w:tcPr>
                  <w:tcW w:w="1755" w:type="dxa"/>
                  <w:noWrap w:val="0"/>
                  <w:vAlign w:val="top"/>
                </w:tcPr>
                <w:p w14:paraId="613722D6">
                  <w:pPr>
                    <w:pStyle w:val="134"/>
                    <w:widowControl/>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lang w:val="en-US" w:eastAsia="zh-CN" w:bidi="ar"/>
                    </w:rPr>
                  </w:pPr>
                  <w:r>
                    <w:rPr>
                      <w:rFonts w:hint="default" w:ascii="Times New Roman" w:hAnsi="Times New Roman" w:cs="Times New Roman"/>
                      <w:color w:val="auto"/>
                      <w:sz w:val="21"/>
                      <w:szCs w:val="21"/>
                      <w:u w:val="none"/>
                      <w:lang w:val="en-US" w:eastAsia="zh-CN"/>
                    </w:rPr>
                    <w:t>50</w:t>
                  </w:r>
                </w:p>
              </w:tc>
              <w:tc>
                <w:tcPr>
                  <w:tcW w:w="1950" w:type="dxa"/>
                  <w:noWrap w:val="0"/>
                  <w:vAlign w:val="top"/>
                </w:tcPr>
                <w:p w14:paraId="029119D8">
                  <w:pPr>
                    <w:pStyle w:val="134"/>
                    <w:widowControl/>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lang w:val="en-US" w:eastAsia="zh-CN" w:bidi="ar"/>
                    </w:rPr>
                  </w:pPr>
                  <w:r>
                    <w:rPr>
                      <w:rFonts w:hint="eastAsia" w:cs="Times New Roman"/>
                      <w:color w:val="auto"/>
                      <w:sz w:val="21"/>
                      <w:szCs w:val="21"/>
                      <w:u w:val="none"/>
                      <w:lang w:val="en-US" w:eastAsia="zh-CN"/>
                    </w:rPr>
                    <w:t>0.39</w:t>
                  </w:r>
                </w:p>
              </w:tc>
              <w:tc>
                <w:tcPr>
                  <w:tcW w:w="1170" w:type="dxa"/>
                  <w:noWrap w:val="0"/>
                  <w:vAlign w:val="top"/>
                </w:tcPr>
                <w:p w14:paraId="75728178">
                  <w:pPr>
                    <w:pStyle w:val="134"/>
                    <w:widowControl/>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lang w:val="en-US" w:eastAsia="zh-CN" w:bidi="ar"/>
                    </w:rPr>
                  </w:pPr>
                  <w:r>
                    <w:rPr>
                      <w:rFonts w:hint="eastAsia" w:cs="Times New Roman"/>
                      <w:color w:val="auto"/>
                      <w:sz w:val="21"/>
                      <w:szCs w:val="21"/>
                      <w:u w:val="none"/>
                      <w:lang w:val="en-US" w:eastAsia="zh-CN"/>
                    </w:rPr>
                    <w:t>0.0078</w:t>
                  </w:r>
                </w:p>
              </w:tc>
            </w:tr>
            <w:tr w14:paraId="3A0DB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noWrap w:val="0"/>
                  <w:vAlign w:val="top"/>
                </w:tcPr>
                <w:p w14:paraId="3E20A850">
                  <w:pPr>
                    <w:pStyle w:val="134"/>
                    <w:widowControl/>
                    <w:spacing w:line="240" w:lineRule="auto"/>
                    <w:ind w:firstLine="0" w:firstLineChars="0"/>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4</w:t>
                  </w:r>
                </w:p>
              </w:tc>
              <w:tc>
                <w:tcPr>
                  <w:tcW w:w="2850" w:type="dxa"/>
                  <w:noWrap w:val="0"/>
                  <w:vAlign w:val="top"/>
                </w:tcPr>
                <w:p w14:paraId="2DF03017">
                  <w:pPr>
                    <w:pStyle w:val="134"/>
                    <w:widowControl/>
                    <w:spacing w:line="240" w:lineRule="auto"/>
                    <w:ind w:left="0" w:leftChars="0" w:right="0" w:rightChars="0" w:firstLine="0" w:firstLineChars="0"/>
                    <w:jc w:val="center"/>
                    <w:rPr>
                      <w:rFonts w:hint="eastAsia" w:cs="Times New Roman"/>
                      <w:color w:val="auto"/>
                      <w:sz w:val="21"/>
                      <w:szCs w:val="21"/>
                      <w:u w:val="none"/>
                      <w:lang w:eastAsia="zh-CN"/>
                    </w:rPr>
                  </w:pPr>
                  <w:r>
                    <w:rPr>
                      <w:rFonts w:hint="eastAsia" w:cs="Times New Roman"/>
                      <w:color w:val="auto"/>
                      <w:sz w:val="21"/>
                      <w:szCs w:val="21"/>
                      <w:u w:val="none"/>
                      <w:lang w:val="en-US" w:eastAsia="zh-CN"/>
                    </w:rPr>
                    <w:t>活性氧消毒粉</w:t>
                  </w:r>
                </w:p>
              </w:tc>
              <w:tc>
                <w:tcPr>
                  <w:tcW w:w="1755" w:type="dxa"/>
                  <w:noWrap w:val="0"/>
                  <w:vAlign w:val="top"/>
                </w:tcPr>
                <w:p w14:paraId="0C9844AF">
                  <w:pPr>
                    <w:pStyle w:val="134"/>
                    <w:widowControl/>
                    <w:spacing w:line="240" w:lineRule="auto"/>
                    <w:ind w:left="0" w:leftChars="0" w:right="0" w:rightChars="0" w:firstLine="0" w:firstLineChars="0"/>
                    <w:jc w:val="center"/>
                    <w:rPr>
                      <w:rFonts w:hint="default" w:ascii="Times New Roman" w:hAnsi="Times New Roman" w:cs="Times New Roman"/>
                      <w:color w:val="auto"/>
                      <w:sz w:val="21"/>
                      <w:szCs w:val="21"/>
                      <w:u w:val="none"/>
                      <w:lang w:val="en-US" w:eastAsia="zh-CN"/>
                    </w:rPr>
                  </w:pPr>
                  <w:r>
                    <w:rPr>
                      <w:rFonts w:hint="eastAsia" w:cs="Times New Roman"/>
                      <w:color w:val="auto"/>
                      <w:sz w:val="21"/>
                      <w:szCs w:val="21"/>
                      <w:u w:val="none"/>
                      <w:lang w:val="en-US" w:eastAsia="zh-CN"/>
                    </w:rPr>
                    <w:t>50</w:t>
                  </w:r>
                </w:p>
              </w:tc>
              <w:tc>
                <w:tcPr>
                  <w:tcW w:w="1950" w:type="dxa"/>
                  <w:noWrap w:val="0"/>
                  <w:vAlign w:val="top"/>
                </w:tcPr>
                <w:p w14:paraId="32049763">
                  <w:pPr>
                    <w:pStyle w:val="134"/>
                    <w:widowControl/>
                    <w:spacing w:line="240" w:lineRule="auto"/>
                    <w:ind w:left="0" w:leftChars="0" w:right="0" w:rightChars="0" w:firstLine="0" w:firstLineChars="0"/>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0.5</w:t>
                  </w:r>
                </w:p>
              </w:tc>
              <w:tc>
                <w:tcPr>
                  <w:tcW w:w="1170" w:type="dxa"/>
                  <w:noWrap w:val="0"/>
                  <w:vAlign w:val="top"/>
                </w:tcPr>
                <w:p w14:paraId="6FFC55D5">
                  <w:pPr>
                    <w:pStyle w:val="134"/>
                    <w:widowControl/>
                    <w:spacing w:line="240" w:lineRule="auto"/>
                    <w:ind w:left="0" w:leftChars="0" w:right="0" w:rightChars="0" w:firstLine="0" w:firstLineChars="0"/>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0.01</w:t>
                  </w:r>
                </w:p>
              </w:tc>
            </w:tr>
            <w:tr w14:paraId="543E0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noWrap w:val="0"/>
                  <w:vAlign w:val="top"/>
                </w:tcPr>
                <w:p w14:paraId="48ACF5F8">
                  <w:pPr>
                    <w:pStyle w:val="134"/>
                    <w:widowControl/>
                    <w:spacing w:line="240" w:lineRule="auto"/>
                    <w:ind w:firstLine="0" w:firstLineChars="0"/>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5</w:t>
                  </w:r>
                </w:p>
              </w:tc>
              <w:tc>
                <w:tcPr>
                  <w:tcW w:w="2850" w:type="dxa"/>
                  <w:noWrap w:val="0"/>
                  <w:vAlign w:val="top"/>
                </w:tcPr>
                <w:p w14:paraId="6D03CDED">
                  <w:pPr>
                    <w:pStyle w:val="134"/>
                    <w:widowControl/>
                    <w:spacing w:line="240" w:lineRule="auto"/>
                    <w:ind w:left="0" w:leftChars="0" w:right="0" w:rightChars="0" w:firstLine="0" w:firstLineChars="0"/>
                    <w:jc w:val="center"/>
                    <w:rPr>
                      <w:rFonts w:hint="eastAsia" w:cs="Times New Roman"/>
                      <w:color w:val="auto"/>
                      <w:sz w:val="21"/>
                      <w:szCs w:val="21"/>
                      <w:u w:val="none"/>
                      <w:lang w:val="en-US" w:eastAsia="zh-CN"/>
                    </w:rPr>
                  </w:pPr>
                  <w:r>
                    <w:rPr>
                      <w:rFonts w:hint="eastAsia" w:cs="Times New Roman"/>
                      <w:color w:val="auto"/>
                      <w:sz w:val="21"/>
                      <w:szCs w:val="21"/>
                      <w:u w:val="none"/>
                      <w:lang w:val="en-US" w:eastAsia="zh-CN"/>
                    </w:rPr>
                    <w:t>柴油</w:t>
                  </w:r>
                </w:p>
              </w:tc>
              <w:tc>
                <w:tcPr>
                  <w:tcW w:w="1755" w:type="dxa"/>
                  <w:noWrap w:val="0"/>
                  <w:vAlign w:val="top"/>
                </w:tcPr>
                <w:p w14:paraId="7A97C132">
                  <w:pPr>
                    <w:pStyle w:val="134"/>
                    <w:widowControl/>
                    <w:spacing w:line="240" w:lineRule="auto"/>
                    <w:ind w:left="0" w:leftChars="0" w:right="0" w:rightChars="0" w:firstLine="0" w:firstLineChars="0"/>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2500</w:t>
                  </w:r>
                </w:p>
              </w:tc>
              <w:tc>
                <w:tcPr>
                  <w:tcW w:w="1950" w:type="dxa"/>
                  <w:noWrap w:val="0"/>
                  <w:vAlign w:val="top"/>
                </w:tcPr>
                <w:p w14:paraId="7EB81AB8">
                  <w:pPr>
                    <w:pStyle w:val="134"/>
                    <w:widowControl/>
                    <w:spacing w:line="240" w:lineRule="auto"/>
                    <w:ind w:left="0" w:leftChars="0" w:right="0" w:rightChars="0" w:firstLine="0" w:firstLineChars="0"/>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0.03</w:t>
                  </w:r>
                </w:p>
              </w:tc>
              <w:tc>
                <w:tcPr>
                  <w:tcW w:w="1170" w:type="dxa"/>
                  <w:noWrap w:val="0"/>
                  <w:vAlign w:val="top"/>
                </w:tcPr>
                <w:p w14:paraId="7B6168A6">
                  <w:pPr>
                    <w:pStyle w:val="134"/>
                    <w:widowControl/>
                    <w:spacing w:line="240" w:lineRule="auto"/>
                    <w:ind w:left="0" w:leftChars="0" w:right="0" w:rightChars="0" w:firstLine="0" w:firstLineChars="0"/>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0.000012</w:t>
                  </w:r>
                </w:p>
              </w:tc>
            </w:tr>
            <w:tr w14:paraId="32CFB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8" w:type="dxa"/>
                  <w:gridSpan w:val="4"/>
                  <w:noWrap w:val="0"/>
                  <w:vAlign w:val="top"/>
                </w:tcPr>
                <w:p w14:paraId="2C9B2B3F">
                  <w:pPr>
                    <w:pStyle w:val="134"/>
                    <w:widowControl/>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合计</w:t>
                  </w:r>
                </w:p>
              </w:tc>
              <w:tc>
                <w:tcPr>
                  <w:tcW w:w="1170" w:type="dxa"/>
                  <w:noWrap w:val="0"/>
                  <w:vAlign w:val="top"/>
                </w:tcPr>
                <w:p w14:paraId="130BD542">
                  <w:pPr>
                    <w:pStyle w:val="134"/>
                    <w:widowControl/>
                    <w:spacing w:line="240" w:lineRule="auto"/>
                    <w:ind w:firstLine="0" w:firstLineChars="0"/>
                    <w:jc w:val="center"/>
                    <w:rPr>
                      <w:rFonts w:hint="default" w:ascii="Times New Roman" w:hAnsi="Times New Roman" w:eastAsia="宋体" w:cs="Times New Roman"/>
                      <w:b/>
                      <w:bCs/>
                      <w:color w:val="auto"/>
                      <w:u w:val="none"/>
                      <w:lang w:val="en-US" w:eastAsia="zh-CN"/>
                    </w:rPr>
                  </w:pPr>
                  <w:r>
                    <w:rPr>
                      <w:rFonts w:hint="eastAsia" w:cs="Times New Roman"/>
                      <w:color w:val="auto"/>
                      <w:sz w:val="21"/>
                      <w:szCs w:val="21"/>
                      <w:u w:val="none"/>
                      <w:lang w:val="en-US" w:eastAsia="zh-CN"/>
                    </w:rPr>
                    <w:t>0.055812</w:t>
                  </w:r>
                </w:p>
              </w:tc>
            </w:tr>
          </w:tbl>
          <w:p w14:paraId="7BF07EF2">
            <w:pPr>
              <w:pStyle w:val="134"/>
              <w:widowControl/>
              <w:ind w:firstLine="480"/>
              <w:rPr>
                <w:rFonts w:hint="default" w:ascii="Times New Roman" w:hAnsi="Times New Roman" w:eastAsia="宋体" w:cs="Times New Roman"/>
                <w:bCs/>
                <w:color w:val="auto"/>
                <w:u w:val="none"/>
                <w:lang w:eastAsia="zh-CN"/>
              </w:rPr>
            </w:pPr>
            <w:r>
              <w:rPr>
                <w:rFonts w:hint="default" w:ascii="Times New Roman" w:hAnsi="Times New Roman" w:cs="Times New Roman"/>
                <w:bCs/>
                <w:color w:val="auto"/>
                <w:u w:val="none"/>
              </w:rPr>
              <w:t>本项目Q值=</w:t>
            </w:r>
            <w:r>
              <w:rPr>
                <w:rFonts w:hint="default" w:ascii="Times New Roman" w:hAnsi="Times New Roman" w:cs="Times New Roman"/>
                <w:bCs/>
                <w:color w:val="auto"/>
                <w:u w:val="none"/>
                <w:lang w:eastAsia="zh-CN"/>
              </w:rPr>
              <w:t>0.</w:t>
            </w:r>
            <w:r>
              <w:rPr>
                <w:rFonts w:hint="eastAsia" w:cs="Times New Roman"/>
                <w:bCs/>
                <w:color w:val="auto"/>
                <w:u w:val="none"/>
                <w:lang w:val="en-US" w:eastAsia="zh-CN"/>
              </w:rPr>
              <w:t>055812</w:t>
            </w:r>
            <w:r>
              <w:rPr>
                <w:rFonts w:hint="default" w:ascii="Times New Roman" w:hAnsi="Times New Roman" w:cs="Times New Roman"/>
                <w:bCs/>
                <w:color w:val="auto"/>
                <w:u w:val="none"/>
              </w:rPr>
              <w:t>＜1，因此本项目环境风险潜势为I。</w:t>
            </w:r>
            <w:r>
              <w:rPr>
                <w:rFonts w:hint="default" w:ascii="Times New Roman" w:hAnsi="Times New Roman" w:cs="Times New Roman"/>
                <w:bCs/>
                <w:color w:val="auto"/>
                <w:u w:val="none"/>
                <w:lang w:eastAsia="zh-CN"/>
              </w:rPr>
              <w:t>本项目风险评价等级为简单分析。</w:t>
            </w:r>
          </w:p>
          <w:p w14:paraId="43503F6B">
            <w:pPr>
              <w:keepNext w:val="0"/>
              <w:keepLines w:val="0"/>
              <w:widowControl/>
              <w:suppressLineNumbers w:val="0"/>
              <w:ind w:firstLine="482" w:firstLineChars="200"/>
              <w:jc w:val="left"/>
              <w:rPr>
                <w:color w:val="auto"/>
                <w:highlight w:val="none"/>
                <w:u w:val="none" w:color="auto"/>
              </w:rPr>
            </w:pPr>
            <w:r>
              <w:rPr>
                <w:rFonts w:hint="eastAsia" w:eastAsia="宋体" w:cs="Times New Roman"/>
                <w:b/>
                <w:bCs/>
                <w:color w:val="auto"/>
                <w:kern w:val="0"/>
                <w:sz w:val="24"/>
                <w:szCs w:val="24"/>
                <w:highlight w:val="none"/>
                <w:u w:val="none" w:color="auto"/>
                <w:lang w:val="en-US" w:eastAsia="zh-CN" w:bidi="ar"/>
              </w:rPr>
              <w:t>4.</w:t>
            </w:r>
            <w:r>
              <w:rPr>
                <w:rFonts w:hint="eastAsia" w:cs="Times New Roman"/>
                <w:b/>
                <w:bCs/>
                <w:color w:val="auto"/>
                <w:kern w:val="0"/>
                <w:sz w:val="24"/>
                <w:szCs w:val="24"/>
                <w:highlight w:val="none"/>
                <w:u w:val="none" w:color="auto"/>
                <w:lang w:val="en-US" w:eastAsia="zh-CN" w:bidi="ar"/>
              </w:rPr>
              <w:t>8</w:t>
            </w:r>
            <w:r>
              <w:rPr>
                <w:rFonts w:hint="eastAsia" w:eastAsia="宋体" w:cs="Times New Roman"/>
                <w:b/>
                <w:bCs/>
                <w:color w:val="auto"/>
                <w:kern w:val="0"/>
                <w:sz w:val="24"/>
                <w:szCs w:val="24"/>
                <w:highlight w:val="none"/>
                <w:u w:val="none" w:color="auto"/>
                <w:lang w:val="en-US" w:eastAsia="zh-CN" w:bidi="ar"/>
              </w:rPr>
              <w:t>.2</w:t>
            </w:r>
            <w:r>
              <w:rPr>
                <w:rFonts w:hint="eastAsia" w:ascii="宋体" w:hAnsi="宋体" w:eastAsia="宋体" w:cs="宋体"/>
                <w:b/>
                <w:bCs/>
                <w:color w:val="auto"/>
                <w:kern w:val="0"/>
                <w:sz w:val="24"/>
                <w:szCs w:val="24"/>
                <w:highlight w:val="none"/>
                <w:u w:val="none" w:color="auto"/>
                <w:lang w:val="en-US" w:eastAsia="zh-CN" w:bidi="ar"/>
              </w:rPr>
              <w:t>环境风险</w:t>
            </w:r>
          </w:p>
          <w:p w14:paraId="13163E09">
            <w:pPr>
              <w:keepNext w:val="0"/>
              <w:keepLines w:val="0"/>
              <w:widowControl/>
              <w:suppressLineNumbers w:val="0"/>
              <w:ind w:firstLine="482" w:firstLineChars="200"/>
              <w:jc w:val="left"/>
              <w:rPr>
                <w:color w:val="auto"/>
                <w:highlight w:val="none"/>
                <w:u w:val="none" w:color="auto"/>
              </w:rPr>
            </w:pPr>
            <w:r>
              <w:rPr>
                <w:rFonts w:hint="eastAsia" w:eastAsia="宋体" w:cs="Times New Roman"/>
                <w:b/>
                <w:bCs/>
                <w:color w:val="auto"/>
                <w:kern w:val="0"/>
                <w:sz w:val="24"/>
                <w:szCs w:val="24"/>
                <w:highlight w:val="none"/>
                <w:u w:val="none" w:color="auto"/>
                <w:lang w:val="en-US" w:eastAsia="zh-CN" w:bidi="ar"/>
              </w:rPr>
              <w:t>（1）医疗废水事故排放环境风险影响分析</w:t>
            </w:r>
          </w:p>
          <w:p w14:paraId="7E18706F">
            <w:pPr>
              <w:keepNext w:val="0"/>
              <w:keepLines w:val="0"/>
              <w:widowControl/>
              <w:suppressLineNumbers w:val="0"/>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医疗废水处理过程中的事故因素主要是由于操作不当或处理设施维护不及时而失灵，导致废水不能达标。医疗废水事故下超标排放，可能对</w:t>
            </w:r>
            <w:r>
              <w:rPr>
                <w:rFonts w:hint="eastAsia" w:ascii="宋体" w:hAnsi="宋体" w:cs="宋体"/>
                <w:color w:val="auto"/>
                <w:kern w:val="0"/>
                <w:sz w:val="24"/>
                <w:szCs w:val="24"/>
                <w:highlight w:val="none"/>
                <w:u w:val="none" w:color="auto"/>
                <w:lang w:val="en-US" w:eastAsia="zh-CN" w:bidi="ar"/>
              </w:rPr>
              <w:t>纳污水体</w:t>
            </w:r>
            <w:r>
              <w:rPr>
                <w:rFonts w:hint="eastAsia" w:ascii="宋体" w:hAnsi="宋体" w:eastAsia="宋体" w:cs="宋体"/>
                <w:color w:val="auto"/>
                <w:kern w:val="0"/>
                <w:sz w:val="24"/>
                <w:szCs w:val="24"/>
                <w:highlight w:val="none"/>
                <w:u w:val="none" w:color="auto"/>
                <w:lang w:val="en-US" w:eastAsia="zh-CN" w:bidi="ar"/>
              </w:rPr>
              <w:t>运行造成影响，进而影响纳污水体水质。且医疗废水含有细菌等，不经有效处理可能会污染环境，影响人体健康。</w:t>
            </w:r>
          </w:p>
          <w:p w14:paraId="79F1C6F7">
            <w:pPr>
              <w:keepNext w:val="0"/>
              <w:keepLines w:val="0"/>
              <w:widowControl/>
              <w:suppressLineNumbers w:val="0"/>
              <w:ind w:firstLine="482" w:firstLineChars="200"/>
              <w:jc w:val="left"/>
              <w:rPr>
                <w:rFonts w:hint="eastAsia" w:eastAsia="宋体" w:cs="Times New Roman"/>
                <w:b/>
                <w:bCs/>
                <w:color w:val="auto"/>
                <w:kern w:val="0"/>
                <w:sz w:val="24"/>
                <w:szCs w:val="24"/>
                <w:highlight w:val="none"/>
                <w:u w:val="none" w:color="auto"/>
                <w:lang w:val="en-US" w:eastAsia="zh-CN" w:bidi="ar"/>
              </w:rPr>
            </w:pPr>
            <w:r>
              <w:rPr>
                <w:rFonts w:hint="eastAsia" w:eastAsia="宋体" w:cs="Times New Roman"/>
                <w:b/>
                <w:bCs/>
                <w:color w:val="auto"/>
                <w:kern w:val="0"/>
                <w:sz w:val="24"/>
                <w:szCs w:val="24"/>
                <w:highlight w:val="none"/>
                <w:u w:val="none" w:color="auto"/>
                <w:lang w:val="en-US" w:eastAsia="zh-CN" w:bidi="ar"/>
              </w:rPr>
              <w:t>（</w:t>
            </w:r>
            <w:r>
              <w:rPr>
                <w:rFonts w:hint="eastAsia" w:cs="Times New Roman"/>
                <w:b/>
                <w:bCs/>
                <w:color w:val="auto"/>
                <w:kern w:val="0"/>
                <w:sz w:val="24"/>
                <w:szCs w:val="24"/>
                <w:highlight w:val="none"/>
                <w:u w:val="none" w:color="auto"/>
                <w:lang w:val="en-US" w:eastAsia="zh-CN" w:bidi="ar"/>
              </w:rPr>
              <w:t>2</w:t>
            </w:r>
            <w:r>
              <w:rPr>
                <w:rFonts w:hint="eastAsia" w:eastAsia="宋体" w:cs="Times New Roman"/>
                <w:b/>
                <w:bCs/>
                <w:color w:val="auto"/>
                <w:kern w:val="0"/>
                <w:sz w:val="24"/>
                <w:szCs w:val="24"/>
                <w:highlight w:val="none"/>
                <w:u w:val="none" w:color="auto"/>
                <w:lang w:val="en-US" w:eastAsia="zh-CN" w:bidi="ar"/>
              </w:rPr>
              <w:t>）医疗废物泄漏环境风险影响分析</w:t>
            </w:r>
          </w:p>
          <w:p w14:paraId="7BBAA923">
            <w:pPr>
              <w:keepNext w:val="0"/>
              <w:keepLines w:val="0"/>
              <w:widowControl/>
              <w:suppressLineNumbers w:val="0"/>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医疗废物中可能存在病菌、病毒、化学污染物等有害物质，由于医疗废物具有空间污染、急性传染和潜伏性污染等特征，其病毒、病菌的危害性要比普通生活垃圾大得多。医疗废物在贮存、转运过程中发生泄漏可能会引起病毒扩散，对人员及环境造成危害。</w:t>
            </w:r>
          </w:p>
          <w:p w14:paraId="0359279D">
            <w:pPr>
              <w:keepNext w:val="0"/>
              <w:keepLines w:val="0"/>
              <w:widowControl/>
              <w:suppressLineNumbers w:val="0"/>
              <w:ind w:firstLine="482" w:firstLineChars="200"/>
              <w:jc w:val="left"/>
              <w:rPr>
                <w:rFonts w:hint="eastAsia" w:eastAsia="宋体" w:cs="Times New Roman"/>
                <w:b/>
                <w:bCs/>
                <w:color w:val="auto"/>
                <w:kern w:val="0"/>
                <w:sz w:val="24"/>
                <w:szCs w:val="24"/>
                <w:highlight w:val="none"/>
                <w:u w:val="none" w:color="auto"/>
                <w:lang w:val="en-US" w:eastAsia="zh-CN" w:bidi="ar"/>
              </w:rPr>
            </w:pPr>
            <w:r>
              <w:rPr>
                <w:rFonts w:hint="eastAsia" w:eastAsia="宋体" w:cs="Times New Roman"/>
                <w:b/>
                <w:bCs/>
                <w:color w:val="auto"/>
                <w:kern w:val="0"/>
                <w:sz w:val="24"/>
                <w:szCs w:val="24"/>
                <w:highlight w:val="none"/>
                <w:u w:val="none" w:color="auto"/>
                <w:lang w:val="en-US" w:eastAsia="zh-CN" w:bidi="ar"/>
              </w:rPr>
              <w:t>（</w:t>
            </w:r>
            <w:r>
              <w:rPr>
                <w:rFonts w:hint="eastAsia" w:cs="Times New Roman"/>
                <w:b/>
                <w:bCs/>
                <w:color w:val="auto"/>
                <w:kern w:val="0"/>
                <w:sz w:val="24"/>
                <w:szCs w:val="24"/>
                <w:highlight w:val="none"/>
                <w:u w:val="none" w:color="auto"/>
                <w:lang w:val="en-US" w:eastAsia="zh-CN" w:bidi="ar"/>
              </w:rPr>
              <w:t>3</w:t>
            </w:r>
            <w:r>
              <w:rPr>
                <w:rFonts w:hint="eastAsia" w:eastAsia="宋体" w:cs="Times New Roman"/>
                <w:b/>
                <w:bCs/>
                <w:color w:val="auto"/>
                <w:kern w:val="0"/>
                <w:sz w:val="24"/>
                <w:szCs w:val="24"/>
                <w:highlight w:val="none"/>
                <w:u w:val="none" w:color="auto"/>
                <w:lang w:val="en-US" w:eastAsia="zh-CN" w:bidi="ar"/>
              </w:rPr>
              <w:t>）火灾影响分析</w:t>
            </w:r>
          </w:p>
          <w:p w14:paraId="4D7DD357">
            <w:pPr>
              <w:keepNext w:val="0"/>
              <w:keepLines w:val="0"/>
              <w:widowControl/>
              <w:suppressLineNumbers w:val="0"/>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项目可能引起火灾事故主要包括项目内电器、电路等因短路、过载和接触不良等原因也可能引起火灾。火灾事故可能造成建筑损坏，人员伤亡，波及周边环境；火灾事故中燃烧释放的浓烟和有毒有害气体直接排放，对周边大气环境造成影响。</w:t>
            </w:r>
          </w:p>
          <w:p w14:paraId="5354DB78">
            <w:pPr>
              <w:keepNext w:val="0"/>
              <w:keepLines w:val="0"/>
              <w:widowControl/>
              <w:suppressLineNumbers w:val="0"/>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本项目火势较小时，通常采用手提式干粉灭火器进行灭火救援，不会产生消防废水；本项目火势较大甚至蔓延时，通常采用消防栓喷水进行灭火救援，因此火灾后的消防废水未收集处理直接排放进入雨水收集系统，会对地表水造成影响。</w:t>
            </w:r>
          </w:p>
          <w:p w14:paraId="6D801A03">
            <w:pPr>
              <w:keepNext w:val="0"/>
              <w:keepLines w:val="0"/>
              <w:widowControl/>
              <w:suppressLineNumbers w:val="0"/>
              <w:ind w:firstLine="482" w:firstLineChars="200"/>
              <w:jc w:val="left"/>
              <w:rPr>
                <w:color w:val="auto"/>
                <w:highlight w:val="none"/>
                <w:u w:val="none" w:color="auto"/>
              </w:rPr>
            </w:pPr>
            <w:r>
              <w:rPr>
                <w:rFonts w:hint="eastAsia" w:cs="Times New Roman"/>
                <w:b/>
                <w:bCs/>
                <w:color w:val="auto"/>
                <w:kern w:val="0"/>
                <w:sz w:val="24"/>
                <w:szCs w:val="24"/>
                <w:highlight w:val="none"/>
                <w:u w:val="none" w:color="auto"/>
                <w:lang w:val="en-US" w:eastAsia="zh-CN" w:bidi="ar"/>
              </w:rPr>
              <w:t>4.8.3</w:t>
            </w:r>
            <w:r>
              <w:rPr>
                <w:rFonts w:hint="default" w:ascii="Times New Roman" w:hAnsi="Times New Roman" w:eastAsia="宋体" w:cs="Times New Roman"/>
                <w:b/>
                <w:bCs/>
                <w:color w:val="auto"/>
                <w:kern w:val="0"/>
                <w:sz w:val="24"/>
                <w:szCs w:val="24"/>
                <w:highlight w:val="none"/>
                <w:u w:val="none" w:color="auto"/>
                <w:lang w:val="en-US" w:eastAsia="zh-CN" w:bidi="ar"/>
              </w:rPr>
              <w:t>环</w:t>
            </w:r>
            <w:r>
              <w:rPr>
                <w:rFonts w:hint="eastAsia" w:ascii="宋体" w:hAnsi="宋体" w:eastAsia="宋体" w:cs="宋体"/>
                <w:b/>
                <w:bCs/>
                <w:color w:val="auto"/>
                <w:kern w:val="0"/>
                <w:sz w:val="24"/>
                <w:szCs w:val="24"/>
                <w:highlight w:val="none"/>
                <w:u w:val="none" w:color="auto"/>
                <w:lang w:val="en-US" w:eastAsia="zh-CN" w:bidi="ar"/>
              </w:rPr>
              <w:t>境风险防范措施及应急要求</w:t>
            </w:r>
          </w:p>
          <w:p w14:paraId="23D3E23E">
            <w:pPr>
              <w:keepNext w:val="0"/>
              <w:keepLines w:val="0"/>
              <w:widowControl/>
              <w:suppressLineNumbers w:val="0"/>
              <w:spacing w:line="360" w:lineRule="auto"/>
              <w:ind w:firstLine="482" w:firstLineChars="200"/>
              <w:jc w:val="left"/>
              <w:rPr>
                <w:b/>
                <w:bCs/>
                <w:color w:val="auto"/>
                <w:highlight w:val="none"/>
                <w:u w:val="none" w:color="auto"/>
              </w:rPr>
            </w:pPr>
            <w:r>
              <w:rPr>
                <w:rFonts w:hint="eastAsia" w:ascii="Times New Roman" w:hAnsi="Times New Roman" w:eastAsia="宋体" w:cs="Times New Roman"/>
                <w:b/>
                <w:bCs/>
                <w:color w:val="auto"/>
                <w:kern w:val="0"/>
                <w:sz w:val="24"/>
                <w:szCs w:val="24"/>
                <w:highlight w:val="none"/>
                <w:u w:val="none" w:color="auto"/>
                <w:lang w:val="en-US" w:eastAsia="zh-CN" w:bidi="ar"/>
              </w:rPr>
              <w:t>（</w:t>
            </w:r>
            <w:r>
              <w:rPr>
                <w:rFonts w:hint="default" w:ascii="Times New Roman" w:hAnsi="Times New Roman" w:eastAsia="宋体" w:cs="Times New Roman"/>
                <w:b/>
                <w:bCs/>
                <w:color w:val="auto"/>
                <w:kern w:val="0"/>
                <w:sz w:val="24"/>
                <w:szCs w:val="24"/>
                <w:highlight w:val="none"/>
                <w:u w:val="none" w:color="auto"/>
                <w:lang w:val="en-US" w:eastAsia="zh-CN" w:bidi="ar"/>
              </w:rPr>
              <w:t>1）废</w:t>
            </w:r>
            <w:r>
              <w:rPr>
                <w:rFonts w:hint="eastAsia" w:ascii="宋体" w:hAnsi="宋体" w:eastAsia="宋体" w:cs="宋体"/>
                <w:b/>
                <w:bCs/>
                <w:color w:val="auto"/>
                <w:kern w:val="0"/>
                <w:sz w:val="24"/>
                <w:szCs w:val="24"/>
                <w:highlight w:val="none"/>
                <w:u w:val="none" w:color="auto"/>
                <w:lang w:val="en-US" w:eastAsia="zh-CN" w:bidi="ar"/>
              </w:rPr>
              <w:t>水事故防范措施</w:t>
            </w:r>
          </w:p>
          <w:p w14:paraId="213EBB5A">
            <w:pPr>
              <w:keepNext w:val="0"/>
              <w:keepLines w:val="0"/>
              <w:widowControl/>
              <w:suppressLineNumbers w:val="0"/>
              <w:spacing w:line="360" w:lineRule="auto"/>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为了确保其正常、不出现停止运行情况，防止环境风险的发生，应通过以下措施加强项目环境风险防范。</w:t>
            </w:r>
          </w:p>
          <w:p w14:paraId="0B5799B4">
            <w:pPr>
              <w:keepNext w:val="0"/>
              <w:keepLines w:val="0"/>
              <w:widowControl/>
              <w:suppressLineNumbers w:val="0"/>
              <w:spacing w:line="360" w:lineRule="auto"/>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①需对污水处理站提供双路电源和应急电源，保证污水处理站用电不间断，重要的设备需有备用；</w:t>
            </w:r>
          </w:p>
          <w:p w14:paraId="2A04E2E7">
            <w:pPr>
              <w:keepNext w:val="0"/>
              <w:keepLines w:val="0"/>
              <w:widowControl/>
              <w:suppressLineNumbers w:val="0"/>
              <w:spacing w:line="360" w:lineRule="auto"/>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②加强对污水处理站设备的检查、维护，确保设备的正常运转。由于废水事故性排放主要是粪大肠菌群超标，因此要求医院在污水处理站的日常运行管理中，严格加强消毒处理，消毒剂必须足量，禁止出现不投或少投消毒剂的现象；</w:t>
            </w:r>
          </w:p>
          <w:p w14:paraId="3E27C1E8">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u w:val="none" w:color="auto"/>
                <w:lang w:val="en-US" w:eastAsia="zh-CN" w:bidi="ar"/>
              </w:rPr>
            </w:pPr>
            <w:r>
              <w:rPr>
                <w:rFonts w:hint="eastAsia" w:ascii="宋体" w:hAnsi="宋体" w:eastAsia="宋体" w:cs="宋体"/>
                <w:color w:val="auto"/>
                <w:kern w:val="0"/>
                <w:sz w:val="24"/>
                <w:szCs w:val="24"/>
                <w:highlight w:val="none"/>
                <w:u w:val="none" w:color="auto"/>
                <w:lang w:val="en-US" w:eastAsia="zh-CN" w:bidi="ar"/>
              </w:rPr>
              <w:t>③发生污水处理站事故时，立即通知医院内各用水科室，采取停止或减少用水的措施，减少污水处理站处理负荷；</w:t>
            </w:r>
          </w:p>
          <w:p w14:paraId="4BC1B6EB">
            <w:pPr>
              <w:keepNext w:val="0"/>
              <w:keepLines w:val="0"/>
              <w:widowControl/>
              <w:suppressLineNumbers w:val="0"/>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④当污水处理站发生事故停运时，应立即关闭污水站废水排口，并将污水引入事故应急池中暂存，根据</w:t>
            </w:r>
            <w:r>
              <w:rPr>
                <w:rFonts w:hint="eastAsia" w:ascii="宋体" w:hAnsi="宋体" w:cs="宋体"/>
                <w:color w:val="auto"/>
                <w:kern w:val="0"/>
                <w:sz w:val="24"/>
                <w:szCs w:val="24"/>
                <w:highlight w:val="none"/>
                <w:u w:val="none" w:color="auto"/>
                <w:lang w:val="en-US" w:eastAsia="zh-CN" w:bidi="ar"/>
              </w:rPr>
              <w:t>《</w:t>
            </w:r>
            <w:r>
              <w:rPr>
                <w:rFonts w:hint="eastAsia" w:ascii="宋体" w:hAnsi="宋体" w:eastAsia="宋体" w:cs="宋体"/>
                <w:color w:val="auto"/>
                <w:kern w:val="0"/>
                <w:sz w:val="24"/>
                <w:szCs w:val="24"/>
                <w:highlight w:val="none"/>
                <w:u w:val="none" w:color="auto"/>
                <w:lang w:val="en-US" w:eastAsia="zh-CN" w:bidi="ar"/>
              </w:rPr>
              <w:t>医院污水处理工程技术规范</w:t>
            </w:r>
            <w:r>
              <w:rPr>
                <w:rFonts w:hint="eastAsia" w:ascii="宋体" w:hAnsi="宋体" w:cs="宋体"/>
                <w:color w:val="auto"/>
                <w:kern w:val="0"/>
                <w:sz w:val="24"/>
                <w:szCs w:val="24"/>
                <w:highlight w:val="none"/>
                <w:u w:val="none" w:color="auto"/>
                <w:lang w:val="en-US" w:eastAsia="zh-CN" w:bidi="ar"/>
              </w:rPr>
              <w:t>》</w:t>
            </w:r>
            <w:r>
              <w:rPr>
                <w:rFonts w:hint="eastAsia" w:ascii="宋体" w:hAnsi="宋体" w:eastAsia="宋体" w:cs="宋体"/>
                <w:color w:val="auto"/>
                <w:kern w:val="0"/>
                <w:sz w:val="24"/>
                <w:szCs w:val="24"/>
                <w:highlight w:val="none"/>
                <w:u w:val="none" w:color="auto"/>
                <w:lang w:val="en-US" w:eastAsia="zh-CN" w:bidi="ar"/>
              </w:rPr>
              <w:t>（</w:t>
            </w:r>
            <w:r>
              <w:rPr>
                <w:rFonts w:hint="default" w:ascii="Times New Roman" w:hAnsi="Times New Roman" w:eastAsia="宋体" w:cs="Times New Roman"/>
                <w:color w:val="auto"/>
                <w:kern w:val="0"/>
                <w:sz w:val="24"/>
                <w:szCs w:val="24"/>
                <w:highlight w:val="none"/>
                <w:u w:val="none" w:color="auto"/>
                <w:lang w:val="en-US" w:eastAsia="zh-CN" w:bidi="ar"/>
              </w:rPr>
              <w:t>HJ2029-2013</w:t>
            </w:r>
            <w:r>
              <w:rPr>
                <w:rFonts w:hint="eastAsia" w:ascii="宋体" w:hAnsi="宋体" w:eastAsia="宋体" w:cs="宋体"/>
                <w:color w:val="auto"/>
                <w:kern w:val="0"/>
                <w:sz w:val="24"/>
                <w:szCs w:val="24"/>
                <w:highlight w:val="none"/>
                <w:u w:val="none" w:color="auto"/>
                <w:lang w:val="en-US" w:eastAsia="zh-CN" w:bidi="ar"/>
              </w:rPr>
              <w:t>）：医院污水处理工程应设置应急事故池，非传染病区医院污水处理工程的应急事故池不应小于日排放量的</w:t>
            </w:r>
            <w:r>
              <w:rPr>
                <w:rFonts w:hint="default" w:ascii="Times New Roman" w:hAnsi="Times New Roman" w:eastAsia="宋体" w:cs="Times New Roman"/>
                <w:color w:val="auto"/>
                <w:kern w:val="0"/>
                <w:sz w:val="24"/>
                <w:szCs w:val="24"/>
                <w:highlight w:val="none"/>
                <w:u w:val="none" w:color="auto"/>
                <w:lang w:val="en-US" w:eastAsia="zh-CN" w:bidi="ar"/>
              </w:rPr>
              <w:t>30%</w:t>
            </w:r>
            <w:r>
              <w:rPr>
                <w:rFonts w:hint="eastAsia" w:ascii="宋体" w:hAnsi="宋体" w:eastAsia="宋体" w:cs="宋体"/>
                <w:color w:val="auto"/>
                <w:kern w:val="0"/>
                <w:sz w:val="24"/>
                <w:szCs w:val="24"/>
                <w:highlight w:val="none"/>
                <w:u w:val="none" w:color="auto"/>
                <w:lang w:val="en-US" w:eastAsia="zh-CN" w:bidi="ar"/>
              </w:rPr>
              <w:t>，污水处理站发生事故停运时，应将污水立即引入污水处理站事故池中暂存，并对污水处理站进行紧急抢修，若还不能达到目的，则需要立即停止用水。待其污水处理站恢复正常工作后，将该部分临时储存的污水经污水处理站处理达标后再外排进入</w:t>
            </w:r>
            <w:r>
              <w:rPr>
                <w:rFonts w:hint="eastAsia" w:ascii="宋体" w:hAnsi="宋体" w:cs="宋体"/>
                <w:color w:val="auto"/>
                <w:kern w:val="0"/>
                <w:sz w:val="24"/>
                <w:szCs w:val="24"/>
                <w:highlight w:val="none"/>
                <w:u w:val="none" w:color="auto"/>
                <w:lang w:val="en-US" w:eastAsia="zh-CN" w:bidi="ar"/>
              </w:rPr>
              <w:t>城镇污水管网进入低庄镇污水处理厂处理</w:t>
            </w:r>
            <w:r>
              <w:rPr>
                <w:rFonts w:hint="eastAsia" w:ascii="宋体" w:hAnsi="宋体" w:eastAsia="宋体" w:cs="宋体"/>
                <w:color w:val="auto"/>
                <w:kern w:val="0"/>
                <w:sz w:val="24"/>
                <w:szCs w:val="24"/>
                <w:highlight w:val="none"/>
                <w:u w:val="none" w:color="auto"/>
                <w:lang w:val="en-US" w:eastAsia="zh-CN" w:bidi="ar"/>
              </w:rPr>
              <w:t>。严禁项目污水未经有效处理就直接外排进入</w:t>
            </w:r>
            <w:r>
              <w:rPr>
                <w:rFonts w:hint="eastAsia" w:ascii="宋体" w:hAnsi="宋体" w:cs="宋体"/>
                <w:color w:val="auto"/>
                <w:kern w:val="0"/>
                <w:sz w:val="24"/>
                <w:szCs w:val="24"/>
                <w:highlight w:val="none"/>
                <w:u w:val="none" w:color="auto"/>
                <w:lang w:val="en-US" w:eastAsia="zh-CN" w:bidi="ar"/>
              </w:rPr>
              <w:t>城镇污水管网进入低庄镇污水处理厂处理</w:t>
            </w:r>
            <w:r>
              <w:rPr>
                <w:rFonts w:hint="eastAsia" w:ascii="宋体" w:hAnsi="宋体" w:eastAsia="宋体" w:cs="宋体"/>
                <w:color w:val="auto"/>
                <w:kern w:val="0"/>
                <w:sz w:val="24"/>
                <w:szCs w:val="24"/>
                <w:highlight w:val="none"/>
                <w:u w:val="none" w:color="auto"/>
                <w:lang w:val="en-US" w:eastAsia="zh-CN" w:bidi="ar"/>
              </w:rPr>
              <w:t>。本项目污水处理站日处理废</w:t>
            </w:r>
            <w:r>
              <w:rPr>
                <w:rFonts w:hint="default" w:ascii="Times New Roman Regular" w:hAnsi="Times New Roman Regular" w:eastAsia="宋体" w:cs="Times New Roman Regular"/>
                <w:color w:val="auto"/>
                <w:kern w:val="0"/>
                <w:sz w:val="24"/>
                <w:szCs w:val="24"/>
                <w:highlight w:val="none"/>
                <w:u w:val="none" w:color="auto"/>
                <w:lang w:val="en-US" w:eastAsia="zh-CN" w:bidi="ar"/>
              </w:rPr>
              <w:t>水</w:t>
            </w:r>
            <w:r>
              <w:rPr>
                <w:rFonts w:hint="eastAsia" w:cs="Times New Roman"/>
                <w:color w:val="auto"/>
                <w:kern w:val="2"/>
                <w:sz w:val="24"/>
                <w:szCs w:val="24"/>
                <w:highlight w:val="none"/>
                <w:u w:val="none" w:color="auto"/>
                <w:lang w:val="en-US" w:eastAsia="zh-CN" w:bidi="ar-SA"/>
              </w:rPr>
              <w:t>121.075</w:t>
            </w:r>
            <w:r>
              <w:rPr>
                <w:rFonts w:hint="default" w:ascii="Times New Roman Regular" w:hAnsi="Times New Roman Regular" w:eastAsia="宋体" w:cs="Times New Roman Regular"/>
                <w:color w:val="auto"/>
                <w:kern w:val="0"/>
                <w:sz w:val="24"/>
                <w:szCs w:val="24"/>
                <w:highlight w:val="none"/>
                <w:u w:val="none" w:color="auto"/>
                <w:lang w:val="en-US" w:eastAsia="zh-CN" w:bidi="ar"/>
              </w:rPr>
              <w:t>m</w:t>
            </w:r>
            <w:r>
              <w:rPr>
                <w:rFonts w:hint="default" w:ascii="Times New Roman Regular" w:hAnsi="Times New Roman Regular" w:eastAsia="宋体" w:cs="Times New Roman Regular"/>
                <w:color w:val="auto"/>
                <w:kern w:val="0"/>
                <w:sz w:val="24"/>
                <w:szCs w:val="24"/>
                <w:highlight w:val="none"/>
                <w:u w:val="none" w:color="auto"/>
                <w:vertAlign w:val="superscript"/>
                <w:lang w:val="en-US" w:eastAsia="zh-CN" w:bidi="ar"/>
              </w:rPr>
              <w:t>3</w:t>
            </w:r>
            <w:r>
              <w:rPr>
                <w:rFonts w:hint="default" w:ascii="Times New Roman Regular" w:hAnsi="Times New Roman Regular" w:eastAsia="宋体" w:cs="Times New Roman Regular"/>
                <w:color w:val="auto"/>
                <w:kern w:val="0"/>
                <w:sz w:val="24"/>
                <w:szCs w:val="24"/>
                <w:highlight w:val="none"/>
                <w:u w:val="none" w:color="auto"/>
                <w:lang w:val="en-US" w:eastAsia="zh-CN" w:bidi="ar"/>
              </w:rPr>
              <w:t>，</w:t>
            </w:r>
            <w:r>
              <w:rPr>
                <w:rFonts w:hint="eastAsia" w:ascii="Times New Roman Regular" w:hAnsi="Times New Roman Regular" w:cs="Times New Roman Regular"/>
                <w:color w:val="auto"/>
                <w:kern w:val="0"/>
                <w:sz w:val="24"/>
                <w:szCs w:val="24"/>
                <w:highlight w:val="none"/>
                <w:u w:val="none" w:color="auto"/>
                <w:lang w:val="en-US" w:eastAsia="zh-CN" w:bidi="ar"/>
              </w:rPr>
              <w:t>日排放量的30%为36.3125</w:t>
            </w:r>
            <w:r>
              <w:rPr>
                <w:rFonts w:hint="default" w:ascii="Times New Roman Regular" w:hAnsi="Times New Roman Regular" w:eastAsia="宋体" w:cs="Times New Roman Regular"/>
                <w:color w:val="auto"/>
                <w:kern w:val="0"/>
                <w:sz w:val="24"/>
                <w:szCs w:val="24"/>
                <w:highlight w:val="none"/>
                <w:u w:val="none" w:color="auto"/>
                <w:lang w:val="en-US" w:eastAsia="zh-CN" w:bidi="ar"/>
              </w:rPr>
              <w:t>m</w:t>
            </w:r>
            <w:r>
              <w:rPr>
                <w:rFonts w:hint="default" w:ascii="Times New Roman Regular" w:hAnsi="Times New Roman Regular" w:eastAsia="宋体" w:cs="Times New Roman Regular"/>
                <w:color w:val="auto"/>
                <w:kern w:val="0"/>
                <w:sz w:val="24"/>
                <w:szCs w:val="24"/>
                <w:highlight w:val="none"/>
                <w:u w:val="none" w:color="auto"/>
                <w:vertAlign w:val="superscript"/>
                <w:lang w:val="en-US" w:eastAsia="zh-CN" w:bidi="ar"/>
              </w:rPr>
              <w:t>3</w:t>
            </w:r>
            <w:r>
              <w:rPr>
                <w:rFonts w:hint="default" w:ascii="Times New Roman Regular" w:hAnsi="Times New Roman Regular" w:eastAsia="宋体" w:cs="Times New Roman Regular"/>
                <w:color w:val="auto"/>
                <w:kern w:val="0"/>
                <w:sz w:val="24"/>
                <w:szCs w:val="24"/>
                <w:highlight w:val="none"/>
                <w:u w:val="none" w:color="auto"/>
                <w:lang w:val="en-US" w:eastAsia="zh-CN" w:bidi="ar"/>
              </w:rPr>
              <w:t>，</w:t>
            </w:r>
            <w:r>
              <w:rPr>
                <w:rFonts w:hint="default" w:ascii="宋体" w:hAnsi="宋体" w:eastAsia="宋体" w:cs="宋体"/>
                <w:color w:val="auto"/>
                <w:kern w:val="0"/>
                <w:sz w:val="24"/>
                <w:szCs w:val="24"/>
                <w:highlight w:val="none"/>
                <w:u w:val="none" w:color="auto"/>
                <w:lang w:val="en-US" w:eastAsia="zh-CN" w:bidi="ar"/>
              </w:rPr>
              <w:t>本项目</w:t>
            </w:r>
            <w:r>
              <w:rPr>
                <w:rFonts w:hint="eastAsia" w:ascii="宋体" w:hAnsi="宋体" w:cs="宋体"/>
                <w:color w:val="auto"/>
                <w:kern w:val="0"/>
                <w:sz w:val="24"/>
                <w:szCs w:val="24"/>
                <w:highlight w:val="none"/>
                <w:u w:val="none" w:color="auto"/>
                <w:lang w:val="en-US" w:eastAsia="zh-CN" w:bidi="ar"/>
              </w:rPr>
              <w:t>于污水处理站旁新建</w:t>
            </w:r>
            <w:r>
              <w:rPr>
                <w:rFonts w:hint="eastAsia" w:ascii="Times New Roman Regular" w:hAnsi="Times New Roman Regular" w:cs="Times New Roman Regular"/>
                <w:color w:val="auto"/>
                <w:kern w:val="0"/>
                <w:sz w:val="24"/>
                <w:szCs w:val="24"/>
                <w:highlight w:val="none"/>
                <w:u w:val="none" w:color="auto"/>
                <w:lang w:val="en-US" w:eastAsia="zh-CN" w:bidi="ar"/>
              </w:rPr>
              <w:t>40</w:t>
            </w:r>
            <w:r>
              <w:rPr>
                <w:rFonts w:hint="default" w:ascii="Times New Roman Regular" w:hAnsi="Times New Roman Regular" w:eastAsia="宋体" w:cs="Times New Roman Regular"/>
                <w:color w:val="auto"/>
                <w:kern w:val="0"/>
                <w:sz w:val="24"/>
                <w:szCs w:val="24"/>
                <w:highlight w:val="none"/>
                <w:u w:val="none" w:color="auto"/>
                <w:lang w:val="en-US" w:eastAsia="zh-CN" w:bidi="ar"/>
              </w:rPr>
              <w:t>m</w:t>
            </w:r>
            <w:r>
              <w:rPr>
                <w:rFonts w:hint="default" w:ascii="Times New Roman Regular" w:hAnsi="Times New Roman Regular" w:eastAsia="宋体" w:cs="Times New Roman Regular"/>
                <w:color w:val="auto"/>
                <w:kern w:val="0"/>
                <w:sz w:val="24"/>
                <w:szCs w:val="24"/>
                <w:highlight w:val="none"/>
                <w:u w:val="none" w:color="auto"/>
                <w:vertAlign w:val="superscript"/>
                <w:lang w:val="en-US" w:eastAsia="en-US" w:bidi="ar"/>
              </w:rPr>
              <w:t>3</w:t>
            </w:r>
            <w:r>
              <w:rPr>
                <w:rFonts w:hint="default" w:ascii="Times New Roman Regular" w:hAnsi="Times New Roman Regular" w:eastAsia="宋体" w:cs="Times New Roman Regular"/>
                <w:color w:val="auto"/>
                <w:kern w:val="0"/>
                <w:sz w:val="24"/>
                <w:szCs w:val="24"/>
                <w:highlight w:val="none"/>
                <w:u w:val="none" w:color="auto"/>
                <w:lang w:val="en-US" w:eastAsia="zh-CN" w:bidi="ar"/>
              </w:rPr>
              <w:t>的</w:t>
            </w:r>
            <w:r>
              <w:rPr>
                <w:rFonts w:hint="default" w:ascii="宋体" w:hAnsi="宋体" w:eastAsia="宋体" w:cs="宋体"/>
                <w:color w:val="auto"/>
                <w:kern w:val="0"/>
                <w:sz w:val="24"/>
                <w:szCs w:val="24"/>
                <w:highlight w:val="none"/>
                <w:u w:val="none" w:color="auto"/>
                <w:lang w:val="en-US" w:eastAsia="zh-CN" w:bidi="ar"/>
              </w:rPr>
              <w:t>应急事故池用于贮存事故和突发事件时排放的污水</w:t>
            </w:r>
            <w:r>
              <w:rPr>
                <w:rFonts w:hint="eastAsia" w:ascii="宋体" w:hAnsi="宋体" w:eastAsia="宋体" w:cs="宋体"/>
                <w:color w:val="auto"/>
                <w:kern w:val="0"/>
                <w:sz w:val="24"/>
                <w:szCs w:val="24"/>
                <w:highlight w:val="none"/>
                <w:u w:val="none" w:color="auto"/>
                <w:lang w:val="en-US" w:eastAsia="zh-CN" w:bidi="ar"/>
              </w:rPr>
              <w:t>，</w:t>
            </w:r>
            <w:r>
              <w:rPr>
                <w:rFonts w:hint="eastAsia" w:ascii="宋体" w:hAnsi="宋体" w:cs="宋体"/>
                <w:color w:val="auto"/>
                <w:kern w:val="0"/>
                <w:sz w:val="24"/>
                <w:szCs w:val="24"/>
                <w:highlight w:val="none"/>
                <w:u w:val="none" w:color="auto"/>
                <w:lang w:val="en-US" w:eastAsia="zh-CN" w:bidi="ar"/>
              </w:rPr>
              <w:t>能够满足应急要求。</w:t>
            </w:r>
          </w:p>
          <w:p w14:paraId="5CCBDB9C">
            <w:pPr>
              <w:keepNext w:val="0"/>
              <w:keepLines w:val="0"/>
              <w:widowControl/>
              <w:suppressLineNumbers w:val="0"/>
              <w:ind w:firstLine="482" w:firstLineChars="200"/>
              <w:jc w:val="left"/>
              <w:rPr>
                <w:b/>
                <w:bCs/>
                <w:color w:val="auto"/>
                <w:highlight w:val="none"/>
                <w:u w:val="none" w:color="auto"/>
              </w:rPr>
            </w:pPr>
            <w:r>
              <w:rPr>
                <w:rFonts w:hint="default" w:ascii="Times New Roman" w:hAnsi="Times New Roman" w:eastAsia="宋体" w:cs="Times New Roman"/>
                <w:b/>
                <w:bCs/>
                <w:color w:val="auto"/>
                <w:kern w:val="0"/>
                <w:sz w:val="24"/>
                <w:szCs w:val="24"/>
                <w:highlight w:val="none"/>
                <w:u w:val="none" w:color="auto"/>
                <w:lang w:val="en-US" w:eastAsia="zh-CN" w:bidi="ar"/>
              </w:rPr>
              <w:t>（</w:t>
            </w:r>
            <w:r>
              <w:rPr>
                <w:rFonts w:hint="eastAsia" w:cs="Times New Roman"/>
                <w:b/>
                <w:bCs/>
                <w:color w:val="auto"/>
                <w:kern w:val="0"/>
                <w:sz w:val="24"/>
                <w:szCs w:val="24"/>
                <w:highlight w:val="none"/>
                <w:u w:val="none" w:color="auto"/>
                <w:lang w:val="en-US" w:eastAsia="zh-CN" w:bidi="ar"/>
              </w:rPr>
              <w:t>2</w:t>
            </w:r>
            <w:r>
              <w:rPr>
                <w:rFonts w:hint="default" w:ascii="Times New Roman" w:hAnsi="Times New Roman" w:eastAsia="宋体" w:cs="Times New Roman"/>
                <w:b/>
                <w:bCs/>
                <w:color w:val="auto"/>
                <w:kern w:val="0"/>
                <w:sz w:val="24"/>
                <w:szCs w:val="24"/>
                <w:highlight w:val="none"/>
                <w:u w:val="none" w:color="auto"/>
                <w:lang w:val="en-US" w:eastAsia="zh-CN" w:bidi="ar"/>
              </w:rPr>
              <w:t>）医</w:t>
            </w:r>
            <w:r>
              <w:rPr>
                <w:rFonts w:hint="eastAsia" w:ascii="宋体" w:hAnsi="宋体" w:eastAsia="宋体" w:cs="宋体"/>
                <w:b/>
                <w:bCs/>
                <w:color w:val="auto"/>
                <w:kern w:val="0"/>
                <w:sz w:val="24"/>
                <w:szCs w:val="24"/>
                <w:highlight w:val="none"/>
                <w:u w:val="none" w:color="auto"/>
                <w:lang w:val="en-US" w:eastAsia="zh-CN" w:bidi="ar"/>
              </w:rPr>
              <w:t>疗废物泄漏风险防范措施</w:t>
            </w:r>
          </w:p>
          <w:p w14:paraId="1F2E86AA">
            <w:pPr>
              <w:keepNext w:val="0"/>
              <w:keepLines w:val="0"/>
              <w:widowControl/>
              <w:suppressLineNumbers w:val="0"/>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①医疗废物按类别分置于防渗漏、防锐器穿透的专用包装物或者密闭的容器内，医疗废物专用包装物、容器均有明显的警示标志和警示说明。</w:t>
            </w:r>
          </w:p>
          <w:p w14:paraId="2F823153">
            <w:pPr>
              <w:keepNext w:val="0"/>
              <w:keepLines w:val="0"/>
              <w:widowControl/>
              <w:suppressLineNumbers w:val="0"/>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②医废暂存间地面采取防重点渗措施，其防渗系数应满足</w:t>
            </w:r>
            <w:r>
              <w:rPr>
                <w:rFonts w:hint="eastAsia" w:ascii="宋体" w:hAnsi="宋体" w:cs="宋体"/>
                <w:color w:val="auto"/>
                <w:kern w:val="0"/>
                <w:sz w:val="24"/>
                <w:szCs w:val="24"/>
                <w:highlight w:val="none"/>
                <w:u w:val="none" w:color="auto"/>
                <w:lang w:val="en-US" w:eastAsia="zh-CN" w:bidi="ar"/>
              </w:rPr>
              <w:t>《危险废物贮存污染控制标准</w:t>
            </w:r>
            <w:r>
              <w:rPr>
                <w:rFonts w:hint="default" w:ascii="Times New Roman" w:hAnsi="Times New Roman" w:cs="Times New Roman"/>
                <w:color w:val="auto"/>
                <w:kern w:val="0"/>
                <w:sz w:val="24"/>
                <w:szCs w:val="24"/>
                <w:highlight w:val="none"/>
                <w:u w:val="none" w:color="auto"/>
                <w:lang w:val="en-US" w:eastAsia="zh-CN" w:bidi="ar"/>
              </w:rPr>
              <w:t>》（GB18597-2023）</w:t>
            </w:r>
            <w:r>
              <w:rPr>
                <w:rFonts w:hint="default" w:ascii="Times New Roman" w:hAnsi="Times New Roman" w:eastAsia="宋体" w:cs="Times New Roman"/>
                <w:color w:val="auto"/>
                <w:kern w:val="0"/>
                <w:sz w:val="24"/>
                <w:szCs w:val="24"/>
                <w:highlight w:val="none"/>
                <w:u w:val="none" w:color="auto"/>
                <w:lang w:val="en-US" w:eastAsia="zh-CN" w:bidi="ar"/>
              </w:rPr>
              <w:t>要</w:t>
            </w:r>
            <w:r>
              <w:rPr>
                <w:rFonts w:hint="eastAsia" w:ascii="宋体" w:hAnsi="宋体" w:eastAsia="宋体" w:cs="宋体"/>
                <w:color w:val="auto"/>
                <w:kern w:val="0"/>
                <w:sz w:val="24"/>
                <w:szCs w:val="24"/>
                <w:highlight w:val="none"/>
                <w:u w:val="none" w:color="auto"/>
                <w:lang w:val="en-US" w:eastAsia="zh-CN" w:bidi="ar"/>
              </w:rPr>
              <w:t>求进行防渗处理，渗透系数</w:t>
            </w:r>
            <w:r>
              <w:rPr>
                <w:rFonts w:hint="default" w:ascii="Times New Roman" w:hAnsi="Times New Roman" w:eastAsia="宋体" w:cs="Times New Roman"/>
                <w:color w:val="auto"/>
                <w:kern w:val="0"/>
                <w:sz w:val="24"/>
                <w:szCs w:val="24"/>
                <w:highlight w:val="none"/>
                <w:u w:val="none" w:color="auto"/>
                <w:lang w:val="en-US" w:eastAsia="zh-CN" w:bidi="ar"/>
              </w:rPr>
              <w:t>≤10</w:t>
            </w:r>
            <w:r>
              <w:rPr>
                <w:rFonts w:hint="eastAsia" w:ascii="Times New Roman" w:hAnsi="Times New Roman" w:eastAsia="宋体" w:cs="Times New Roman"/>
                <w:color w:val="auto"/>
                <w:kern w:val="0"/>
                <w:sz w:val="24"/>
                <w:szCs w:val="24"/>
                <w:highlight w:val="none"/>
                <w:u w:val="none" w:color="auto"/>
                <w:lang w:val="en-US" w:eastAsia="zh-CN" w:bidi="ar"/>
              </w:rPr>
              <w:t>—</w:t>
            </w:r>
            <w:r>
              <w:rPr>
                <w:rFonts w:hint="default"/>
                <w:color w:val="auto"/>
                <w:highlight w:val="none"/>
                <w:u w:val="none" w:color="auto"/>
                <w:vertAlign w:val="superscript"/>
                <w:lang w:val="en-US" w:eastAsia="zh-CN"/>
              </w:rPr>
              <w:t>10</w:t>
            </w:r>
            <w:r>
              <w:rPr>
                <w:rFonts w:hint="default" w:ascii="Times New Roman" w:hAnsi="Times New Roman" w:eastAsia="宋体" w:cs="Times New Roman"/>
                <w:color w:val="auto"/>
                <w:kern w:val="0"/>
                <w:sz w:val="24"/>
                <w:szCs w:val="24"/>
                <w:highlight w:val="none"/>
                <w:u w:val="none" w:color="auto"/>
                <w:lang w:val="en-US" w:eastAsia="zh-CN" w:bidi="ar"/>
              </w:rPr>
              <w:t>cm/s</w:t>
            </w:r>
            <w:r>
              <w:rPr>
                <w:rFonts w:hint="eastAsia" w:ascii="宋体" w:hAnsi="宋体" w:eastAsia="宋体" w:cs="宋体"/>
                <w:color w:val="auto"/>
                <w:kern w:val="0"/>
                <w:sz w:val="24"/>
                <w:szCs w:val="24"/>
                <w:highlight w:val="none"/>
                <w:u w:val="none" w:color="auto"/>
                <w:lang w:val="en-US" w:eastAsia="zh-CN" w:bidi="ar"/>
              </w:rPr>
              <w:t>。并设计堵截泄漏的墙裙，墙裙应进行防腐、防渗处理，地面与墙裙所围建的容积不低于堵截最大容器的最大储量或总储量的五分之一。地面有良好的排水性能，易于清洁和消毒。</w:t>
            </w:r>
          </w:p>
          <w:p w14:paraId="25045C80">
            <w:pPr>
              <w:keepNext w:val="0"/>
              <w:keepLines w:val="0"/>
              <w:widowControl/>
              <w:suppressLineNumbers w:val="0"/>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③医院应制定医疗废物暂存管理的规章制度、工作程序以及应急处理措施。</w:t>
            </w:r>
          </w:p>
          <w:p w14:paraId="5E30B415">
            <w:pPr>
              <w:keepNext w:val="0"/>
              <w:keepLines w:val="0"/>
              <w:widowControl/>
              <w:suppressLineNumbers w:val="0"/>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④医疗废物在转运过程中应严格按照相关规范执行，杜绝废物发生泄漏、抛洒现象。当运送过程中发生翻车、撞车导致医疗废物大量溢出、散落时，运送人员应立即向本单位或当地公安交警、环境保护等单位联系。并立即请求公安交通警察在受污染地区设立隔离区，禁止其他车辆和行人穿过，避免污染物扩散和对行人造成伤害；对溢出、散落的医疗废物迅速进行收集、清理，对被污染的现场地面进行消毒和清洁处理。对于液体溢出物采用吸附材料吸收处理；清洁人员应做好个人防护措施。鉴于医疗废物的危害性极大，本项目在收集、贮存、运送医疗废物的过程中存在着一定风险，为保证项目产生的医疗废物得到有效处置，使其风险减少到最小程度，而不会对环境造成不良影响。针对医疗危险废物的处理特点，医院应严格执行《医疗卫生机构医疗废物管理办法》。</w:t>
            </w:r>
          </w:p>
          <w:p w14:paraId="1E4D9309">
            <w:pPr>
              <w:keepNext w:val="0"/>
              <w:keepLines w:val="0"/>
              <w:widowControl/>
              <w:suppressLineNumbers w:val="0"/>
              <w:ind w:firstLine="482" w:firstLineChars="200"/>
              <w:jc w:val="left"/>
              <w:rPr>
                <w:b/>
                <w:bCs/>
                <w:color w:val="auto"/>
                <w:highlight w:val="none"/>
                <w:u w:val="none" w:color="auto"/>
              </w:rPr>
            </w:pPr>
            <w:r>
              <w:rPr>
                <w:rFonts w:hint="default" w:ascii="Times New Roman" w:hAnsi="Times New Roman" w:eastAsia="宋体" w:cs="Times New Roman"/>
                <w:b/>
                <w:bCs/>
                <w:color w:val="auto"/>
                <w:kern w:val="0"/>
                <w:sz w:val="24"/>
                <w:szCs w:val="24"/>
                <w:highlight w:val="none"/>
                <w:u w:val="none" w:color="auto"/>
                <w:lang w:val="en-US" w:eastAsia="zh-CN" w:bidi="ar"/>
              </w:rPr>
              <w:t>（</w:t>
            </w:r>
            <w:r>
              <w:rPr>
                <w:rFonts w:hint="eastAsia" w:cs="Times New Roman"/>
                <w:b/>
                <w:bCs/>
                <w:color w:val="auto"/>
                <w:kern w:val="0"/>
                <w:sz w:val="24"/>
                <w:szCs w:val="24"/>
                <w:highlight w:val="none"/>
                <w:u w:val="none" w:color="auto"/>
                <w:lang w:val="en-US" w:eastAsia="zh-CN" w:bidi="ar"/>
              </w:rPr>
              <w:t>3</w:t>
            </w:r>
            <w:r>
              <w:rPr>
                <w:rFonts w:hint="default" w:ascii="Times New Roman" w:hAnsi="Times New Roman" w:eastAsia="宋体" w:cs="Times New Roman"/>
                <w:b/>
                <w:bCs/>
                <w:color w:val="auto"/>
                <w:kern w:val="0"/>
                <w:sz w:val="24"/>
                <w:szCs w:val="24"/>
                <w:highlight w:val="none"/>
                <w:u w:val="none" w:color="auto"/>
                <w:lang w:val="en-US" w:eastAsia="zh-CN" w:bidi="ar"/>
              </w:rPr>
              <w:t>）</w:t>
            </w:r>
            <w:r>
              <w:rPr>
                <w:rFonts w:hint="eastAsia" w:ascii="宋体" w:hAnsi="宋体" w:eastAsia="宋体" w:cs="宋体"/>
                <w:b/>
                <w:bCs/>
                <w:color w:val="auto"/>
                <w:kern w:val="0"/>
                <w:sz w:val="24"/>
                <w:szCs w:val="24"/>
                <w:highlight w:val="none"/>
                <w:u w:val="none" w:color="auto"/>
                <w:lang w:val="en-US" w:eastAsia="zh-CN" w:bidi="ar"/>
              </w:rPr>
              <w:t>火灾风险事故防范措施</w:t>
            </w:r>
          </w:p>
          <w:p w14:paraId="69B067B1">
            <w:pPr>
              <w:keepNext w:val="0"/>
              <w:keepLines w:val="0"/>
              <w:widowControl/>
              <w:suppressLineNumbers w:val="0"/>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①消防设施均按照国家相关规范设计实施，根据《建筑灭火器配置设计规范》的规定，在项目内配备足够的消防器材。</w:t>
            </w:r>
          </w:p>
          <w:p w14:paraId="166C5261">
            <w:pPr>
              <w:keepNext w:val="0"/>
              <w:keepLines w:val="0"/>
              <w:widowControl/>
              <w:suppressLineNumbers w:val="0"/>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②安装火灾烟雾报警器，以便及时发现险情。</w:t>
            </w:r>
          </w:p>
          <w:p w14:paraId="701245A0">
            <w:pPr>
              <w:keepNext w:val="0"/>
              <w:keepLines w:val="0"/>
              <w:widowControl/>
              <w:suppressLineNumbers w:val="0"/>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③在医院设置事故池，事故废水经收集后排至污水处理</w:t>
            </w:r>
            <w:r>
              <w:rPr>
                <w:rFonts w:hint="eastAsia" w:ascii="宋体" w:hAnsi="宋体" w:cs="宋体"/>
                <w:color w:val="auto"/>
                <w:kern w:val="0"/>
                <w:sz w:val="24"/>
                <w:szCs w:val="24"/>
                <w:highlight w:val="none"/>
                <w:u w:val="none" w:color="auto"/>
                <w:lang w:val="en-US" w:eastAsia="zh-CN" w:bidi="ar"/>
              </w:rPr>
              <w:t>站</w:t>
            </w:r>
            <w:r>
              <w:rPr>
                <w:rFonts w:hint="eastAsia" w:ascii="宋体" w:hAnsi="宋体" w:eastAsia="宋体" w:cs="宋体"/>
                <w:color w:val="auto"/>
                <w:kern w:val="0"/>
                <w:sz w:val="24"/>
                <w:szCs w:val="24"/>
                <w:highlight w:val="none"/>
                <w:u w:val="none" w:color="auto"/>
                <w:lang w:val="en-US" w:eastAsia="zh-CN" w:bidi="ar"/>
              </w:rPr>
              <w:t>处理达标后排放。</w:t>
            </w:r>
          </w:p>
          <w:p w14:paraId="1F82A82F">
            <w:pPr>
              <w:keepNext w:val="0"/>
              <w:keepLines w:val="0"/>
              <w:widowControl/>
              <w:suppressLineNumbers w:val="0"/>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④加强人员的安全防火意识，电气设备定期巡检，防止电气火灾发生。</w:t>
            </w:r>
          </w:p>
          <w:p w14:paraId="60B97F01">
            <w:pPr>
              <w:keepNext w:val="0"/>
              <w:keepLines w:val="0"/>
              <w:widowControl/>
              <w:suppressLineNumbers w:val="0"/>
              <w:ind w:firstLine="480" w:firstLineChars="200"/>
              <w:jc w:val="left"/>
              <w:rPr>
                <w:rFonts w:hint="default" w:ascii="Times New Roman" w:hAnsi="Times New Roman" w:eastAsia="宋体" w:cs="Times New Roman"/>
                <w:b/>
                <w:bCs/>
                <w:color w:val="auto"/>
                <w:kern w:val="0"/>
                <w:sz w:val="24"/>
                <w:szCs w:val="24"/>
                <w:highlight w:val="none"/>
                <w:u w:val="none" w:color="auto"/>
              </w:rPr>
            </w:pPr>
            <w:r>
              <w:rPr>
                <w:rFonts w:hint="eastAsia" w:ascii="宋体" w:hAnsi="宋体" w:eastAsia="宋体" w:cs="宋体"/>
                <w:color w:val="auto"/>
                <w:kern w:val="0"/>
                <w:sz w:val="24"/>
                <w:szCs w:val="24"/>
                <w:highlight w:val="none"/>
                <w:u w:val="none" w:color="auto"/>
                <w:lang w:val="en-US" w:eastAsia="zh-CN" w:bidi="ar"/>
              </w:rPr>
              <w:t>⑤火灾一旦发生，在消防员未赶到前全体员工必须听从指挥，根据职责和要求，分头迅速开展火灾抢救、报警、开启应急通道，疏散人流，切断电源等工作；必须保持消防通道畅通，出入口有明显标志，应急照明，消防通道及安全门不能锁闭，疏散路线有明显的引导图例；当火灾发生时，采用适当的方法组织灭火、疏散，必须配备足够的消防器材；所有参加灭火与应急疏散工作的领导、工作人员应打开通信工具，确保通信畅通，确保行动协调统一指挥。</w:t>
            </w:r>
          </w:p>
          <w:p w14:paraId="11E5FD57">
            <w:pPr>
              <w:pStyle w:val="54"/>
              <w:widowControl w:val="0"/>
              <w:ind w:firstLine="482"/>
              <w:rPr>
                <w:b/>
                <w:bCs/>
                <w:color w:val="auto"/>
                <w:highlight w:val="none"/>
                <w:u w:val="none" w:color="auto"/>
              </w:rPr>
            </w:pPr>
            <w:r>
              <w:rPr>
                <w:rFonts w:hint="eastAsia"/>
                <w:b/>
                <w:bCs/>
                <w:color w:val="auto"/>
                <w:highlight w:val="none"/>
                <w:u w:val="none" w:color="auto"/>
                <w:lang w:val="en-US" w:eastAsia="zh-CN"/>
              </w:rPr>
              <w:t>4.9</w:t>
            </w:r>
            <w:r>
              <w:rPr>
                <w:rFonts w:hint="eastAsia"/>
                <w:b/>
                <w:bCs/>
                <w:color w:val="auto"/>
                <w:highlight w:val="none"/>
                <w:u w:val="none" w:color="auto"/>
              </w:rPr>
              <w:t>竣工环境保护验收</w:t>
            </w:r>
          </w:p>
          <w:p w14:paraId="2CAEA0D6">
            <w:pPr>
              <w:pStyle w:val="54"/>
              <w:widowControl w:val="0"/>
              <w:ind w:firstLine="480"/>
              <w:rPr>
                <w:color w:val="auto"/>
                <w:highlight w:val="none"/>
                <w:u w:val="none" w:color="auto"/>
              </w:rPr>
            </w:pPr>
            <w:r>
              <w:rPr>
                <w:rFonts w:hint="eastAsia"/>
                <w:color w:val="auto"/>
                <w:highlight w:val="none"/>
                <w:u w:val="none" w:color="auto"/>
              </w:rPr>
              <w:t>根据《建设项目竣工环境保护验收暂行办法》（国环规环评〔2017〕4号）文件，建设单位作为项目竣工环保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项目配套建设的环保设施经验收合格，方可投入生产或使用。</w:t>
            </w:r>
          </w:p>
          <w:p w14:paraId="1C6D94AD">
            <w:pPr>
              <w:keepNext w:val="0"/>
              <w:keepLines w:val="0"/>
              <w:widowControl/>
              <w:suppressLineNumbers w:val="0"/>
              <w:spacing w:line="360" w:lineRule="auto"/>
              <w:ind w:firstLine="480" w:firstLineChars="200"/>
              <w:jc w:val="left"/>
              <w:rPr>
                <w:color w:val="auto"/>
                <w:sz w:val="24"/>
                <w:szCs w:val="24"/>
                <w:u w:val="none" w:color="auto"/>
              </w:rPr>
            </w:pPr>
            <w:r>
              <w:rPr>
                <w:rFonts w:hint="eastAsia" w:ascii="宋体" w:hAnsi="宋体" w:eastAsia="宋体" w:cs="宋体"/>
                <w:color w:val="auto"/>
                <w:kern w:val="0"/>
                <w:sz w:val="24"/>
                <w:szCs w:val="24"/>
                <w:u w:val="none" w:color="auto"/>
                <w:lang w:val="en-US" w:eastAsia="zh-CN" w:bidi="ar"/>
              </w:rPr>
              <w:t>项目总投资约</w:t>
            </w:r>
            <w:r>
              <w:rPr>
                <w:rFonts w:hint="eastAsia" w:ascii="Times New Roman" w:hAnsi="Times New Roman" w:eastAsia="宋体" w:cs="Times New Roman"/>
                <w:color w:val="auto"/>
                <w:sz w:val="24"/>
                <w:szCs w:val="24"/>
                <w:u w:val="none" w:color="auto"/>
                <w:lang w:val="en-US" w:eastAsia="zh-CN"/>
              </w:rPr>
              <w:t>19200</w:t>
            </w:r>
            <w:r>
              <w:rPr>
                <w:rFonts w:hint="eastAsia" w:ascii="宋体" w:hAnsi="宋体" w:eastAsia="宋体" w:cs="宋体"/>
                <w:color w:val="auto"/>
                <w:kern w:val="0"/>
                <w:sz w:val="24"/>
                <w:szCs w:val="24"/>
                <w:u w:val="none" w:color="auto"/>
                <w:lang w:val="en-US" w:eastAsia="zh-CN" w:bidi="ar"/>
              </w:rPr>
              <w:t>万元，项目环保设施投资为</w:t>
            </w:r>
            <w:r>
              <w:rPr>
                <w:rFonts w:hint="eastAsia" w:cs="Times New Roman"/>
                <w:color w:val="auto"/>
                <w:kern w:val="0"/>
                <w:sz w:val="24"/>
                <w:szCs w:val="24"/>
                <w:u w:val="none" w:color="auto"/>
                <w:lang w:val="en-US" w:eastAsia="zh-CN" w:bidi="ar"/>
              </w:rPr>
              <w:t>273</w:t>
            </w:r>
            <w:r>
              <w:rPr>
                <w:rFonts w:hint="eastAsia" w:ascii="宋体" w:hAnsi="宋体" w:eastAsia="宋体" w:cs="宋体"/>
                <w:color w:val="auto"/>
                <w:kern w:val="0"/>
                <w:sz w:val="24"/>
                <w:szCs w:val="24"/>
                <w:u w:val="none" w:color="auto"/>
                <w:lang w:val="en-US" w:eastAsia="zh-CN" w:bidi="ar"/>
              </w:rPr>
              <w:t>万元，占总投资比例为</w:t>
            </w:r>
            <w:r>
              <w:rPr>
                <w:rFonts w:hint="eastAsia" w:cs="Times New Roman"/>
                <w:color w:val="auto"/>
                <w:kern w:val="0"/>
                <w:sz w:val="24"/>
                <w:szCs w:val="24"/>
                <w:u w:val="none" w:color="auto"/>
                <w:lang w:val="en-US" w:eastAsia="zh-CN" w:bidi="ar"/>
              </w:rPr>
              <w:t>1.42</w:t>
            </w:r>
            <w:r>
              <w:rPr>
                <w:rFonts w:hint="default" w:ascii="Times New Roman" w:hAnsi="Times New Roman" w:eastAsia="宋体" w:cs="Times New Roman"/>
                <w:color w:val="auto"/>
                <w:kern w:val="0"/>
                <w:sz w:val="24"/>
                <w:szCs w:val="24"/>
                <w:u w:val="none" w:color="auto"/>
                <w:lang w:val="en-US" w:eastAsia="zh-CN" w:bidi="ar"/>
              </w:rPr>
              <w:t>%</w:t>
            </w:r>
            <w:r>
              <w:rPr>
                <w:rFonts w:hint="eastAsia" w:ascii="宋体" w:hAnsi="宋体" w:eastAsia="宋体" w:cs="宋体"/>
                <w:color w:val="auto"/>
                <w:kern w:val="0"/>
                <w:sz w:val="24"/>
                <w:szCs w:val="24"/>
                <w:u w:val="none" w:color="auto"/>
                <w:lang w:val="en-US" w:eastAsia="zh-CN" w:bidi="ar"/>
              </w:rPr>
              <w:t>，详见下表。</w:t>
            </w:r>
          </w:p>
          <w:p w14:paraId="51357127">
            <w:pPr>
              <w:jc w:val="center"/>
              <w:rPr>
                <w:rFonts w:hint="default" w:ascii="Times New Roman" w:hAnsi="Times New Roman" w:cs="Times New Roman"/>
                <w:b/>
                <w:color w:val="auto"/>
                <w:sz w:val="21"/>
                <w:szCs w:val="18"/>
                <w:u w:val="none" w:color="auto"/>
              </w:rPr>
            </w:pPr>
            <w:r>
              <w:rPr>
                <w:rFonts w:hint="default" w:ascii="Times New Roman" w:hAnsi="Times New Roman" w:cs="Times New Roman"/>
                <w:b/>
                <w:color w:val="auto"/>
                <w:sz w:val="21"/>
                <w:szCs w:val="18"/>
                <w:u w:val="none" w:color="auto"/>
              </w:rPr>
              <w:t>表</w:t>
            </w:r>
            <w:r>
              <w:rPr>
                <w:rFonts w:hint="eastAsia" w:ascii="Times New Roman" w:hAnsi="Times New Roman" w:cs="Times New Roman"/>
                <w:b/>
                <w:color w:val="auto"/>
                <w:sz w:val="21"/>
                <w:szCs w:val="18"/>
                <w:u w:val="none" w:color="auto"/>
                <w:lang w:val="en-US" w:eastAsia="zh-CN"/>
              </w:rPr>
              <w:t>4-</w:t>
            </w:r>
            <w:r>
              <w:rPr>
                <w:rFonts w:hint="eastAsia" w:cs="Times New Roman"/>
                <w:b/>
                <w:color w:val="auto"/>
                <w:sz w:val="21"/>
                <w:szCs w:val="18"/>
                <w:u w:val="none" w:color="auto"/>
                <w:lang w:val="en-US" w:eastAsia="zh-CN"/>
              </w:rPr>
              <w:t>19</w:t>
            </w:r>
            <w:r>
              <w:rPr>
                <w:rFonts w:hint="eastAsia" w:ascii="Times New Roman" w:hAnsi="Times New Roman" w:cs="Times New Roman"/>
                <w:b/>
                <w:color w:val="auto"/>
                <w:sz w:val="21"/>
                <w:szCs w:val="18"/>
                <w:u w:val="none" w:color="auto"/>
                <w:lang w:val="en-US" w:eastAsia="zh-CN"/>
              </w:rPr>
              <w:t xml:space="preserve"> </w:t>
            </w:r>
            <w:r>
              <w:rPr>
                <w:rFonts w:hint="default" w:ascii="Times New Roman" w:hAnsi="Times New Roman" w:cs="Times New Roman"/>
                <w:b/>
                <w:color w:val="auto"/>
                <w:sz w:val="21"/>
                <w:szCs w:val="18"/>
                <w:u w:val="none" w:color="auto"/>
              </w:rPr>
              <w:t xml:space="preserve"> 环保投资估算表 单位：万元</w:t>
            </w:r>
          </w:p>
          <w:tbl>
            <w:tblPr>
              <w:tblStyle w:val="35"/>
              <w:tblW w:w="4998" w:type="pct"/>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531"/>
              <w:gridCol w:w="3493"/>
              <w:gridCol w:w="2283"/>
            </w:tblGrid>
            <w:tr w14:paraId="2BC09D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36" w:type="pct"/>
                  <w:gridSpan w:val="2"/>
                  <w:tcBorders>
                    <w:tl2br w:val="nil"/>
                    <w:tr2bl w:val="nil"/>
                  </w:tcBorders>
                  <w:noWrap w:val="0"/>
                  <w:vAlign w:val="center"/>
                </w:tcPr>
                <w:p w14:paraId="3EF330D5">
                  <w:pPr>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污染类别</w:t>
                  </w:r>
                </w:p>
              </w:tc>
              <w:tc>
                <w:tcPr>
                  <w:tcW w:w="1912" w:type="pct"/>
                  <w:tcBorders>
                    <w:tl2br w:val="nil"/>
                    <w:tr2bl w:val="nil"/>
                  </w:tcBorders>
                  <w:noWrap w:val="0"/>
                  <w:vAlign w:val="center"/>
                </w:tcPr>
                <w:p w14:paraId="02142528">
                  <w:pPr>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防治措施</w:t>
                  </w:r>
                </w:p>
              </w:tc>
              <w:tc>
                <w:tcPr>
                  <w:tcW w:w="1250" w:type="pct"/>
                  <w:tcBorders>
                    <w:tl2br w:val="nil"/>
                    <w:tr2bl w:val="nil"/>
                  </w:tcBorders>
                  <w:noWrap w:val="0"/>
                  <w:vAlign w:val="center"/>
                </w:tcPr>
                <w:p w14:paraId="178074F5">
                  <w:pPr>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投资估算（万元）</w:t>
                  </w:r>
                </w:p>
              </w:tc>
            </w:tr>
            <w:tr w14:paraId="7F8A09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50" w:type="pct"/>
                  <w:tcBorders>
                    <w:tl2br w:val="nil"/>
                    <w:tr2bl w:val="nil"/>
                  </w:tcBorders>
                  <w:noWrap w:val="0"/>
                  <w:vAlign w:val="center"/>
                </w:tcPr>
                <w:p w14:paraId="179C8E10">
                  <w:pPr>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废水</w:t>
                  </w:r>
                </w:p>
              </w:tc>
              <w:tc>
                <w:tcPr>
                  <w:tcW w:w="1386" w:type="pct"/>
                  <w:tcBorders>
                    <w:tl2br w:val="nil"/>
                    <w:tr2bl w:val="nil"/>
                  </w:tcBorders>
                  <w:noWrap w:val="0"/>
                  <w:vAlign w:val="center"/>
                </w:tcPr>
                <w:p w14:paraId="55518105">
                  <w:pPr>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eastAsia="zh-CN"/>
                    </w:rPr>
                    <w:t>生活污水</w:t>
                  </w:r>
                  <w:r>
                    <w:rPr>
                      <w:rFonts w:hint="default" w:ascii="Times New Roman" w:hAnsi="Times New Roman" w:eastAsia="宋体" w:cs="Times New Roman"/>
                      <w:color w:val="auto"/>
                      <w:sz w:val="21"/>
                      <w:szCs w:val="21"/>
                      <w:u w:val="none" w:color="auto"/>
                    </w:rPr>
                    <w:t>、医疗废水</w:t>
                  </w:r>
                </w:p>
              </w:tc>
              <w:tc>
                <w:tcPr>
                  <w:tcW w:w="1912" w:type="pct"/>
                  <w:tcBorders>
                    <w:tl2br w:val="nil"/>
                    <w:tr2bl w:val="nil"/>
                  </w:tcBorders>
                  <w:noWrap w:val="0"/>
                  <w:vAlign w:val="center"/>
                </w:tcPr>
                <w:p w14:paraId="1789BC46">
                  <w:pPr>
                    <w:jc w:val="center"/>
                    <w:rPr>
                      <w:rFonts w:hint="default" w:ascii="Times New Roman" w:hAnsi="Times New Roman" w:eastAsia="宋体" w:cs="Times New Roman"/>
                      <w:color w:val="auto"/>
                      <w:sz w:val="21"/>
                      <w:szCs w:val="21"/>
                      <w:u w:val="none" w:color="auto"/>
                    </w:rPr>
                  </w:pPr>
                  <w:r>
                    <w:rPr>
                      <w:rFonts w:hint="eastAsia" w:cs="Times New Roman"/>
                      <w:color w:val="auto"/>
                      <w:sz w:val="21"/>
                      <w:szCs w:val="21"/>
                      <w:u w:val="none" w:color="auto"/>
                      <w:lang w:eastAsia="zh-CN"/>
                    </w:rPr>
                    <w:t>隔油池、</w:t>
                  </w:r>
                  <w:r>
                    <w:rPr>
                      <w:rFonts w:hint="default" w:ascii="Times New Roman" w:hAnsi="Times New Roman" w:eastAsia="宋体" w:cs="Times New Roman"/>
                      <w:color w:val="auto"/>
                      <w:sz w:val="21"/>
                      <w:szCs w:val="21"/>
                      <w:u w:val="none" w:color="auto"/>
                    </w:rPr>
                    <w:t>污水处理站</w:t>
                  </w:r>
                </w:p>
              </w:tc>
              <w:tc>
                <w:tcPr>
                  <w:tcW w:w="1250" w:type="pct"/>
                  <w:tcBorders>
                    <w:tl2br w:val="nil"/>
                    <w:tr2bl w:val="nil"/>
                  </w:tcBorders>
                  <w:noWrap w:val="0"/>
                  <w:vAlign w:val="center"/>
                </w:tcPr>
                <w:p w14:paraId="2BFB7D31">
                  <w:pPr>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200</w:t>
                  </w:r>
                </w:p>
              </w:tc>
            </w:tr>
            <w:tr w14:paraId="587262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50" w:type="pct"/>
                  <w:vMerge w:val="restart"/>
                  <w:tcBorders>
                    <w:tl2br w:val="nil"/>
                    <w:tr2bl w:val="nil"/>
                  </w:tcBorders>
                  <w:noWrap w:val="0"/>
                  <w:vAlign w:val="center"/>
                </w:tcPr>
                <w:p w14:paraId="6E415FD6">
                  <w:pPr>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废气</w:t>
                  </w:r>
                </w:p>
              </w:tc>
              <w:tc>
                <w:tcPr>
                  <w:tcW w:w="1386" w:type="pct"/>
                  <w:tcBorders>
                    <w:tl2br w:val="nil"/>
                    <w:tr2bl w:val="nil"/>
                  </w:tcBorders>
                  <w:noWrap w:val="0"/>
                  <w:vAlign w:val="center"/>
                </w:tcPr>
                <w:p w14:paraId="1FEC32D9">
                  <w:pPr>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食堂油烟</w:t>
                  </w:r>
                </w:p>
              </w:tc>
              <w:tc>
                <w:tcPr>
                  <w:tcW w:w="1912" w:type="pct"/>
                  <w:tcBorders>
                    <w:tl2br w:val="nil"/>
                    <w:tr2bl w:val="nil"/>
                  </w:tcBorders>
                  <w:noWrap w:val="0"/>
                  <w:vAlign w:val="center"/>
                </w:tcPr>
                <w:p w14:paraId="305AF4C8">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油烟净化器</w:t>
                  </w:r>
                </w:p>
              </w:tc>
              <w:tc>
                <w:tcPr>
                  <w:tcW w:w="1250" w:type="pct"/>
                  <w:tcBorders>
                    <w:tl2br w:val="nil"/>
                    <w:tr2bl w:val="nil"/>
                  </w:tcBorders>
                  <w:noWrap w:val="0"/>
                  <w:vAlign w:val="center"/>
                </w:tcPr>
                <w:p w14:paraId="7C3D1DED">
                  <w:pPr>
                    <w:jc w:val="center"/>
                    <w:rPr>
                      <w:rFonts w:hint="eastAsia" w:ascii="Times New Roman" w:hAnsi="Times New Roman" w:eastAsia="宋体" w:cs="Times New Roman"/>
                      <w:color w:val="auto"/>
                      <w:sz w:val="21"/>
                      <w:szCs w:val="21"/>
                      <w:u w:val="none" w:color="auto"/>
                    </w:rPr>
                  </w:pPr>
                  <w:r>
                    <w:rPr>
                      <w:rFonts w:hint="eastAsia" w:cs="Times New Roman"/>
                      <w:color w:val="auto"/>
                      <w:sz w:val="21"/>
                      <w:szCs w:val="21"/>
                      <w:u w:val="none" w:color="auto"/>
                      <w:lang w:val="en-US" w:eastAsia="zh-CN"/>
                    </w:rPr>
                    <w:t>5</w:t>
                  </w:r>
                </w:p>
              </w:tc>
            </w:tr>
            <w:tr w14:paraId="27BC3B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50" w:type="pct"/>
                  <w:vMerge w:val="continue"/>
                  <w:tcBorders>
                    <w:tl2br w:val="nil"/>
                    <w:tr2bl w:val="nil"/>
                  </w:tcBorders>
                  <w:noWrap w:val="0"/>
                  <w:vAlign w:val="center"/>
                </w:tcPr>
                <w:p w14:paraId="1006D803">
                  <w:pPr>
                    <w:jc w:val="center"/>
                    <w:rPr>
                      <w:rFonts w:hint="default" w:ascii="Times New Roman" w:hAnsi="Times New Roman" w:eastAsia="宋体" w:cs="Times New Roman"/>
                      <w:color w:val="auto"/>
                      <w:sz w:val="21"/>
                      <w:szCs w:val="21"/>
                      <w:u w:val="none" w:color="auto"/>
                    </w:rPr>
                  </w:pPr>
                </w:p>
              </w:tc>
              <w:tc>
                <w:tcPr>
                  <w:tcW w:w="1386" w:type="pct"/>
                  <w:tcBorders>
                    <w:tl2br w:val="nil"/>
                    <w:tr2bl w:val="nil"/>
                  </w:tcBorders>
                  <w:noWrap w:val="0"/>
                  <w:vAlign w:val="center"/>
                </w:tcPr>
                <w:p w14:paraId="1DEB6B8A">
                  <w:pPr>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汽车尾气</w:t>
                  </w:r>
                </w:p>
              </w:tc>
              <w:tc>
                <w:tcPr>
                  <w:tcW w:w="1912" w:type="pct"/>
                  <w:tcBorders>
                    <w:tl2br w:val="nil"/>
                    <w:tr2bl w:val="nil"/>
                  </w:tcBorders>
                  <w:noWrap w:val="0"/>
                  <w:vAlign w:val="center"/>
                </w:tcPr>
                <w:p w14:paraId="2EBE5D42">
                  <w:pPr>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加强院区通风、绿化吸收</w:t>
                  </w:r>
                </w:p>
              </w:tc>
              <w:tc>
                <w:tcPr>
                  <w:tcW w:w="1250" w:type="pct"/>
                  <w:tcBorders>
                    <w:tl2br w:val="nil"/>
                    <w:tr2bl w:val="nil"/>
                  </w:tcBorders>
                  <w:noWrap w:val="0"/>
                  <w:vAlign w:val="center"/>
                </w:tcPr>
                <w:p w14:paraId="1D05F69C">
                  <w:pPr>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w:t>
                  </w:r>
                </w:p>
              </w:tc>
            </w:tr>
            <w:tr w14:paraId="2F2E5B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50" w:type="pct"/>
                  <w:vMerge w:val="continue"/>
                  <w:tcBorders>
                    <w:tl2br w:val="nil"/>
                    <w:tr2bl w:val="nil"/>
                  </w:tcBorders>
                  <w:noWrap w:val="0"/>
                  <w:vAlign w:val="center"/>
                </w:tcPr>
                <w:p w14:paraId="3C439365">
                  <w:pPr>
                    <w:jc w:val="center"/>
                    <w:rPr>
                      <w:rFonts w:hint="default" w:ascii="Times New Roman" w:hAnsi="Times New Roman" w:eastAsia="宋体" w:cs="Times New Roman"/>
                      <w:color w:val="auto"/>
                      <w:sz w:val="21"/>
                      <w:szCs w:val="21"/>
                      <w:u w:val="none" w:color="auto"/>
                    </w:rPr>
                  </w:pPr>
                </w:p>
              </w:tc>
              <w:tc>
                <w:tcPr>
                  <w:tcW w:w="1386" w:type="pct"/>
                  <w:tcBorders>
                    <w:tl2br w:val="nil"/>
                    <w:tr2bl w:val="nil"/>
                  </w:tcBorders>
                  <w:noWrap w:val="0"/>
                  <w:vAlign w:val="center"/>
                </w:tcPr>
                <w:p w14:paraId="3C43D854">
                  <w:pPr>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污水处理站恶臭</w:t>
                  </w:r>
                </w:p>
              </w:tc>
              <w:tc>
                <w:tcPr>
                  <w:tcW w:w="1912" w:type="pct"/>
                  <w:tcBorders>
                    <w:tl2br w:val="nil"/>
                    <w:tr2bl w:val="nil"/>
                  </w:tcBorders>
                  <w:noWrap w:val="0"/>
                  <w:vAlign w:val="center"/>
                </w:tcPr>
                <w:p w14:paraId="0EE97F8C">
                  <w:pPr>
                    <w:jc w:val="center"/>
                    <w:rPr>
                      <w:rFonts w:hint="default" w:ascii="Times New Roman" w:hAnsi="Times New Roman" w:eastAsia="宋体" w:cs="Times New Roman"/>
                      <w:color w:val="auto"/>
                      <w:sz w:val="21"/>
                      <w:szCs w:val="21"/>
                      <w:u w:val="none" w:color="auto"/>
                    </w:rPr>
                  </w:pPr>
                  <w:r>
                    <w:rPr>
                      <w:rFonts w:hint="eastAsia" w:cs="Times New Roman"/>
                      <w:color w:val="auto"/>
                      <w:sz w:val="21"/>
                      <w:szCs w:val="21"/>
                      <w:u w:val="none" w:color="auto"/>
                      <w:lang w:eastAsia="zh-CN"/>
                    </w:rPr>
                    <w:t>池体</w:t>
                  </w:r>
                  <w:r>
                    <w:rPr>
                      <w:rFonts w:hint="default" w:ascii="Times New Roman" w:hAnsi="Times New Roman" w:eastAsia="宋体" w:cs="Times New Roman"/>
                      <w:color w:val="auto"/>
                      <w:sz w:val="21"/>
                      <w:szCs w:val="21"/>
                      <w:u w:val="none" w:color="auto"/>
                    </w:rPr>
                    <w:t>加盖加罩、加强院区通风、绿化吸收</w:t>
                  </w:r>
                </w:p>
              </w:tc>
              <w:tc>
                <w:tcPr>
                  <w:tcW w:w="1250" w:type="pct"/>
                  <w:tcBorders>
                    <w:tl2br w:val="nil"/>
                    <w:tr2bl w:val="nil"/>
                  </w:tcBorders>
                  <w:noWrap w:val="0"/>
                  <w:vAlign w:val="center"/>
                </w:tcPr>
                <w:p w14:paraId="2C25E529">
                  <w:pPr>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val="en-US" w:eastAsia="zh-CN"/>
                    </w:rPr>
                    <w:t>1</w:t>
                  </w:r>
                </w:p>
              </w:tc>
            </w:tr>
            <w:tr w14:paraId="29D81D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50" w:type="pct"/>
                  <w:tcBorders>
                    <w:tl2br w:val="nil"/>
                    <w:tr2bl w:val="nil"/>
                  </w:tcBorders>
                  <w:noWrap w:val="0"/>
                  <w:vAlign w:val="center"/>
                </w:tcPr>
                <w:p w14:paraId="446522B8">
                  <w:pPr>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噪声</w:t>
                  </w:r>
                </w:p>
              </w:tc>
              <w:tc>
                <w:tcPr>
                  <w:tcW w:w="1386" w:type="pct"/>
                  <w:tcBorders>
                    <w:tl2br w:val="nil"/>
                    <w:tr2bl w:val="nil"/>
                  </w:tcBorders>
                  <w:noWrap w:val="0"/>
                  <w:vAlign w:val="center"/>
                </w:tcPr>
                <w:p w14:paraId="3ADDE465">
                  <w:pPr>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设备噪声</w:t>
                  </w:r>
                </w:p>
              </w:tc>
              <w:tc>
                <w:tcPr>
                  <w:tcW w:w="1912" w:type="pct"/>
                  <w:tcBorders>
                    <w:tl2br w:val="nil"/>
                    <w:tr2bl w:val="nil"/>
                  </w:tcBorders>
                  <w:noWrap w:val="0"/>
                  <w:vAlign w:val="center"/>
                </w:tcPr>
                <w:p w14:paraId="1BF878A1">
                  <w:pPr>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优选低噪声设备、建筑隔声、</w:t>
                  </w:r>
                  <w:r>
                    <w:rPr>
                      <w:rFonts w:hint="eastAsia" w:ascii="Times New Roman" w:hAnsi="Times New Roman" w:eastAsia="宋体" w:cs="Times New Roman"/>
                      <w:color w:val="auto"/>
                      <w:sz w:val="21"/>
                      <w:szCs w:val="21"/>
                      <w:u w:val="none" w:color="auto"/>
                      <w:lang w:eastAsia="zh-CN"/>
                    </w:rPr>
                    <w:t>防震</w:t>
                  </w:r>
                  <w:r>
                    <w:rPr>
                      <w:rFonts w:hint="default" w:ascii="Times New Roman" w:hAnsi="Times New Roman" w:eastAsia="宋体" w:cs="Times New Roman"/>
                      <w:color w:val="auto"/>
                      <w:sz w:val="21"/>
                      <w:szCs w:val="21"/>
                      <w:u w:val="none" w:color="auto"/>
                    </w:rPr>
                    <w:t>、消声等措施</w:t>
                  </w:r>
                </w:p>
              </w:tc>
              <w:tc>
                <w:tcPr>
                  <w:tcW w:w="1250" w:type="pct"/>
                  <w:tcBorders>
                    <w:tl2br w:val="nil"/>
                    <w:tr2bl w:val="nil"/>
                  </w:tcBorders>
                  <w:noWrap w:val="0"/>
                  <w:vAlign w:val="center"/>
                </w:tcPr>
                <w:p w14:paraId="53D49D27">
                  <w:pPr>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8</w:t>
                  </w:r>
                </w:p>
              </w:tc>
            </w:tr>
            <w:tr w14:paraId="6009F6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50" w:type="pct"/>
                  <w:vMerge w:val="restart"/>
                  <w:tcBorders>
                    <w:tl2br w:val="nil"/>
                    <w:tr2bl w:val="nil"/>
                  </w:tcBorders>
                  <w:noWrap w:val="0"/>
                  <w:vAlign w:val="center"/>
                </w:tcPr>
                <w:p w14:paraId="3CA083A7">
                  <w:pPr>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固废</w:t>
                  </w:r>
                </w:p>
              </w:tc>
              <w:tc>
                <w:tcPr>
                  <w:tcW w:w="1386" w:type="pct"/>
                  <w:tcBorders>
                    <w:tl2br w:val="nil"/>
                    <w:tr2bl w:val="nil"/>
                  </w:tcBorders>
                  <w:noWrap w:val="0"/>
                  <w:vAlign w:val="center"/>
                </w:tcPr>
                <w:p w14:paraId="7592A08B">
                  <w:pPr>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一般固废</w:t>
                  </w:r>
                </w:p>
              </w:tc>
              <w:tc>
                <w:tcPr>
                  <w:tcW w:w="1912" w:type="pct"/>
                  <w:tcBorders>
                    <w:tl2br w:val="nil"/>
                    <w:tr2bl w:val="nil"/>
                  </w:tcBorders>
                  <w:noWrap w:val="0"/>
                  <w:vAlign w:val="center"/>
                </w:tcPr>
                <w:p w14:paraId="21AE7D8A">
                  <w:pPr>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垃圾收集桶</w:t>
                  </w:r>
                  <w:r>
                    <w:rPr>
                      <w:rFonts w:hint="eastAsia"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设置一般固废暂存间</w:t>
                  </w:r>
                </w:p>
              </w:tc>
              <w:tc>
                <w:tcPr>
                  <w:tcW w:w="1250" w:type="pct"/>
                  <w:tcBorders>
                    <w:tl2br w:val="nil"/>
                    <w:tr2bl w:val="nil"/>
                  </w:tcBorders>
                  <w:noWrap w:val="0"/>
                  <w:vAlign w:val="center"/>
                </w:tcPr>
                <w:p w14:paraId="509DC978">
                  <w:pPr>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w:t>
                  </w:r>
                </w:p>
              </w:tc>
            </w:tr>
            <w:tr w14:paraId="5A70C8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50" w:type="pct"/>
                  <w:vMerge w:val="continue"/>
                  <w:tcBorders>
                    <w:tl2br w:val="nil"/>
                    <w:tr2bl w:val="nil"/>
                  </w:tcBorders>
                  <w:noWrap w:val="0"/>
                  <w:vAlign w:val="center"/>
                </w:tcPr>
                <w:p w14:paraId="5FEDE7BE">
                  <w:pPr>
                    <w:jc w:val="center"/>
                    <w:rPr>
                      <w:rFonts w:hint="default" w:ascii="Times New Roman" w:hAnsi="Times New Roman" w:eastAsia="宋体" w:cs="Times New Roman"/>
                      <w:color w:val="auto"/>
                      <w:sz w:val="21"/>
                      <w:szCs w:val="21"/>
                      <w:u w:val="none" w:color="auto"/>
                    </w:rPr>
                  </w:pPr>
                </w:p>
              </w:tc>
              <w:tc>
                <w:tcPr>
                  <w:tcW w:w="1386" w:type="pct"/>
                  <w:tcBorders>
                    <w:tl2br w:val="nil"/>
                    <w:tr2bl w:val="nil"/>
                  </w:tcBorders>
                  <w:noWrap w:val="0"/>
                  <w:vAlign w:val="center"/>
                </w:tcPr>
                <w:p w14:paraId="5B94E67C">
                  <w:pPr>
                    <w:jc w:val="center"/>
                    <w:rPr>
                      <w:rFonts w:hint="eastAsia" w:ascii="Times New Roman" w:hAnsi="Times New Roman" w:eastAsia="宋体" w:cs="Times New Roman"/>
                      <w:color w:val="auto"/>
                      <w:sz w:val="21"/>
                      <w:szCs w:val="21"/>
                      <w:u w:val="none" w:color="auto"/>
                      <w:lang w:eastAsia="zh-CN"/>
                    </w:rPr>
                  </w:pPr>
                  <w:r>
                    <w:rPr>
                      <w:rFonts w:hint="eastAsia" w:cs="Times New Roman"/>
                      <w:color w:val="auto"/>
                      <w:sz w:val="21"/>
                      <w:szCs w:val="21"/>
                      <w:u w:val="none" w:color="auto"/>
                      <w:lang w:eastAsia="zh-CN"/>
                    </w:rPr>
                    <w:t>医疗废物</w:t>
                  </w:r>
                </w:p>
              </w:tc>
              <w:tc>
                <w:tcPr>
                  <w:tcW w:w="1912" w:type="pct"/>
                  <w:tcBorders>
                    <w:tl2br w:val="nil"/>
                    <w:tr2bl w:val="nil"/>
                  </w:tcBorders>
                  <w:noWrap w:val="0"/>
                  <w:vAlign w:val="center"/>
                </w:tcPr>
                <w:p w14:paraId="799CBCEF">
                  <w:pPr>
                    <w:jc w:val="center"/>
                    <w:rPr>
                      <w:rFonts w:hint="eastAsia"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rPr>
                    <w:t>设置</w:t>
                  </w:r>
                  <w:r>
                    <w:rPr>
                      <w:rFonts w:hint="eastAsia" w:cs="Times New Roman"/>
                      <w:color w:val="auto"/>
                      <w:sz w:val="21"/>
                      <w:szCs w:val="21"/>
                      <w:u w:val="none" w:color="auto"/>
                      <w:lang w:eastAsia="zh-CN"/>
                    </w:rPr>
                    <w:t>医疗废物暂存间</w:t>
                  </w:r>
                </w:p>
              </w:tc>
              <w:tc>
                <w:tcPr>
                  <w:tcW w:w="1250" w:type="pct"/>
                  <w:tcBorders>
                    <w:tl2br w:val="nil"/>
                    <w:tr2bl w:val="nil"/>
                  </w:tcBorders>
                  <w:noWrap w:val="0"/>
                  <w:vAlign w:val="center"/>
                </w:tcPr>
                <w:p w14:paraId="5A8ADE2E">
                  <w:pPr>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3</w:t>
                  </w:r>
                </w:p>
              </w:tc>
            </w:tr>
            <w:tr w14:paraId="1D5093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50" w:type="pct"/>
                  <w:tcBorders>
                    <w:tl2br w:val="nil"/>
                    <w:tr2bl w:val="nil"/>
                  </w:tcBorders>
                  <w:noWrap w:val="0"/>
                  <w:vAlign w:val="center"/>
                </w:tcPr>
                <w:p w14:paraId="1F1A27D8">
                  <w:pPr>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生态</w:t>
                  </w:r>
                </w:p>
              </w:tc>
              <w:tc>
                <w:tcPr>
                  <w:tcW w:w="1386" w:type="pct"/>
                  <w:tcBorders>
                    <w:tl2br w:val="nil"/>
                    <w:tr2bl w:val="nil"/>
                  </w:tcBorders>
                  <w:noWrap w:val="0"/>
                  <w:vAlign w:val="center"/>
                </w:tcPr>
                <w:p w14:paraId="3B721BAC">
                  <w:pPr>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c>
                <w:tcPr>
                  <w:tcW w:w="1912" w:type="pct"/>
                  <w:tcBorders>
                    <w:tl2br w:val="nil"/>
                    <w:tr2bl w:val="nil"/>
                  </w:tcBorders>
                  <w:noWrap w:val="0"/>
                  <w:vAlign w:val="center"/>
                </w:tcPr>
                <w:p w14:paraId="5D8743E9">
                  <w:pPr>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院区绿化率30%</w:t>
                  </w:r>
                </w:p>
              </w:tc>
              <w:tc>
                <w:tcPr>
                  <w:tcW w:w="1250" w:type="pct"/>
                  <w:tcBorders>
                    <w:tl2br w:val="nil"/>
                    <w:tr2bl w:val="nil"/>
                  </w:tcBorders>
                  <w:noWrap w:val="0"/>
                  <w:vAlign w:val="center"/>
                </w:tcPr>
                <w:p w14:paraId="6522AF08">
                  <w:pPr>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w:t>
                  </w:r>
                </w:p>
              </w:tc>
            </w:tr>
            <w:tr w14:paraId="64BA9D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50" w:type="pct"/>
                  <w:tcBorders>
                    <w:tl2br w:val="nil"/>
                    <w:tr2bl w:val="nil"/>
                  </w:tcBorders>
                  <w:noWrap w:val="0"/>
                  <w:vAlign w:val="center"/>
                </w:tcPr>
                <w:p w14:paraId="362048EF">
                  <w:pPr>
                    <w:jc w:val="center"/>
                    <w:rPr>
                      <w:rFonts w:hint="eastAsia" w:ascii="Times New Roman" w:hAnsi="Times New Roman" w:eastAsia="宋体" w:cs="Times New Roman"/>
                      <w:color w:val="auto"/>
                      <w:sz w:val="21"/>
                      <w:szCs w:val="21"/>
                      <w:u w:val="none" w:color="auto"/>
                      <w:lang w:eastAsia="zh-CN"/>
                    </w:rPr>
                  </w:pPr>
                  <w:r>
                    <w:rPr>
                      <w:rFonts w:hint="eastAsia" w:cs="Times New Roman"/>
                      <w:color w:val="auto"/>
                      <w:sz w:val="21"/>
                      <w:szCs w:val="21"/>
                      <w:u w:val="none" w:color="auto"/>
                      <w:lang w:eastAsia="zh-CN"/>
                    </w:rPr>
                    <w:t>环境风险</w:t>
                  </w:r>
                </w:p>
              </w:tc>
              <w:tc>
                <w:tcPr>
                  <w:tcW w:w="1386" w:type="pct"/>
                  <w:tcBorders>
                    <w:tl2br w:val="nil"/>
                    <w:tr2bl w:val="nil"/>
                  </w:tcBorders>
                  <w:noWrap w:val="0"/>
                  <w:vAlign w:val="center"/>
                </w:tcPr>
                <w:p w14:paraId="023B761D">
                  <w:pPr>
                    <w:jc w:val="center"/>
                    <w:rPr>
                      <w:rFonts w:hint="eastAsia" w:ascii="Times New Roman" w:hAnsi="Times New Roman" w:eastAsia="宋体" w:cs="Times New Roman"/>
                      <w:color w:val="auto"/>
                      <w:sz w:val="21"/>
                      <w:szCs w:val="21"/>
                      <w:u w:val="none" w:color="auto"/>
                      <w:lang w:eastAsia="zh-CN"/>
                    </w:rPr>
                  </w:pPr>
                  <w:r>
                    <w:rPr>
                      <w:rFonts w:hint="eastAsia" w:cs="Times New Roman"/>
                      <w:color w:val="auto"/>
                      <w:sz w:val="21"/>
                      <w:szCs w:val="21"/>
                      <w:u w:val="none" w:color="auto"/>
                      <w:lang w:eastAsia="zh-CN"/>
                    </w:rPr>
                    <w:t>污水站、危废间</w:t>
                  </w:r>
                </w:p>
              </w:tc>
              <w:tc>
                <w:tcPr>
                  <w:tcW w:w="1912" w:type="pct"/>
                  <w:tcBorders>
                    <w:tl2br w:val="nil"/>
                    <w:tr2bl w:val="nil"/>
                  </w:tcBorders>
                  <w:noWrap w:val="0"/>
                  <w:vAlign w:val="center"/>
                </w:tcPr>
                <w:p w14:paraId="02235601">
                  <w:pPr>
                    <w:jc w:val="center"/>
                    <w:rPr>
                      <w:rFonts w:hint="eastAsia" w:ascii="Times New Roman" w:hAnsi="Times New Roman" w:eastAsia="宋体" w:cs="Times New Roman"/>
                      <w:color w:val="auto"/>
                      <w:sz w:val="21"/>
                      <w:szCs w:val="21"/>
                      <w:u w:val="none" w:color="auto"/>
                      <w:lang w:eastAsia="zh-CN"/>
                    </w:rPr>
                  </w:pPr>
                  <w:r>
                    <w:rPr>
                      <w:rFonts w:hint="eastAsia" w:cs="Times New Roman"/>
                      <w:color w:val="auto"/>
                      <w:sz w:val="21"/>
                      <w:szCs w:val="21"/>
                      <w:u w:val="none" w:color="auto"/>
                      <w:lang w:eastAsia="zh-CN"/>
                    </w:rPr>
                    <w:t>防渗、应急池</w:t>
                  </w:r>
                </w:p>
              </w:tc>
              <w:tc>
                <w:tcPr>
                  <w:tcW w:w="1250" w:type="pct"/>
                  <w:tcBorders>
                    <w:tl2br w:val="nil"/>
                    <w:tr2bl w:val="nil"/>
                  </w:tcBorders>
                  <w:noWrap w:val="0"/>
                  <w:vAlign w:val="center"/>
                </w:tcPr>
                <w:p w14:paraId="445CA853">
                  <w:pPr>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41</w:t>
                  </w:r>
                </w:p>
              </w:tc>
            </w:tr>
            <w:tr w14:paraId="29D84E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49" w:type="pct"/>
                  <w:gridSpan w:val="3"/>
                  <w:tcBorders>
                    <w:tl2br w:val="nil"/>
                    <w:tr2bl w:val="nil"/>
                  </w:tcBorders>
                  <w:noWrap w:val="0"/>
                  <w:vAlign w:val="center"/>
                </w:tcPr>
                <w:p w14:paraId="3E652F9E">
                  <w:pPr>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总计</w:t>
                  </w:r>
                </w:p>
              </w:tc>
              <w:tc>
                <w:tcPr>
                  <w:tcW w:w="1250" w:type="pct"/>
                  <w:tcBorders>
                    <w:tl2br w:val="nil"/>
                    <w:tr2bl w:val="nil"/>
                  </w:tcBorders>
                  <w:noWrap w:val="0"/>
                  <w:vAlign w:val="center"/>
                </w:tcPr>
                <w:p w14:paraId="02DB1D95">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273</w:t>
                  </w:r>
                </w:p>
              </w:tc>
            </w:tr>
          </w:tbl>
          <w:p w14:paraId="4B563B0C">
            <w:pPr>
              <w:keepNext w:val="0"/>
              <w:keepLines w:val="0"/>
              <w:widowControl/>
              <w:suppressLineNumbers w:val="0"/>
              <w:spacing w:line="360" w:lineRule="auto"/>
              <w:ind w:firstLine="482" w:firstLineChars="200"/>
              <w:jc w:val="left"/>
              <w:rPr>
                <w:rFonts w:hint="default"/>
                <w:color w:val="auto"/>
                <w:sz w:val="24"/>
                <w:szCs w:val="24"/>
                <w:u w:val="none" w:color="auto"/>
                <w:lang w:val="en-US"/>
              </w:rPr>
            </w:pPr>
            <w:r>
              <w:rPr>
                <w:rFonts w:hint="eastAsia" w:cs="Times New Roman"/>
                <w:b/>
                <w:color w:val="auto"/>
                <w:kern w:val="0"/>
                <w:sz w:val="24"/>
                <w:szCs w:val="24"/>
                <w:u w:val="none" w:color="auto"/>
                <w:lang w:val="en-US" w:eastAsia="zh-CN" w:bidi="ar"/>
              </w:rPr>
              <w:t>4.10</w:t>
            </w:r>
            <w:r>
              <w:rPr>
                <w:rFonts w:hint="eastAsia" w:ascii="宋体" w:hAnsi="宋体" w:eastAsia="宋体" w:cs="宋体"/>
                <w:b/>
                <w:color w:val="auto"/>
                <w:kern w:val="0"/>
                <w:sz w:val="24"/>
                <w:szCs w:val="24"/>
                <w:u w:val="none" w:color="auto"/>
                <w:lang w:val="en-US" w:eastAsia="zh-CN" w:bidi="ar"/>
              </w:rPr>
              <w:t>环境管理</w:t>
            </w:r>
          </w:p>
          <w:p w14:paraId="11C8A4A6">
            <w:pPr>
              <w:keepNext/>
              <w:keepLines/>
              <w:spacing w:line="360" w:lineRule="auto"/>
              <w:ind w:firstLine="480" w:firstLineChars="200"/>
              <w:jc w:val="left"/>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 xml:space="preserve">（1）环境管理机构与职责 </w:t>
            </w:r>
          </w:p>
          <w:p w14:paraId="3918920A">
            <w:pPr>
              <w:keepNext/>
              <w:keepLines/>
              <w:spacing w:line="360" w:lineRule="auto"/>
              <w:ind w:firstLine="480" w:firstLineChars="200"/>
              <w:jc w:val="left"/>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 xml:space="preserve">企业应根据《建设项目环境保护设计规定》，在企业内部设置环境保护管理机构，负责组织、落实、监督本企业环境保护工作。 </w:t>
            </w:r>
          </w:p>
          <w:p w14:paraId="35D15CC0">
            <w:pPr>
              <w:keepNext/>
              <w:keepLines/>
              <w:spacing w:line="360" w:lineRule="auto"/>
              <w:ind w:firstLine="480" w:firstLineChars="200"/>
              <w:jc w:val="left"/>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本项目建设单位拟设置环境管理机构来开展企业环保工作，实行主要领导负责制，委托有资质环境监测部门定期对废水、废气、地下水、土壤、噪声等进行常规监测，利用监测数据定期汇报污染物排放与治理</w:t>
            </w:r>
            <w:r>
              <w:rPr>
                <w:rFonts w:hint="eastAsia" w:cs="Times New Roman"/>
                <w:bCs/>
                <w:color w:val="auto"/>
                <w:sz w:val="24"/>
                <w:u w:val="none" w:color="auto"/>
                <w:lang w:eastAsia="zh-CN"/>
              </w:rPr>
              <w:t>情况</w:t>
            </w:r>
            <w:r>
              <w:rPr>
                <w:rFonts w:hint="default" w:ascii="Times New Roman" w:hAnsi="Times New Roman" w:eastAsia="宋体" w:cs="Times New Roman"/>
                <w:bCs/>
                <w:color w:val="auto"/>
                <w:sz w:val="24"/>
                <w:u w:val="none" w:color="auto"/>
              </w:rPr>
              <w:t>，与当地生态环境主管部门通力协作，共同搞好厂区环保工作。根据国家、行业、省市环境保护主管部门的</w:t>
            </w:r>
            <w:r>
              <w:rPr>
                <w:rFonts w:hint="eastAsia" w:ascii="Times New Roman" w:hAnsi="Times New Roman" w:eastAsia="宋体" w:cs="Times New Roman"/>
                <w:bCs/>
                <w:color w:val="auto"/>
                <w:sz w:val="24"/>
                <w:u w:val="none" w:color="auto"/>
                <w:lang w:eastAsia="zh-CN"/>
              </w:rPr>
              <w:t>法律法规</w:t>
            </w:r>
            <w:r>
              <w:rPr>
                <w:rFonts w:hint="default" w:ascii="Times New Roman" w:hAnsi="Times New Roman" w:eastAsia="宋体" w:cs="Times New Roman"/>
                <w:bCs/>
                <w:color w:val="auto"/>
                <w:sz w:val="24"/>
                <w:u w:val="none" w:color="auto"/>
              </w:rPr>
              <w:t>和方针、政策要求，对项目的环境管理机构提出的主要职责是：</w:t>
            </w:r>
          </w:p>
          <w:p w14:paraId="794F572F">
            <w:pPr>
              <w:keepNext/>
              <w:keepLines/>
              <w:spacing w:line="360" w:lineRule="auto"/>
              <w:ind w:firstLine="480" w:firstLineChars="200"/>
              <w:jc w:val="left"/>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①贯彻执行国家和地方各项环保方针、政策和法规，制定全厂环境保护制度和细则，组织开展职工环保教育，提高职工的环保意识；</w:t>
            </w:r>
          </w:p>
          <w:p w14:paraId="535647A0">
            <w:pPr>
              <w:keepNext/>
              <w:keepLines/>
              <w:spacing w:line="360" w:lineRule="auto"/>
              <w:ind w:firstLine="480" w:firstLineChars="200"/>
              <w:jc w:val="left"/>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②完成上级部门交给及当地环保部门下达的有关环保任务，配合当地环保部门及环境监测部门的工作；</w:t>
            </w:r>
          </w:p>
          <w:p w14:paraId="02770467">
            <w:pPr>
              <w:keepNext/>
              <w:keepLines/>
              <w:spacing w:line="360" w:lineRule="auto"/>
              <w:ind w:firstLine="480" w:firstLineChars="200"/>
              <w:jc w:val="left"/>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③建立健全环境保护管理制度，做好有关环保工作的资料收集、整理、记录、建档、宣传等工作，定时编制并提交项目环境管理工作报告；进行全厂的环保及环境监测数据的统计、分析，并建立相应的环保资料档案。</w:t>
            </w:r>
          </w:p>
          <w:p w14:paraId="40814DE6">
            <w:pPr>
              <w:keepNext/>
              <w:keepLines/>
              <w:spacing w:line="360" w:lineRule="auto"/>
              <w:ind w:firstLine="480" w:firstLineChars="200"/>
              <w:jc w:val="left"/>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④制定并加强项目各污染治理设施操作规范和操作规程学习，建立各污染源监测制度，按主管环保部门的要求，定期对各污染源排放点进行监测，保证处理效果达到设计要求，各污染源达标排放；</w:t>
            </w:r>
          </w:p>
          <w:p w14:paraId="2002D267">
            <w:pPr>
              <w:keepNext/>
              <w:keepLines/>
              <w:spacing w:line="360" w:lineRule="auto"/>
              <w:ind w:firstLine="480" w:firstLineChars="200"/>
              <w:jc w:val="left"/>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⑤负责检查各污染治理设施运行情况，发现问题及时上报、及时处理；并负责调查出现环境问题的缘由，协助有关部门解决问题，处理好由环境问题带来的纠纷等。</w:t>
            </w:r>
          </w:p>
          <w:p w14:paraId="198D45EC">
            <w:pPr>
              <w:keepNext/>
              <w:keepLines/>
              <w:spacing w:line="360" w:lineRule="auto"/>
              <w:ind w:firstLine="480" w:firstLineChars="200"/>
              <w:jc w:val="left"/>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（2）环境管理工作要点</w:t>
            </w:r>
          </w:p>
          <w:p w14:paraId="2612F7B6">
            <w:pPr>
              <w:keepNext/>
              <w:keepLines/>
              <w:spacing w:line="360" w:lineRule="auto"/>
              <w:ind w:firstLine="480" w:firstLineChars="200"/>
              <w:jc w:val="left"/>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本项目的环境管理工作应做到以下几点：</w:t>
            </w:r>
          </w:p>
          <w:p w14:paraId="08475258">
            <w:pPr>
              <w:keepNext/>
              <w:keepLines/>
              <w:spacing w:line="360" w:lineRule="auto"/>
              <w:ind w:firstLine="480" w:firstLineChars="200"/>
              <w:jc w:val="left"/>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①宣传、贯彻和执行环境保护政策、法律法规及环境保护标准。</w:t>
            </w:r>
          </w:p>
          <w:p w14:paraId="5E42A969">
            <w:pPr>
              <w:keepNext/>
              <w:keepLines/>
              <w:spacing w:line="360" w:lineRule="auto"/>
              <w:ind w:firstLine="480" w:firstLineChars="200"/>
              <w:jc w:val="left"/>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 xml:space="preserve">②建立健全环境保护与劳动安全管理制度，监督工程运行期环保措施的有效实施。 </w:t>
            </w:r>
          </w:p>
          <w:p w14:paraId="7FB1EF5F">
            <w:pPr>
              <w:keepNext/>
              <w:keepLines/>
              <w:spacing w:line="360" w:lineRule="auto"/>
              <w:ind w:firstLine="480" w:firstLineChars="200"/>
              <w:jc w:val="left"/>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 xml:space="preserve">③编制并组织实施环境保护规划和计划，负责日常环境保护的管理工作。 </w:t>
            </w:r>
          </w:p>
          <w:p w14:paraId="7DA4BDB9">
            <w:pPr>
              <w:keepNext/>
              <w:keepLines/>
              <w:spacing w:line="360" w:lineRule="auto"/>
              <w:ind w:firstLine="480" w:firstLineChars="200"/>
              <w:jc w:val="left"/>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④开展环境保护科研、宣传、教育、培训等专业知识普及工作。</w:t>
            </w:r>
          </w:p>
          <w:p w14:paraId="76D124C6">
            <w:pPr>
              <w:keepNext/>
              <w:keepLines/>
              <w:spacing w:line="360" w:lineRule="auto"/>
              <w:ind w:firstLine="480" w:firstLineChars="200"/>
              <w:jc w:val="left"/>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⑤建立监测台帐和档案，对厂内各类固体废物，尤其是危险废物，应做好环境统计，使企业领导、上级部门及时掌握污染治理动态。</w:t>
            </w:r>
          </w:p>
          <w:p w14:paraId="376FD937">
            <w:pPr>
              <w:keepNext/>
              <w:keepLines/>
              <w:spacing w:line="360" w:lineRule="auto"/>
              <w:ind w:firstLine="480" w:firstLineChars="200"/>
              <w:jc w:val="left"/>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⑥制定污染治理设备设施操作规程的检查、维修计划，检查、记录污染治理设施运行及检修情况，确保治理设施常年正常、安全运行。</w:t>
            </w:r>
          </w:p>
          <w:p w14:paraId="6D628223">
            <w:pPr>
              <w:keepNext/>
              <w:keepLines/>
              <w:spacing w:line="360" w:lineRule="auto"/>
              <w:ind w:firstLine="480" w:firstLineChars="200"/>
              <w:jc w:val="left"/>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⑦制定污染物排放指标，定时考核和统计，确保全厂污染物排放达到国家排放标准和总量控制指标。</w:t>
            </w:r>
          </w:p>
          <w:p w14:paraId="5B2B20FE">
            <w:pPr>
              <w:keepNext/>
              <w:keepLines/>
              <w:spacing w:line="360" w:lineRule="auto"/>
              <w:ind w:firstLine="480" w:firstLineChars="200"/>
              <w:jc w:val="left"/>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⑧为保证工程环保设施的正常运转，减少或防范污染事故，制定各项管理操作规范，并定期检查操作人员的操作技能，在实际工作中检验各项操作规范的可行性。</w:t>
            </w:r>
          </w:p>
          <w:p w14:paraId="2C8D0487">
            <w:pPr>
              <w:keepNext/>
              <w:keepLines/>
              <w:spacing w:line="360" w:lineRule="auto"/>
              <w:ind w:firstLine="480" w:firstLineChars="200"/>
              <w:jc w:val="left"/>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 xml:space="preserve">（3）健全环境管理制度 </w:t>
            </w:r>
          </w:p>
          <w:p w14:paraId="4F3FD3AA">
            <w:pPr>
              <w:keepNext/>
              <w:keepLines/>
              <w:spacing w:line="360" w:lineRule="auto"/>
              <w:ind w:firstLine="480" w:firstLineChars="200"/>
              <w:jc w:val="left"/>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建立完善的环境管理体系，健全内部环境管理制度，加强日常环境管理工作，对整个生产过程实施全程环境管理，每天做好运行记录并归档，杜绝生产过程中环境污染事故的发生，保护环境。</w:t>
            </w:r>
          </w:p>
          <w:p w14:paraId="5CA75953">
            <w:pPr>
              <w:keepNext/>
              <w:keepLines/>
              <w:spacing w:line="360" w:lineRule="auto"/>
              <w:ind w:firstLine="480" w:firstLineChars="200"/>
              <w:jc w:val="left"/>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加强建设项目的环境管理，根据本报告提出的污染防治措施和对策，制定出切实可行的环境污染防治方法和措施：做好环境教育和宣传工作，</w:t>
            </w:r>
            <w:r>
              <w:rPr>
                <w:rFonts w:hint="eastAsia" w:cs="Times New Roman"/>
                <w:bCs/>
                <w:color w:val="auto"/>
                <w:sz w:val="24"/>
                <w:u w:val="none" w:color="auto"/>
                <w:lang w:eastAsia="zh-CN"/>
              </w:rPr>
              <w:t>提高</w:t>
            </w:r>
            <w:r>
              <w:rPr>
                <w:rFonts w:hint="default" w:ascii="Times New Roman" w:hAnsi="Times New Roman" w:eastAsia="宋体" w:cs="Times New Roman"/>
                <w:bCs/>
                <w:color w:val="auto"/>
                <w:sz w:val="24"/>
                <w:u w:val="none" w:color="auto"/>
              </w:rPr>
              <w:t xml:space="preserve">各级管理人员和操作人员的环境保护意识，加强员工对环境污染防治的责任心，自觉遵守和执行各项环境保护的规章制度：定期对环境保护设施进行维护和保养，并做好保养日期及内容等相关记录，确保环境保护设施的正常运行，防止污染事故的发生：加强与环境保护管理部门的沟通和联系，主动接受环境主管部门的管理、监督和指导。 </w:t>
            </w:r>
          </w:p>
          <w:p w14:paraId="727665A4">
            <w:pPr>
              <w:keepNext/>
              <w:keepLines/>
              <w:spacing w:line="360" w:lineRule="auto"/>
              <w:ind w:firstLine="480" w:firstLineChars="200"/>
              <w:jc w:val="left"/>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 xml:space="preserve">（4）排污口规范化管理 </w:t>
            </w:r>
          </w:p>
          <w:p w14:paraId="60930614">
            <w:pPr>
              <w:keepNext/>
              <w:keepLines/>
              <w:spacing w:line="360" w:lineRule="auto"/>
              <w:ind w:firstLine="480" w:firstLineChars="200"/>
              <w:jc w:val="left"/>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排污口是企业污染物进入受纳环境的通道，做好排污口管理是实施污染物总量控制和达标排放的基础工作之一，必须实行规范化管理。</w:t>
            </w:r>
          </w:p>
          <w:p w14:paraId="5B0822B6">
            <w:pPr>
              <w:keepNext/>
              <w:keepLines/>
              <w:spacing w:line="360" w:lineRule="auto"/>
              <w:ind w:firstLine="480" w:firstLineChars="200"/>
              <w:jc w:val="left"/>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根据《环境保护图形标志—排放口（源）》和《排污口设置及规范化整治管理办法》的技术要求，企业所有排放口（包括水、气、声、渣）必须按照“便于采样、便于计量检测、便于日常监督检查”的原则来规范化要求，设置与之相适应的环境保护图形标志牌和企业排污口分布图，同时对污水排放口安装流量计，对污染物治理设施安装运行监控装置、排污口的规范化要符合当地环保部门的有关要求。</w:t>
            </w:r>
          </w:p>
          <w:p w14:paraId="6172AA34">
            <w:pPr>
              <w:keepNext/>
              <w:keepLines/>
              <w:spacing w:line="360" w:lineRule="auto"/>
              <w:ind w:firstLine="480" w:firstLineChars="200"/>
              <w:jc w:val="left"/>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排污口的技术要求</w:t>
            </w:r>
          </w:p>
          <w:p w14:paraId="775F6077">
            <w:pPr>
              <w:keepNext/>
              <w:keepLines/>
              <w:spacing w:line="360" w:lineRule="auto"/>
              <w:ind w:firstLine="480" w:firstLineChars="200"/>
              <w:jc w:val="left"/>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1、排污口的位置必须合理确定，进行规范化管理；</w:t>
            </w:r>
          </w:p>
          <w:p w14:paraId="7763421C">
            <w:pPr>
              <w:keepNext/>
              <w:keepLines/>
              <w:spacing w:line="360" w:lineRule="auto"/>
              <w:ind w:firstLine="480" w:firstLineChars="200"/>
              <w:jc w:val="left"/>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2、污水排放的采样点按《污染源监测技术规范设置》设置于</w:t>
            </w:r>
            <w:r>
              <w:rPr>
                <w:rFonts w:hint="eastAsia" w:cs="Times New Roman"/>
                <w:bCs/>
                <w:color w:val="auto"/>
                <w:sz w:val="24"/>
                <w:u w:val="none" w:color="auto"/>
                <w:lang w:val="en-US" w:eastAsia="zh-CN"/>
              </w:rPr>
              <w:t>院区</w:t>
            </w:r>
            <w:r>
              <w:rPr>
                <w:rFonts w:hint="default" w:ascii="Times New Roman" w:hAnsi="Times New Roman" w:eastAsia="宋体" w:cs="Times New Roman"/>
                <w:bCs/>
                <w:color w:val="auto"/>
                <w:sz w:val="24"/>
                <w:u w:val="none" w:color="auto"/>
              </w:rPr>
              <w:t>的总排放口；</w:t>
            </w:r>
          </w:p>
          <w:p w14:paraId="48A38231">
            <w:pPr>
              <w:keepNext/>
              <w:keepLines/>
              <w:spacing w:line="360" w:lineRule="auto"/>
              <w:ind w:firstLine="480" w:firstLineChars="200"/>
              <w:jc w:val="left"/>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3、污水排放口安装测流装置；</w:t>
            </w:r>
          </w:p>
          <w:p w14:paraId="40B48D75">
            <w:pPr>
              <w:keepNext/>
              <w:keepLines/>
              <w:spacing w:line="360" w:lineRule="auto"/>
              <w:ind w:firstLine="480" w:firstLineChars="200"/>
              <w:jc w:val="left"/>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 xml:space="preserve">排污口立标和建档 </w:t>
            </w:r>
          </w:p>
          <w:p w14:paraId="63155797">
            <w:pPr>
              <w:keepNext/>
              <w:keepLines/>
              <w:spacing w:line="360" w:lineRule="auto"/>
              <w:ind w:firstLine="480" w:firstLineChars="200"/>
              <w:jc w:val="left"/>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1、排污口立标管理</w:t>
            </w:r>
          </w:p>
          <w:p w14:paraId="0B8B59DB">
            <w:pPr>
              <w:keepNext/>
              <w:keepLines/>
              <w:spacing w:line="360" w:lineRule="auto"/>
              <w:ind w:firstLine="480" w:firstLineChars="200"/>
              <w:jc w:val="left"/>
              <w:rPr>
                <w:rFonts w:hint="default" w:ascii="Times New Roman" w:hAnsi="Times New Roman" w:eastAsia="宋体" w:cs="Times New Roman"/>
                <w:bCs/>
                <w:color w:val="auto"/>
                <w:sz w:val="24"/>
                <w:u w:val="none" w:color="auto"/>
                <w:lang w:val="en-US" w:eastAsia="zh-CN"/>
              </w:rPr>
            </w:pPr>
            <w:r>
              <w:rPr>
                <w:rFonts w:hint="default" w:ascii="Times New Roman" w:hAnsi="Times New Roman" w:eastAsia="宋体" w:cs="Times New Roman"/>
                <w:bCs/>
                <w:color w:val="auto"/>
                <w:sz w:val="24"/>
                <w:u w:val="none" w:color="auto"/>
              </w:rPr>
              <w:t>废气排放口、水污染物排放口和固体废物堆场应按《环境保护图形标志－排污口（源）》（GBl5562.1-1995）规定，设置统一制作的环境保护图形标志牌，污染物排放口设置提示性环境保护图形标志牌</w:t>
            </w:r>
            <w:r>
              <w:rPr>
                <w:rFonts w:hint="eastAsia" w:ascii="Times New Roman" w:hAnsi="Times New Roman" w:eastAsia="宋体" w:cs="Times New Roman"/>
                <w:bCs/>
                <w:color w:val="auto"/>
                <w:sz w:val="24"/>
                <w:u w:val="none" w:color="auto"/>
                <w:lang w:eastAsia="zh-CN"/>
              </w:rPr>
              <w:t>；</w:t>
            </w:r>
            <w:r>
              <w:rPr>
                <w:rFonts w:hint="eastAsia" w:ascii="Times New Roman" w:hAnsi="Times New Roman" w:eastAsia="宋体" w:cs="Times New Roman"/>
                <w:bCs/>
                <w:color w:val="auto"/>
                <w:sz w:val="24"/>
                <w:u w:val="none" w:color="auto"/>
                <w:lang w:val="en-US" w:eastAsia="zh-CN"/>
              </w:rPr>
              <w:t>医疗废物贮存场所应按《医疗废物专用包装袋、容器和警示标志标准》（HJ421-2008）规定，统一设置标识标牌。</w:t>
            </w:r>
          </w:p>
          <w:p w14:paraId="40713C5F">
            <w:pPr>
              <w:keepNext w:val="0"/>
              <w:keepLines w:val="0"/>
              <w:widowControl/>
              <w:suppressLineNumbers w:val="0"/>
              <w:spacing w:line="240" w:lineRule="auto"/>
              <w:jc w:val="center"/>
              <w:rPr>
                <w:rFonts w:hint="default" w:ascii="宋体" w:hAnsi="宋体" w:eastAsia="宋体" w:cs="宋体"/>
                <w:b/>
                <w:color w:val="auto"/>
                <w:kern w:val="0"/>
                <w:sz w:val="21"/>
                <w:szCs w:val="21"/>
                <w:u w:val="none" w:color="auto"/>
                <w:lang w:val="en-US" w:eastAsia="zh-CN" w:bidi="ar"/>
              </w:rPr>
            </w:pPr>
            <w:r>
              <w:rPr>
                <w:rFonts w:hint="default" w:ascii="宋体" w:hAnsi="宋体" w:eastAsia="宋体" w:cs="宋体"/>
                <w:b/>
                <w:color w:val="auto"/>
                <w:kern w:val="0"/>
                <w:sz w:val="21"/>
                <w:szCs w:val="21"/>
                <w:u w:val="none" w:color="auto"/>
                <w:lang w:val="en-US" w:eastAsia="zh-CN" w:bidi="ar"/>
              </w:rPr>
              <w:t>表</w:t>
            </w:r>
            <w:r>
              <w:rPr>
                <w:rFonts w:hint="eastAsia" w:ascii="宋体" w:hAnsi="宋体" w:eastAsia="宋体" w:cs="宋体"/>
                <w:b/>
                <w:color w:val="auto"/>
                <w:kern w:val="0"/>
                <w:sz w:val="21"/>
                <w:szCs w:val="21"/>
                <w:u w:val="none" w:color="auto"/>
                <w:lang w:val="en-US" w:eastAsia="zh-CN" w:bidi="ar"/>
              </w:rPr>
              <w:t>4-</w:t>
            </w:r>
            <w:r>
              <w:rPr>
                <w:rFonts w:hint="eastAsia" w:ascii="宋体" w:hAnsi="宋体" w:cs="宋体"/>
                <w:b/>
                <w:color w:val="auto"/>
                <w:kern w:val="0"/>
                <w:sz w:val="21"/>
                <w:szCs w:val="21"/>
                <w:u w:val="none" w:color="auto"/>
                <w:lang w:val="en-US" w:eastAsia="zh-CN" w:bidi="ar"/>
              </w:rPr>
              <w:t>20</w:t>
            </w:r>
            <w:r>
              <w:rPr>
                <w:rFonts w:hint="eastAsia" w:ascii="宋体" w:hAnsi="宋体" w:eastAsia="宋体" w:cs="宋体"/>
                <w:b/>
                <w:color w:val="auto"/>
                <w:kern w:val="0"/>
                <w:sz w:val="21"/>
                <w:szCs w:val="21"/>
                <w:u w:val="none" w:color="auto"/>
                <w:lang w:val="en-US" w:eastAsia="zh-CN" w:bidi="ar"/>
              </w:rPr>
              <w:t xml:space="preserve"> </w:t>
            </w:r>
            <w:r>
              <w:rPr>
                <w:rFonts w:hint="default" w:ascii="宋体" w:hAnsi="宋体" w:eastAsia="宋体" w:cs="宋体"/>
                <w:b/>
                <w:color w:val="auto"/>
                <w:kern w:val="0"/>
                <w:sz w:val="21"/>
                <w:szCs w:val="21"/>
                <w:u w:val="none" w:color="auto"/>
                <w:lang w:val="en-US" w:eastAsia="zh-CN" w:bidi="ar"/>
              </w:rPr>
              <w:t>环境保护图形符号一览表</w:t>
            </w:r>
          </w:p>
          <w:tbl>
            <w:tblPr>
              <w:tblStyle w:val="34"/>
              <w:tblW w:w="827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6"/>
              <w:gridCol w:w="2126"/>
              <w:gridCol w:w="2145"/>
              <w:gridCol w:w="1245"/>
              <w:gridCol w:w="2106"/>
            </w:tblGrid>
            <w:tr w14:paraId="41EDF9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656" w:type="dxa"/>
                  <w:tcBorders>
                    <w:top w:val="single" w:color="auto" w:sz="12" w:space="0"/>
                    <w:left w:val="single" w:color="auto" w:sz="12" w:space="0"/>
                    <w:bottom w:val="single" w:color="auto" w:sz="6" w:space="0"/>
                    <w:right w:val="single" w:color="auto" w:sz="6" w:space="0"/>
                    <w:tl2br w:val="nil"/>
                    <w:tr2bl w:val="nil"/>
                  </w:tcBorders>
                  <w:noWrap w:val="0"/>
                  <w:vAlign w:val="center"/>
                </w:tcPr>
                <w:p w14:paraId="6F4840AE">
                  <w:pPr>
                    <w:pStyle w:val="80"/>
                    <w:rPr>
                      <w:rFonts w:hint="default" w:ascii="Times New Roman"/>
                      <w:color w:val="auto"/>
                      <w:sz w:val="21"/>
                      <w:szCs w:val="24"/>
                      <w:u w:val="none" w:color="auto"/>
                    </w:rPr>
                  </w:pPr>
                  <w:r>
                    <w:rPr>
                      <w:rFonts w:hint="default"/>
                      <w:color w:val="auto"/>
                      <w:sz w:val="21"/>
                      <w:szCs w:val="24"/>
                      <w:u w:val="none" w:color="auto"/>
                    </w:rPr>
                    <w:t>序号</w:t>
                  </w:r>
                </w:p>
              </w:tc>
              <w:tc>
                <w:tcPr>
                  <w:tcW w:w="2126" w:type="dxa"/>
                  <w:tcBorders>
                    <w:top w:val="single" w:color="auto" w:sz="12" w:space="0"/>
                    <w:left w:val="single" w:color="auto" w:sz="6" w:space="0"/>
                    <w:bottom w:val="single" w:color="auto" w:sz="6" w:space="0"/>
                    <w:right w:val="single" w:color="auto" w:sz="6" w:space="0"/>
                    <w:tl2br w:val="nil"/>
                    <w:tr2bl w:val="nil"/>
                  </w:tcBorders>
                  <w:noWrap w:val="0"/>
                  <w:vAlign w:val="center"/>
                </w:tcPr>
                <w:p w14:paraId="2931DC3C">
                  <w:pPr>
                    <w:pStyle w:val="80"/>
                    <w:rPr>
                      <w:rFonts w:hint="default" w:ascii="Times New Roman"/>
                      <w:color w:val="auto"/>
                      <w:sz w:val="21"/>
                      <w:szCs w:val="24"/>
                      <w:u w:val="none" w:color="auto"/>
                    </w:rPr>
                  </w:pPr>
                  <w:r>
                    <w:rPr>
                      <w:rFonts w:hint="default"/>
                      <w:color w:val="auto"/>
                      <w:sz w:val="21"/>
                      <w:szCs w:val="24"/>
                      <w:u w:val="none" w:color="auto"/>
                    </w:rPr>
                    <w:t>提示图形符号</w:t>
                  </w:r>
                </w:p>
              </w:tc>
              <w:tc>
                <w:tcPr>
                  <w:tcW w:w="2145" w:type="dxa"/>
                  <w:tcBorders>
                    <w:top w:val="single" w:color="auto" w:sz="12" w:space="0"/>
                    <w:left w:val="single" w:color="auto" w:sz="6" w:space="0"/>
                    <w:bottom w:val="single" w:color="auto" w:sz="6" w:space="0"/>
                    <w:right w:val="single" w:color="auto" w:sz="6" w:space="0"/>
                    <w:tl2br w:val="nil"/>
                    <w:tr2bl w:val="nil"/>
                  </w:tcBorders>
                  <w:noWrap w:val="0"/>
                  <w:vAlign w:val="center"/>
                </w:tcPr>
                <w:p w14:paraId="6DAF281F">
                  <w:pPr>
                    <w:pStyle w:val="80"/>
                    <w:rPr>
                      <w:rFonts w:hint="default" w:ascii="Times New Roman"/>
                      <w:color w:val="auto"/>
                      <w:sz w:val="21"/>
                      <w:szCs w:val="24"/>
                      <w:u w:val="none" w:color="auto"/>
                    </w:rPr>
                  </w:pPr>
                  <w:r>
                    <w:rPr>
                      <w:rFonts w:hint="default"/>
                      <w:color w:val="auto"/>
                      <w:sz w:val="21"/>
                      <w:szCs w:val="24"/>
                      <w:u w:val="none" w:color="auto"/>
                    </w:rPr>
                    <w:t>警告图形符号</w:t>
                  </w:r>
                </w:p>
              </w:tc>
              <w:tc>
                <w:tcPr>
                  <w:tcW w:w="1245" w:type="dxa"/>
                  <w:tcBorders>
                    <w:top w:val="single" w:color="auto" w:sz="12" w:space="0"/>
                    <w:left w:val="single" w:color="auto" w:sz="6" w:space="0"/>
                    <w:bottom w:val="single" w:color="auto" w:sz="6" w:space="0"/>
                    <w:right w:val="single" w:color="auto" w:sz="6" w:space="0"/>
                    <w:tl2br w:val="nil"/>
                    <w:tr2bl w:val="nil"/>
                  </w:tcBorders>
                  <w:noWrap w:val="0"/>
                  <w:vAlign w:val="center"/>
                </w:tcPr>
                <w:p w14:paraId="58843692">
                  <w:pPr>
                    <w:pStyle w:val="80"/>
                    <w:rPr>
                      <w:rFonts w:hint="default" w:ascii="Times New Roman"/>
                      <w:color w:val="auto"/>
                      <w:sz w:val="21"/>
                      <w:szCs w:val="24"/>
                      <w:u w:val="none" w:color="auto"/>
                    </w:rPr>
                  </w:pPr>
                  <w:r>
                    <w:rPr>
                      <w:rFonts w:hint="default"/>
                      <w:color w:val="auto"/>
                      <w:sz w:val="21"/>
                      <w:szCs w:val="24"/>
                      <w:u w:val="none" w:color="auto"/>
                    </w:rPr>
                    <w:t>名称</w:t>
                  </w:r>
                </w:p>
              </w:tc>
              <w:tc>
                <w:tcPr>
                  <w:tcW w:w="2106" w:type="dxa"/>
                  <w:tcBorders>
                    <w:top w:val="single" w:color="auto" w:sz="12" w:space="0"/>
                    <w:left w:val="single" w:color="auto" w:sz="6" w:space="0"/>
                    <w:bottom w:val="single" w:color="auto" w:sz="6" w:space="0"/>
                    <w:right w:val="single" w:color="auto" w:sz="12" w:space="0"/>
                    <w:tl2br w:val="nil"/>
                    <w:tr2bl w:val="nil"/>
                  </w:tcBorders>
                  <w:noWrap w:val="0"/>
                  <w:vAlign w:val="center"/>
                </w:tcPr>
                <w:p w14:paraId="7947EF53">
                  <w:pPr>
                    <w:pStyle w:val="80"/>
                    <w:rPr>
                      <w:rFonts w:hint="default" w:ascii="Times New Roman"/>
                      <w:color w:val="auto"/>
                      <w:sz w:val="21"/>
                      <w:szCs w:val="24"/>
                      <w:u w:val="none" w:color="auto"/>
                    </w:rPr>
                  </w:pPr>
                  <w:r>
                    <w:rPr>
                      <w:rFonts w:hint="default"/>
                      <w:color w:val="auto"/>
                      <w:sz w:val="21"/>
                      <w:szCs w:val="24"/>
                      <w:u w:val="none" w:color="auto"/>
                    </w:rPr>
                    <w:t>功能</w:t>
                  </w:r>
                </w:p>
              </w:tc>
            </w:tr>
            <w:tr w14:paraId="28B8DA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62" w:hRule="atLeast"/>
                <w:jc w:val="center"/>
              </w:trPr>
              <w:tc>
                <w:tcPr>
                  <w:tcW w:w="656" w:type="dxa"/>
                  <w:tcBorders>
                    <w:top w:val="single" w:color="auto" w:sz="6" w:space="0"/>
                    <w:left w:val="single" w:color="auto" w:sz="12" w:space="0"/>
                    <w:bottom w:val="single" w:color="auto" w:sz="6" w:space="0"/>
                    <w:right w:val="single" w:color="auto" w:sz="6" w:space="0"/>
                    <w:tl2br w:val="nil"/>
                    <w:tr2bl w:val="nil"/>
                  </w:tcBorders>
                  <w:noWrap w:val="0"/>
                  <w:vAlign w:val="center"/>
                </w:tcPr>
                <w:p w14:paraId="3223A450">
                  <w:pPr>
                    <w:pStyle w:val="80"/>
                    <w:rPr>
                      <w:rFonts w:hint="default" w:ascii="Times New Roman"/>
                      <w:color w:val="auto"/>
                      <w:sz w:val="21"/>
                      <w:szCs w:val="24"/>
                      <w:u w:val="none" w:color="auto"/>
                    </w:rPr>
                  </w:pPr>
                  <w:r>
                    <w:rPr>
                      <w:rFonts w:hint="default" w:ascii="Times New Roman"/>
                      <w:color w:val="auto"/>
                      <w:sz w:val="21"/>
                      <w:szCs w:val="24"/>
                      <w:u w:val="none" w:color="auto"/>
                    </w:rPr>
                    <w:t>1</w:t>
                  </w:r>
                </w:p>
              </w:tc>
              <w:tc>
                <w:tcPr>
                  <w:tcW w:w="2126"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D2AD008">
                  <w:pPr>
                    <w:pStyle w:val="80"/>
                    <w:rPr>
                      <w:rFonts w:hint="default" w:ascii="Times New Roman"/>
                      <w:color w:val="auto"/>
                      <w:sz w:val="21"/>
                      <w:szCs w:val="24"/>
                      <w:u w:val="none" w:color="auto"/>
                    </w:rPr>
                  </w:pPr>
                  <w:r>
                    <w:rPr>
                      <w:rFonts w:hint="default" w:ascii="Times New Roman"/>
                      <w:color w:val="auto"/>
                      <w:sz w:val="21"/>
                      <w:szCs w:val="24"/>
                      <w:u w:val="none" w:color="auto"/>
                    </w:rPr>
                    <w:drawing>
                      <wp:inline distT="0" distB="0" distL="114300" distR="114300">
                        <wp:extent cx="885190" cy="904240"/>
                        <wp:effectExtent l="0" t="0" r="10160" b="1016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5"/>
                                <a:stretch>
                                  <a:fillRect/>
                                </a:stretch>
                              </pic:blipFill>
                              <pic:spPr>
                                <a:xfrm>
                                  <a:off x="0" y="0"/>
                                  <a:ext cx="885190" cy="904240"/>
                                </a:xfrm>
                                <a:prstGeom prst="rect">
                                  <a:avLst/>
                                </a:prstGeom>
                                <a:noFill/>
                                <a:ln>
                                  <a:noFill/>
                                </a:ln>
                              </pic:spPr>
                            </pic:pic>
                          </a:graphicData>
                        </a:graphic>
                      </wp:inline>
                    </w:drawing>
                  </w:r>
                </w:p>
              </w:tc>
              <w:tc>
                <w:tcPr>
                  <w:tcW w:w="21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932A0FF">
                  <w:pPr>
                    <w:pStyle w:val="80"/>
                    <w:rPr>
                      <w:rFonts w:hint="default" w:ascii="Times New Roman"/>
                      <w:color w:val="auto"/>
                      <w:sz w:val="21"/>
                      <w:szCs w:val="24"/>
                      <w:u w:val="none" w:color="auto"/>
                    </w:rPr>
                  </w:pPr>
                  <w:r>
                    <w:rPr>
                      <w:rFonts w:hint="default" w:ascii="Times New Roman"/>
                      <w:color w:val="auto"/>
                      <w:sz w:val="21"/>
                      <w:szCs w:val="24"/>
                      <w:u w:val="none" w:color="auto"/>
                    </w:rPr>
                    <w:drawing>
                      <wp:inline distT="0" distB="0" distL="114300" distR="114300">
                        <wp:extent cx="971550" cy="990600"/>
                        <wp:effectExtent l="0" t="0" r="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6"/>
                                <a:stretch>
                                  <a:fillRect/>
                                </a:stretch>
                              </pic:blipFill>
                              <pic:spPr>
                                <a:xfrm>
                                  <a:off x="0" y="0"/>
                                  <a:ext cx="971550" cy="990600"/>
                                </a:xfrm>
                                <a:prstGeom prst="rect">
                                  <a:avLst/>
                                </a:prstGeom>
                                <a:noFill/>
                                <a:ln>
                                  <a:noFill/>
                                </a:ln>
                              </pic:spPr>
                            </pic:pic>
                          </a:graphicData>
                        </a:graphic>
                      </wp:inline>
                    </w:drawing>
                  </w:r>
                </w:p>
              </w:tc>
              <w:tc>
                <w:tcPr>
                  <w:tcW w:w="12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B69FBEC">
                  <w:pPr>
                    <w:pStyle w:val="80"/>
                    <w:rPr>
                      <w:rFonts w:hint="default" w:ascii="Times New Roman"/>
                      <w:color w:val="auto"/>
                      <w:sz w:val="21"/>
                      <w:szCs w:val="24"/>
                      <w:u w:val="none" w:color="auto"/>
                    </w:rPr>
                  </w:pPr>
                  <w:r>
                    <w:rPr>
                      <w:rFonts w:hint="default"/>
                      <w:color w:val="auto"/>
                      <w:sz w:val="21"/>
                      <w:szCs w:val="24"/>
                      <w:u w:val="none" w:color="auto"/>
                    </w:rPr>
                    <w:t>废水排放口</w:t>
                  </w:r>
                </w:p>
              </w:tc>
              <w:tc>
                <w:tcPr>
                  <w:tcW w:w="2106" w:type="dxa"/>
                  <w:tcBorders>
                    <w:top w:val="single" w:color="auto" w:sz="6" w:space="0"/>
                    <w:left w:val="single" w:color="auto" w:sz="6" w:space="0"/>
                    <w:bottom w:val="single" w:color="auto" w:sz="6" w:space="0"/>
                    <w:right w:val="single" w:color="auto" w:sz="12" w:space="0"/>
                    <w:tl2br w:val="nil"/>
                    <w:tr2bl w:val="nil"/>
                  </w:tcBorders>
                  <w:noWrap w:val="0"/>
                  <w:vAlign w:val="center"/>
                </w:tcPr>
                <w:p w14:paraId="11C9D985">
                  <w:pPr>
                    <w:pStyle w:val="80"/>
                    <w:rPr>
                      <w:rFonts w:hint="default" w:ascii="Times New Roman"/>
                      <w:color w:val="auto"/>
                      <w:sz w:val="21"/>
                      <w:szCs w:val="24"/>
                      <w:u w:val="none" w:color="auto"/>
                    </w:rPr>
                  </w:pPr>
                  <w:r>
                    <w:rPr>
                      <w:rFonts w:hint="default"/>
                      <w:color w:val="auto"/>
                      <w:sz w:val="21"/>
                      <w:szCs w:val="24"/>
                      <w:u w:val="none" w:color="auto"/>
                    </w:rPr>
                    <w:t>表示废水向水体排放</w:t>
                  </w:r>
                </w:p>
              </w:tc>
            </w:tr>
            <w:tr w14:paraId="292264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62" w:hRule="atLeast"/>
                <w:jc w:val="center"/>
              </w:trPr>
              <w:tc>
                <w:tcPr>
                  <w:tcW w:w="656" w:type="dxa"/>
                  <w:tcBorders>
                    <w:top w:val="single" w:color="auto" w:sz="6" w:space="0"/>
                    <w:left w:val="single" w:color="auto" w:sz="12" w:space="0"/>
                    <w:bottom w:val="single" w:color="auto" w:sz="6" w:space="0"/>
                    <w:right w:val="single" w:color="auto" w:sz="6" w:space="0"/>
                    <w:tl2br w:val="nil"/>
                    <w:tr2bl w:val="nil"/>
                  </w:tcBorders>
                  <w:noWrap w:val="0"/>
                  <w:vAlign w:val="center"/>
                </w:tcPr>
                <w:p w14:paraId="454615C8">
                  <w:pPr>
                    <w:pStyle w:val="80"/>
                    <w:rPr>
                      <w:rFonts w:hint="default" w:ascii="Times New Roman"/>
                      <w:color w:val="auto"/>
                      <w:sz w:val="21"/>
                      <w:szCs w:val="24"/>
                      <w:u w:val="none" w:color="auto"/>
                    </w:rPr>
                  </w:pPr>
                  <w:r>
                    <w:rPr>
                      <w:rFonts w:hint="default" w:ascii="Times New Roman"/>
                      <w:color w:val="auto"/>
                      <w:sz w:val="21"/>
                      <w:szCs w:val="24"/>
                      <w:u w:val="none" w:color="auto"/>
                    </w:rPr>
                    <w:t>2</w:t>
                  </w:r>
                </w:p>
              </w:tc>
              <w:tc>
                <w:tcPr>
                  <w:tcW w:w="2126"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D2A6AE7">
                  <w:pPr>
                    <w:pStyle w:val="80"/>
                    <w:rPr>
                      <w:rFonts w:hint="default" w:ascii="Times New Roman"/>
                      <w:color w:val="auto"/>
                      <w:sz w:val="21"/>
                      <w:szCs w:val="24"/>
                      <w:u w:val="none" w:color="auto"/>
                    </w:rPr>
                  </w:pPr>
                  <w:r>
                    <w:rPr>
                      <w:rFonts w:hint="default" w:ascii="Times New Roman"/>
                      <w:color w:val="auto"/>
                      <w:sz w:val="21"/>
                      <w:szCs w:val="24"/>
                      <w:u w:val="none" w:color="auto"/>
                    </w:rPr>
                    <w:drawing>
                      <wp:inline distT="0" distB="0" distL="114300" distR="114300">
                        <wp:extent cx="885190" cy="904240"/>
                        <wp:effectExtent l="0" t="0" r="10160" b="1016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7"/>
                                <a:stretch>
                                  <a:fillRect/>
                                </a:stretch>
                              </pic:blipFill>
                              <pic:spPr>
                                <a:xfrm>
                                  <a:off x="0" y="0"/>
                                  <a:ext cx="885190" cy="904240"/>
                                </a:xfrm>
                                <a:prstGeom prst="rect">
                                  <a:avLst/>
                                </a:prstGeom>
                                <a:noFill/>
                                <a:ln>
                                  <a:noFill/>
                                </a:ln>
                              </pic:spPr>
                            </pic:pic>
                          </a:graphicData>
                        </a:graphic>
                      </wp:inline>
                    </w:drawing>
                  </w:r>
                </w:p>
              </w:tc>
              <w:tc>
                <w:tcPr>
                  <w:tcW w:w="21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757F50E">
                  <w:pPr>
                    <w:pStyle w:val="80"/>
                    <w:rPr>
                      <w:rFonts w:hint="default" w:ascii="Times New Roman"/>
                      <w:color w:val="auto"/>
                      <w:sz w:val="21"/>
                      <w:szCs w:val="24"/>
                      <w:u w:val="none" w:color="auto"/>
                    </w:rPr>
                  </w:pPr>
                  <w:r>
                    <w:rPr>
                      <w:rFonts w:hint="default" w:ascii="Times New Roman"/>
                      <w:color w:val="auto"/>
                      <w:sz w:val="21"/>
                      <w:szCs w:val="24"/>
                      <w:u w:val="none" w:color="auto"/>
                    </w:rPr>
                    <w:drawing>
                      <wp:inline distT="0" distB="0" distL="114300" distR="114300">
                        <wp:extent cx="990600" cy="990600"/>
                        <wp:effectExtent l="0" t="0" r="0"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8"/>
                                <a:stretch>
                                  <a:fillRect/>
                                </a:stretch>
                              </pic:blipFill>
                              <pic:spPr>
                                <a:xfrm>
                                  <a:off x="0" y="0"/>
                                  <a:ext cx="990600" cy="990600"/>
                                </a:xfrm>
                                <a:prstGeom prst="rect">
                                  <a:avLst/>
                                </a:prstGeom>
                                <a:noFill/>
                                <a:ln>
                                  <a:noFill/>
                                </a:ln>
                              </pic:spPr>
                            </pic:pic>
                          </a:graphicData>
                        </a:graphic>
                      </wp:inline>
                    </w:drawing>
                  </w:r>
                </w:p>
              </w:tc>
              <w:tc>
                <w:tcPr>
                  <w:tcW w:w="12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42CDD3B">
                  <w:pPr>
                    <w:pStyle w:val="80"/>
                    <w:rPr>
                      <w:rFonts w:hint="default" w:ascii="Times New Roman"/>
                      <w:color w:val="auto"/>
                      <w:sz w:val="21"/>
                      <w:szCs w:val="24"/>
                      <w:u w:val="none" w:color="auto"/>
                    </w:rPr>
                  </w:pPr>
                  <w:r>
                    <w:rPr>
                      <w:rFonts w:hint="default"/>
                      <w:color w:val="auto"/>
                      <w:sz w:val="21"/>
                      <w:szCs w:val="24"/>
                      <w:u w:val="none" w:color="auto"/>
                    </w:rPr>
                    <w:t>废气排放口</w:t>
                  </w:r>
                </w:p>
              </w:tc>
              <w:tc>
                <w:tcPr>
                  <w:tcW w:w="2106" w:type="dxa"/>
                  <w:tcBorders>
                    <w:top w:val="single" w:color="auto" w:sz="6" w:space="0"/>
                    <w:left w:val="single" w:color="auto" w:sz="6" w:space="0"/>
                    <w:bottom w:val="single" w:color="auto" w:sz="6" w:space="0"/>
                    <w:right w:val="single" w:color="auto" w:sz="12" w:space="0"/>
                    <w:tl2br w:val="nil"/>
                    <w:tr2bl w:val="nil"/>
                  </w:tcBorders>
                  <w:noWrap w:val="0"/>
                  <w:vAlign w:val="center"/>
                </w:tcPr>
                <w:p w14:paraId="32A0F1EF">
                  <w:pPr>
                    <w:pStyle w:val="80"/>
                    <w:rPr>
                      <w:rFonts w:hint="default" w:ascii="Times New Roman"/>
                      <w:color w:val="auto"/>
                      <w:sz w:val="21"/>
                      <w:szCs w:val="24"/>
                      <w:u w:val="none" w:color="auto"/>
                    </w:rPr>
                  </w:pPr>
                  <w:r>
                    <w:rPr>
                      <w:rFonts w:hint="default"/>
                      <w:color w:val="auto"/>
                      <w:sz w:val="21"/>
                      <w:szCs w:val="24"/>
                      <w:u w:val="none" w:color="auto"/>
                    </w:rPr>
                    <w:t>表示废气向大气环境排放</w:t>
                  </w:r>
                </w:p>
              </w:tc>
            </w:tr>
            <w:tr w14:paraId="0D125C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03" w:hRule="atLeast"/>
                <w:jc w:val="center"/>
              </w:trPr>
              <w:tc>
                <w:tcPr>
                  <w:tcW w:w="656" w:type="dxa"/>
                  <w:tcBorders>
                    <w:top w:val="single" w:color="auto" w:sz="6" w:space="0"/>
                    <w:left w:val="single" w:color="auto" w:sz="12" w:space="0"/>
                    <w:bottom w:val="single" w:color="auto" w:sz="6" w:space="0"/>
                    <w:right w:val="single" w:color="auto" w:sz="6" w:space="0"/>
                    <w:tl2br w:val="nil"/>
                    <w:tr2bl w:val="nil"/>
                  </w:tcBorders>
                  <w:noWrap w:val="0"/>
                  <w:vAlign w:val="center"/>
                </w:tcPr>
                <w:p w14:paraId="084FAC74">
                  <w:pPr>
                    <w:pStyle w:val="80"/>
                    <w:rPr>
                      <w:rFonts w:hint="default" w:ascii="Times New Roman"/>
                      <w:color w:val="auto"/>
                      <w:sz w:val="21"/>
                      <w:szCs w:val="24"/>
                      <w:u w:val="none" w:color="auto"/>
                    </w:rPr>
                  </w:pPr>
                  <w:r>
                    <w:rPr>
                      <w:rFonts w:hint="default" w:ascii="Times New Roman"/>
                      <w:color w:val="auto"/>
                      <w:sz w:val="21"/>
                      <w:szCs w:val="24"/>
                      <w:u w:val="none" w:color="auto"/>
                    </w:rPr>
                    <w:t>3</w:t>
                  </w:r>
                </w:p>
              </w:tc>
              <w:tc>
                <w:tcPr>
                  <w:tcW w:w="2126"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260F771">
                  <w:pPr>
                    <w:pStyle w:val="80"/>
                    <w:rPr>
                      <w:rFonts w:hint="default" w:ascii="Times New Roman"/>
                      <w:color w:val="auto"/>
                      <w:sz w:val="21"/>
                      <w:szCs w:val="24"/>
                      <w:u w:val="none" w:color="auto"/>
                    </w:rPr>
                  </w:pPr>
                  <w:r>
                    <w:rPr>
                      <w:rFonts w:hint="default" w:ascii="Times New Roman"/>
                      <w:color w:val="auto"/>
                      <w:sz w:val="21"/>
                      <w:szCs w:val="24"/>
                      <w:u w:val="none" w:color="auto"/>
                    </w:rPr>
                    <w:drawing>
                      <wp:inline distT="0" distB="0" distL="114300" distR="114300">
                        <wp:extent cx="904240" cy="914400"/>
                        <wp:effectExtent l="0" t="0" r="10160"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9"/>
                                <a:stretch>
                                  <a:fillRect/>
                                </a:stretch>
                              </pic:blipFill>
                              <pic:spPr>
                                <a:xfrm>
                                  <a:off x="0" y="0"/>
                                  <a:ext cx="904240" cy="914400"/>
                                </a:xfrm>
                                <a:prstGeom prst="rect">
                                  <a:avLst/>
                                </a:prstGeom>
                                <a:noFill/>
                                <a:ln>
                                  <a:noFill/>
                                </a:ln>
                              </pic:spPr>
                            </pic:pic>
                          </a:graphicData>
                        </a:graphic>
                      </wp:inline>
                    </w:drawing>
                  </w:r>
                </w:p>
              </w:tc>
              <w:tc>
                <w:tcPr>
                  <w:tcW w:w="21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6988939">
                  <w:pPr>
                    <w:pStyle w:val="80"/>
                    <w:rPr>
                      <w:rFonts w:hint="default" w:ascii="Times New Roman"/>
                      <w:color w:val="auto"/>
                      <w:sz w:val="21"/>
                      <w:szCs w:val="24"/>
                      <w:u w:val="none" w:color="auto"/>
                    </w:rPr>
                  </w:pPr>
                  <w:r>
                    <w:rPr>
                      <w:rFonts w:hint="default" w:ascii="Times New Roman"/>
                      <w:color w:val="auto"/>
                      <w:sz w:val="21"/>
                      <w:szCs w:val="24"/>
                      <w:u w:val="none" w:color="auto"/>
                    </w:rPr>
                    <w:drawing>
                      <wp:inline distT="0" distB="0" distL="114300" distR="114300">
                        <wp:extent cx="1019175" cy="952500"/>
                        <wp:effectExtent l="0" t="0" r="9525"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0"/>
                                <a:stretch>
                                  <a:fillRect/>
                                </a:stretch>
                              </pic:blipFill>
                              <pic:spPr>
                                <a:xfrm>
                                  <a:off x="0" y="0"/>
                                  <a:ext cx="1019175" cy="952500"/>
                                </a:xfrm>
                                <a:prstGeom prst="rect">
                                  <a:avLst/>
                                </a:prstGeom>
                                <a:noFill/>
                                <a:ln>
                                  <a:noFill/>
                                </a:ln>
                              </pic:spPr>
                            </pic:pic>
                          </a:graphicData>
                        </a:graphic>
                      </wp:inline>
                    </w:drawing>
                  </w:r>
                </w:p>
              </w:tc>
              <w:tc>
                <w:tcPr>
                  <w:tcW w:w="12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8C0BDBE">
                  <w:pPr>
                    <w:pStyle w:val="80"/>
                    <w:rPr>
                      <w:rFonts w:hint="default" w:ascii="Times New Roman"/>
                      <w:color w:val="auto"/>
                      <w:sz w:val="21"/>
                      <w:szCs w:val="24"/>
                      <w:u w:val="none" w:color="auto"/>
                    </w:rPr>
                  </w:pPr>
                  <w:r>
                    <w:rPr>
                      <w:rFonts w:hint="default"/>
                      <w:color w:val="auto"/>
                      <w:sz w:val="21"/>
                      <w:szCs w:val="24"/>
                      <w:u w:val="none" w:color="auto"/>
                    </w:rPr>
                    <w:t>一般固体废物</w:t>
                  </w:r>
                </w:p>
              </w:tc>
              <w:tc>
                <w:tcPr>
                  <w:tcW w:w="2106" w:type="dxa"/>
                  <w:tcBorders>
                    <w:top w:val="single" w:color="auto" w:sz="6" w:space="0"/>
                    <w:left w:val="single" w:color="auto" w:sz="6" w:space="0"/>
                    <w:bottom w:val="single" w:color="auto" w:sz="6" w:space="0"/>
                    <w:right w:val="single" w:color="auto" w:sz="12" w:space="0"/>
                    <w:tl2br w:val="nil"/>
                    <w:tr2bl w:val="nil"/>
                  </w:tcBorders>
                  <w:noWrap w:val="0"/>
                  <w:vAlign w:val="center"/>
                </w:tcPr>
                <w:p w14:paraId="4D8271AE">
                  <w:pPr>
                    <w:pStyle w:val="80"/>
                    <w:rPr>
                      <w:rFonts w:hint="default" w:ascii="Times New Roman"/>
                      <w:color w:val="auto"/>
                      <w:sz w:val="21"/>
                      <w:szCs w:val="24"/>
                      <w:u w:val="none" w:color="auto"/>
                    </w:rPr>
                  </w:pPr>
                  <w:r>
                    <w:rPr>
                      <w:rFonts w:hint="default"/>
                      <w:color w:val="auto"/>
                      <w:sz w:val="21"/>
                      <w:szCs w:val="24"/>
                      <w:u w:val="none" w:color="auto"/>
                    </w:rPr>
                    <w:t>表示固体废物贮存、处置场</w:t>
                  </w:r>
                </w:p>
              </w:tc>
            </w:tr>
            <w:tr w14:paraId="008300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63" w:hRule="atLeast"/>
                <w:jc w:val="center"/>
              </w:trPr>
              <w:tc>
                <w:tcPr>
                  <w:tcW w:w="656" w:type="dxa"/>
                  <w:tcBorders>
                    <w:top w:val="single" w:color="auto" w:sz="6" w:space="0"/>
                    <w:left w:val="single" w:color="auto" w:sz="12" w:space="0"/>
                    <w:bottom w:val="single" w:color="auto" w:sz="6" w:space="0"/>
                    <w:right w:val="single" w:color="auto" w:sz="6" w:space="0"/>
                    <w:tl2br w:val="nil"/>
                    <w:tr2bl w:val="nil"/>
                  </w:tcBorders>
                  <w:noWrap w:val="0"/>
                  <w:vAlign w:val="center"/>
                </w:tcPr>
                <w:p w14:paraId="0EAB7CA1">
                  <w:pPr>
                    <w:pStyle w:val="80"/>
                    <w:rPr>
                      <w:rFonts w:hint="eastAsia" w:ascii="Times New Roman" w:eastAsia="宋体"/>
                      <w:color w:val="auto"/>
                      <w:sz w:val="21"/>
                      <w:szCs w:val="24"/>
                      <w:u w:val="none" w:color="auto"/>
                      <w:lang w:val="en-US" w:eastAsia="zh-CN"/>
                    </w:rPr>
                  </w:pPr>
                  <w:r>
                    <w:rPr>
                      <w:rFonts w:hint="eastAsia" w:ascii="Times New Roman"/>
                      <w:color w:val="auto"/>
                      <w:sz w:val="21"/>
                      <w:szCs w:val="24"/>
                      <w:u w:val="none" w:color="auto"/>
                      <w:lang w:val="en-US" w:eastAsia="zh-CN"/>
                    </w:rPr>
                    <w:t>4</w:t>
                  </w:r>
                </w:p>
              </w:tc>
              <w:tc>
                <w:tcPr>
                  <w:tcW w:w="2126"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92C4514">
                  <w:pPr>
                    <w:pStyle w:val="80"/>
                    <w:rPr>
                      <w:rFonts w:hint="eastAsia" w:ascii="Times New Roman" w:eastAsia="宋体"/>
                      <w:color w:val="auto"/>
                      <w:sz w:val="21"/>
                      <w:szCs w:val="24"/>
                      <w:u w:val="none" w:color="auto"/>
                      <w:lang w:val="en-US" w:eastAsia="zh-CN"/>
                    </w:rPr>
                  </w:pPr>
                  <w:r>
                    <w:rPr>
                      <w:rFonts w:hint="eastAsia" w:ascii="Times New Roman"/>
                      <w:color w:val="auto"/>
                      <w:sz w:val="21"/>
                      <w:szCs w:val="24"/>
                      <w:u w:val="none" w:color="auto"/>
                      <w:lang w:val="en-US" w:eastAsia="zh-CN"/>
                    </w:rPr>
                    <w:t>/</w:t>
                  </w:r>
                </w:p>
              </w:tc>
              <w:tc>
                <w:tcPr>
                  <w:tcW w:w="21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B6AF715">
                  <w:pPr>
                    <w:pStyle w:val="80"/>
                    <w:rPr>
                      <w:rFonts w:hint="default" w:ascii="Times New Roman"/>
                      <w:color w:val="auto"/>
                      <w:sz w:val="21"/>
                      <w:szCs w:val="24"/>
                      <w:u w:val="none" w:color="auto"/>
                    </w:rPr>
                  </w:pPr>
                  <w:r>
                    <w:rPr>
                      <w:color w:val="auto"/>
                      <w:u w:val="none" w:color="auto"/>
                    </w:rPr>
                    <w:drawing>
                      <wp:inline distT="0" distB="0" distL="114300" distR="114300">
                        <wp:extent cx="1151255" cy="927100"/>
                        <wp:effectExtent l="0" t="0" r="10795" b="635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1"/>
                                <a:stretch>
                                  <a:fillRect/>
                                </a:stretch>
                              </pic:blipFill>
                              <pic:spPr>
                                <a:xfrm>
                                  <a:off x="0" y="0"/>
                                  <a:ext cx="1151255" cy="927100"/>
                                </a:xfrm>
                                <a:prstGeom prst="rect">
                                  <a:avLst/>
                                </a:prstGeom>
                                <a:noFill/>
                                <a:ln>
                                  <a:noFill/>
                                </a:ln>
                              </pic:spPr>
                            </pic:pic>
                          </a:graphicData>
                        </a:graphic>
                      </wp:inline>
                    </w:drawing>
                  </w:r>
                </w:p>
              </w:tc>
              <w:tc>
                <w:tcPr>
                  <w:tcW w:w="12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5E06FBE">
                  <w:pPr>
                    <w:pStyle w:val="80"/>
                    <w:rPr>
                      <w:rFonts w:hint="default" w:ascii="Times New Roman"/>
                      <w:color w:val="auto"/>
                      <w:sz w:val="21"/>
                      <w:szCs w:val="24"/>
                      <w:u w:val="none" w:color="auto"/>
                    </w:rPr>
                  </w:pPr>
                  <w:r>
                    <w:rPr>
                      <w:rFonts w:hint="default"/>
                      <w:color w:val="auto"/>
                      <w:sz w:val="21"/>
                      <w:szCs w:val="24"/>
                      <w:u w:val="none" w:color="auto"/>
                    </w:rPr>
                    <w:t>危险废物</w:t>
                  </w:r>
                </w:p>
              </w:tc>
              <w:tc>
                <w:tcPr>
                  <w:tcW w:w="2106" w:type="dxa"/>
                  <w:tcBorders>
                    <w:top w:val="single" w:color="auto" w:sz="6" w:space="0"/>
                    <w:left w:val="single" w:color="auto" w:sz="6" w:space="0"/>
                    <w:bottom w:val="single" w:color="auto" w:sz="6" w:space="0"/>
                    <w:right w:val="single" w:color="auto" w:sz="12" w:space="0"/>
                    <w:tl2br w:val="nil"/>
                    <w:tr2bl w:val="nil"/>
                  </w:tcBorders>
                  <w:noWrap w:val="0"/>
                  <w:vAlign w:val="center"/>
                </w:tcPr>
                <w:p w14:paraId="3C841C9B">
                  <w:pPr>
                    <w:pStyle w:val="80"/>
                    <w:rPr>
                      <w:rFonts w:hint="default" w:ascii="Times New Roman" w:hAnsi="Times New Roman" w:eastAsia="宋体" w:cs="Times New Roman"/>
                      <w:color w:val="auto"/>
                      <w:sz w:val="21"/>
                      <w:szCs w:val="24"/>
                      <w:u w:val="none" w:color="auto"/>
                    </w:rPr>
                  </w:pPr>
                  <w:r>
                    <w:rPr>
                      <w:rFonts w:hint="eastAsia" w:ascii="Times New Roman" w:hAnsi="Times New Roman" w:eastAsia="宋体" w:cs="Times New Roman"/>
                      <w:color w:val="auto"/>
                      <w:sz w:val="21"/>
                      <w:szCs w:val="24"/>
                      <w:u w:val="none" w:color="auto"/>
                      <w:lang w:val="en-US" w:eastAsia="zh-CN"/>
                    </w:rPr>
                    <w:t>危险废物贮存、处置场</w:t>
                  </w:r>
                </w:p>
              </w:tc>
            </w:tr>
            <w:tr w14:paraId="49F9B1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4" w:hRule="atLeast"/>
                <w:jc w:val="center"/>
              </w:trPr>
              <w:tc>
                <w:tcPr>
                  <w:tcW w:w="656" w:type="dxa"/>
                  <w:tcBorders>
                    <w:top w:val="single" w:color="auto" w:sz="6" w:space="0"/>
                    <w:left w:val="single" w:color="auto" w:sz="12" w:space="0"/>
                    <w:bottom w:val="single" w:color="auto" w:sz="6" w:space="0"/>
                    <w:right w:val="single" w:color="auto" w:sz="6" w:space="0"/>
                    <w:tl2br w:val="nil"/>
                    <w:tr2bl w:val="nil"/>
                  </w:tcBorders>
                  <w:noWrap w:val="0"/>
                  <w:vAlign w:val="center"/>
                </w:tcPr>
                <w:p w14:paraId="66F021AC">
                  <w:pPr>
                    <w:pStyle w:val="80"/>
                    <w:rPr>
                      <w:rFonts w:hint="default" w:ascii="Times New Roman" w:eastAsia="宋体"/>
                      <w:color w:val="auto"/>
                      <w:sz w:val="21"/>
                      <w:szCs w:val="24"/>
                      <w:u w:val="none" w:color="auto"/>
                      <w:lang w:val="en-US" w:eastAsia="zh-CN"/>
                    </w:rPr>
                  </w:pPr>
                  <w:r>
                    <w:rPr>
                      <w:rFonts w:hint="eastAsia" w:ascii="Times New Roman"/>
                      <w:color w:val="auto"/>
                      <w:sz w:val="21"/>
                      <w:szCs w:val="24"/>
                      <w:u w:val="none" w:color="auto"/>
                      <w:lang w:val="en-US" w:eastAsia="zh-CN"/>
                    </w:rPr>
                    <w:t>5</w:t>
                  </w:r>
                </w:p>
              </w:tc>
              <w:tc>
                <w:tcPr>
                  <w:tcW w:w="2126"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3785B30">
                  <w:pPr>
                    <w:pStyle w:val="80"/>
                    <w:rPr>
                      <w:rFonts w:hint="eastAsia" w:ascii="Times New Roman" w:eastAsia="宋体"/>
                      <w:color w:val="auto"/>
                      <w:sz w:val="21"/>
                      <w:szCs w:val="24"/>
                      <w:u w:val="none" w:color="auto"/>
                      <w:lang w:val="en-US" w:eastAsia="zh-CN"/>
                    </w:rPr>
                  </w:pPr>
                  <w:r>
                    <w:rPr>
                      <w:rFonts w:hint="eastAsia" w:ascii="Times New Roman"/>
                      <w:color w:val="auto"/>
                      <w:sz w:val="21"/>
                      <w:szCs w:val="24"/>
                      <w:u w:val="none" w:color="auto"/>
                      <w:lang w:val="en-US" w:eastAsia="zh-CN"/>
                    </w:rPr>
                    <w:t>/</w:t>
                  </w:r>
                </w:p>
              </w:tc>
              <w:tc>
                <w:tcPr>
                  <w:tcW w:w="21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6FF3593">
                  <w:pPr>
                    <w:pStyle w:val="80"/>
                    <w:rPr>
                      <w:color w:val="auto"/>
                      <w:u w:val="none" w:color="auto"/>
                    </w:rPr>
                  </w:pPr>
                  <w:r>
                    <w:rPr>
                      <w:color w:val="auto"/>
                      <w:u w:val="none" w:color="auto"/>
                    </w:rPr>
                    <w:drawing>
                      <wp:inline distT="0" distB="0" distL="114300" distR="114300">
                        <wp:extent cx="1262380" cy="984885"/>
                        <wp:effectExtent l="0" t="0" r="13970" b="5715"/>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22"/>
                                <a:stretch>
                                  <a:fillRect/>
                                </a:stretch>
                              </pic:blipFill>
                              <pic:spPr>
                                <a:xfrm>
                                  <a:off x="0" y="0"/>
                                  <a:ext cx="1262380" cy="984885"/>
                                </a:xfrm>
                                <a:prstGeom prst="rect">
                                  <a:avLst/>
                                </a:prstGeom>
                                <a:noFill/>
                                <a:ln>
                                  <a:noFill/>
                                </a:ln>
                              </pic:spPr>
                            </pic:pic>
                          </a:graphicData>
                        </a:graphic>
                      </wp:inline>
                    </w:drawing>
                  </w:r>
                </w:p>
              </w:tc>
              <w:tc>
                <w:tcPr>
                  <w:tcW w:w="12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C222345">
                  <w:pPr>
                    <w:pStyle w:val="80"/>
                    <w:rPr>
                      <w:rFonts w:hint="default"/>
                      <w:color w:val="auto"/>
                      <w:sz w:val="21"/>
                      <w:szCs w:val="24"/>
                      <w:u w:val="none" w:color="auto"/>
                    </w:rPr>
                  </w:pPr>
                  <w:r>
                    <w:rPr>
                      <w:rFonts w:hint="default"/>
                      <w:color w:val="auto"/>
                      <w:sz w:val="21"/>
                      <w:szCs w:val="24"/>
                      <w:u w:val="none" w:color="auto"/>
                    </w:rPr>
                    <w:t>危险废物</w:t>
                  </w:r>
                </w:p>
              </w:tc>
              <w:tc>
                <w:tcPr>
                  <w:tcW w:w="2106" w:type="dxa"/>
                  <w:tcBorders>
                    <w:top w:val="single" w:color="auto" w:sz="6" w:space="0"/>
                    <w:left w:val="single" w:color="auto" w:sz="6" w:space="0"/>
                    <w:bottom w:val="single" w:color="auto" w:sz="6" w:space="0"/>
                    <w:right w:val="single" w:color="auto" w:sz="12" w:space="0"/>
                    <w:tl2br w:val="nil"/>
                    <w:tr2bl w:val="nil"/>
                  </w:tcBorders>
                  <w:noWrap w:val="0"/>
                  <w:vAlign w:val="center"/>
                </w:tcPr>
                <w:p w14:paraId="4E37F141">
                  <w:pPr>
                    <w:pStyle w:val="80"/>
                    <w:rPr>
                      <w:rFonts w:hint="default" w:ascii="Times New Roman" w:hAnsi="Times New Roman" w:eastAsia="宋体" w:cs="Times New Roman"/>
                      <w:color w:val="auto"/>
                      <w:sz w:val="21"/>
                      <w:szCs w:val="24"/>
                      <w:u w:val="none" w:color="auto"/>
                    </w:rPr>
                  </w:pPr>
                  <w:r>
                    <w:rPr>
                      <w:rFonts w:hint="eastAsia" w:ascii="Times New Roman" w:hAnsi="Times New Roman" w:eastAsia="宋体" w:cs="Times New Roman"/>
                      <w:color w:val="auto"/>
                      <w:sz w:val="21"/>
                      <w:szCs w:val="24"/>
                      <w:u w:val="none" w:color="auto"/>
                      <w:lang w:val="en-US" w:eastAsia="zh-CN"/>
                    </w:rPr>
                    <w:t>粘贴或系挂于危险废物储存容器或包装物上</w:t>
                  </w:r>
                </w:p>
              </w:tc>
            </w:tr>
            <w:tr w14:paraId="7E7B02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68" w:hRule="atLeast"/>
                <w:jc w:val="center"/>
              </w:trPr>
              <w:tc>
                <w:tcPr>
                  <w:tcW w:w="656" w:type="dxa"/>
                  <w:tcBorders>
                    <w:top w:val="single" w:color="auto" w:sz="6" w:space="0"/>
                    <w:left w:val="single" w:color="auto" w:sz="12" w:space="0"/>
                    <w:bottom w:val="single" w:color="auto" w:sz="12" w:space="0"/>
                    <w:right w:val="single" w:color="auto" w:sz="6" w:space="0"/>
                    <w:tl2br w:val="nil"/>
                    <w:tr2bl w:val="nil"/>
                  </w:tcBorders>
                  <w:noWrap w:val="0"/>
                  <w:vAlign w:val="center"/>
                </w:tcPr>
                <w:p w14:paraId="39FC2E9F">
                  <w:pPr>
                    <w:pStyle w:val="80"/>
                    <w:rPr>
                      <w:rFonts w:hint="default" w:ascii="Times New Roman"/>
                      <w:color w:val="auto"/>
                      <w:sz w:val="21"/>
                      <w:szCs w:val="24"/>
                      <w:u w:val="none" w:color="auto"/>
                      <w:lang w:val="en-US" w:eastAsia="zh-CN"/>
                    </w:rPr>
                  </w:pPr>
                  <w:r>
                    <w:rPr>
                      <w:rFonts w:hint="eastAsia" w:ascii="Times New Roman"/>
                      <w:color w:val="auto"/>
                      <w:sz w:val="21"/>
                      <w:szCs w:val="24"/>
                      <w:u w:val="none" w:color="auto"/>
                      <w:lang w:val="en-US" w:eastAsia="zh-CN"/>
                    </w:rPr>
                    <w:t>6</w:t>
                  </w:r>
                </w:p>
              </w:tc>
              <w:tc>
                <w:tcPr>
                  <w:tcW w:w="2126" w:type="dxa"/>
                  <w:tcBorders>
                    <w:top w:val="single" w:color="auto" w:sz="6" w:space="0"/>
                    <w:left w:val="single" w:color="auto" w:sz="6" w:space="0"/>
                    <w:bottom w:val="single" w:color="auto" w:sz="12" w:space="0"/>
                    <w:right w:val="single" w:color="auto" w:sz="6" w:space="0"/>
                    <w:tl2br w:val="nil"/>
                    <w:tr2bl w:val="nil"/>
                  </w:tcBorders>
                  <w:noWrap w:val="0"/>
                  <w:vAlign w:val="center"/>
                </w:tcPr>
                <w:p w14:paraId="2CDCAB68">
                  <w:pPr>
                    <w:pStyle w:val="80"/>
                    <w:rPr>
                      <w:rFonts w:hint="default" w:ascii="Times New Roman"/>
                      <w:color w:val="auto"/>
                      <w:sz w:val="21"/>
                      <w:szCs w:val="24"/>
                      <w:u w:val="none" w:color="auto"/>
                      <w:lang w:val="en-US" w:eastAsia="zh-CN"/>
                    </w:rPr>
                  </w:pPr>
                  <w:r>
                    <w:rPr>
                      <w:rFonts w:hint="eastAsia" w:ascii="Times New Roman"/>
                      <w:color w:val="auto"/>
                      <w:sz w:val="21"/>
                      <w:szCs w:val="24"/>
                      <w:u w:val="none" w:color="auto"/>
                      <w:lang w:val="en-US" w:eastAsia="zh-CN"/>
                    </w:rPr>
                    <w:t>/</w:t>
                  </w:r>
                </w:p>
              </w:tc>
              <w:tc>
                <w:tcPr>
                  <w:tcW w:w="2145" w:type="dxa"/>
                  <w:tcBorders>
                    <w:top w:val="single" w:color="auto" w:sz="6" w:space="0"/>
                    <w:left w:val="single" w:color="auto" w:sz="6" w:space="0"/>
                    <w:bottom w:val="single" w:color="auto" w:sz="12" w:space="0"/>
                    <w:right w:val="single" w:color="auto" w:sz="6" w:space="0"/>
                    <w:tl2br w:val="nil"/>
                    <w:tr2bl w:val="nil"/>
                  </w:tcBorders>
                  <w:noWrap w:val="0"/>
                  <w:vAlign w:val="center"/>
                </w:tcPr>
                <w:p w14:paraId="32861FAA">
                  <w:pPr>
                    <w:pStyle w:val="80"/>
                    <w:rPr>
                      <w:color w:val="auto"/>
                      <w:u w:val="none" w:color="auto"/>
                    </w:rPr>
                  </w:pPr>
                  <w:r>
                    <w:rPr>
                      <w:rFonts w:ascii="宋体" w:hAnsi="宋体" w:eastAsia="宋体" w:cs="宋体"/>
                      <w:color w:val="auto"/>
                      <w:sz w:val="24"/>
                      <w:szCs w:val="24"/>
                      <w:u w:val="none" w:color="auto"/>
                    </w:rPr>
                    <w:fldChar w:fldCharType="begin"/>
                  </w:r>
                  <w:r>
                    <w:rPr>
                      <w:rFonts w:ascii="宋体" w:hAnsi="宋体" w:eastAsia="宋体" w:cs="宋体"/>
                      <w:color w:val="auto"/>
                      <w:sz w:val="24"/>
                      <w:szCs w:val="24"/>
                      <w:u w:val="none" w:color="auto"/>
                    </w:rPr>
                    <w:instrText xml:space="preserve">INCLUDEPICTURE \d "https://bpic.51yuansu.com/pic3/cover/03/44/90/5ba31efbae71f_610.jpg" \* MERGEFORMATINET </w:instrText>
                  </w:r>
                  <w:r>
                    <w:rPr>
                      <w:rFonts w:ascii="宋体" w:hAnsi="宋体" w:eastAsia="宋体" w:cs="宋体"/>
                      <w:color w:val="auto"/>
                      <w:sz w:val="24"/>
                      <w:szCs w:val="24"/>
                      <w:u w:val="none" w:color="auto"/>
                    </w:rPr>
                    <w:fldChar w:fldCharType="separate"/>
                  </w:r>
                  <w:r>
                    <w:rPr>
                      <w:rFonts w:ascii="宋体" w:hAnsi="宋体" w:eastAsia="宋体" w:cs="宋体"/>
                      <w:color w:val="auto"/>
                      <w:sz w:val="24"/>
                      <w:szCs w:val="24"/>
                      <w:u w:val="none" w:color="auto"/>
                    </w:rPr>
                    <w:drawing>
                      <wp:inline distT="0" distB="0" distL="114300" distR="114300">
                        <wp:extent cx="1312545" cy="777240"/>
                        <wp:effectExtent l="0" t="0" r="1905" b="3810"/>
                        <wp:docPr id="6"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IMG_256"/>
                                <pic:cNvPicPr>
                                  <a:picLocks noChangeAspect="1"/>
                                </pic:cNvPicPr>
                              </pic:nvPicPr>
                              <pic:blipFill>
                                <a:blip r:embed="rId23"/>
                                <a:srcRect l="10640" t="24977" r="6673" b="26059"/>
                                <a:stretch>
                                  <a:fillRect/>
                                </a:stretch>
                              </pic:blipFill>
                              <pic:spPr>
                                <a:xfrm>
                                  <a:off x="0" y="0"/>
                                  <a:ext cx="1312545" cy="777240"/>
                                </a:xfrm>
                                <a:prstGeom prst="rect">
                                  <a:avLst/>
                                </a:prstGeom>
                                <a:noFill/>
                                <a:ln>
                                  <a:noFill/>
                                </a:ln>
                              </pic:spPr>
                            </pic:pic>
                          </a:graphicData>
                        </a:graphic>
                      </wp:inline>
                    </w:drawing>
                  </w:r>
                  <w:r>
                    <w:rPr>
                      <w:rFonts w:ascii="宋体" w:hAnsi="宋体" w:eastAsia="宋体" w:cs="宋体"/>
                      <w:color w:val="auto"/>
                      <w:sz w:val="24"/>
                      <w:szCs w:val="24"/>
                      <w:u w:val="none" w:color="auto"/>
                    </w:rPr>
                    <w:fldChar w:fldCharType="end"/>
                  </w:r>
                </w:p>
              </w:tc>
              <w:tc>
                <w:tcPr>
                  <w:tcW w:w="1245" w:type="dxa"/>
                  <w:tcBorders>
                    <w:top w:val="single" w:color="auto" w:sz="6" w:space="0"/>
                    <w:left w:val="single" w:color="auto" w:sz="6" w:space="0"/>
                    <w:bottom w:val="single" w:color="auto" w:sz="12" w:space="0"/>
                    <w:right w:val="single" w:color="auto" w:sz="6" w:space="0"/>
                    <w:tl2br w:val="nil"/>
                    <w:tr2bl w:val="nil"/>
                  </w:tcBorders>
                  <w:noWrap w:val="0"/>
                  <w:vAlign w:val="center"/>
                </w:tcPr>
                <w:p w14:paraId="2FA935AC">
                  <w:pPr>
                    <w:pStyle w:val="80"/>
                    <w:rPr>
                      <w:rFonts w:hint="default" w:eastAsia="宋体"/>
                      <w:color w:val="auto"/>
                      <w:sz w:val="21"/>
                      <w:szCs w:val="24"/>
                      <w:u w:val="none" w:color="auto"/>
                      <w:lang w:val="en-US" w:eastAsia="zh-CN"/>
                    </w:rPr>
                  </w:pPr>
                  <w:r>
                    <w:rPr>
                      <w:rFonts w:hint="eastAsia"/>
                      <w:color w:val="auto"/>
                      <w:sz w:val="21"/>
                      <w:szCs w:val="24"/>
                      <w:u w:val="none" w:color="auto"/>
                      <w:lang w:val="en-US" w:eastAsia="zh-CN"/>
                    </w:rPr>
                    <w:t>医疗废物</w:t>
                  </w:r>
                </w:p>
              </w:tc>
              <w:tc>
                <w:tcPr>
                  <w:tcW w:w="2106" w:type="dxa"/>
                  <w:tcBorders>
                    <w:top w:val="single" w:color="auto" w:sz="6" w:space="0"/>
                    <w:left w:val="single" w:color="auto" w:sz="6" w:space="0"/>
                    <w:bottom w:val="single" w:color="auto" w:sz="12" w:space="0"/>
                    <w:right w:val="single" w:color="auto" w:sz="12" w:space="0"/>
                    <w:tl2br w:val="nil"/>
                    <w:tr2bl w:val="nil"/>
                  </w:tcBorders>
                  <w:noWrap w:val="0"/>
                  <w:vAlign w:val="center"/>
                </w:tcPr>
                <w:p w14:paraId="6C9787F7">
                  <w:pPr>
                    <w:pStyle w:val="80"/>
                    <w:rPr>
                      <w:rFonts w:hint="eastAsia" w:ascii="Times New Roman" w:hAnsi="Times New Roman" w:eastAsia="宋体" w:cs="Times New Roman"/>
                      <w:color w:val="auto"/>
                      <w:sz w:val="21"/>
                      <w:szCs w:val="24"/>
                      <w:u w:val="none" w:color="auto"/>
                      <w:lang w:val="en-US" w:eastAsia="zh-CN"/>
                    </w:rPr>
                  </w:pPr>
                  <w:r>
                    <w:rPr>
                      <w:rFonts w:hint="eastAsia" w:ascii="Times New Roman" w:hAnsi="Times New Roman" w:eastAsia="宋体" w:cs="Times New Roman"/>
                      <w:color w:val="auto"/>
                      <w:sz w:val="21"/>
                      <w:szCs w:val="24"/>
                      <w:u w:val="none" w:color="auto"/>
                      <w:lang w:val="en-US" w:eastAsia="zh-CN"/>
                    </w:rPr>
                    <w:t>医疗废物贮存、处置场</w:t>
                  </w:r>
                </w:p>
              </w:tc>
            </w:tr>
          </w:tbl>
          <w:p w14:paraId="4779E45D">
            <w:pPr>
              <w:keepNext/>
              <w:keepLines/>
              <w:spacing w:line="360" w:lineRule="auto"/>
              <w:ind w:firstLine="480" w:firstLineChars="200"/>
              <w:jc w:val="left"/>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2、排污口建档管理</w:t>
            </w:r>
          </w:p>
          <w:p w14:paraId="6081AAAA">
            <w:pPr>
              <w:keepNext/>
              <w:keepLines/>
              <w:spacing w:line="360" w:lineRule="auto"/>
              <w:ind w:firstLine="480" w:firstLineChars="200"/>
              <w:jc w:val="left"/>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使用国家环保部门统一印制的《中华人民共和国规范化排污口标志登记证》，并按要求填写有关内容，项目建成后，应将主要污染物种类、数量、浓度、排放去向、</w:t>
            </w:r>
            <w:r>
              <w:rPr>
                <w:rFonts w:hint="eastAsia" w:cs="Times New Roman"/>
                <w:bCs/>
                <w:color w:val="auto"/>
                <w:sz w:val="24"/>
                <w:u w:val="none" w:color="auto"/>
                <w:lang w:eastAsia="zh-CN"/>
              </w:rPr>
              <w:t>达标</w:t>
            </w:r>
            <w:r>
              <w:rPr>
                <w:rFonts w:hint="default" w:ascii="Times New Roman" w:hAnsi="Times New Roman" w:eastAsia="宋体" w:cs="Times New Roman"/>
                <w:bCs/>
                <w:color w:val="auto"/>
                <w:sz w:val="24"/>
                <w:u w:val="none" w:color="auto"/>
              </w:rPr>
              <w:t>情况及设施运行情况记录于档案。</w:t>
            </w:r>
          </w:p>
          <w:p w14:paraId="151BDC99">
            <w:pPr>
              <w:keepNext/>
              <w:keepLines/>
              <w:spacing w:line="360" w:lineRule="auto"/>
              <w:ind w:firstLine="480" w:firstLineChars="200"/>
              <w:jc w:val="left"/>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（5）排污许可管理</w:t>
            </w:r>
          </w:p>
          <w:p w14:paraId="708A160A">
            <w:pPr>
              <w:keepNext w:val="0"/>
              <w:keepLines w:val="0"/>
              <w:widowControl/>
              <w:suppressLineNumbers w:val="0"/>
              <w:spacing w:line="360" w:lineRule="auto"/>
              <w:ind w:firstLine="480" w:firstLineChars="200"/>
              <w:jc w:val="left"/>
              <w:rPr>
                <w:rFonts w:hint="default" w:ascii="Times New Roman" w:hAnsi="Times New Roman" w:eastAsia="宋体" w:cs="Times New Roman"/>
                <w:color w:val="FF0000"/>
                <w:kern w:val="0"/>
                <w:sz w:val="24"/>
                <w:szCs w:val="24"/>
                <w:u w:val="single" w:color="auto"/>
                <w:lang w:val="en-US" w:eastAsia="zh-CN" w:bidi="ar"/>
              </w:rPr>
            </w:pPr>
            <w:r>
              <w:rPr>
                <w:rFonts w:hint="default" w:ascii="Times New Roman" w:hAnsi="Times New Roman" w:eastAsia="宋体" w:cs="Times New Roman"/>
                <w:bCs/>
                <w:color w:val="FF0000"/>
                <w:sz w:val="24"/>
                <w:u w:val="single" w:color="auto"/>
                <w:lang w:val="en-US" w:eastAsia="zh-CN"/>
              </w:rPr>
              <w:t>根据</w:t>
            </w:r>
            <w:r>
              <w:rPr>
                <w:rFonts w:hint="eastAsia" w:ascii="Times New Roman" w:hAnsi="Times New Roman" w:eastAsia="宋体" w:cs="Times New Roman"/>
                <w:bCs/>
                <w:color w:val="FF0000"/>
                <w:sz w:val="24"/>
                <w:u w:val="single" w:color="auto"/>
                <w:lang w:val="en-US" w:eastAsia="zh-CN"/>
              </w:rPr>
              <w:t>《固定污染源排污许可分类管理名录（</w:t>
            </w:r>
            <w:r>
              <w:rPr>
                <w:rFonts w:hint="default" w:ascii="Times New Roman" w:hAnsi="Times New Roman" w:eastAsia="宋体" w:cs="Times New Roman"/>
                <w:bCs/>
                <w:color w:val="FF0000"/>
                <w:sz w:val="24"/>
                <w:u w:val="single" w:color="auto"/>
                <w:lang w:val="en-US" w:eastAsia="zh-CN"/>
              </w:rPr>
              <w:t>2019</w:t>
            </w:r>
            <w:r>
              <w:rPr>
                <w:rFonts w:hint="eastAsia" w:ascii="Times New Roman" w:hAnsi="Times New Roman" w:eastAsia="宋体" w:cs="Times New Roman"/>
                <w:bCs/>
                <w:color w:val="FF0000"/>
                <w:sz w:val="24"/>
                <w:u w:val="single" w:color="auto"/>
                <w:lang w:val="en-US" w:eastAsia="zh-CN"/>
              </w:rPr>
              <w:t>年版）》以及《排污许可管理</w:t>
            </w:r>
            <w:r>
              <w:rPr>
                <w:rFonts w:hint="eastAsia" w:cs="Times New Roman"/>
                <w:bCs/>
                <w:color w:val="FF0000"/>
                <w:sz w:val="24"/>
                <w:u w:val="single" w:color="auto"/>
                <w:lang w:val="en-US" w:eastAsia="zh-CN"/>
              </w:rPr>
              <w:t>办法</w:t>
            </w:r>
            <w:r>
              <w:rPr>
                <w:rFonts w:hint="eastAsia" w:ascii="Times New Roman" w:hAnsi="Times New Roman" w:eastAsia="宋体" w:cs="Times New Roman"/>
                <w:bCs/>
                <w:color w:val="FF0000"/>
                <w:sz w:val="24"/>
                <w:u w:val="single" w:color="auto"/>
                <w:lang w:val="en-US" w:eastAsia="zh-CN"/>
              </w:rPr>
              <w:t>》</w:t>
            </w:r>
            <w:r>
              <w:rPr>
                <w:rFonts w:cs="Times New Roman"/>
                <w:color w:val="FF0000"/>
                <w:sz w:val="24"/>
                <w:szCs w:val="24"/>
                <w:u w:val="single" w:color="auto"/>
              </w:rPr>
              <w:t>（</w:t>
            </w:r>
            <w:r>
              <w:rPr>
                <w:rFonts w:hint="eastAsia" w:cs="Times New Roman"/>
                <w:color w:val="FF0000"/>
                <w:sz w:val="24"/>
                <w:szCs w:val="24"/>
                <w:u w:val="single" w:color="auto"/>
                <w:lang w:val="en-US" w:eastAsia="zh-CN"/>
              </w:rPr>
              <w:t>2024年生态环境部令第32号公布</w:t>
            </w:r>
            <w:r>
              <w:rPr>
                <w:rFonts w:cs="Times New Roman"/>
                <w:color w:val="FF0000"/>
                <w:sz w:val="24"/>
                <w:szCs w:val="24"/>
                <w:u w:val="single" w:color="auto"/>
              </w:rPr>
              <w:t>）</w:t>
            </w:r>
            <w:r>
              <w:rPr>
                <w:rFonts w:hint="eastAsia" w:cs="Times New Roman"/>
                <w:bCs/>
                <w:color w:val="FF0000"/>
                <w:sz w:val="24"/>
                <w:u w:val="single" w:color="auto"/>
                <w:lang w:val="en-US" w:eastAsia="zh-CN"/>
              </w:rPr>
              <w:t>，</w:t>
            </w:r>
            <w:r>
              <w:rPr>
                <w:rFonts w:hint="eastAsia" w:ascii="Times New Roman" w:hAnsi="Times New Roman" w:eastAsia="宋体" w:cs="Times New Roman"/>
                <w:bCs/>
                <w:color w:val="FF0000"/>
                <w:sz w:val="24"/>
                <w:u w:val="single" w:color="auto"/>
                <w:lang w:val="en-US" w:eastAsia="zh-CN"/>
              </w:rPr>
              <w:t>排污许可简化管理</w:t>
            </w:r>
            <w:r>
              <w:rPr>
                <w:rFonts w:hint="default" w:ascii="Times New Roman" w:hAnsi="Times New Roman" w:eastAsia="宋体" w:cs="Times New Roman"/>
                <w:color w:val="FF0000"/>
                <w:kern w:val="0"/>
                <w:sz w:val="24"/>
                <w:szCs w:val="24"/>
                <w:u w:val="single" w:color="auto"/>
                <w:lang w:val="en-US" w:eastAsia="zh-CN" w:bidi="ar"/>
              </w:rPr>
              <w:t>。</w:t>
            </w:r>
          </w:p>
          <w:p w14:paraId="679C0D21">
            <w:pPr>
              <w:keepNext/>
              <w:keepLines/>
              <w:numPr>
                <w:ilvl w:val="-1"/>
                <w:numId w:val="0"/>
              </w:numPr>
              <w:spacing w:line="360" w:lineRule="auto"/>
              <w:ind w:firstLine="480" w:firstLineChars="200"/>
              <w:jc w:val="left"/>
              <w:rPr>
                <w:rFonts w:hint="eastAsia" w:ascii="Times New Roman" w:hAnsi="Times New Roman" w:eastAsia="宋体" w:cs="Times New Roman"/>
                <w:bCs/>
                <w:color w:val="FF0000"/>
                <w:sz w:val="24"/>
                <w:u w:val="single" w:color="auto"/>
                <w:lang w:eastAsia="zh-CN"/>
              </w:rPr>
            </w:pPr>
            <w:r>
              <w:rPr>
                <w:rFonts w:hint="eastAsia" w:ascii="Times New Roman" w:hAnsi="Times New Roman" w:eastAsia="宋体" w:cs="Times New Roman"/>
                <w:bCs/>
                <w:color w:val="FF0000"/>
                <w:sz w:val="24"/>
                <w:u w:val="single" w:color="auto"/>
                <w:lang w:eastAsia="zh-CN"/>
              </w:rPr>
              <w:t>（</w:t>
            </w:r>
            <w:r>
              <w:rPr>
                <w:rFonts w:hint="eastAsia" w:ascii="Times New Roman" w:hAnsi="Times New Roman" w:eastAsia="宋体" w:cs="Times New Roman"/>
                <w:bCs/>
                <w:color w:val="FF0000"/>
                <w:sz w:val="24"/>
                <w:u w:val="single" w:color="auto"/>
                <w:lang w:val="en-US" w:eastAsia="zh-CN"/>
              </w:rPr>
              <w:t>6</w:t>
            </w:r>
            <w:r>
              <w:rPr>
                <w:rFonts w:hint="eastAsia" w:ascii="Times New Roman" w:hAnsi="Times New Roman" w:eastAsia="宋体" w:cs="Times New Roman"/>
                <w:bCs/>
                <w:color w:val="FF0000"/>
                <w:sz w:val="24"/>
                <w:u w:val="single" w:color="auto"/>
                <w:lang w:eastAsia="zh-CN"/>
              </w:rPr>
              <w:t>）应急预案</w:t>
            </w:r>
          </w:p>
          <w:p w14:paraId="0021BD63">
            <w:pPr>
              <w:keepNext w:val="0"/>
              <w:keepLines w:val="0"/>
              <w:widowControl/>
              <w:suppressLineNumbers w:val="0"/>
              <w:spacing w:line="360" w:lineRule="auto"/>
              <w:ind w:firstLine="480" w:firstLineChars="200"/>
              <w:jc w:val="left"/>
              <w:rPr>
                <w:rFonts w:hint="eastAsia" w:cs="Times New Roman"/>
                <w:color w:val="FF0000"/>
                <w:sz w:val="24"/>
                <w:szCs w:val="24"/>
                <w:u w:val="single" w:color="auto"/>
                <w:lang w:val="en-US" w:eastAsia="zh-CN"/>
              </w:rPr>
            </w:pPr>
            <w:r>
              <w:rPr>
                <w:rFonts w:hint="eastAsia" w:cs="Times New Roman"/>
                <w:color w:val="FF0000"/>
                <w:sz w:val="24"/>
                <w:szCs w:val="24"/>
                <w:u w:val="single" w:color="auto"/>
                <w:lang w:val="en-US" w:eastAsia="zh-CN"/>
              </w:rPr>
              <w:t>略</w:t>
            </w:r>
          </w:p>
          <w:p w14:paraId="33EE6DE6">
            <w:pPr>
              <w:keepNext w:val="0"/>
              <w:keepLines w:val="0"/>
              <w:widowControl/>
              <w:suppressLineNumbers w:val="0"/>
              <w:spacing w:line="360" w:lineRule="auto"/>
              <w:ind w:firstLine="482" w:firstLineChars="200"/>
              <w:jc w:val="left"/>
              <w:rPr>
                <w:rFonts w:hint="default"/>
                <w:color w:val="FF0000"/>
                <w:sz w:val="24"/>
                <w:szCs w:val="24"/>
                <w:u w:val="none" w:color="auto"/>
                <w:lang w:val="en-US"/>
              </w:rPr>
            </w:pPr>
            <w:r>
              <w:rPr>
                <w:rFonts w:hint="eastAsia" w:cs="Times New Roman"/>
                <w:b/>
                <w:color w:val="FF0000"/>
                <w:kern w:val="0"/>
                <w:sz w:val="24"/>
                <w:szCs w:val="24"/>
                <w:u w:val="none" w:color="auto"/>
                <w:lang w:val="en-US" w:eastAsia="zh-CN" w:bidi="ar"/>
              </w:rPr>
              <w:t>4.11</w:t>
            </w:r>
            <w:r>
              <w:rPr>
                <w:rFonts w:hint="eastAsia" w:ascii="宋体" w:hAnsi="宋体" w:eastAsia="宋体" w:cs="宋体"/>
                <w:b/>
                <w:color w:val="FF0000"/>
                <w:kern w:val="0"/>
                <w:sz w:val="24"/>
                <w:szCs w:val="24"/>
                <w:u w:val="none" w:color="auto"/>
                <w:lang w:val="en-US" w:eastAsia="zh-CN" w:bidi="ar"/>
              </w:rPr>
              <w:t>搬迁前后“三本账”核算</w:t>
            </w:r>
          </w:p>
          <w:p w14:paraId="6830FA34">
            <w:pPr>
              <w:pStyle w:val="33"/>
              <w:spacing w:line="360" w:lineRule="auto"/>
              <w:ind w:left="0" w:leftChars="0" w:firstLine="480" w:firstLineChars="200"/>
              <w:jc w:val="both"/>
              <w:rPr>
                <w:rFonts w:hint="eastAsia" w:ascii="Times New Roman" w:hAnsi="Times New Roman" w:cs="Times New Roman"/>
                <w:bCs/>
                <w:color w:val="FF0000"/>
                <w:sz w:val="24"/>
                <w:highlight w:val="none"/>
                <w:u w:val="none" w:color="auto"/>
                <w:lang w:val="en-US" w:eastAsia="zh-CN"/>
              </w:rPr>
            </w:pPr>
            <w:r>
              <w:rPr>
                <w:rFonts w:hint="default" w:ascii="Times New Roman" w:hAnsi="Times New Roman" w:cs="Times New Roman"/>
                <w:bCs/>
                <w:color w:val="FF0000"/>
                <w:sz w:val="24"/>
                <w:highlight w:val="none"/>
                <w:u w:val="none" w:color="auto"/>
              </w:rPr>
              <w:t>根据原项目</w:t>
            </w:r>
            <w:r>
              <w:rPr>
                <w:rFonts w:hint="eastAsia" w:ascii="Times New Roman" w:hAnsi="Times New Roman" w:cs="Times New Roman"/>
                <w:bCs/>
                <w:color w:val="FF0000"/>
                <w:sz w:val="24"/>
                <w:highlight w:val="none"/>
                <w:u w:val="none" w:color="auto"/>
                <w:lang w:val="en-US" w:eastAsia="zh-CN"/>
              </w:rPr>
              <w:t>排污情况</w:t>
            </w:r>
            <w:r>
              <w:rPr>
                <w:rFonts w:hint="default" w:ascii="Times New Roman" w:hAnsi="Times New Roman" w:cs="Times New Roman"/>
                <w:bCs/>
                <w:color w:val="FF0000"/>
                <w:sz w:val="24"/>
                <w:highlight w:val="none"/>
                <w:u w:val="none" w:color="auto"/>
              </w:rPr>
              <w:t>和本项目</w:t>
            </w:r>
            <w:r>
              <w:rPr>
                <w:rFonts w:hint="eastAsia" w:ascii="Times New Roman" w:hAnsi="Times New Roman" w:cs="Times New Roman"/>
                <w:bCs/>
                <w:color w:val="FF0000"/>
                <w:sz w:val="24"/>
                <w:highlight w:val="none"/>
                <w:u w:val="none" w:color="auto"/>
                <w:lang w:val="en-US" w:eastAsia="zh-CN"/>
              </w:rPr>
              <w:t>扩建</w:t>
            </w:r>
            <w:r>
              <w:rPr>
                <w:rFonts w:hint="default" w:ascii="Times New Roman" w:hAnsi="Times New Roman" w:cs="Times New Roman"/>
                <w:bCs/>
                <w:color w:val="FF0000"/>
                <w:sz w:val="24"/>
                <w:highlight w:val="none"/>
                <w:u w:val="none" w:color="auto"/>
              </w:rPr>
              <w:t>完成后污染源强情况进行统计，三本账见</w:t>
            </w:r>
            <w:r>
              <w:rPr>
                <w:rFonts w:hint="eastAsia" w:ascii="Times New Roman" w:hAnsi="Times New Roman" w:cs="Times New Roman"/>
                <w:bCs/>
                <w:color w:val="FF0000"/>
                <w:sz w:val="24"/>
                <w:highlight w:val="none"/>
                <w:u w:val="none" w:color="auto"/>
                <w:lang w:val="en-US" w:eastAsia="zh-CN"/>
              </w:rPr>
              <w:t>下表。</w:t>
            </w:r>
          </w:p>
          <w:p w14:paraId="633EE5DA">
            <w:pPr>
              <w:keepNext w:val="0"/>
              <w:keepLines w:val="0"/>
              <w:widowControl/>
              <w:suppressLineNumbers w:val="0"/>
              <w:jc w:val="center"/>
              <w:rPr>
                <w:rFonts w:hint="eastAsia" w:ascii="Times New Roman" w:hAnsi="Times New Roman" w:eastAsia="宋体" w:cs="Times New Roman"/>
                <w:b/>
                <w:bCs/>
                <w:color w:val="FF0000"/>
                <w:kern w:val="0"/>
                <w:sz w:val="21"/>
                <w:szCs w:val="21"/>
                <w:highlight w:val="none"/>
                <w:u w:val="none" w:color="auto"/>
                <w:lang w:val="en-US" w:eastAsia="zh-CN" w:bidi="ar"/>
              </w:rPr>
            </w:pPr>
          </w:p>
          <w:p w14:paraId="775F1FD6">
            <w:pPr>
              <w:keepNext w:val="0"/>
              <w:keepLines w:val="0"/>
              <w:widowControl/>
              <w:suppressLineNumbers w:val="0"/>
              <w:jc w:val="center"/>
              <w:rPr>
                <w:rFonts w:hint="default" w:ascii="Times New Roman" w:hAnsi="Times New Roman" w:eastAsia="宋体" w:cs="Times New Roman"/>
                <w:b/>
                <w:bCs/>
                <w:color w:val="FF0000"/>
                <w:kern w:val="0"/>
                <w:sz w:val="21"/>
                <w:szCs w:val="21"/>
                <w:highlight w:val="none"/>
                <w:u w:val="single" w:color="auto"/>
                <w:lang w:val="en-US" w:eastAsia="zh-CN" w:bidi="ar"/>
              </w:rPr>
            </w:pPr>
            <w:r>
              <w:rPr>
                <w:rFonts w:hint="eastAsia" w:ascii="Times New Roman" w:hAnsi="Times New Roman" w:eastAsia="宋体" w:cs="Times New Roman"/>
                <w:b/>
                <w:bCs/>
                <w:color w:val="FF0000"/>
                <w:kern w:val="0"/>
                <w:sz w:val="21"/>
                <w:szCs w:val="21"/>
                <w:highlight w:val="none"/>
                <w:u w:val="single" w:color="auto"/>
                <w:lang w:val="en-US" w:eastAsia="zh-CN" w:bidi="ar"/>
              </w:rPr>
              <w:t>表4-21    扩建前后污染物排放增减一览表</w:t>
            </w:r>
            <w:r>
              <w:rPr>
                <w:rFonts w:hint="eastAsia" w:cs="Times New Roman"/>
                <w:b/>
                <w:bCs/>
                <w:color w:val="FF0000"/>
                <w:kern w:val="0"/>
                <w:sz w:val="21"/>
                <w:szCs w:val="21"/>
                <w:highlight w:val="none"/>
                <w:u w:val="single" w:color="auto"/>
                <w:lang w:val="en-US" w:eastAsia="zh-CN" w:bidi="ar"/>
              </w:rPr>
              <w:t xml:space="preserve">   单位t/a</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403"/>
              <w:gridCol w:w="1439"/>
              <w:gridCol w:w="1319"/>
              <w:gridCol w:w="1222"/>
              <w:gridCol w:w="1519"/>
              <w:gridCol w:w="1109"/>
            </w:tblGrid>
            <w:tr w14:paraId="2B3F9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41" w:type="dxa"/>
                  <w:tcBorders>
                    <w:tl2br w:val="single" w:color="auto" w:sz="4" w:space="0"/>
                  </w:tcBorders>
                  <w:noWrap w:val="0"/>
                  <w:tcMar>
                    <w:left w:w="28" w:type="dxa"/>
                    <w:right w:w="28" w:type="dxa"/>
                  </w:tcMar>
                  <w:vAlign w:val="center"/>
                </w:tcPr>
                <w:p w14:paraId="15789290">
                  <w:pPr>
                    <w:pStyle w:val="44"/>
                    <w:spacing w:beforeLines="0" w:afterLines="0" w:line="240" w:lineRule="auto"/>
                    <w:ind w:left="0" w:leftChars="0" w:firstLine="0" w:firstLineChars="0"/>
                    <w:jc w:val="center"/>
                    <w:rPr>
                      <w:rFonts w:hint="eastAsia" w:ascii="Times New Roman" w:hAnsi="Times New Roman" w:eastAsia="宋体" w:cs="Times New Roman"/>
                      <w:snapToGrid w:val="0"/>
                      <w:color w:val="FF0000"/>
                      <w:kern w:val="21"/>
                      <w:sz w:val="21"/>
                      <w:szCs w:val="21"/>
                      <w:highlight w:val="none"/>
                      <w:u w:val="single" w:color="auto"/>
                    </w:rPr>
                  </w:pPr>
                  <w:r>
                    <w:rPr>
                      <w:rFonts w:hint="eastAsia" w:ascii="Times New Roman" w:hAnsi="Times New Roman" w:eastAsia="宋体" w:cs="Times New Roman"/>
                      <w:snapToGrid w:val="0"/>
                      <w:color w:val="FF0000"/>
                      <w:kern w:val="21"/>
                      <w:sz w:val="21"/>
                      <w:szCs w:val="21"/>
                      <w:highlight w:val="none"/>
                      <w:u w:val="single" w:color="auto"/>
                    </w:rPr>
                    <w:t>项目</w:t>
                  </w:r>
                </w:p>
                <w:p w14:paraId="7666DF58">
                  <w:pPr>
                    <w:pStyle w:val="44"/>
                    <w:spacing w:beforeLines="0" w:afterLines="0" w:line="240" w:lineRule="auto"/>
                    <w:ind w:left="0" w:leftChars="0" w:firstLine="0" w:firstLineChars="0"/>
                    <w:jc w:val="center"/>
                    <w:rPr>
                      <w:rFonts w:hint="eastAsia" w:ascii="Times New Roman" w:hAnsi="Times New Roman" w:eastAsia="宋体" w:cs="Times New Roman"/>
                      <w:snapToGrid w:val="0"/>
                      <w:color w:val="FF0000"/>
                      <w:kern w:val="21"/>
                      <w:sz w:val="21"/>
                      <w:szCs w:val="21"/>
                      <w:highlight w:val="none"/>
                      <w:u w:val="single" w:color="auto"/>
                    </w:rPr>
                  </w:pPr>
                  <w:r>
                    <w:rPr>
                      <w:rFonts w:hint="eastAsia" w:ascii="Times New Roman" w:hAnsi="Times New Roman" w:eastAsia="宋体" w:cs="Times New Roman"/>
                      <w:snapToGrid w:val="0"/>
                      <w:color w:val="FF0000"/>
                      <w:kern w:val="21"/>
                      <w:sz w:val="21"/>
                      <w:szCs w:val="21"/>
                      <w:highlight w:val="none"/>
                      <w:u w:val="single" w:color="auto"/>
                    </w:rPr>
                    <w:t>分类</w:t>
                  </w:r>
                </w:p>
              </w:tc>
              <w:tc>
                <w:tcPr>
                  <w:tcW w:w="1403" w:type="dxa"/>
                  <w:noWrap w:val="0"/>
                  <w:tcMar>
                    <w:left w:w="28" w:type="dxa"/>
                    <w:right w:w="28" w:type="dxa"/>
                  </w:tcMar>
                  <w:vAlign w:val="center"/>
                </w:tcPr>
                <w:p w14:paraId="4F469B83">
                  <w:pPr>
                    <w:pStyle w:val="44"/>
                    <w:spacing w:beforeLines="0" w:afterLines="0" w:line="240" w:lineRule="auto"/>
                    <w:ind w:left="0" w:leftChars="0" w:firstLine="0" w:firstLineChars="0"/>
                    <w:jc w:val="center"/>
                    <w:rPr>
                      <w:rFonts w:hint="eastAsia" w:ascii="Times New Roman" w:hAnsi="Times New Roman" w:eastAsia="宋体" w:cs="Times New Roman"/>
                      <w:snapToGrid w:val="0"/>
                      <w:color w:val="FF0000"/>
                      <w:kern w:val="21"/>
                      <w:sz w:val="21"/>
                      <w:szCs w:val="21"/>
                      <w:highlight w:val="none"/>
                      <w:u w:val="single" w:color="auto"/>
                    </w:rPr>
                  </w:pPr>
                  <w:r>
                    <w:rPr>
                      <w:rFonts w:hint="eastAsia" w:ascii="Times New Roman" w:hAnsi="Times New Roman" w:eastAsia="宋体" w:cs="Times New Roman"/>
                      <w:snapToGrid w:val="0"/>
                      <w:color w:val="FF0000"/>
                      <w:kern w:val="21"/>
                      <w:sz w:val="21"/>
                      <w:szCs w:val="21"/>
                      <w:highlight w:val="none"/>
                      <w:u w:val="single" w:color="auto"/>
                    </w:rPr>
                    <w:t>污染物名称</w:t>
                  </w:r>
                </w:p>
              </w:tc>
              <w:tc>
                <w:tcPr>
                  <w:tcW w:w="1439" w:type="dxa"/>
                  <w:noWrap w:val="0"/>
                  <w:tcMar>
                    <w:left w:w="28" w:type="dxa"/>
                    <w:right w:w="28" w:type="dxa"/>
                  </w:tcMar>
                  <w:vAlign w:val="center"/>
                </w:tcPr>
                <w:p w14:paraId="43BE54EB">
                  <w:pPr>
                    <w:pStyle w:val="44"/>
                    <w:spacing w:beforeLines="0" w:afterLines="0" w:line="240" w:lineRule="auto"/>
                    <w:ind w:left="0" w:leftChars="0" w:firstLine="0" w:firstLineChars="0"/>
                    <w:jc w:val="center"/>
                    <w:rPr>
                      <w:rFonts w:hint="eastAsia" w:ascii="Times New Roman" w:hAnsi="Times New Roman" w:eastAsia="宋体" w:cs="Times New Roman"/>
                      <w:snapToGrid w:val="0"/>
                      <w:color w:val="FF0000"/>
                      <w:kern w:val="21"/>
                      <w:sz w:val="21"/>
                      <w:szCs w:val="21"/>
                      <w:highlight w:val="none"/>
                      <w:u w:val="single" w:color="auto"/>
                    </w:rPr>
                  </w:pPr>
                  <w:r>
                    <w:rPr>
                      <w:rFonts w:hint="eastAsia" w:ascii="Times New Roman" w:hAnsi="Times New Roman" w:eastAsia="宋体" w:cs="Times New Roman"/>
                      <w:snapToGrid w:val="0"/>
                      <w:color w:val="FF0000"/>
                      <w:kern w:val="21"/>
                      <w:sz w:val="21"/>
                      <w:szCs w:val="21"/>
                      <w:highlight w:val="none"/>
                      <w:u w:val="single" w:color="auto"/>
                    </w:rPr>
                    <w:t>现有工程</w:t>
                  </w:r>
                </w:p>
                <w:p w14:paraId="11A6B1C8">
                  <w:pPr>
                    <w:pStyle w:val="44"/>
                    <w:spacing w:beforeLines="0" w:afterLines="0" w:line="240" w:lineRule="auto"/>
                    <w:ind w:left="0" w:leftChars="0" w:firstLine="0" w:firstLineChars="0"/>
                    <w:jc w:val="center"/>
                    <w:rPr>
                      <w:rFonts w:hint="eastAsia" w:ascii="Times New Roman" w:hAnsi="Times New Roman" w:eastAsia="宋体" w:cs="Times New Roman"/>
                      <w:snapToGrid w:val="0"/>
                      <w:color w:val="FF0000"/>
                      <w:kern w:val="21"/>
                      <w:sz w:val="21"/>
                      <w:szCs w:val="21"/>
                      <w:highlight w:val="none"/>
                      <w:u w:val="single" w:color="auto"/>
                    </w:rPr>
                  </w:pPr>
                  <w:r>
                    <w:rPr>
                      <w:rFonts w:hint="eastAsia" w:ascii="Times New Roman" w:hAnsi="Times New Roman" w:eastAsia="宋体" w:cs="Times New Roman"/>
                      <w:snapToGrid w:val="0"/>
                      <w:color w:val="FF0000"/>
                      <w:kern w:val="21"/>
                      <w:sz w:val="21"/>
                      <w:szCs w:val="21"/>
                      <w:highlight w:val="none"/>
                      <w:u w:val="single" w:color="auto"/>
                    </w:rPr>
                    <w:t>排放量（固体废物产生量）</w:t>
                  </w:r>
                </w:p>
              </w:tc>
              <w:tc>
                <w:tcPr>
                  <w:tcW w:w="1319" w:type="dxa"/>
                  <w:noWrap w:val="0"/>
                  <w:tcMar>
                    <w:left w:w="28" w:type="dxa"/>
                    <w:right w:w="28" w:type="dxa"/>
                  </w:tcMar>
                  <w:vAlign w:val="center"/>
                </w:tcPr>
                <w:p w14:paraId="49DB4C5B">
                  <w:pPr>
                    <w:pStyle w:val="44"/>
                    <w:spacing w:beforeLines="0" w:afterLines="0" w:line="240" w:lineRule="auto"/>
                    <w:ind w:left="0" w:leftChars="0" w:firstLine="0" w:firstLineChars="0"/>
                    <w:jc w:val="center"/>
                    <w:rPr>
                      <w:rFonts w:hint="eastAsia" w:ascii="Times New Roman" w:hAnsi="Times New Roman" w:eastAsia="宋体" w:cs="Times New Roman"/>
                      <w:snapToGrid w:val="0"/>
                      <w:color w:val="FF0000"/>
                      <w:kern w:val="21"/>
                      <w:sz w:val="21"/>
                      <w:szCs w:val="21"/>
                      <w:highlight w:val="none"/>
                      <w:u w:val="single" w:color="auto"/>
                    </w:rPr>
                  </w:pPr>
                  <w:r>
                    <w:rPr>
                      <w:rFonts w:hint="eastAsia" w:ascii="Times New Roman" w:hAnsi="Times New Roman" w:eastAsia="宋体" w:cs="Times New Roman"/>
                      <w:snapToGrid w:val="0"/>
                      <w:color w:val="FF0000"/>
                      <w:kern w:val="21"/>
                      <w:sz w:val="21"/>
                      <w:szCs w:val="21"/>
                      <w:highlight w:val="none"/>
                      <w:u w:val="single" w:color="auto"/>
                    </w:rPr>
                    <w:t>本项目</w:t>
                  </w:r>
                </w:p>
                <w:p w14:paraId="7C8223BF">
                  <w:pPr>
                    <w:pStyle w:val="44"/>
                    <w:spacing w:beforeLines="0" w:afterLines="0" w:line="240" w:lineRule="auto"/>
                    <w:ind w:left="0" w:leftChars="0" w:firstLine="0" w:firstLineChars="0"/>
                    <w:jc w:val="center"/>
                    <w:rPr>
                      <w:rFonts w:hint="eastAsia" w:ascii="Times New Roman" w:hAnsi="Times New Roman" w:eastAsia="宋体" w:cs="Times New Roman"/>
                      <w:snapToGrid w:val="0"/>
                      <w:color w:val="FF0000"/>
                      <w:kern w:val="21"/>
                      <w:sz w:val="21"/>
                      <w:szCs w:val="21"/>
                      <w:highlight w:val="none"/>
                      <w:u w:val="single" w:color="auto"/>
                    </w:rPr>
                  </w:pPr>
                  <w:r>
                    <w:rPr>
                      <w:rFonts w:hint="eastAsia" w:ascii="Times New Roman" w:hAnsi="Times New Roman" w:eastAsia="宋体" w:cs="Times New Roman"/>
                      <w:snapToGrid w:val="0"/>
                      <w:color w:val="FF0000"/>
                      <w:kern w:val="21"/>
                      <w:sz w:val="21"/>
                      <w:szCs w:val="21"/>
                      <w:highlight w:val="none"/>
                      <w:u w:val="single" w:color="auto"/>
                    </w:rPr>
                    <w:t>排放量（固体废物产生量）</w:t>
                  </w:r>
                </w:p>
              </w:tc>
              <w:tc>
                <w:tcPr>
                  <w:tcW w:w="1222" w:type="dxa"/>
                  <w:noWrap w:val="0"/>
                  <w:tcMar>
                    <w:left w:w="28" w:type="dxa"/>
                    <w:right w:w="28" w:type="dxa"/>
                  </w:tcMar>
                  <w:vAlign w:val="center"/>
                </w:tcPr>
                <w:p w14:paraId="46AB7AB9">
                  <w:pPr>
                    <w:pStyle w:val="44"/>
                    <w:spacing w:beforeLines="0" w:afterLines="0" w:line="240" w:lineRule="auto"/>
                    <w:ind w:left="0" w:leftChars="0" w:firstLine="0" w:firstLineChars="0"/>
                    <w:jc w:val="center"/>
                    <w:rPr>
                      <w:rFonts w:hint="eastAsia" w:ascii="Times New Roman" w:hAnsi="Times New Roman" w:eastAsia="宋体" w:cs="Times New Roman"/>
                      <w:snapToGrid w:val="0"/>
                      <w:color w:val="FF0000"/>
                      <w:kern w:val="21"/>
                      <w:sz w:val="21"/>
                      <w:szCs w:val="21"/>
                      <w:highlight w:val="none"/>
                      <w:u w:val="single" w:color="auto"/>
                    </w:rPr>
                  </w:pPr>
                  <w:r>
                    <w:rPr>
                      <w:rFonts w:hint="eastAsia" w:ascii="Times New Roman" w:hAnsi="Times New Roman" w:eastAsia="宋体" w:cs="Times New Roman"/>
                      <w:snapToGrid w:val="0"/>
                      <w:color w:val="FF0000"/>
                      <w:kern w:val="21"/>
                      <w:sz w:val="21"/>
                      <w:szCs w:val="21"/>
                      <w:highlight w:val="none"/>
                      <w:u w:val="single" w:color="auto"/>
                    </w:rPr>
                    <w:t>以新带老削减量（新建项目不填）</w:t>
                  </w:r>
                </w:p>
              </w:tc>
              <w:tc>
                <w:tcPr>
                  <w:tcW w:w="1519" w:type="dxa"/>
                  <w:noWrap w:val="0"/>
                  <w:tcMar>
                    <w:left w:w="28" w:type="dxa"/>
                    <w:right w:w="28" w:type="dxa"/>
                  </w:tcMar>
                  <w:vAlign w:val="center"/>
                </w:tcPr>
                <w:p w14:paraId="138A247C">
                  <w:pPr>
                    <w:pStyle w:val="44"/>
                    <w:spacing w:beforeLines="0" w:afterLines="0" w:line="240" w:lineRule="auto"/>
                    <w:ind w:left="0" w:leftChars="0" w:firstLine="0" w:firstLineChars="0"/>
                    <w:jc w:val="center"/>
                    <w:rPr>
                      <w:rFonts w:hint="eastAsia" w:ascii="Times New Roman" w:hAnsi="Times New Roman" w:eastAsia="宋体" w:cs="Times New Roman"/>
                      <w:snapToGrid w:val="0"/>
                      <w:color w:val="FF0000"/>
                      <w:kern w:val="21"/>
                      <w:sz w:val="21"/>
                      <w:szCs w:val="21"/>
                      <w:highlight w:val="none"/>
                      <w:u w:val="single" w:color="auto"/>
                    </w:rPr>
                  </w:pPr>
                  <w:r>
                    <w:rPr>
                      <w:rFonts w:hint="eastAsia" w:ascii="Times New Roman" w:hAnsi="Times New Roman" w:eastAsia="宋体" w:cs="Times New Roman"/>
                      <w:snapToGrid w:val="0"/>
                      <w:color w:val="FF0000"/>
                      <w:kern w:val="21"/>
                      <w:sz w:val="21"/>
                      <w:szCs w:val="21"/>
                      <w:highlight w:val="none"/>
                      <w:u w:val="single" w:color="auto"/>
                    </w:rPr>
                    <w:t>本项目建成后</w:t>
                  </w:r>
                </w:p>
                <w:p w14:paraId="3CD5428C">
                  <w:pPr>
                    <w:pStyle w:val="44"/>
                    <w:spacing w:beforeLines="0" w:afterLines="0" w:line="240" w:lineRule="auto"/>
                    <w:ind w:left="0" w:leftChars="0" w:firstLine="0" w:firstLineChars="0"/>
                    <w:jc w:val="center"/>
                    <w:rPr>
                      <w:rFonts w:hint="eastAsia" w:ascii="Times New Roman" w:hAnsi="Times New Roman" w:eastAsia="宋体" w:cs="Times New Roman"/>
                      <w:snapToGrid w:val="0"/>
                      <w:color w:val="FF0000"/>
                      <w:kern w:val="21"/>
                      <w:sz w:val="21"/>
                      <w:szCs w:val="21"/>
                      <w:highlight w:val="none"/>
                      <w:u w:val="single" w:color="auto"/>
                    </w:rPr>
                  </w:pPr>
                  <w:r>
                    <w:rPr>
                      <w:rFonts w:hint="eastAsia" w:ascii="Times New Roman" w:hAnsi="Times New Roman" w:eastAsia="宋体" w:cs="Times New Roman"/>
                      <w:snapToGrid w:val="0"/>
                      <w:color w:val="FF0000"/>
                      <w:kern w:val="21"/>
                      <w:sz w:val="21"/>
                      <w:szCs w:val="21"/>
                      <w:highlight w:val="none"/>
                      <w:u w:val="single" w:color="auto"/>
                    </w:rPr>
                    <w:t>全厂排放量（固体废物产生量）</w:t>
                  </w:r>
                </w:p>
              </w:tc>
              <w:tc>
                <w:tcPr>
                  <w:tcW w:w="1109" w:type="dxa"/>
                  <w:noWrap w:val="0"/>
                  <w:tcMar>
                    <w:left w:w="28" w:type="dxa"/>
                    <w:right w:w="28" w:type="dxa"/>
                  </w:tcMar>
                  <w:vAlign w:val="center"/>
                </w:tcPr>
                <w:p w14:paraId="6069FA90">
                  <w:pPr>
                    <w:pStyle w:val="44"/>
                    <w:spacing w:beforeLines="0" w:afterLines="0" w:line="240" w:lineRule="auto"/>
                    <w:ind w:left="0" w:leftChars="0" w:firstLine="0" w:firstLineChars="0"/>
                    <w:jc w:val="center"/>
                    <w:rPr>
                      <w:rFonts w:hint="eastAsia" w:ascii="Times New Roman" w:hAnsi="Times New Roman" w:eastAsia="宋体" w:cs="Times New Roman"/>
                      <w:snapToGrid w:val="0"/>
                      <w:color w:val="FF0000"/>
                      <w:kern w:val="21"/>
                      <w:sz w:val="21"/>
                      <w:szCs w:val="21"/>
                      <w:highlight w:val="none"/>
                      <w:u w:val="single" w:color="auto"/>
                    </w:rPr>
                  </w:pPr>
                  <w:r>
                    <w:rPr>
                      <w:rFonts w:hint="eastAsia" w:ascii="Times New Roman" w:hAnsi="Times New Roman" w:eastAsia="宋体" w:cs="Times New Roman"/>
                      <w:snapToGrid w:val="0"/>
                      <w:color w:val="FF0000"/>
                      <w:kern w:val="21"/>
                      <w:sz w:val="21"/>
                      <w:szCs w:val="21"/>
                      <w:highlight w:val="none"/>
                      <w:u w:val="single" w:color="auto"/>
                    </w:rPr>
                    <w:t>变化量</w:t>
                  </w:r>
                </w:p>
                <w:p w14:paraId="149C93FA">
                  <w:pPr>
                    <w:pStyle w:val="44"/>
                    <w:spacing w:beforeLines="0" w:afterLines="0" w:line="240" w:lineRule="auto"/>
                    <w:ind w:left="0" w:leftChars="0" w:firstLine="0" w:firstLineChars="0"/>
                    <w:jc w:val="both"/>
                    <w:rPr>
                      <w:rFonts w:hint="eastAsia" w:ascii="Times New Roman" w:hAnsi="Times New Roman" w:eastAsia="宋体" w:cs="Times New Roman"/>
                      <w:snapToGrid w:val="0"/>
                      <w:color w:val="FF0000"/>
                      <w:kern w:val="21"/>
                      <w:sz w:val="21"/>
                      <w:szCs w:val="21"/>
                      <w:highlight w:val="none"/>
                      <w:u w:val="single" w:color="auto"/>
                    </w:rPr>
                  </w:pPr>
                </w:p>
              </w:tc>
            </w:tr>
            <w:tr w14:paraId="6B764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41" w:type="dxa"/>
                  <w:vMerge w:val="restart"/>
                  <w:noWrap w:val="0"/>
                  <w:vAlign w:val="center"/>
                </w:tcPr>
                <w:p w14:paraId="491708CC">
                  <w:pPr>
                    <w:pStyle w:val="44"/>
                    <w:spacing w:beforeLines="0" w:afterLines="0" w:line="240" w:lineRule="auto"/>
                    <w:ind w:left="0" w:leftChars="0" w:firstLine="0" w:firstLineChars="0"/>
                    <w:jc w:val="center"/>
                    <w:rPr>
                      <w:rFonts w:hint="eastAsia" w:ascii="Times New Roman" w:hAnsi="Times New Roman" w:eastAsia="宋体" w:cs="Times New Roman"/>
                      <w:snapToGrid w:val="0"/>
                      <w:color w:val="FF0000"/>
                      <w:kern w:val="21"/>
                      <w:sz w:val="21"/>
                      <w:szCs w:val="21"/>
                      <w:highlight w:val="none"/>
                      <w:u w:val="single" w:color="auto"/>
                    </w:rPr>
                  </w:pPr>
                  <w:r>
                    <w:rPr>
                      <w:rFonts w:hint="eastAsia" w:ascii="Times New Roman" w:hAnsi="Times New Roman" w:eastAsia="宋体" w:cs="Times New Roman"/>
                      <w:snapToGrid w:val="0"/>
                      <w:color w:val="FF0000"/>
                      <w:kern w:val="21"/>
                      <w:sz w:val="21"/>
                      <w:szCs w:val="21"/>
                      <w:highlight w:val="none"/>
                      <w:u w:val="single" w:color="auto"/>
                    </w:rPr>
                    <w:t>废气</w:t>
                  </w:r>
                </w:p>
              </w:tc>
              <w:tc>
                <w:tcPr>
                  <w:tcW w:w="1403" w:type="dxa"/>
                  <w:noWrap w:val="0"/>
                  <w:vAlign w:val="center"/>
                </w:tcPr>
                <w:p w14:paraId="35E9A409">
                  <w:pPr>
                    <w:pStyle w:val="96"/>
                    <w:bidi w:val="0"/>
                    <w:ind w:firstLine="0" w:firstLineChars="0"/>
                    <w:rPr>
                      <w:rFonts w:hint="eastAsia" w:ascii="Times New Roman" w:hAnsi="Times New Roman" w:eastAsia="宋体" w:cs="Times New Roman"/>
                      <w:snapToGrid w:val="0"/>
                      <w:color w:val="FF0000"/>
                      <w:kern w:val="21"/>
                      <w:sz w:val="21"/>
                      <w:szCs w:val="21"/>
                      <w:highlight w:val="none"/>
                      <w:u w:val="single" w:color="auto"/>
                    </w:rPr>
                  </w:pPr>
                  <w:r>
                    <w:rPr>
                      <w:rFonts w:hint="eastAsia" w:cs="Times New Roman"/>
                      <w:color w:val="FF0000"/>
                      <w:szCs w:val="22"/>
                      <w:u w:val="single" w:color="auto"/>
                      <w:lang w:val="en-US" w:eastAsia="zh-CN"/>
                    </w:rPr>
                    <w:t>硫化氢</w:t>
                  </w:r>
                </w:p>
              </w:tc>
              <w:tc>
                <w:tcPr>
                  <w:tcW w:w="1439" w:type="dxa"/>
                  <w:noWrap w:val="0"/>
                  <w:vAlign w:val="center"/>
                </w:tcPr>
                <w:p w14:paraId="0BF0A258">
                  <w:pPr>
                    <w:pStyle w:val="96"/>
                    <w:bidi w:val="0"/>
                    <w:ind w:firstLine="0" w:firstLineChars="0"/>
                    <w:rPr>
                      <w:rFonts w:hint="default" w:ascii="Times New Roman" w:hAnsi="Times New Roman" w:eastAsia="宋体" w:cs="Times New Roman"/>
                      <w:snapToGrid w:val="0"/>
                      <w:color w:val="FF0000"/>
                      <w:kern w:val="21"/>
                      <w:sz w:val="21"/>
                      <w:szCs w:val="21"/>
                      <w:highlight w:val="none"/>
                      <w:u w:val="single" w:color="auto"/>
                      <w:lang w:val="en-US"/>
                    </w:rPr>
                  </w:pPr>
                  <w:r>
                    <w:rPr>
                      <w:rFonts w:hint="eastAsia"/>
                      <w:color w:val="FF0000"/>
                      <w:sz w:val="21"/>
                      <w:szCs w:val="21"/>
                      <w:highlight w:val="none"/>
                      <w:u w:val="single" w:color="auto"/>
                      <w:vertAlign w:val="baseline"/>
                      <w:lang w:val="en-US" w:eastAsia="zh-CN"/>
                    </w:rPr>
                    <w:t>0.00006</w:t>
                  </w:r>
                </w:p>
              </w:tc>
              <w:tc>
                <w:tcPr>
                  <w:tcW w:w="1319" w:type="dxa"/>
                  <w:noWrap w:val="0"/>
                  <w:vAlign w:val="center"/>
                </w:tcPr>
                <w:p w14:paraId="3CAE98D4">
                  <w:pPr>
                    <w:pStyle w:val="96"/>
                    <w:bidi w:val="0"/>
                    <w:ind w:firstLine="0" w:firstLineChars="0"/>
                    <w:rPr>
                      <w:rFonts w:hint="default" w:ascii="Times New Roman" w:hAnsi="Times New Roman" w:eastAsia="宋体" w:cs="Times New Roman"/>
                      <w:snapToGrid w:val="0"/>
                      <w:color w:val="FF0000"/>
                      <w:kern w:val="21"/>
                      <w:sz w:val="21"/>
                      <w:szCs w:val="21"/>
                      <w:highlight w:val="none"/>
                      <w:u w:val="single" w:color="auto"/>
                      <w:lang w:val="en-US"/>
                    </w:rPr>
                  </w:pPr>
                  <w:r>
                    <w:rPr>
                      <w:rFonts w:hint="eastAsia" w:cs="Times New Roman"/>
                      <w:color w:val="FF0000"/>
                      <w:szCs w:val="22"/>
                      <w:u w:val="none"/>
                      <w:lang w:val="en-US" w:eastAsia="zh-CN"/>
                    </w:rPr>
                    <w:t>0.000616</w:t>
                  </w:r>
                </w:p>
              </w:tc>
              <w:tc>
                <w:tcPr>
                  <w:tcW w:w="1222" w:type="dxa"/>
                  <w:noWrap w:val="0"/>
                  <w:vAlign w:val="center"/>
                </w:tcPr>
                <w:p w14:paraId="6616346C">
                  <w:pPr>
                    <w:pStyle w:val="96"/>
                    <w:bidi w:val="0"/>
                    <w:ind w:firstLine="0" w:firstLineChars="0"/>
                    <w:rPr>
                      <w:rFonts w:hint="eastAsia" w:ascii="Times New Roman" w:hAnsi="Times New Roman" w:eastAsia="宋体" w:cs="Times New Roman"/>
                      <w:snapToGrid w:val="0"/>
                      <w:color w:val="FF0000"/>
                      <w:kern w:val="21"/>
                      <w:sz w:val="21"/>
                      <w:szCs w:val="21"/>
                      <w:highlight w:val="none"/>
                      <w:u w:val="single" w:color="auto"/>
                      <w:lang w:eastAsia="zh-CN"/>
                    </w:rPr>
                  </w:pPr>
                  <w:r>
                    <w:rPr>
                      <w:rFonts w:hint="eastAsia"/>
                      <w:color w:val="FF0000"/>
                      <w:sz w:val="21"/>
                      <w:szCs w:val="21"/>
                      <w:highlight w:val="none"/>
                      <w:u w:val="single" w:color="auto"/>
                      <w:vertAlign w:val="baseline"/>
                      <w:lang w:val="en-US" w:eastAsia="zh-CN"/>
                    </w:rPr>
                    <w:t>0.00006</w:t>
                  </w:r>
                </w:p>
              </w:tc>
              <w:tc>
                <w:tcPr>
                  <w:tcW w:w="1519" w:type="dxa"/>
                  <w:noWrap w:val="0"/>
                  <w:vAlign w:val="center"/>
                </w:tcPr>
                <w:p w14:paraId="7602B522">
                  <w:pPr>
                    <w:pStyle w:val="96"/>
                    <w:bidi w:val="0"/>
                    <w:ind w:firstLine="0" w:firstLineChars="0"/>
                    <w:rPr>
                      <w:rFonts w:hint="eastAsia" w:ascii="Times New Roman" w:hAnsi="Times New Roman" w:eastAsia="宋体" w:cs="Times New Roman"/>
                      <w:snapToGrid w:val="0"/>
                      <w:color w:val="FF0000"/>
                      <w:kern w:val="21"/>
                      <w:sz w:val="21"/>
                      <w:szCs w:val="21"/>
                      <w:highlight w:val="none"/>
                      <w:u w:val="single" w:color="auto"/>
                    </w:rPr>
                  </w:pPr>
                  <w:r>
                    <w:rPr>
                      <w:rFonts w:hint="eastAsia" w:cs="Times New Roman"/>
                      <w:color w:val="FF0000"/>
                      <w:szCs w:val="22"/>
                      <w:u w:val="none"/>
                      <w:lang w:val="en-US" w:eastAsia="zh-CN"/>
                    </w:rPr>
                    <w:t>0.000616</w:t>
                  </w:r>
                </w:p>
              </w:tc>
              <w:tc>
                <w:tcPr>
                  <w:tcW w:w="1109" w:type="dxa"/>
                  <w:noWrap w:val="0"/>
                  <w:vAlign w:val="center"/>
                </w:tcPr>
                <w:p w14:paraId="4F41FE18">
                  <w:pPr>
                    <w:pStyle w:val="96"/>
                    <w:bidi w:val="0"/>
                    <w:ind w:firstLine="0" w:firstLineChars="0"/>
                    <w:rPr>
                      <w:rFonts w:hint="default" w:ascii="Times New Roman" w:hAnsi="Times New Roman" w:eastAsia="宋体" w:cs="Times New Roman"/>
                      <w:snapToGrid w:val="0"/>
                      <w:color w:val="FF0000"/>
                      <w:kern w:val="21"/>
                      <w:sz w:val="21"/>
                      <w:szCs w:val="21"/>
                      <w:highlight w:val="none"/>
                      <w:u w:val="single" w:color="auto"/>
                      <w:lang w:val="en-US"/>
                    </w:rPr>
                  </w:pPr>
                  <w:r>
                    <w:rPr>
                      <w:rFonts w:hint="eastAsia" w:cs="Times New Roman"/>
                      <w:color w:val="FF0000"/>
                      <w:szCs w:val="22"/>
                      <w:u w:val="none"/>
                      <w:lang w:val="en-US" w:eastAsia="zh-CN"/>
                    </w:rPr>
                    <w:t>+0.000556</w:t>
                  </w:r>
                </w:p>
              </w:tc>
            </w:tr>
            <w:tr w14:paraId="25210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41" w:type="dxa"/>
                  <w:vMerge w:val="continue"/>
                  <w:noWrap w:val="0"/>
                  <w:vAlign w:val="center"/>
                </w:tcPr>
                <w:p w14:paraId="34CECD37">
                  <w:pPr>
                    <w:pStyle w:val="44"/>
                    <w:spacing w:beforeLines="0" w:afterLines="0" w:line="240" w:lineRule="auto"/>
                    <w:ind w:left="0" w:leftChars="0" w:firstLine="0" w:firstLineChars="0"/>
                    <w:jc w:val="center"/>
                    <w:rPr>
                      <w:rFonts w:hint="eastAsia" w:ascii="Times New Roman" w:hAnsi="Times New Roman" w:eastAsia="宋体" w:cs="Times New Roman"/>
                      <w:snapToGrid w:val="0"/>
                      <w:color w:val="FF0000"/>
                      <w:kern w:val="21"/>
                      <w:sz w:val="21"/>
                      <w:szCs w:val="21"/>
                      <w:highlight w:val="none"/>
                      <w:u w:val="single" w:color="auto"/>
                    </w:rPr>
                  </w:pPr>
                </w:p>
              </w:tc>
              <w:tc>
                <w:tcPr>
                  <w:tcW w:w="1403" w:type="dxa"/>
                  <w:noWrap w:val="0"/>
                  <w:vAlign w:val="center"/>
                </w:tcPr>
                <w:p w14:paraId="64FA2541">
                  <w:pPr>
                    <w:pStyle w:val="96"/>
                    <w:bidi w:val="0"/>
                    <w:ind w:firstLine="0" w:firstLineChars="0"/>
                    <w:rPr>
                      <w:rFonts w:hint="eastAsia" w:ascii="Times New Roman" w:hAnsi="Times New Roman" w:eastAsia="宋体" w:cs="Times New Roman"/>
                      <w:snapToGrid w:val="0"/>
                      <w:color w:val="FF0000"/>
                      <w:kern w:val="21"/>
                      <w:sz w:val="21"/>
                      <w:szCs w:val="21"/>
                      <w:highlight w:val="none"/>
                      <w:u w:val="single" w:color="auto"/>
                    </w:rPr>
                  </w:pPr>
                  <w:r>
                    <w:rPr>
                      <w:rFonts w:hint="eastAsia" w:cs="Times New Roman"/>
                      <w:color w:val="FF0000"/>
                      <w:szCs w:val="22"/>
                      <w:u w:val="single" w:color="auto"/>
                      <w:lang w:val="en-US" w:eastAsia="zh-CN"/>
                    </w:rPr>
                    <w:t>氨气</w:t>
                  </w:r>
                </w:p>
              </w:tc>
              <w:tc>
                <w:tcPr>
                  <w:tcW w:w="1439" w:type="dxa"/>
                  <w:noWrap w:val="0"/>
                  <w:vAlign w:val="center"/>
                </w:tcPr>
                <w:p w14:paraId="48C32D33">
                  <w:pPr>
                    <w:pStyle w:val="96"/>
                    <w:bidi w:val="0"/>
                    <w:ind w:firstLine="0" w:firstLineChars="0"/>
                    <w:rPr>
                      <w:rFonts w:hint="eastAsia" w:ascii="Times New Roman" w:cs="Times New Roman"/>
                      <w:snapToGrid w:val="0"/>
                      <w:color w:val="FF0000"/>
                      <w:kern w:val="0"/>
                      <w:sz w:val="21"/>
                      <w:szCs w:val="21"/>
                      <w:highlight w:val="none"/>
                      <w:u w:val="single" w:color="auto"/>
                      <w:lang w:val="en-US" w:eastAsia="zh-CN"/>
                    </w:rPr>
                  </w:pPr>
                  <w:r>
                    <w:rPr>
                      <w:rFonts w:hint="eastAsia"/>
                      <w:color w:val="FF0000"/>
                      <w:sz w:val="21"/>
                      <w:szCs w:val="21"/>
                      <w:highlight w:val="none"/>
                      <w:u w:val="single" w:color="auto"/>
                      <w:vertAlign w:val="baseline"/>
                      <w:lang w:val="en-US" w:eastAsia="zh-CN"/>
                    </w:rPr>
                    <w:t>0.007</w:t>
                  </w:r>
                </w:p>
              </w:tc>
              <w:tc>
                <w:tcPr>
                  <w:tcW w:w="1319" w:type="dxa"/>
                  <w:noWrap w:val="0"/>
                  <w:vAlign w:val="center"/>
                </w:tcPr>
                <w:p w14:paraId="123E3BA9">
                  <w:pPr>
                    <w:pStyle w:val="96"/>
                    <w:bidi w:val="0"/>
                    <w:ind w:firstLine="0" w:firstLineChars="0"/>
                    <w:rPr>
                      <w:rFonts w:hint="eastAsia" w:ascii="Times New Roman" w:cs="Times New Roman"/>
                      <w:snapToGrid w:val="0"/>
                      <w:color w:val="FF0000"/>
                      <w:kern w:val="0"/>
                      <w:sz w:val="21"/>
                      <w:szCs w:val="21"/>
                      <w:highlight w:val="none"/>
                      <w:u w:val="single" w:color="auto"/>
                      <w:lang w:val="en-US" w:eastAsia="zh-CN"/>
                    </w:rPr>
                  </w:pPr>
                  <w:r>
                    <w:rPr>
                      <w:rFonts w:hint="eastAsia" w:cs="Times New Roman"/>
                      <w:color w:val="FF0000"/>
                      <w:szCs w:val="22"/>
                      <w:u w:val="none"/>
                      <w:lang w:val="en-US" w:eastAsia="zh-CN"/>
                    </w:rPr>
                    <w:t>0.0147</w:t>
                  </w:r>
                </w:p>
              </w:tc>
              <w:tc>
                <w:tcPr>
                  <w:tcW w:w="1222" w:type="dxa"/>
                  <w:noWrap w:val="0"/>
                  <w:vAlign w:val="center"/>
                </w:tcPr>
                <w:p w14:paraId="7CD40BDB">
                  <w:pPr>
                    <w:pStyle w:val="96"/>
                    <w:bidi w:val="0"/>
                    <w:ind w:firstLine="0" w:firstLineChars="0"/>
                    <w:rPr>
                      <w:rFonts w:hint="default" w:ascii="Times New Roman" w:cs="Times New Roman"/>
                      <w:snapToGrid w:val="0"/>
                      <w:color w:val="FF0000"/>
                      <w:kern w:val="0"/>
                      <w:sz w:val="21"/>
                      <w:szCs w:val="21"/>
                      <w:highlight w:val="none"/>
                      <w:u w:val="single" w:color="auto"/>
                      <w:lang w:val="en-US" w:eastAsia="zh-CN"/>
                    </w:rPr>
                  </w:pPr>
                  <w:r>
                    <w:rPr>
                      <w:rFonts w:hint="eastAsia"/>
                      <w:color w:val="FF0000"/>
                      <w:sz w:val="21"/>
                      <w:szCs w:val="21"/>
                      <w:highlight w:val="none"/>
                      <w:u w:val="single" w:color="auto"/>
                      <w:vertAlign w:val="baseline"/>
                      <w:lang w:val="en-US" w:eastAsia="zh-CN"/>
                    </w:rPr>
                    <w:t>0.007</w:t>
                  </w:r>
                </w:p>
              </w:tc>
              <w:tc>
                <w:tcPr>
                  <w:tcW w:w="1519" w:type="dxa"/>
                  <w:noWrap w:val="0"/>
                  <w:vAlign w:val="center"/>
                </w:tcPr>
                <w:p w14:paraId="1E4B5E2F">
                  <w:pPr>
                    <w:pStyle w:val="96"/>
                    <w:bidi w:val="0"/>
                    <w:ind w:firstLine="0" w:firstLineChars="0"/>
                    <w:rPr>
                      <w:rFonts w:hint="eastAsia" w:ascii="Times New Roman" w:cs="Times New Roman"/>
                      <w:snapToGrid w:val="0"/>
                      <w:color w:val="FF0000"/>
                      <w:kern w:val="0"/>
                      <w:sz w:val="21"/>
                      <w:szCs w:val="21"/>
                      <w:highlight w:val="none"/>
                      <w:u w:val="single" w:color="auto"/>
                      <w:lang w:val="en-US" w:eastAsia="zh-CN"/>
                    </w:rPr>
                  </w:pPr>
                  <w:r>
                    <w:rPr>
                      <w:rFonts w:hint="eastAsia" w:cs="Times New Roman"/>
                      <w:color w:val="FF0000"/>
                      <w:szCs w:val="22"/>
                      <w:u w:val="none"/>
                      <w:lang w:val="en-US" w:eastAsia="zh-CN"/>
                    </w:rPr>
                    <w:t>0.0147</w:t>
                  </w:r>
                </w:p>
              </w:tc>
              <w:tc>
                <w:tcPr>
                  <w:tcW w:w="1109" w:type="dxa"/>
                  <w:noWrap w:val="0"/>
                  <w:vAlign w:val="center"/>
                </w:tcPr>
                <w:p w14:paraId="0A3444EB">
                  <w:pPr>
                    <w:pStyle w:val="96"/>
                    <w:bidi w:val="0"/>
                    <w:ind w:firstLine="0" w:firstLineChars="0"/>
                    <w:rPr>
                      <w:rFonts w:hint="eastAsia" w:ascii="Times New Roman" w:cs="Times New Roman"/>
                      <w:snapToGrid w:val="0"/>
                      <w:color w:val="FF0000"/>
                      <w:kern w:val="0"/>
                      <w:sz w:val="21"/>
                      <w:szCs w:val="21"/>
                      <w:highlight w:val="none"/>
                      <w:u w:val="single" w:color="auto"/>
                      <w:lang w:val="en-US" w:eastAsia="zh-CN"/>
                    </w:rPr>
                  </w:pPr>
                  <w:r>
                    <w:rPr>
                      <w:rFonts w:hint="eastAsia" w:cs="Times New Roman"/>
                      <w:color w:val="FF0000"/>
                      <w:szCs w:val="22"/>
                      <w:u w:val="none"/>
                      <w:lang w:val="en-US" w:eastAsia="zh-CN"/>
                    </w:rPr>
                    <w:t>+0.0077</w:t>
                  </w:r>
                </w:p>
              </w:tc>
            </w:tr>
            <w:tr w14:paraId="74FDD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41" w:type="dxa"/>
                  <w:vMerge w:val="restart"/>
                  <w:noWrap w:val="0"/>
                  <w:vAlign w:val="center"/>
                </w:tcPr>
                <w:p w14:paraId="6FCBF91F">
                  <w:pPr>
                    <w:pStyle w:val="44"/>
                    <w:spacing w:beforeLines="0" w:afterLines="0" w:line="240" w:lineRule="auto"/>
                    <w:ind w:left="0" w:leftChars="0" w:firstLine="0" w:firstLineChars="0"/>
                    <w:jc w:val="center"/>
                    <w:rPr>
                      <w:rFonts w:hint="eastAsia" w:ascii="Times New Roman" w:hAnsi="Times New Roman" w:eastAsia="宋体" w:cs="Times New Roman"/>
                      <w:snapToGrid w:val="0"/>
                      <w:color w:val="FF0000"/>
                      <w:kern w:val="21"/>
                      <w:sz w:val="21"/>
                      <w:szCs w:val="21"/>
                      <w:highlight w:val="none"/>
                      <w:u w:val="single" w:color="auto"/>
                    </w:rPr>
                  </w:pPr>
                  <w:r>
                    <w:rPr>
                      <w:rFonts w:hint="eastAsia" w:ascii="Times New Roman" w:hAnsi="Times New Roman" w:eastAsia="宋体" w:cs="Times New Roman"/>
                      <w:snapToGrid w:val="0"/>
                      <w:color w:val="FF0000"/>
                      <w:kern w:val="21"/>
                      <w:sz w:val="21"/>
                      <w:szCs w:val="21"/>
                      <w:highlight w:val="none"/>
                      <w:u w:val="single" w:color="auto"/>
                    </w:rPr>
                    <w:t>废水</w:t>
                  </w:r>
                </w:p>
              </w:tc>
              <w:tc>
                <w:tcPr>
                  <w:tcW w:w="1403" w:type="dxa"/>
                  <w:noWrap w:val="0"/>
                  <w:vAlign w:val="center"/>
                </w:tcPr>
                <w:p w14:paraId="28160591">
                  <w:pPr>
                    <w:pStyle w:val="44"/>
                    <w:bidi w:val="0"/>
                    <w:ind w:left="0" w:leftChars="0" w:firstLine="0" w:firstLineChars="0"/>
                    <w:jc w:val="center"/>
                    <w:rPr>
                      <w:rFonts w:hint="default" w:cs="Times New Roman"/>
                      <w:color w:val="FF0000"/>
                      <w:sz w:val="21"/>
                      <w:szCs w:val="21"/>
                      <w:u w:val="single" w:color="auto"/>
                      <w:lang w:val="en-US" w:eastAsia="zh-CN"/>
                    </w:rPr>
                  </w:pPr>
                  <w:r>
                    <w:rPr>
                      <w:rFonts w:hint="eastAsia" w:ascii="Times New Roman" w:hAnsi="Times New Roman" w:eastAsia="宋体" w:cs="Times New Roman"/>
                      <w:color w:val="FF0000"/>
                      <w:highlight w:val="none"/>
                      <w:u w:val="single" w:color="auto"/>
                      <w:lang w:val="en-US" w:eastAsia="zh-CN"/>
                    </w:rPr>
                    <w:t>COD</w:t>
                  </w:r>
                </w:p>
              </w:tc>
              <w:tc>
                <w:tcPr>
                  <w:tcW w:w="1439" w:type="dxa"/>
                  <w:noWrap w:val="0"/>
                  <w:vAlign w:val="center"/>
                </w:tcPr>
                <w:p w14:paraId="41634DF8">
                  <w:pPr>
                    <w:pStyle w:val="96"/>
                    <w:bidi w:val="0"/>
                    <w:ind w:firstLine="0" w:firstLineChars="0"/>
                    <w:rPr>
                      <w:rFonts w:hint="eastAsia" w:ascii="Times New Roman" w:hAnsi="Times New Roman" w:eastAsia="宋体" w:cs="Times New Roman"/>
                      <w:color w:val="FF0000"/>
                      <w:sz w:val="21"/>
                      <w:szCs w:val="21"/>
                      <w:u w:val="single" w:color="auto"/>
                      <w:lang w:val="en-US" w:eastAsia="zh-CN"/>
                    </w:rPr>
                  </w:pPr>
                  <w:r>
                    <w:rPr>
                      <w:rFonts w:hint="eastAsia" w:cs="Times New Roman"/>
                      <w:color w:val="FF0000"/>
                      <w:szCs w:val="22"/>
                      <w:u w:val="single" w:color="auto"/>
                      <w:lang w:val="en-US" w:eastAsia="zh-CN"/>
                    </w:rPr>
                    <w:t>0.38</w:t>
                  </w:r>
                </w:p>
              </w:tc>
              <w:tc>
                <w:tcPr>
                  <w:tcW w:w="1319" w:type="dxa"/>
                  <w:noWrap w:val="0"/>
                  <w:vAlign w:val="center"/>
                </w:tcPr>
                <w:p w14:paraId="14EFF316">
                  <w:pPr>
                    <w:pStyle w:val="44"/>
                    <w:bidi w:val="0"/>
                    <w:ind w:left="0" w:leftChars="0" w:firstLine="0" w:firstLineChars="0"/>
                    <w:jc w:val="center"/>
                    <w:rPr>
                      <w:rFonts w:hint="default" w:cs="Times New Roman"/>
                      <w:color w:val="FF0000"/>
                      <w:sz w:val="21"/>
                      <w:szCs w:val="21"/>
                      <w:u w:val="single" w:color="auto"/>
                      <w:lang w:val="en-US" w:eastAsia="zh-CN"/>
                    </w:rPr>
                  </w:pPr>
                  <w:r>
                    <w:rPr>
                      <w:rFonts w:hint="eastAsia" w:ascii="Times New Roman" w:cs="Times New Roman"/>
                      <w:color w:val="FF0000"/>
                      <w:highlight w:val="none"/>
                      <w:u w:val="single" w:color="auto"/>
                      <w:lang w:val="en-US" w:eastAsia="zh-CN"/>
                    </w:rPr>
                    <w:t>2.44</w:t>
                  </w:r>
                </w:p>
              </w:tc>
              <w:tc>
                <w:tcPr>
                  <w:tcW w:w="1222" w:type="dxa"/>
                  <w:noWrap w:val="0"/>
                  <w:vAlign w:val="center"/>
                </w:tcPr>
                <w:p w14:paraId="166FB024">
                  <w:pPr>
                    <w:pStyle w:val="96"/>
                    <w:bidi w:val="0"/>
                    <w:ind w:firstLine="0" w:firstLineChars="0"/>
                    <w:rPr>
                      <w:rFonts w:hint="eastAsia" w:cs="Times New Roman"/>
                      <w:color w:val="FF0000"/>
                      <w:sz w:val="21"/>
                      <w:szCs w:val="21"/>
                      <w:u w:val="single" w:color="auto"/>
                      <w:lang w:val="en-US" w:eastAsia="zh-CN"/>
                    </w:rPr>
                  </w:pPr>
                  <w:r>
                    <w:rPr>
                      <w:rFonts w:hint="eastAsia" w:cs="Times New Roman"/>
                      <w:color w:val="FF0000"/>
                      <w:szCs w:val="22"/>
                      <w:u w:val="single" w:color="auto"/>
                      <w:lang w:val="en-US" w:eastAsia="zh-CN"/>
                    </w:rPr>
                    <w:t>0.38</w:t>
                  </w:r>
                </w:p>
              </w:tc>
              <w:tc>
                <w:tcPr>
                  <w:tcW w:w="1519" w:type="dxa"/>
                  <w:noWrap w:val="0"/>
                  <w:vAlign w:val="center"/>
                </w:tcPr>
                <w:p w14:paraId="034DBDC1">
                  <w:pPr>
                    <w:pStyle w:val="44"/>
                    <w:bidi w:val="0"/>
                    <w:ind w:left="0" w:leftChars="0" w:firstLine="0" w:firstLineChars="0"/>
                    <w:jc w:val="center"/>
                    <w:rPr>
                      <w:rFonts w:hint="default" w:ascii="Times New Roman" w:hAnsi="Times New Roman" w:eastAsia="宋体" w:cs="Times New Roman"/>
                      <w:color w:val="FF0000"/>
                      <w:sz w:val="21"/>
                      <w:szCs w:val="21"/>
                      <w:u w:val="single" w:color="auto"/>
                      <w:lang w:val="en-US" w:eastAsia="zh-CN"/>
                    </w:rPr>
                  </w:pPr>
                  <w:r>
                    <w:rPr>
                      <w:rFonts w:hint="eastAsia" w:ascii="Times New Roman" w:cs="Times New Roman"/>
                      <w:color w:val="FF0000"/>
                      <w:highlight w:val="none"/>
                      <w:u w:val="single" w:color="auto"/>
                      <w:lang w:val="en-US" w:eastAsia="zh-CN"/>
                    </w:rPr>
                    <w:t>2.44</w:t>
                  </w:r>
                </w:p>
              </w:tc>
              <w:tc>
                <w:tcPr>
                  <w:tcW w:w="1109" w:type="dxa"/>
                  <w:noWrap w:val="0"/>
                  <w:vAlign w:val="center"/>
                </w:tcPr>
                <w:p w14:paraId="228ECC06">
                  <w:pPr>
                    <w:pStyle w:val="44"/>
                    <w:bidi w:val="0"/>
                    <w:ind w:left="0" w:leftChars="0" w:firstLine="0" w:firstLineChars="0"/>
                    <w:jc w:val="center"/>
                    <w:rPr>
                      <w:rFonts w:hint="eastAsia" w:cs="Times New Roman"/>
                      <w:color w:val="FF0000"/>
                      <w:sz w:val="21"/>
                      <w:szCs w:val="21"/>
                      <w:u w:val="single" w:color="auto"/>
                      <w:lang w:val="en-US" w:eastAsia="zh-CN"/>
                    </w:rPr>
                  </w:pPr>
                  <w:r>
                    <w:rPr>
                      <w:rFonts w:hint="eastAsia" w:ascii="Times New Roman" w:cs="Times New Roman"/>
                      <w:color w:val="FF0000"/>
                      <w:highlight w:val="none"/>
                      <w:u w:val="single" w:color="auto"/>
                      <w:lang w:val="en-US" w:eastAsia="zh-CN"/>
                    </w:rPr>
                    <w:t>+2.06</w:t>
                  </w:r>
                </w:p>
              </w:tc>
            </w:tr>
            <w:tr w14:paraId="58767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41" w:type="dxa"/>
                  <w:vMerge w:val="continue"/>
                  <w:noWrap w:val="0"/>
                  <w:vAlign w:val="center"/>
                </w:tcPr>
                <w:p w14:paraId="69A14B0D">
                  <w:pPr>
                    <w:pStyle w:val="44"/>
                    <w:spacing w:beforeLines="0" w:afterLines="0" w:line="240" w:lineRule="auto"/>
                    <w:ind w:left="0" w:leftChars="0" w:firstLine="0" w:firstLineChars="0"/>
                    <w:jc w:val="center"/>
                    <w:rPr>
                      <w:rFonts w:hint="eastAsia" w:ascii="Times New Roman" w:hAnsi="Times New Roman" w:eastAsia="宋体" w:cs="Times New Roman"/>
                      <w:snapToGrid w:val="0"/>
                      <w:color w:val="FF0000"/>
                      <w:kern w:val="21"/>
                      <w:sz w:val="21"/>
                      <w:szCs w:val="21"/>
                      <w:highlight w:val="none"/>
                      <w:u w:val="single" w:color="auto"/>
                    </w:rPr>
                  </w:pPr>
                </w:p>
              </w:tc>
              <w:tc>
                <w:tcPr>
                  <w:tcW w:w="1403" w:type="dxa"/>
                  <w:noWrap w:val="0"/>
                  <w:vAlign w:val="center"/>
                </w:tcPr>
                <w:p w14:paraId="56F7B65E">
                  <w:pPr>
                    <w:pStyle w:val="44"/>
                    <w:bidi w:val="0"/>
                    <w:ind w:left="0" w:leftChars="0" w:firstLine="0" w:firstLineChars="0"/>
                    <w:jc w:val="center"/>
                    <w:rPr>
                      <w:rFonts w:hint="eastAsia" w:cs="Times New Roman"/>
                      <w:color w:val="FF0000"/>
                      <w:sz w:val="21"/>
                      <w:szCs w:val="21"/>
                      <w:u w:val="single" w:color="auto"/>
                      <w:lang w:val="en-US" w:eastAsia="zh-CN"/>
                    </w:rPr>
                  </w:pPr>
                  <w:r>
                    <w:rPr>
                      <w:rFonts w:hint="eastAsia" w:ascii="Times New Roman" w:hAnsi="Times New Roman" w:eastAsia="宋体" w:cs="Times New Roman"/>
                      <w:color w:val="FF0000"/>
                      <w:highlight w:val="none"/>
                      <w:u w:val="single" w:color="auto"/>
                      <w:lang w:val="en-US" w:eastAsia="zh-CN"/>
                    </w:rPr>
                    <w:t>BOD</w:t>
                  </w:r>
                  <w:r>
                    <w:rPr>
                      <w:rFonts w:hint="eastAsia" w:ascii="Times New Roman" w:hAnsi="Times New Roman" w:eastAsia="宋体" w:cs="Times New Roman"/>
                      <w:color w:val="FF0000"/>
                      <w:highlight w:val="none"/>
                      <w:u w:val="single" w:color="auto"/>
                      <w:vertAlign w:val="subscript"/>
                      <w:lang w:val="en-US" w:eastAsia="zh-CN"/>
                    </w:rPr>
                    <w:t>5</w:t>
                  </w:r>
                </w:p>
              </w:tc>
              <w:tc>
                <w:tcPr>
                  <w:tcW w:w="1439" w:type="dxa"/>
                  <w:noWrap w:val="0"/>
                  <w:vAlign w:val="center"/>
                </w:tcPr>
                <w:p w14:paraId="0B44084F">
                  <w:pPr>
                    <w:pStyle w:val="96"/>
                    <w:bidi w:val="0"/>
                    <w:ind w:firstLine="0" w:firstLineChars="0"/>
                    <w:rPr>
                      <w:rFonts w:hint="eastAsia" w:ascii="Times New Roman" w:hAnsi="Times New Roman" w:eastAsia="宋体" w:cs="Times New Roman"/>
                      <w:color w:val="FF0000"/>
                      <w:sz w:val="21"/>
                      <w:szCs w:val="21"/>
                      <w:u w:val="single" w:color="auto"/>
                      <w:lang w:val="en-US" w:eastAsia="zh-CN"/>
                    </w:rPr>
                  </w:pPr>
                  <w:r>
                    <w:rPr>
                      <w:rFonts w:hint="eastAsia" w:cs="Times New Roman"/>
                      <w:color w:val="FF0000"/>
                      <w:szCs w:val="22"/>
                      <w:u w:val="single" w:color="auto"/>
                      <w:lang w:val="en-US" w:eastAsia="zh-CN"/>
                    </w:rPr>
                    <w:t>0.077</w:t>
                  </w:r>
                </w:p>
              </w:tc>
              <w:tc>
                <w:tcPr>
                  <w:tcW w:w="1319" w:type="dxa"/>
                  <w:noWrap w:val="0"/>
                  <w:vAlign w:val="center"/>
                </w:tcPr>
                <w:p w14:paraId="7B392805">
                  <w:pPr>
                    <w:pStyle w:val="44"/>
                    <w:bidi w:val="0"/>
                    <w:ind w:left="0" w:leftChars="0" w:firstLine="0" w:firstLineChars="0"/>
                    <w:jc w:val="center"/>
                    <w:rPr>
                      <w:rFonts w:hint="eastAsia" w:cs="Times New Roman"/>
                      <w:color w:val="FF0000"/>
                      <w:sz w:val="21"/>
                      <w:szCs w:val="21"/>
                      <w:u w:val="single" w:color="auto"/>
                      <w:lang w:val="en-US" w:eastAsia="zh-CN"/>
                    </w:rPr>
                  </w:pPr>
                  <w:r>
                    <w:rPr>
                      <w:rFonts w:hint="eastAsia" w:ascii="Times New Roman" w:cs="Times New Roman"/>
                      <w:color w:val="FF0000"/>
                      <w:highlight w:val="none"/>
                      <w:u w:val="single" w:color="auto"/>
                      <w:lang w:val="en-US" w:eastAsia="zh-CN"/>
                    </w:rPr>
                    <w:t>0.49</w:t>
                  </w:r>
                </w:p>
              </w:tc>
              <w:tc>
                <w:tcPr>
                  <w:tcW w:w="1222" w:type="dxa"/>
                  <w:noWrap w:val="0"/>
                  <w:vAlign w:val="center"/>
                </w:tcPr>
                <w:p w14:paraId="7C3AEC99">
                  <w:pPr>
                    <w:pStyle w:val="96"/>
                    <w:bidi w:val="0"/>
                    <w:ind w:firstLine="0" w:firstLineChars="0"/>
                    <w:rPr>
                      <w:rFonts w:hint="eastAsia" w:ascii="Times New Roman" w:hAnsi="Times New Roman" w:eastAsia="宋体" w:cs="Times New Roman"/>
                      <w:color w:val="FF0000"/>
                      <w:sz w:val="21"/>
                      <w:szCs w:val="21"/>
                      <w:u w:val="single" w:color="auto"/>
                      <w:lang w:val="en-US" w:eastAsia="zh-CN"/>
                    </w:rPr>
                  </w:pPr>
                  <w:r>
                    <w:rPr>
                      <w:rFonts w:hint="eastAsia" w:cs="Times New Roman"/>
                      <w:color w:val="FF0000"/>
                      <w:szCs w:val="22"/>
                      <w:u w:val="single" w:color="auto"/>
                      <w:lang w:val="en-US" w:eastAsia="zh-CN"/>
                    </w:rPr>
                    <w:t>0.077</w:t>
                  </w:r>
                </w:p>
              </w:tc>
              <w:tc>
                <w:tcPr>
                  <w:tcW w:w="1519" w:type="dxa"/>
                  <w:noWrap w:val="0"/>
                  <w:vAlign w:val="center"/>
                </w:tcPr>
                <w:p w14:paraId="5A6A65F4">
                  <w:pPr>
                    <w:pStyle w:val="44"/>
                    <w:bidi w:val="0"/>
                    <w:ind w:left="0" w:leftChars="0" w:firstLine="0" w:firstLineChars="0"/>
                    <w:jc w:val="center"/>
                    <w:rPr>
                      <w:rFonts w:hint="eastAsia" w:ascii="Times New Roman" w:hAnsi="Times New Roman" w:eastAsia="宋体" w:cs="Times New Roman"/>
                      <w:color w:val="FF0000"/>
                      <w:sz w:val="21"/>
                      <w:szCs w:val="21"/>
                      <w:u w:val="single" w:color="auto"/>
                      <w:lang w:val="en-US" w:eastAsia="zh-CN"/>
                    </w:rPr>
                  </w:pPr>
                  <w:r>
                    <w:rPr>
                      <w:rFonts w:hint="eastAsia" w:ascii="Times New Roman" w:cs="Times New Roman"/>
                      <w:color w:val="FF0000"/>
                      <w:highlight w:val="none"/>
                      <w:u w:val="single" w:color="auto"/>
                      <w:lang w:val="en-US" w:eastAsia="zh-CN"/>
                    </w:rPr>
                    <w:t>0.49</w:t>
                  </w:r>
                </w:p>
              </w:tc>
              <w:tc>
                <w:tcPr>
                  <w:tcW w:w="1109" w:type="dxa"/>
                  <w:noWrap w:val="0"/>
                  <w:vAlign w:val="center"/>
                </w:tcPr>
                <w:p w14:paraId="09741EF1">
                  <w:pPr>
                    <w:pStyle w:val="44"/>
                    <w:bidi w:val="0"/>
                    <w:ind w:left="0" w:leftChars="0" w:firstLine="0" w:firstLineChars="0"/>
                    <w:jc w:val="center"/>
                    <w:rPr>
                      <w:rFonts w:hint="eastAsia" w:ascii="Times New Roman" w:hAnsi="Times New Roman" w:eastAsia="宋体" w:cs="Times New Roman"/>
                      <w:color w:val="FF0000"/>
                      <w:sz w:val="21"/>
                      <w:szCs w:val="21"/>
                      <w:u w:val="single" w:color="auto"/>
                      <w:lang w:val="en-US" w:eastAsia="zh-CN"/>
                    </w:rPr>
                  </w:pPr>
                  <w:r>
                    <w:rPr>
                      <w:rFonts w:hint="eastAsia" w:ascii="Times New Roman" w:cs="Times New Roman"/>
                      <w:color w:val="FF0000"/>
                      <w:highlight w:val="none"/>
                      <w:u w:val="single" w:color="auto"/>
                      <w:lang w:val="en-US" w:eastAsia="zh-CN"/>
                    </w:rPr>
                    <w:t>+0.413</w:t>
                  </w:r>
                </w:p>
              </w:tc>
            </w:tr>
            <w:tr w14:paraId="4CED0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41" w:type="dxa"/>
                  <w:vMerge w:val="continue"/>
                  <w:noWrap w:val="0"/>
                  <w:vAlign w:val="center"/>
                </w:tcPr>
                <w:p w14:paraId="0C3FE3CC">
                  <w:pPr>
                    <w:pStyle w:val="44"/>
                    <w:spacing w:beforeLines="0" w:afterLines="0" w:line="240" w:lineRule="auto"/>
                    <w:ind w:left="0" w:leftChars="0" w:firstLine="0" w:firstLineChars="0"/>
                    <w:jc w:val="center"/>
                    <w:rPr>
                      <w:rFonts w:hint="eastAsia" w:ascii="Times New Roman" w:hAnsi="Times New Roman" w:eastAsia="宋体" w:cs="Times New Roman"/>
                      <w:snapToGrid w:val="0"/>
                      <w:color w:val="FF0000"/>
                      <w:kern w:val="21"/>
                      <w:sz w:val="21"/>
                      <w:szCs w:val="21"/>
                      <w:highlight w:val="none"/>
                      <w:u w:val="single" w:color="auto"/>
                    </w:rPr>
                  </w:pPr>
                </w:p>
              </w:tc>
              <w:tc>
                <w:tcPr>
                  <w:tcW w:w="1403" w:type="dxa"/>
                  <w:noWrap w:val="0"/>
                  <w:vAlign w:val="center"/>
                </w:tcPr>
                <w:p w14:paraId="1495798A">
                  <w:pPr>
                    <w:pStyle w:val="44"/>
                    <w:bidi w:val="0"/>
                    <w:ind w:left="0" w:leftChars="0" w:firstLine="0" w:firstLineChars="0"/>
                    <w:jc w:val="center"/>
                    <w:rPr>
                      <w:rFonts w:hint="eastAsia" w:cs="Times New Roman"/>
                      <w:color w:val="FF0000"/>
                      <w:sz w:val="21"/>
                      <w:szCs w:val="21"/>
                      <w:u w:val="single" w:color="auto"/>
                      <w:lang w:val="en-US" w:eastAsia="zh-CN"/>
                    </w:rPr>
                  </w:pPr>
                  <w:r>
                    <w:rPr>
                      <w:rFonts w:hint="eastAsia" w:ascii="Times New Roman" w:hAnsi="Times New Roman" w:eastAsia="宋体" w:cs="Times New Roman"/>
                      <w:color w:val="FF0000"/>
                      <w:highlight w:val="none"/>
                      <w:u w:val="single" w:color="auto"/>
                      <w:lang w:val="en-US" w:eastAsia="zh-CN"/>
                    </w:rPr>
                    <w:t>氨氮</w:t>
                  </w:r>
                </w:p>
              </w:tc>
              <w:tc>
                <w:tcPr>
                  <w:tcW w:w="1439" w:type="dxa"/>
                  <w:noWrap w:val="0"/>
                  <w:vAlign w:val="center"/>
                </w:tcPr>
                <w:p w14:paraId="51F6777E">
                  <w:pPr>
                    <w:pStyle w:val="96"/>
                    <w:bidi w:val="0"/>
                    <w:ind w:firstLine="0" w:firstLineChars="0"/>
                    <w:rPr>
                      <w:rFonts w:hint="eastAsia" w:ascii="Times New Roman" w:hAnsi="Times New Roman" w:eastAsia="宋体" w:cs="Times New Roman"/>
                      <w:color w:val="FF0000"/>
                      <w:sz w:val="21"/>
                      <w:szCs w:val="21"/>
                      <w:u w:val="single" w:color="auto"/>
                      <w:lang w:val="en-US" w:eastAsia="zh-CN"/>
                    </w:rPr>
                  </w:pPr>
                  <w:r>
                    <w:rPr>
                      <w:rFonts w:hint="eastAsia" w:cs="Times New Roman"/>
                      <w:color w:val="FF0000"/>
                      <w:szCs w:val="22"/>
                      <w:u w:val="single" w:color="auto"/>
                      <w:lang w:val="en-US" w:eastAsia="zh-CN"/>
                    </w:rPr>
                    <w:t>0.038</w:t>
                  </w:r>
                </w:p>
              </w:tc>
              <w:tc>
                <w:tcPr>
                  <w:tcW w:w="1319" w:type="dxa"/>
                  <w:noWrap w:val="0"/>
                  <w:vAlign w:val="center"/>
                </w:tcPr>
                <w:p w14:paraId="63DADB50">
                  <w:pPr>
                    <w:pStyle w:val="44"/>
                    <w:bidi w:val="0"/>
                    <w:ind w:left="0" w:leftChars="0" w:firstLine="0" w:firstLineChars="0"/>
                    <w:jc w:val="center"/>
                    <w:rPr>
                      <w:rFonts w:hint="eastAsia" w:cs="Times New Roman"/>
                      <w:color w:val="FF0000"/>
                      <w:sz w:val="21"/>
                      <w:szCs w:val="21"/>
                      <w:u w:val="single" w:color="auto"/>
                      <w:lang w:val="en-US" w:eastAsia="zh-CN"/>
                    </w:rPr>
                  </w:pPr>
                  <w:r>
                    <w:rPr>
                      <w:rFonts w:hint="eastAsia" w:ascii="Times New Roman" w:cs="Times New Roman"/>
                      <w:color w:val="FF0000"/>
                      <w:highlight w:val="none"/>
                      <w:u w:val="single" w:color="auto"/>
                      <w:lang w:val="en-US" w:eastAsia="zh-CN"/>
                    </w:rPr>
                    <w:t>0.24</w:t>
                  </w:r>
                </w:p>
              </w:tc>
              <w:tc>
                <w:tcPr>
                  <w:tcW w:w="1222" w:type="dxa"/>
                  <w:noWrap w:val="0"/>
                  <w:vAlign w:val="center"/>
                </w:tcPr>
                <w:p w14:paraId="27F8AD6B">
                  <w:pPr>
                    <w:pStyle w:val="96"/>
                    <w:bidi w:val="0"/>
                    <w:ind w:firstLine="0" w:firstLineChars="0"/>
                    <w:rPr>
                      <w:rFonts w:hint="eastAsia" w:ascii="Times New Roman" w:hAnsi="Times New Roman" w:eastAsia="宋体" w:cs="Times New Roman"/>
                      <w:color w:val="FF0000"/>
                      <w:sz w:val="21"/>
                      <w:szCs w:val="21"/>
                      <w:u w:val="single" w:color="auto"/>
                      <w:lang w:val="en-US" w:eastAsia="zh-CN"/>
                    </w:rPr>
                  </w:pPr>
                  <w:r>
                    <w:rPr>
                      <w:rFonts w:hint="eastAsia" w:cs="Times New Roman"/>
                      <w:color w:val="FF0000"/>
                      <w:szCs w:val="22"/>
                      <w:u w:val="single" w:color="auto"/>
                      <w:lang w:val="en-US" w:eastAsia="zh-CN"/>
                    </w:rPr>
                    <w:t>0.038</w:t>
                  </w:r>
                </w:p>
              </w:tc>
              <w:tc>
                <w:tcPr>
                  <w:tcW w:w="1519" w:type="dxa"/>
                  <w:noWrap w:val="0"/>
                  <w:vAlign w:val="center"/>
                </w:tcPr>
                <w:p w14:paraId="7982B104">
                  <w:pPr>
                    <w:pStyle w:val="44"/>
                    <w:bidi w:val="0"/>
                    <w:ind w:left="0" w:leftChars="0" w:firstLine="0" w:firstLineChars="0"/>
                    <w:jc w:val="center"/>
                    <w:rPr>
                      <w:rFonts w:hint="eastAsia" w:ascii="Times New Roman" w:hAnsi="Times New Roman" w:eastAsia="宋体" w:cs="Times New Roman"/>
                      <w:color w:val="FF0000"/>
                      <w:sz w:val="21"/>
                      <w:szCs w:val="21"/>
                      <w:u w:val="single" w:color="auto"/>
                      <w:lang w:val="en-US" w:eastAsia="zh-CN"/>
                    </w:rPr>
                  </w:pPr>
                  <w:r>
                    <w:rPr>
                      <w:rFonts w:hint="eastAsia" w:ascii="Times New Roman" w:cs="Times New Roman"/>
                      <w:color w:val="FF0000"/>
                      <w:highlight w:val="none"/>
                      <w:u w:val="single" w:color="auto"/>
                      <w:lang w:val="en-US" w:eastAsia="zh-CN"/>
                    </w:rPr>
                    <w:t>0.24</w:t>
                  </w:r>
                </w:p>
              </w:tc>
              <w:tc>
                <w:tcPr>
                  <w:tcW w:w="1109" w:type="dxa"/>
                  <w:noWrap w:val="0"/>
                  <w:vAlign w:val="center"/>
                </w:tcPr>
                <w:p w14:paraId="18794C67">
                  <w:pPr>
                    <w:pStyle w:val="44"/>
                    <w:bidi w:val="0"/>
                    <w:ind w:left="0" w:leftChars="0" w:firstLine="0" w:firstLineChars="0"/>
                    <w:jc w:val="center"/>
                    <w:rPr>
                      <w:rFonts w:hint="eastAsia" w:ascii="Times New Roman" w:hAnsi="Times New Roman" w:eastAsia="宋体" w:cs="Times New Roman"/>
                      <w:color w:val="FF0000"/>
                      <w:sz w:val="21"/>
                      <w:szCs w:val="21"/>
                      <w:u w:val="single" w:color="auto"/>
                      <w:lang w:val="en-US" w:eastAsia="zh-CN"/>
                    </w:rPr>
                  </w:pPr>
                  <w:r>
                    <w:rPr>
                      <w:rFonts w:hint="eastAsia" w:ascii="Times New Roman" w:cs="Times New Roman"/>
                      <w:color w:val="FF0000"/>
                      <w:highlight w:val="none"/>
                      <w:u w:val="single" w:color="auto"/>
                      <w:lang w:val="en-US" w:eastAsia="zh-CN"/>
                    </w:rPr>
                    <w:t>+0.202</w:t>
                  </w:r>
                </w:p>
              </w:tc>
            </w:tr>
            <w:tr w14:paraId="06646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41" w:type="dxa"/>
                  <w:vMerge w:val="continue"/>
                  <w:noWrap w:val="0"/>
                  <w:vAlign w:val="center"/>
                </w:tcPr>
                <w:p w14:paraId="1BBD5850">
                  <w:pPr>
                    <w:pStyle w:val="44"/>
                    <w:spacing w:beforeLines="0" w:afterLines="0" w:line="240" w:lineRule="auto"/>
                    <w:ind w:left="0" w:leftChars="0" w:firstLine="0" w:firstLineChars="0"/>
                    <w:jc w:val="center"/>
                    <w:rPr>
                      <w:rFonts w:hint="eastAsia" w:ascii="Times New Roman" w:hAnsi="Times New Roman" w:eastAsia="宋体" w:cs="Times New Roman"/>
                      <w:snapToGrid w:val="0"/>
                      <w:color w:val="FF0000"/>
                      <w:kern w:val="21"/>
                      <w:sz w:val="21"/>
                      <w:szCs w:val="21"/>
                      <w:highlight w:val="none"/>
                      <w:u w:val="single" w:color="auto"/>
                    </w:rPr>
                  </w:pPr>
                </w:p>
              </w:tc>
              <w:tc>
                <w:tcPr>
                  <w:tcW w:w="1403" w:type="dxa"/>
                  <w:noWrap w:val="0"/>
                  <w:vAlign w:val="center"/>
                </w:tcPr>
                <w:p w14:paraId="050B962B">
                  <w:pPr>
                    <w:pStyle w:val="44"/>
                    <w:bidi w:val="0"/>
                    <w:ind w:left="0" w:leftChars="0" w:firstLine="0" w:firstLineChars="0"/>
                    <w:jc w:val="center"/>
                    <w:rPr>
                      <w:rFonts w:hint="eastAsia" w:cs="Times New Roman"/>
                      <w:color w:val="FF0000"/>
                      <w:sz w:val="21"/>
                      <w:szCs w:val="21"/>
                      <w:u w:val="single" w:color="auto"/>
                      <w:lang w:val="en-US" w:eastAsia="zh-CN"/>
                    </w:rPr>
                  </w:pPr>
                  <w:r>
                    <w:rPr>
                      <w:rFonts w:hint="eastAsia" w:ascii="Times New Roman" w:hAnsi="Times New Roman" w:eastAsia="宋体" w:cs="Times New Roman"/>
                      <w:color w:val="FF0000"/>
                      <w:highlight w:val="none"/>
                      <w:u w:val="single" w:color="auto"/>
                      <w:lang w:val="en-US" w:eastAsia="zh-CN"/>
                    </w:rPr>
                    <w:t>SS</w:t>
                  </w:r>
                </w:p>
              </w:tc>
              <w:tc>
                <w:tcPr>
                  <w:tcW w:w="1439" w:type="dxa"/>
                  <w:noWrap w:val="0"/>
                  <w:vAlign w:val="center"/>
                </w:tcPr>
                <w:p w14:paraId="1BADF313">
                  <w:pPr>
                    <w:pStyle w:val="96"/>
                    <w:bidi w:val="0"/>
                    <w:ind w:firstLine="0" w:firstLineChars="0"/>
                    <w:rPr>
                      <w:rFonts w:hint="eastAsia" w:ascii="Times New Roman" w:hAnsi="Times New Roman" w:eastAsia="宋体" w:cs="Times New Roman"/>
                      <w:color w:val="FF0000"/>
                      <w:sz w:val="21"/>
                      <w:szCs w:val="21"/>
                      <w:u w:val="single" w:color="auto"/>
                      <w:lang w:val="en-US" w:eastAsia="zh-CN"/>
                    </w:rPr>
                  </w:pPr>
                  <w:r>
                    <w:rPr>
                      <w:rFonts w:hint="eastAsia" w:cs="Times New Roman"/>
                      <w:color w:val="FF0000"/>
                      <w:szCs w:val="22"/>
                      <w:u w:val="single" w:color="auto"/>
                      <w:lang w:val="en-US" w:eastAsia="zh-CN"/>
                    </w:rPr>
                    <w:t>0.077</w:t>
                  </w:r>
                </w:p>
              </w:tc>
              <w:tc>
                <w:tcPr>
                  <w:tcW w:w="1319" w:type="dxa"/>
                  <w:noWrap w:val="0"/>
                  <w:vAlign w:val="center"/>
                </w:tcPr>
                <w:p w14:paraId="3544CEBD">
                  <w:pPr>
                    <w:pStyle w:val="44"/>
                    <w:bidi w:val="0"/>
                    <w:ind w:left="0" w:leftChars="0" w:firstLine="0" w:firstLineChars="0"/>
                    <w:jc w:val="center"/>
                    <w:rPr>
                      <w:rFonts w:hint="default" w:cs="Times New Roman"/>
                      <w:color w:val="FF0000"/>
                      <w:sz w:val="21"/>
                      <w:szCs w:val="21"/>
                      <w:u w:val="single" w:color="auto"/>
                      <w:lang w:val="en-US" w:eastAsia="zh-CN"/>
                    </w:rPr>
                  </w:pPr>
                  <w:r>
                    <w:rPr>
                      <w:rFonts w:hint="eastAsia" w:ascii="Times New Roman" w:cs="Times New Roman"/>
                      <w:color w:val="FF0000"/>
                      <w:highlight w:val="none"/>
                      <w:u w:val="single" w:color="auto"/>
                      <w:lang w:val="en-US" w:eastAsia="zh-CN"/>
                    </w:rPr>
                    <w:t>0.49</w:t>
                  </w:r>
                </w:p>
              </w:tc>
              <w:tc>
                <w:tcPr>
                  <w:tcW w:w="1222" w:type="dxa"/>
                  <w:noWrap w:val="0"/>
                  <w:vAlign w:val="center"/>
                </w:tcPr>
                <w:p w14:paraId="73DD40EE">
                  <w:pPr>
                    <w:pStyle w:val="96"/>
                    <w:bidi w:val="0"/>
                    <w:ind w:firstLine="0" w:firstLineChars="0"/>
                    <w:rPr>
                      <w:rFonts w:hint="eastAsia" w:cs="Times New Roman"/>
                      <w:color w:val="FF0000"/>
                      <w:sz w:val="21"/>
                      <w:szCs w:val="21"/>
                      <w:u w:val="single" w:color="auto"/>
                      <w:lang w:val="en-US" w:eastAsia="zh-CN"/>
                    </w:rPr>
                  </w:pPr>
                  <w:r>
                    <w:rPr>
                      <w:rFonts w:hint="eastAsia" w:cs="Times New Roman"/>
                      <w:color w:val="FF0000"/>
                      <w:szCs w:val="22"/>
                      <w:u w:val="single" w:color="auto"/>
                      <w:lang w:val="en-US" w:eastAsia="zh-CN"/>
                    </w:rPr>
                    <w:t>0.077</w:t>
                  </w:r>
                </w:p>
              </w:tc>
              <w:tc>
                <w:tcPr>
                  <w:tcW w:w="1519" w:type="dxa"/>
                  <w:noWrap w:val="0"/>
                  <w:vAlign w:val="center"/>
                </w:tcPr>
                <w:p w14:paraId="657D2813">
                  <w:pPr>
                    <w:pStyle w:val="44"/>
                    <w:bidi w:val="0"/>
                    <w:ind w:left="0" w:leftChars="0" w:firstLine="0" w:firstLineChars="0"/>
                    <w:jc w:val="center"/>
                    <w:rPr>
                      <w:rFonts w:hint="default" w:ascii="Times New Roman" w:hAnsi="Times New Roman" w:eastAsia="宋体" w:cs="Times New Roman"/>
                      <w:color w:val="FF0000"/>
                      <w:sz w:val="21"/>
                      <w:szCs w:val="21"/>
                      <w:u w:val="single" w:color="auto"/>
                      <w:lang w:val="en-US" w:eastAsia="zh-CN"/>
                    </w:rPr>
                  </w:pPr>
                  <w:r>
                    <w:rPr>
                      <w:rFonts w:hint="eastAsia" w:ascii="Times New Roman" w:cs="Times New Roman"/>
                      <w:color w:val="FF0000"/>
                      <w:highlight w:val="none"/>
                      <w:u w:val="single" w:color="auto"/>
                      <w:lang w:val="en-US" w:eastAsia="zh-CN"/>
                    </w:rPr>
                    <w:t>0.49</w:t>
                  </w:r>
                </w:p>
              </w:tc>
              <w:tc>
                <w:tcPr>
                  <w:tcW w:w="1109" w:type="dxa"/>
                  <w:noWrap w:val="0"/>
                  <w:vAlign w:val="center"/>
                </w:tcPr>
                <w:p w14:paraId="51790F6A">
                  <w:pPr>
                    <w:pStyle w:val="44"/>
                    <w:bidi w:val="0"/>
                    <w:ind w:left="0" w:leftChars="0" w:firstLine="0" w:firstLineChars="0"/>
                    <w:jc w:val="center"/>
                    <w:rPr>
                      <w:rFonts w:hint="eastAsia" w:cs="Times New Roman"/>
                      <w:color w:val="FF0000"/>
                      <w:sz w:val="21"/>
                      <w:szCs w:val="21"/>
                      <w:u w:val="single" w:color="auto"/>
                      <w:lang w:val="en-US" w:eastAsia="zh-CN"/>
                    </w:rPr>
                  </w:pPr>
                  <w:r>
                    <w:rPr>
                      <w:rFonts w:hint="eastAsia" w:ascii="Times New Roman" w:cs="Times New Roman"/>
                      <w:color w:val="FF0000"/>
                      <w:highlight w:val="none"/>
                      <w:u w:val="single" w:color="auto"/>
                      <w:lang w:val="en-US" w:eastAsia="zh-CN"/>
                    </w:rPr>
                    <w:t>+0.413</w:t>
                  </w:r>
                </w:p>
              </w:tc>
            </w:tr>
            <w:tr w14:paraId="61780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41" w:type="dxa"/>
                  <w:vMerge w:val="restart"/>
                  <w:noWrap w:val="0"/>
                  <w:vAlign w:val="center"/>
                </w:tcPr>
                <w:p w14:paraId="25C5E34A">
                  <w:pPr>
                    <w:pStyle w:val="44"/>
                    <w:spacing w:beforeLines="0" w:afterLines="0" w:line="240" w:lineRule="auto"/>
                    <w:ind w:left="0" w:leftChars="0" w:firstLine="0" w:firstLineChars="0"/>
                    <w:jc w:val="center"/>
                    <w:rPr>
                      <w:rFonts w:hint="eastAsia" w:ascii="Times New Roman" w:hAnsi="Times New Roman" w:eastAsia="宋体" w:cs="Times New Roman"/>
                      <w:snapToGrid w:val="0"/>
                      <w:color w:val="FF0000"/>
                      <w:kern w:val="21"/>
                      <w:sz w:val="21"/>
                      <w:szCs w:val="21"/>
                      <w:highlight w:val="none"/>
                      <w:u w:val="single" w:color="auto"/>
                    </w:rPr>
                  </w:pPr>
                  <w:r>
                    <w:rPr>
                      <w:rFonts w:hint="eastAsia" w:ascii="Times New Roman" w:hAnsi="Times New Roman" w:eastAsia="宋体" w:cs="Times New Roman"/>
                      <w:snapToGrid w:val="0"/>
                      <w:color w:val="FF0000"/>
                      <w:kern w:val="21"/>
                      <w:sz w:val="21"/>
                      <w:szCs w:val="21"/>
                      <w:highlight w:val="none"/>
                      <w:u w:val="single" w:color="auto"/>
                    </w:rPr>
                    <w:t>一般工业</w:t>
                  </w:r>
                </w:p>
                <w:p w14:paraId="17EDB644">
                  <w:pPr>
                    <w:pStyle w:val="44"/>
                    <w:spacing w:beforeLines="0" w:afterLines="0" w:line="240" w:lineRule="auto"/>
                    <w:ind w:left="0" w:leftChars="0" w:firstLine="0" w:firstLineChars="0"/>
                    <w:jc w:val="center"/>
                    <w:rPr>
                      <w:rFonts w:hint="eastAsia" w:ascii="Times New Roman" w:hAnsi="Times New Roman" w:eastAsia="宋体" w:cs="Times New Roman"/>
                      <w:snapToGrid w:val="0"/>
                      <w:color w:val="FF0000"/>
                      <w:kern w:val="21"/>
                      <w:sz w:val="21"/>
                      <w:szCs w:val="21"/>
                      <w:highlight w:val="none"/>
                      <w:u w:val="single" w:color="auto"/>
                    </w:rPr>
                  </w:pPr>
                  <w:r>
                    <w:rPr>
                      <w:rFonts w:hint="eastAsia" w:ascii="Times New Roman" w:hAnsi="Times New Roman" w:eastAsia="宋体" w:cs="Times New Roman"/>
                      <w:snapToGrid w:val="0"/>
                      <w:color w:val="FF0000"/>
                      <w:kern w:val="21"/>
                      <w:sz w:val="21"/>
                      <w:szCs w:val="21"/>
                      <w:highlight w:val="none"/>
                      <w:u w:val="single" w:color="auto"/>
                    </w:rPr>
                    <w:t>固体废物</w:t>
                  </w:r>
                </w:p>
              </w:tc>
              <w:tc>
                <w:tcPr>
                  <w:tcW w:w="1403" w:type="dxa"/>
                  <w:noWrap w:val="0"/>
                  <w:vAlign w:val="center"/>
                </w:tcPr>
                <w:p w14:paraId="2B589D62">
                  <w:pPr>
                    <w:pStyle w:val="96"/>
                    <w:bidi w:val="0"/>
                    <w:ind w:firstLine="0" w:firstLineChars="0"/>
                    <w:rPr>
                      <w:rFonts w:hint="eastAsia" w:ascii="Times New Roman" w:hAnsi="Times New Roman" w:eastAsia="宋体" w:cs="Times New Roman"/>
                      <w:snapToGrid w:val="0"/>
                      <w:color w:val="FF0000"/>
                      <w:kern w:val="21"/>
                      <w:sz w:val="21"/>
                      <w:szCs w:val="21"/>
                      <w:highlight w:val="none"/>
                      <w:u w:val="single" w:color="auto"/>
                    </w:rPr>
                  </w:pPr>
                  <w:r>
                    <w:rPr>
                      <w:rFonts w:hint="eastAsia" w:cs="Times New Roman"/>
                      <w:color w:val="FF0000"/>
                      <w:szCs w:val="22"/>
                      <w:u w:val="single" w:color="auto"/>
                      <w:lang w:val="en-US" w:eastAsia="zh-CN"/>
                    </w:rPr>
                    <w:t>中药渣</w:t>
                  </w:r>
                </w:p>
              </w:tc>
              <w:tc>
                <w:tcPr>
                  <w:tcW w:w="1439" w:type="dxa"/>
                  <w:noWrap w:val="0"/>
                  <w:vAlign w:val="center"/>
                </w:tcPr>
                <w:p w14:paraId="1A2B5077">
                  <w:pPr>
                    <w:pStyle w:val="96"/>
                    <w:bidi w:val="0"/>
                    <w:ind w:firstLine="0" w:firstLineChars="0"/>
                    <w:rPr>
                      <w:rFonts w:hint="eastAsia" w:ascii="Times New Roman" w:hAnsi="Times New Roman" w:eastAsia="宋体" w:cs="Times New Roman"/>
                      <w:snapToGrid w:val="0"/>
                      <w:color w:val="FF0000"/>
                      <w:kern w:val="21"/>
                      <w:sz w:val="21"/>
                      <w:szCs w:val="21"/>
                      <w:highlight w:val="none"/>
                      <w:u w:val="single" w:color="auto"/>
                    </w:rPr>
                  </w:pPr>
                  <w:r>
                    <w:rPr>
                      <w:rFonts w:hint="eastAsia" w:cs="Times New Roman"/>
                      <w:color w:val="FF0000"/>
                      <w:szCs w:val="22"/>
                      <w:u w:val="single" w:color="auto"/>
                      <w:lang w:val="en-US" w:eastAsia="zh-CN"/>
                    </w:rPr>
                    <w:t>0.6</w:t>
                  </w:r>
                </w:p>
              </w:tc>
              <w:tc>
                <w:tcPr>
                  <w:tcW w:w="1319" w:type="dxa"/>
                  <w:noWrap w:val="0"/>
                  <w:vAlign w:val="center"/>
                </w:tcPr>
                <w:p w14:paraId="798D81DE">
                  <w:pPr>
                    <w:pStyle w:val="96"/>
                    <w:bidi w:val="0"/>
                    <w:ind w:firstLine="0" w:firstLineChars="0"/>
                    <w:rPr>
                      <w:rFonts w:hint="default" w:ascii="Times New Roman" w:hAnsi="Times New Roman" w:eastAsia="宋体" w:cs="Times New Roman"/>
                      <w:snapToGrid w:val="0"/>
                      <w:color w:val="FF0000"/>
                      <w:kern w:val="21"/>
                      <w:sz w:val="21"/>
                      <w:szCs w:val="21"/>
                      <w:highlight w:val="none"/>
                      <w:u w:val="single" w:color="auto"/>
                      <w:lang w:val="en-US" w:eastAsia="zh-CN"/>
                    </w:rPr>
                  </w:pPr>
                  <w:r>
                    <w:rPr>
                      <w:rFonts w:hint="eastAsia" w:cs="Times New Roman"/>
                      <w:color w:val="FF0000"/>
                      <w:szCs w:val="22"/>
                      <w:u w:val="single" w:color="auto"/>
                      <w:lang w:val="en-US" w:eastAsia="zh-CN"/>
                    </w:rPr>
                    <w:t>2</w:t>
                  </w:r>
                </w:p>
              </w:tc>
              <w:tc>
                <w:tcPr>
                  <w:tcW w:w="1222" w:type="dxa"/>
                  <w:noWrap w:val="0"/>
                  <w:vAlign w:val="center"/>
                </w:tcPr>
                <w:p w14:paraId="6B403714">
                  <w:pPr>
                    <w:pStyle w:val="96"/>
                    <w:bidi w:val="0"/>
                    <w:ind w:firstLine="0" w:firstLineChars="0"/>
                    <w:rPr>
                      <w:rFonts w:hint="default" w:ascii="Times New Roman" w:hAnsi="Times New Roman" w:eastAsia="宋体" w:cs="Times New Roman"/>
                      <w:snapToGrid w:val="0"/>
                      <w:color w:val="FF0000"/>
                      <w:kern w:val="21"/>
                      <w:sz w:val="21"/>
                      <w:szCs w:val="21"/>
                      <w:highlight w:val="none"/>
                      <w:u w:val="single" w:color="auto"/>
                      <w:lang w:val="en-US" w:eastAsia="zh-CN"/>
                    </w:rPr>
                  </w:pPr>
                  <w:r>
                    <w:rPr>
                      <w:rFonts w:hint="eastAsia" w:cs="Times New Roman"/>
                      <w:color w:val="FF0000"/>
                      <w:szCs w:val="22"/>
                      <w:u w:val="single" w:color="auto"/>
                      <w:lang w:val="en-US" w:eastAsia="zh-CN"/>
                    </w:rPr>
                    <w:t>0.6</w:t>
                  </w:r>
                </w:p>
              </w:tc>
              <w:tc>
                <w:tcPr>
                  <w:tcW w:w="1519" w:type="dxa"/>
                  <w:noWrap w:val="0"/>
                  <w:vAlign w:val="center"/>
                </w:tcPr>
                <w:p w14:paraId="75155CE7">
                  <w:pPr>
                    <w:pStyle w:val="96"/>
                    <w:bidi w:val="0"/>
                    <w:ind w:firstLine="0" w:firstLineChars="0"/>
                    <w:rPr>
                      <w:rFonts w:hint="eastAsia" w:ascii="Times New Roman" w:hAnsi="Times New Roman" w:eastAsia="宋体" w:cs="Times New Roman"/>
                      <w:snapToGrid w:val="0"/>
                      <w:color w:val="FF0000"/>
                      <w:kern w:val="21"/>
                      <w:sz w:val="21"/>
                      <w:szCs w:val="21"/>
                      <w:highlight w:val="none"/>
                      <w:u w:val="single" w:color="auto"/>
                    </w:rPr>
                  </w:pPr>
                  <w:r>
                    <w:rPr>
                      <w:rFonts w:hint="eastAsia" w:cs="Times New Roman"/>
                      <w:color w:val="FF0000"/>
                      <w:szCs w:val="22"/>
                      <w:u w:val="single" w:color="auto"/>
                      <w:lang w:val="en-US" w:eastAsia="zh-CN"/>
                    </w:rPr>
                    <w:t>2</w:t>
                  </w:r>
                </w:p>
              </w:tc>
              <w:tc>
                <w:tcPr>
                  <w:tcW w:w="1109" w:type="dxa"/>
                  <w:noWrap w:val="0"/>
                  <w:vAlign w:val="center"/>
                </w:tcPr>
                <w:p w14:paraId="295598E5">
                  <w:pPr>
                    <w:pStyle w:val="96"/>
                    <w:bidi w:val="0"/>
                    <w:ind w:firstLine="0" w:firstLineChars="0"/>
                    <w:rPr>
                      <w:rFonts w:hint="eastAsia" w:ascii="Times New Roman" w:hAnsi="Times New Roman" w:eastAsia="宋体" w:cs="Times New Roman"/>
                      <w:snapToGrid w:val="0"/>
                      <w:color w:val="FF0000"/>
                      <w:kern w:val="21"/>
                      <w:sz w:val="21"/>
                      <w:szCs w:val="21"/>
                      <w:highlight w:val="none"/>
                      <w:u w:val="single" w:color="auto"/>
                      <w:lang w:val="en-US" w:eastAsia="zh-CN"/>
                    </w:rPr>
                  </w:pPr>
                  <w:r>
                    <w:rPr>
                      <w:rFonts w:hint="eastAsia" w:cs="Times New Roman"/>
                      <w:color w:val="FF0000"/>
                      <w:szCs w:val="22"/>
                      <w:u w:val="single" w:color="auto"/>
                      <w:lang w:val="en-US" w:eastAsia="zh-CN"/>
                    </w:rPr>
                    <w:t>+1.4</w:t>
                  </w:r>
                </w:p>
              </w:tc>
            </w:tr>
            <w:tr w14:paraId="1DAFE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41" w:type="dxa"/>
                  <w:vMerge w:val="continue"/>
                  <w:noWrap w:val="0"/>
                  <w:vAlign w:val="center"/>
                </w:tcPr>
                <w:p w14:paraId="0419371F">
                  <w:pPr>
                    <w:pStyle w:val="44"/>
                    <w:spacing w:beforeLines="0" w:afterLines="0" w:line="240" w:lineRule="auto"/>
                    <w:ind w:left="0" w:leftChars="0" w:firstLine="0" w:firstLineChars="0"/>
                    <w:jc w:val="center"/>
                    <w:rPr>
                      <w:rFonts w:hint="eastAsia" w:ascii="Times New Roman" w:hAnsi="Times New Roman" w:eastAsia="宋体" w:cs="Times New Roman"/>
                      <w:snapToGrid w:val="0"/>
                      <w:color w:val="FF0000"/>
                      <w:kern w:val="21"/>
                      <w:sz w:val="21"/>
                      <w:szCs w:val="21"/>
                      <w:highlight w:val="none"/>
                      <w:u w:val="single" w:color="auto"/>
                    </w:rPr>
                  </w:pPr>
                </w:p>
              </w:tc>
              <w:tc>
                <w:tcPr>
                  <w:tcW w:w="1403" w:type="dxa"/>
                  <w:noWrap w:val="0"/>
                  <w:vAlign w:val="center"/>
                </w:tcPr>
                <w:p w14:paraId="40D5843D">
                  <w:pPr>
                    <w:keepNext w:val="0"/>
                    <w:keepLines w:val="0"/>
                    <w:widowControl/>
                    <w:suppressLineNumbers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b w:val="0"/>
                      <w:bCs w:val="0"/>
                      <w:i w:val="0"/>
                      <w:color w:val="FF0000"/>
                      <w:kern w:val="0"/>
                      <w:sz w:val="21"/>
                      <w:szCs w:val="21"/>
                      <w:highlight w:val="none"/>
                      <w:u w:val="single" w:color="auto"/>
                      <w:lang w:val="en-US" w:eastAsia="zh-CN" w:bidi="ar"/>
                    </w:rPr>
                  </w:pPr>
                  <w:r>
                    <w:rPr>
                      <w:rFonts w:hint="eastAsia" w:ascii="Times New Roman" w:hAnsi="Times New Roman" w:eastAsia="宋体" w:cs="Times New Roman"/>
                      <w:snapToGrid w:val="0"/>
                      <w:color w:val="FF0000"/>
                      <w:kern w:val="0"/>
                      <w:sz w:val="21"/>
                      <w:szCs w:val="20"/>
                      <w:u w:val="single" w:color="auto"/>
                      <w:lang w:val="en-US" w:eastAsia="zh-CN" w:bidi="ar-SA"/>
                    </w:rPr>
                    <w:t>医用玻璃、一次性塑料输液瓶（袋）</w:t>
                  </w:r>
                </w:p>
              </w:tc>
              <w:tc>
                <w:tcPr>
                  <w:tcW w:w="1439" w:type="dxa"/>
                  <w:noWrap w:val="0"/>
                  <w:vAlign w:val="center"/>
                </w:tcPr>
                <w:p w14:paraId="00E863B0">
                  <w:pPr>
                    <w:pStyle w:val="96"/>
                    <w:bidi w:val="0"/>
                    <w:ind w:firstLine="0" w:firstLineChars="0"/>
                    <w:rPr>
                      <w:rFonts w:hint="default" w:ascii="Times New Roman" w:hAnsi="Times New Roman" w:eastAsia="宋体" w:cs="Times New Roman"/>
                      <w:b w:val="0"/>
                      <w:bCs w:val="0"/>
                      <w:i w:val="0"/>
                      <w:color w:val="FF0000"/>
                      <w:kern w:val="0"/>
                      <w:sz w:val="21"/>
                      <w:szCs w:val="21"/>
                      <w:highlight w:val="none"/>
                      <w:u w:val="single" w:color="auto"/>
                      <w:lang w:val="en-US" w:eastAsia="zh-CN" w:bidi="ar"/>
                    </w:rPr>
                  </w:pPr>
                  <w:r>
                    <w:rPr>
                      <w:rFonts w:hint="eastAsia" w:cs="Times New Roman"/>
                      <w:color w:val="FF0000"/>
                      <w:szCs w:val="22"/>
                      <w:u w:val="single" w:color="auto"/>
                      <w:lang w:val="en-US" w:eastAsia="zh-CN"/>
                    </w:rPr>
                    <w:t>37.8</w:t>
                  </w:r>
                </w:p>
              </w:tc>
              <w:tc>
                <w:tcPr>
                  <w:tcW w:w="1319" w:type="dxa"/>
                  <w:noWrap w:val="0"/>
                  <w:vAlign w:val="center"/>
                </w:tcPr>
                <w:p w14:paraId="2F625D27">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cs="Times New Roman"/>
                      <w:color w:val="FF0000"/>
                      <w:sz w:val="21"/>
                      <w:szCs w:val="21"/>
                      <w:u w:val="single" w:color="auto"/>
                      <w:lang w:val="en-US" w:eastAsia="zh-CN"/>
                    </w:rPr>
                  </w:pPr>
                  <w:r>
                    <w:rPr>
                      <w:rFonts w:hint="eastAsia" w:cs="Times New Roman"/>
                      <w:snapToGrid w:val="0"/>
                      <w:color w:val="FF0000"/>
                      <w:sz w:val="21"/>
                      <w:szCs w:val="21"/>
                      <w:u w:val="single" w:color="auto"/>
                      <w:lang w:val="en-US" w:eastAsia="zh-CN"/>
                    </w:rPr>
                    <w:t>127.2</w:t>
                  </w:r>
                </w:p>
              </w:tc>
              <w:tc>
                <w:tcPr>
                  <w:tcW w:w="1222" w:type="dxa"/>
                  <w:noWrap w:val="0"/>
                  <w:vAlign w:val="center"/>
                </w:tcPr>
                <w:p w14:paraId="557089B2">
                  <w:pPr>
                    <w:pStyle w:val="96"/>
                    <w:bidi w:val="0"/>
                    <w:ind w:firstLine="0" w:firstLineChars="0"/>
                    <w:rPr>
                      <w:rFonts w:hint="eastAsia" w:cs="Times New Roman"/>
                      <w:color w:val="FF0000"/>
                      <w:sz w:val="21"/>
                      <w:szCs w:val="21"/>
                      <w:u w:val="single" w:color="auto"/>
                      <w:lang w:val="en-US" w:eastAsia="zh-CN"/>
                    </w:rPr>
                  </w:pPr>
                  <w:r>
                    <w:rPr>
                      <w:rFonts w:hint="eastAsia" w:cs="Times New Roman"/>
                      <w:color w:val="FF0000"/>
                      <w:szCs w:val="22"/>
                      <w:u w:val="single" w:color="auto"/>
                      <w:lang w:val="en-US" w:eastAsia="zh-CN"/>
                    </w:rPr>
                    <w:t>37.8</w:t>
                  </w:r>
                </w:p>
              </w:tc>
              <w:tc>
                <w:tcPr>
                  <w:tcW w:w="1519" w:type="dxa"/>
                  <w:noWrap w:val="0"/>
                  <w:vAlign w:val="center"/>
                </w:tcPr>
                <w:p w14:paraId="6EC1E0D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i w:val="0"/>
                      <w:color w:val="FF0000"/>
                      <w:kern w:val="0"/>
                      <w:sz w:val="21"/>
                      <w:szCs w:val="21"/>
                      <w:highlight w:val="none"/>
                      <w:u w:val="single" w:color="auto"/>
                      <w:lang w:val="en-US" w:eastAsia="zh-CN" w:bidi="ar"/>
                    </w:rPr>
                  </w:pPr>
                  <w:r>
                    <w:rPr>
                      <w:rFonts w:hint="eastAsia" w:cs="Times New Roman"/>
                      <w:snapToGrid w:val="0"/>
                      <w:color w:val="FF0000"/>
                      <w:sz w:val="21"/>
                      <w:szCs w:val="21"/>
                      <w:u w:val="single" w:color="auto"/>
                      <w:lang w:val="en-US" w:eastAsia="zh-CN"/>
                    </w:rPr>
                    <w:t>127.2</w:t>
                  </w:r>
                </w:p>
              </w:tc>
              <w:tc>
                <w:tcPr>
                  <w:tcW w:w="1109" w:type="dxa"/>
                  <w:noWrap w:val="0"/>
                  <w:vAlign w:val="center"/>
                </w:tcPr>
                <w:p w14:paraId="3F33D768">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s="Times New Roman"/>
                      <w:color w:val="FF0000"/>
                      <w:sz w:val="21"/>
                      <w:szCs w:val="21"/>
                      <w:u w:val="single" w:color="auto"/>
                      <w:lang w:val="en-US" w:eastAsia="zh-CN"/>
                    </w:rPr>
                  </w:pPr>
                  <w:r>
                    <w:rPr>
                      <w:rFonts w:hint="eastAsia" w:cs="Times New Roman"/>
                      <w:snapToGrid w:val="0"/>
                      <w:color w:val="FF0000"/>
                      <w:sz w:val="21"/>
                      <w:szCs w:val="21"/>
                      <w:u w:val="single" w:color="auto"/>
                      <w:lang w:val="en-US" w:eastAsia="zh-CN"/>
                    </w:rPr>
                    <w:t>+89.4</w:t>
                  </w:r>
                </w:p>
              </w:tc>
            </w:tr>
            <w:tr w14:paraId="61E4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41" w:type="dxa"/>
                  <w:vMerge w:val="restart"/>
                  <w:noWrap w:val="0"/>
                  <w:vAlign w:val="center"/>
                </w:tcPr>
                <w:p w14:paraId="64C0A257">
                  <w:pPr>
                    <w:pStyle w:val="44"/>
                    <w:spacing w:beforeLines="0" w:afterLines="0" w:line="240" w:lineRule="auto"/>
                    <w:ind w:left="0" w:leftChars="0" w:firstLine="0" w:firstLineChars="0"/>
                    <w:jc w:val="center"/>
                    <w:rPr>
                      <w:rFonts w:hint="eastAsia" w:ascii="Times New Roman" w:hAnsi="Times New Roman" w:eastAsia="宋体" w:cs="Times New Roman"/>
                      <w:snapToGrid w:val="0"/>
                      <w:color w:val="FF0000"/>
                      <w:kern w:val="21"/>
                      <w:sz w:val="21"/>
                      <w:szCs w:val="21"/>
                      <w:highlight w:val="none"/>
                      <w:u w:val="single" w:color="auto"/>
                    </w:rPr>
                  </w:pPr>
                  <w:r>
                    <w:rPr>
                      <w:rFonts w:hint="eastAsia" w:ascii="Times New Roman" w:hAnsi="Times New Roman" w:eastAsia="宋体" w:cs="Times New Roman"/>
                      <w:snapToGrid w:val="0"/>
                      <w:color w:val="FF0000"/>
                      <w:kern w:val="21"/>
                      <w:sz w:val="21"/>
                      <w:szCs w:val="21"/>
                      <w:highlight w:val="none"/>
                      <w:u w:val="single" w:color="auto"/>
                    </w:rPr>
                    <w:t>危险废物</w:t>
                  </w:r>
                </w:p>
              </w:tc>
              <w:tc>
                <w:tcPr>
                  <w:tcW w:w="1403" w:type="dxa"/>
                  <w:noWrap w:val="0"/>
                  <w:vAlign w:val="center"/>
                </w:tcPr>
                <w:p w14:paraId="2459CBA0">
                  <w:pPr>
                    <w:pStyle w:val="96"/>
                    <w:bidi w:val="0"/>
                    <w:spacing w:line="240" w:lineRule="auto"/>
                    <w:ind w:firstLine="0" w:firstLineChars="0"/>
                    <w:jc w:val="center"/>
                    <w:rPr>
                      <w:rFonts w:hint="eastAsia" w:ascii="Times New Roman" w:hAnsi="Times New Roman" w:eastAsia="宋体" w:cs="Times New Roman"/>
                      <w:snapToGrid w:val="0"/>
                      <w:color w:val="FF0000"/>
                      <w:kern w:val="0"/>
                      <w:sz w:val="21"/>
                      <w:szCs w:val="21"/>
                      <w:highlight w:val="none"/>
                      <w:u w:val="single" w:color="auto"/>
                      <w:lang w:val="en-US" w:eastAsia="zh-CN" w:bidi="ar-SA"/>
                    </w:rPr>
                  </w:pPr>
                  <w:r>
                    <w:rPr>
                      <w:rFonts w:hint="eastAsia"/>
                      <w:color w:val="FF0000"/>
                      <w:u w:val="single" w:color="auto"/>
                      <w:lang w:val="en-US" w:eastAsia="zh-CN"/>
                    </w:rPr>
                    <w:t>医疗废物</w:t>
                  </w:r>
                </w:p>
              </w:tc>
              <w:tc>
                <w:tcPr>
                  <w:tcW w:w="1439" w:type="dxa"/>
                  <w:noWrap w:val="0"/>
                  <w:vAlign w:val="center"/>
                </w:tcPr>
                <w:p w14:paraId="4B8EE295">
                  <w:pPr>
                    <w:pStyle w:val="96"/>
                    <w:bidi w:val="0"/>
                    <w:ind w:firstLine="0" w:firstLineChars="0"/>
                    <w:rPr>
                      <w:rFonts w:hint="eastAsia" w:ascii="Times New Roman" w:hAnsi="Times New Roman" w:eastAsia="宋体" w:cs="Times New Roman"/>
                      <w:snapToGrid w:val="0"/>
                      <w:color w:val="FF0000"/>
                      <w:kern w:val="21"/>
                      <w:sz w:val="21"/>
                      <w:szCs w:val="21"/>
                      <w:highlight w:val="none"/>
                      <w:u w:val="single" w:color="auto"/>
                      <w:lang w:val="en-US" w:eastAsia="zh-CN"/>
                    </w:rPr>
                  </w:pPr>
                  <w:r>
                    <w:rPr>
                      <w:rFonts w:hint="eastAsia" w:cs="Times New Roman"/>
                      <w:color w:val="FF0000"/>
                      <w:szCs w:val="22"/>
                      <w:u w:val="single" w:color="auto"/>
                      <w:lang w:val="en-US" w:eastAsia="zh-CN"/>
                    </w:rPr>
                    <w:t>5.3</w:t>
                  </w:r>
                </w:p>
              </w:tc>
              <w:tc>
                <w:tcPr>
                  <w:tcW w:w="1319" w:type="dxa"/>
                  <w:noWrap w:val="0"/>
                  <w:vAlign w:val="center"/>
                </w:tcPr>
                <w:p w14:paraId="4697D36A">
                  <w:pPr>
                    <w:pStyle w:val="96"/>
                    <w:bidi w:val="0"/>
                    <w:spacing w:line="240" w:lineRule="auto"/>
                    <w:ind w:firstLine="0" w:firstLineChars="0"/>
                    <w:jc w:val="center"/>
                    <w:rPr>
                      <w:rFonts w:hint="default" w:ascii="Times New Roman" w:hAnsi="Times New Roman" w:eastAsia="宋体" w:cs="Times New Roman"/>
                      <w:color w:val="FF0000"/>
                      <w:sz w:val="21"/>
                      <w:szCs w:val="21"/>
                      <w:u w:val="single" w:color="auto"/>
                      <w:lang w:val="en-US" w:eastAsia="zh-CN"/>
                    </w:rPr>
                  </w:pPr>
                  <w:r>
                    <w:rPr>
                      <w:rFonts w:hint="eastAsia"/>
                      <w:color w:val="FF0000"/>
                      <w:highlight w:val="none"/>
                      <w:u w:val="single" w:color="auto"/>
                      <w:lang w:val="en-US" w:eastAsia="zh-CN"/>
                    </w:rPr>
                    <w:t>31.8</w:t>
                  </w:r>
                </w:p>
              </w:tc>
              <w:tc>
                <w:tcPr>
                  <w:tcW w:w="1222" w:type="dxa"/>
                  <w:noWrap w:val="0"/>
                  <w:vAlign w:val="center"/>
                </w:tcPr>
                <w:p w14:paraId="0090B0FC">
                  <w:pPr>
                    <w:pStyle w:val="96"/>
                    <w:bidi w:val="0"/>
                    <w:ind w:firstLine="0" w:firstLineChars="0"/>
                    <w:rPr>
                      <w:rFonts w:hint="eastAsia" w:ascii="Times New Roman" w:hAnsi="Times New Roman" w:eastAsia="宋体" w:cs="Times New Roman"/>
                      <w:color w:val="FF0000"/>
                      <w:sz w:val="21"/>
                      <w:szCs w:val="21"/>
                      <w:u w:val="single" w:color="auto"/>
                      <w:lang w:val="en-US" w:eastAsia="zh-CN"/>
                    </w:rPr>
                  </w:pPr>
                  <w:r>
                    <w:rPr>
                      <w:rFonts w:hint="eastAsia" w:cs="Times New Roman"/>
                      <w:color w:val="FF0000"/>
                      <w:szCs w:val="22"/>
                      <w:u w:val="single" w:color="auto"/>
                      <w:lang w:val="en-US" w:eastAsia="zh-CN"/>
                    </w:rPr>
                    <w:t>5.3</w:t>
                  </w:r>
                </w:p>
              </w:tc>
              <w:tc>
                <w:tcPr>
                  <w:tcW w:w="1519" w:type="dxa"/>
                  <w:noWrap w:val="0"/>
                  <w:vAlign w:val="center"/>
                </w:tcPr>
                <w:p w14:paraId="51019AF3">
                  <w:pPr>
                    <w:pStyle w:val="96"/>
                    <w:bidi w:val="0"/>
                    <w:spacing w:line="240" w:lineRule="auto"/>
                    <w:ind w:firstLine="0" w:firstLineChars="0"/>
                    <w:jc w:val="center"/>
                    <w:rPr>
                      <w:rFonts w:hint="eastAsia" w:ascii="Times New Roman" w:hAnsi="Times New Roman" w:eastAsia="宋体" w:cs="Times New Roman"/>
                      <w:color w:val="FF0000"/>
                      <w:sz w:val="21"/>
                      <w:szCs w:val="21"/>
                      <w:u w:val="single" w:color="auto"/>
                      <w:lang w:val="en-US" w:eastAsia="zh-CN"/>
                    </w:rPr>
                  </w:pPr>
                  <w:r>
                    <w:rPr>
                      <w:rFonts w:hint="eastAsia"/>
                      <w:color w:val="FF0000"/>
                      <w:highlight w:val="none"/>
                      <w:u w:val="single" w:color="auto"/>
                      <w:lang w:val="en-US" w:eastAsia="zh-CN"/>
                    </w:rPr>
                    <w:t>31.8</w:t>
                  </w:r>
                </w:p>
              </w:tc>
              <w:tc>
                <w:tcPr>
                  <w:tcW w:w="1109" w:type="dxa"/>
                  <w:noWrap w:val="0"/>
                  <w:vAlign w:val="center"/>
                </w:tcPr>
                <w:p w14:paraId="356076B0">
                  <w:pPr>
                    <w:pStyle w:val="96"/>
                    <w:bidi w:val="0"/>
                    <w:spacing w:line="240" w:lineRule="auto"/>
                    <w:ind w:firstLine="0" w:firstLineChars="0"/>
                    <w:jc w:val="center"/>
                    <w:rPr>
                      <w:rFonts w:hint="eastAsia" w:ascii="Times New Roman" w:hAnsi="Times New Roman" w:eastAsia="宋体" w:cs="Times New Roman"/>
                      <w:color w:val="FF0000"/>
                      <w:sz w:val="21"/>
                      <w:szCs w:val="21"/>
                      <w:u w:val="single" w:color="auto"/>
                      <w:lang w:val="en-US" w:eastAsia="zh-CN"/>
                    </w:rPr>
                  </w:pPr>
                  <w:r>
                    <w:rPr>
                      <w:rFonts w:hint="eastAsia"/>
                      <w:color w:val="FF0000"/>
                      <w:highlight w:val="none"/>
                      <w:u w:val="single" w:color="auto"/>
                      <w:lang w:val="en-US" w:eastAsia="zh-CN"/>
                    </w:rPr>
                    <w:t>+26.5</w:t>
                  </w:r>
                </w:p>
              </w:tc>
            </w:tr>
            <w:tr w14:paraId="3F3E6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41" w:type="dxa"/>
                  <w:vMerge w:val="continue"/>
                  <w:noWrap w:val="0"/>
                  <w:vAlign w:val="center"/>
                </w:tcPr>
                <w:p w14:paraId="4996A5A9">
                  <w:pPr>
                    <w:pStyle w:val="44"/>
                    <w:spacing w:beforeLines="0" w:afterLines="0" w:line="240" w:lineRule="auto"/>
                    <w:ind w:left="0" w:leftChars="0" w:firstLine="0" w:firstLineChars="0"/>
                    <w:jc w:val="center"/>
                    <w:rPr>
                      <w:rFonts w:hint="eastAsia" w:ascii="Times New Roman" w:hAnsi="Times New Roman" w:eastAsia="宋体" w:cs="Times New Roman"/>
                      <w:snapToGrid w:val="0"/>
                      <w:color w:val="FF0000"/>
                      <w:kern w:val="21"/>
                      <w:sz w:val="21"/>
                      <w:szCs w:val="21"/>
                      <w:highlight w:val="none"/>
                      <w:u w:val="single" w:color="auto"/>
                    </w:rPr>
                  </w:pPr>
                </w:p>
              </w:tc>
              <w:tc>
                <w:tcPr>
                  <w:tcW w:w="1403" w:type="dxa"/>
                  <w:noWrap w:val="0"/>
                  <w:vAlign w:val="center"/>
                </w:tcPr>
                <w:p w14:paraId="4A98001C">
                  <w:pPr>
                    <w:pStyle w:val="96"/>
                    <w:bidi w:val="0"/>
                    <w:spacing w:line="240" w:lineRule="auto"/>
                    <w:ind w:firstLine="0" w:firstLineChars="0"/>
                    <w:jc w:val="center"/>
                    <w:rPr>
                      <w:rFonts w:hint="eastAsia" w:ascii="Times New Roman" w:hAnsi="Times New Roman" w:eastAsia="宋体" w:cs="Times New Roman"/>
                      <w:snapToGrid w:val="0"/>
                      <w:color w:val="FF0000"/>
                      <w:kern w:val="0"/>
                      <w:sz w:val="21"/>
                      <w:szCs w:val="21"/>
                      <w:highlight w:val="none"/>
                      <w:u w:val="single" w:color="auto"/>
                      <w:lang w:val="en-US" w:eastAsia="zh-CN" w:bidi="ar-SA"/>
                    </w:rPr>
                  </w:pPr>
                  <w:r>
                    <w:rPr>
                      <w:rFonts w:hint="eastAsia" w:cs="Times New Roman"/>
                      <w:color w:val="FF0000"/>
                      <w:u w:val="none"/>
                      <w:lang w:val="en-US" w:eastAsia="zh-CN"/>
                    </w:rPr>
                    <w:t>污水处理</w:t>
                  </w:r>
                  <w:r>
                    <w:rPr>
                      <w:rFonts w:hint="eastAsia" w:ascii="Times New Roman" w:hAnsi="Times New Roman" w:eastAsia="宋体" w:cs="Times New Roman"/>
                      <w:color w:val="FF0000"/>
                      <w:u w:val="none"/>
                      <w:lang w:val="en-US" w:eastAsia="zh-CN"/>
                    </w:rPr>
                    <w:t>污泥</w:t>
                  </w:r>
                </w:p>
              </w:tc>
              <w:tc>
                <w:tcPr>
                  <w:tcW w:w="1439" w:type="dxa"/>
                  <w:noWrap w:val="0"/>
                  <w:vAlign w:val="center"/>
                </w:tcPr>
                <w:p w14:paraId="34A39026">
                  <w:pPr>
                    <w:pStyle w:val="96"/>
                    <w:bidi w:val="0"/>
                    <w:ind w:firstLine="0" w:firstLineChars="0"/>
                    <w:rPr>
                      <w:rFonts w:hint="default" w:ascii="Times New Roman" w:hAnsi="Times New Roman" w:eastAsia="宋体" w:cs="Times New Roman"/>
                      <w:snapToGrid w:val="0"/>
                      <w:color w:val="FF0000"/>
                      <w:kern w:val="21"/>
                      <w:sz w:val="21"/>
                      <w:szCs w:val="21"/>
                      <w:highlight w:val="none"/>
                      <w:u w:val="single" w:color="auto"/>
                      <w:lang w:val="en-US" w:eastAsia="zh-CN"/>
                    </w:rPr>
                  </w:pPr>
                  <w:r>
                    <w:rPr>
                      <w:rFonts w:hint="eastAsia" w:cs="Times New Roman"/>
                      <w:color w:val="FF0000"/>
                      <w:szCs w:val="22"/>
                      <w:u w:val="single" w:color="auto"/>
                      <w:lang w:val="en-US" w:eastAsia="zh-CN"/>
                    </w:rPr>
                    <w:t>0.9</w:t>
                  </w:r>
                </w:p>
              </w:tc>
              <w:tc>
                <w:tcPr>
                  <w:tcW w:w="1319" w:type="dxa"/>
                  <w:noWrap w:val="0"/>
                  <w:vAlign w:val="center"/>
                </w:tcPr>
                <w:p w14:paraId="25C82FF8">
                  <w:pPr>
                    <w:pStyle w:val="96"/>
                    <w:bidi w:val="0"/>
                    <w:spacing w:line="240" w:lineRule="auto"/>
                    <w:ind w:firstLine="0" w:firstLineChars="0"/>
                    <w:jc w:val="center"/>
                    <w:rPr>
                      <w:rFonts w:hint="default" w:ascii="Times New Roman" w:hAnsi="Times New Roman" w:eastAsia="宋体" w:cs="Times New Roman"/>
                      <w:color w:val="FF0000"/>
                      <w:sz w:val="21"/>
                      <w:szCs w:val="21"/>
                      <w:u w:val="single" w:color="auto"/>
                      <w:lang w:val="en-US" w:eastAsia="zh-CN"/>
                    </w:rPr>
                  </w:pPr>
                  <w:r>
                    <w:rPr>
                      <w:rFonts w:hint="eastAsia"/>
                      <w:color w:val="FF0000"/>
                      <w:highlight w:val="none"/>
                      <w:u w:val="none"/>
                      <w:lang w:val="en-US" w:eastAsia="zh-CN"/>
                    </w:rPr>
                    <w:t>5.913</w:t>
                  </w:r>
                </w:p>
              </w:tc>
              <w:tc>
                <w:tcPr>
                  <w:tcW w:w="1222" w:type="dxa"/>
                  <w:noWrap w:val="0"/>
                  <w:vAlign w:val="center"/>
                </w:tcPr>
                <w:p w14:paraId="287E4659">
                  <w:pPr>
                    <w:pStyle w:val="96"/>
                    <w:bidi w:val="0"/>
                    <w:ind w:firstLine="0" w:firstLineChars="0"/>
                    <w:rPr>
                      <w:rFonts w:hint="default" w:ascii="Times New Roman" w:hAnsi="Times New Roman" w:eastAsia="宋体" w:cs="Times New Roman"/>
                      <w:color w:val="FF0000"/>
                      <w:sz w:val="21"/>
                      <w:szCs w:val="21"/>
                      <w:u w:val="single" w:color="auto"/>
                      <w:lang w:val="en-US" w:eastAsia="zh-CN"/>
                    </w:rPr>
                  </w:pPr>
                  <w:r>
                    <w:rPr>
                      <w:rFonts w:hint="eastAsia" w:cs="Times New Roman"/>
                      <w:color w:val="FF0000"/>
                      <w:szCs w:val="22"/>
                      <w:u w:val="single" w:color="auto"/>
                      <w:lang w:val="en-US" w:eastAsia="zh-CN"/>
                    </w:rPr>
                    <w:t>0.9</w:t>
                  </w:r>
                </w:p>
              </w:tc>
              <w:tc>
                <w:tcPr>
                  <w:tcW w:w="1519" w:type="dxa"/>
                  <w:noWrap w:val="0"/>
                  <w:vAlign w:val="center"/>
                </w:tcPr>
                <w:p w14:paraId="3C9C5CE3">
                  <w:pPr>
                    <w:pStyle w:val="96"/>
                    <w:bidi w:val="0"/>
                    <w:spacing w:line="240" w:lineRule="auto"/>
                    <w:ind w:firstLine="0" w:firstLineChars="0"/>
                    <w:jc w:val="center"/>
                    <w:rPr>
                      <w:rFonts w:hint="eastAsia" w:ascii="Times New Roman" w:hAnsi="Times New Roman" w:eastAsia="宋体" w:cs="Times New Roman"/>
                      <w:color w:val="FF0000"/>
                      <w:sz w:val="21"/>
                      <w:szCs w:val="21"/>
                      <w:u w:val="single" w:color="auto"/>
                      <w:lang w:val="en-US" w:eastAsia="zh-CN"/>
                    </w:rPr>
                  </w:pPr>
                  <w:r>
                    <w:rPr>
                      <w:rFonts w:hint="eastAsia"/>
                      <w:color w:val="FF0000"/>
                      <w:highlight w:val="none"/>
                      <w:u w:val="none"/>
                      <w:lang w:val="en-US" w:eastAsia="zh-CN"/>
                    </w:rPr>
                    <w:t>5.913</w:t>
                  </w:r>
                </w:p>
              </w:tc>
              <w:tc>
                <w:tcPr>
                  <w:tcW w:w="1109" w:type="dxa"/>
                  <w:noWrap w:val="0"/>
                  <w:vAlign w:val="center"/>
                </w:tcPr>
                <w:p w14:paraId="5F27AE12">
                  <w:pPr>
                    <w:pStyle w:val="96"/>
                    <w:bidi w:val="0"/>
                    <w:spacing w:line="240" w:lineRule="auto"/>
                    <w:ind w:firstLine="0" w:firstLineChars="0"/>
                    <w:jc w:val="center"/>
                    <w:rPr>
                      <w:rFonts w:hint="eastAsia" w:ascii="Times New Roman" w:hAnsi="Times New Roman" w:eastAsia="宋体" w:cs="Times New Roman"/>
                      <w:color w:val="FF0000"/>
                      <w:sz w:val="21"/>
                      <w:szCs w:val="21"/>
                      <w:u w:val="single" w:color="auto"/>
                      <w:lang w:val="en-US" w:eastAsia="zh-CN"/>
                    </w:rPr>
                  </w:pPr>
                  <w:r>
                    <w:rPr>
                      <w:rFonts w:hint="eastAsia"/>
                      <w:color w:val="FF0000"/>
                      <w:highlight w:val="none"/>
                      <w:u w:val="none"/>
                      <w:lang w:val="en-US" w:eastAsia="zh-CN"/>
                    </w:rPr>
                    <w:t>+5.013</w:t>
                  </w:r>
                </w:p>
              </w:tc>
            </w:tr>
          </w:tbl>
          <w:p w14:paraId="6BE8FC95">
            <w:pPr>
              <w:pStyle w:val="54"/>
              <w:widowControl w:val="0"/>
              <w:ind w:firstLine="0" w:firstLineChars="0"/>
              <w:rPr>
                <w:rFonts w:hint="default" w:eastAsia="宋体" w:cs="Times New Roman"/>
                <w:color w:val="auto"/>
                <w:highlight w:val="none"/>
                <w:u w:val="none" w:color="auto"/>
                <w:lang w:val="en-US" w:eastAsia="zh-CN"/>
              </w:rPr>
            </w:pPr>
          </w:p>
        </w:tc>
      </w:tr>
    </w:tbl>
    <w:p w14:paraId="3A4059DC">
      <w:pPr>
        <w:pStyle w:val="2"/>
        <w:spacing w:line="360" w:lineRule="auto"/>
        <w:rPr>
          <w:rFonts w:hint="eastAsia"/>
          <w:color w:val="auto"/>
          <w:highlight w:val="none"/>
          <w:u w:val="none"/>
          <w:lang w:val="en-US"/>
        </w:rPr>
        <w:sectPr>
          <w:footerReference r:id="rId7" w:type="default"/>
          <w:pgSz w:w="11906" w:h="16838"/>
          <w:pgMar w:top="1440" w:right="1083" w:bottom="1440" w:left="1083" w:header="850"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9" w:name="_Toc134635719"/>
    </w:p>
    <w:p w14:paraId="2DA1F443">
      <w:pPr>
        <w:pStyle w:val="2"/>
        <w:spacing w:line="360" w:lineRule="auto"/>
        <w:rPr>
          <w:color w:val="auto"/>
          <w:highlight w:val="none"/>
          <w:u w:val="none"/>
          <w:lang w:val="en-US"/>
        </w:rPr>
      </w:pPr>
      <w:r>
        <w:rPr>
          <w:rFonts w:hint="eastAsia"/>
          <w:color w:val="auto"/>
          <w:highlight w:val="none"/>
          <w:u w:val="none"/>
          <w:lang w:val="en-US"/>
        </w:rPr>
        <w:t>五、环境保护措施</w:t>
      </w:r>
      <w:r>
        <w:rPr>
          <w:rFonts w:hint="eastAsia"/>
          <w:color w:val="auto"/>
          <w:highlight w:val="none"/>
          <w:u w:val="none"/>
          <w:lang w:val="en-US" w:eastAsia="zh-CN"/>
        </w:rPr>
        <w:t>监督</w:t>
      </w:r>
      <w:r>
        <w:rPr>
          <w:rFonts w:hint="eastAsia"/>
          <w:color w:val="auto"/>
          <w:highlight w:val="none"/>
          <w:u w:val="none"/>
          <w:lang w:val="en-US"/>
        </w:rPr>
        <w:t>检查清单</w:t>
      </w:r>
      <w:bookmarkEnd w:id="9"/>
    </w:p>
    <w:tbl>
      <w:tblPr>
        <w:tblStyle w:val="34"/>
        <w:tblpPr w:leftFromText="180" w:rightFromText="180" w:vertAnchor="text" w:horzAnchor="page" w:tblpX="1640" w:tblpY="667"/>
        <w:tblOverlap w:val="never"/>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0"/>
        <w:gridCol w:w="775"/>
        <w:gridCol w:w="1703"/>
        <w:gridCol w:w="1565"/>
        <w:gridCol w:w="2016"/>
        <w:gridCol w:w="2590"/>
      </w:tblGrid>
      <w:tr w14:paraId="67BFFA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1665" w:type="dxa"/>
            <w:gridSpan w:val="2"/>
            <w:tcBorders>
              <w:tl2br w:val="single" w:color="auto" w:sz="4" w:space="0"/>
            </w:tcBorders>
            <w:noWrap w:val="0"/>
            <w:vAlign w:val="top"/>
          </w:tcPr>
          <w:p w14:paraId="455D0622">
            <w:pPr>
              <w:adjustRightInd w:val="0"/>
              <w:snapToGrid w:val="0"/>
              <w:ind w:firstLine="840"/>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内容</w:t>
            </w:r>
          </w:p>
          <w:p w14:paraId="421EBCC3">
            <w:pPr>
              <w:adjustRightInd w:val="0"/>
              <w:snapToGrid w:val="0"/>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要素</w:t>
            </w:r>
          </w:p>
        </w:tc>
        <w:tc>
          <w:tcPr>
            <w:tcW w:w="1703" w:type="dxa"/>
            <w:noWrap w:val="0"/>
            <w:vAlign w:val="center"/>
          </w:tcPr>
          <w:p w14:paraId="00B7042A">
            <w:pPr>
              <w:adjustRightInd w:val="0"/>
              <w:snapToGrid w:val="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排放口(编号、</w:t>
            </w:r>
          </w:p>
          <w:p w14:paraId="6AF1F31F">
            <w:pPr>
              <w:adjustRightInd w:val="0"/>
              <w:snapToGrid w:val="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名称)/污染源</w:t>
            </w:r>
          </w:p>
        </w:tc>
        <w:tc>
          <w:tcPr>
            <w:tcW w:w="1565" w:type="dxa"/>
            <w:noWrap w:val="0"/>
            <w:vAlign w:val="center"/>
          </w:tcPr>
          <w:p w14:paraId="049A59B7">
            <w:pPr>
              <w:adjustRightInd w:val="0"/>
              <w:snapToGrid w:val="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污染物项目</w:t>
            </w:r>
          </w:p>
        </w:tc>
        <w:tc>
          <w:tcPr>
            <w:tcW w:w="2016" w:type="dxa"/>
            <w:noWrap w:val="0"/>
            <w:vAlign w:val="center"/>
          </w:tcPr>
          <w:p w14:paraId="0E5F5495">
            <w:pPr>
              <w:adjustRightInd w:val="0"/>
              <w:snapToGrid w:val="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环境保护措施</w:t>
            </w:r>
          </w:p>
        </w:tc>
        <w:tc>
          <w:tcPr>
            <w:tcW w:w="2590" w:type="dxa"/>
            <w:noWrap w:val="0"/>
            <w:vAlign w:val="center"/>
          </w:tcPr>
          <w:p w14:paraId="14AA2B56">
            <w:pPr>
              <w:adjustRightInd w:val="0"/>
              <w:snapToGrid w:val="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执行标准</w:t>
            </w:r>
          </w:p>
        </w:tc>
      </w:tr>
      <w:tr w14:paraId="384030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0" w:type="dxa"/>
            <w:vMerge w:val="restart"/>
            <w:noWrap w:val="0"/>
            <w:vAlign w:val="center"/>
          </w:tcPr>
          <w:p w14:paraId="1E6D7F51">
            <w:pPr>
              <w:adjustRightInd w:val="0"/>
              <w:snapToGrid w:val="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大气环境</w:t>
            </w:r>
          </w:p>
        </w:tc>
        <w:tc>
          <w:tcPr>
            <w:tcW w:w="775" w:type="dxa"/>
            <w:noWrap w:val="0"/>
            <w:vAlign w:val="center"/>
          </w:tcPr>
          <w:p w14:paraId="0870DB2F">
            <w:pPr>
              <w:adjustRightInd w:val="0"/>
              <w:snapToGrid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有组织</w:t>
            </w:r>
          </w:p>
        </w:tc>
        <w:tc>
          <w:tcPr>
            <w:tcW w:w="1703" w:type="dxa"/>
            <w:noWrap w:val="0"/>
            <w:vAlign w:val="center"/>
          </w:tcPr>
          <w:p w14:paraId="645436AD">
            <w:pPr>
              <w:spacing w:line="240" w:lineRule="auto"/>
              <w:ind w:firstLine="0" w:firstLineChars="0"/>
              <w:jc w:val="center"/>
              <w:rPr>
                <w:rFonts w:hint="default" w:eastAsia="宋体"/>
                <w:u w:val="single" w:color="auto"/>
                <w:lang w:val="en-US" w:eastAsia="zh-CN"/>
              </w:rPr>
            </w:pPr>
            <w:r>
              <w:rPr>
                <w:rFonts w:hint="default" w:ascii="Times New Roman" w:hAnsi="Times New Roman" w:eastAsia="宋体" w:cs="Times New Roman"/>
                <w:color w:val="auto"/>
                <w:sz w:val="21"/>
                <w:szCs w:val="21"/>
                <w:u w:val="single" w:color="auto"/>
                <w:lang w:eastAsia="zh-CN"/>
              </w:rPr>
              <w:t>食堂</w:t>
            </w:r>
          </w:p>
        </w:tc>
        <w:tc>
          <w:tcPr>
            <w:tcW w:w="1565" w:type="dxa"/>
            <w:noWrap w:val="0"/>
            <w:vAlign w:val="center"/>
          </w:tcPr>
          <w:p w14:paraId="6FDB89C0">
            <w:pPr>
              <w:tabs>
                <w:tab w:val="left" w:pos="2940"/>
              </w:tabs>
              <w:snapToGrid w:val="0"/>
              <w:spacing w:line="240" w:lineRule="auto"/>
              <w:ind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eastAsia="zh-CN"/>
              </w:rPr>
              <w:t>油烟废气</w:t>
            </w:r>
          </w:p>
        </w:tc>
        <w:tc>
          <w:tcPr>
            <w:tcW w:w="2016" w:type="dxa"/>
            <w:noWrap w:val="0"/>
            <w:vAlign w:val="center"/>
          </w:tcPr>
          <w:p w14:paraId="26C69A63">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油烟净化器</w:t>
            </w:r>
            <w:r>
              <w:rPr>
                <w:rFonts w:hint="eastAsia" w:cs="Times New Roman"/>
                <w:color w:val="auto"/>
                <w:sz w:val="21"/>
                <w:szCs w:val="21"/>
                <w:u w:val="single" w:color="auto"/>
                <w:lang w:val="en-US" w:eastAsia="zh-CN"/>
              </w:rPr>
              <w:t>+高楼顶排放</w:t>
            </w:r>
          </w:p>
        </w:tc>
        <w:tc>
          <w:tcPr>
            <w:tcW w:w="2590" w:type="dxa"/>
            <w:noWrap w:val="0"/>
            <w:vAlign w:val="center"/>
          </w:tcPr>
          <w:p w14:paraId="779EC249">
            <w:pPr>
              <w:spacing w:line="240" w:lineRule="auto"/>
              <w:ind w:firstLine="0" w:firstLineChars="0"/>
              <w:jc w:val="center"/>
              <w:rPr>
                <w:rFonts w:hint="default" w:ascii="Times New Roman" w:hAnsi="Times New Roman" w:eastAsia="宋体" w:cs="Times New Roman"/>
                <w:color w:val="auto"/>
                <w:sz w:val="21"/>
                <w:szCs w:val="21"/>
                <w:u w:val="single" w:color="auto"/>
                <w:lang w:eastAsia="zh-CN"/>
              </w:rPr>
            </w:pPr>
            <w:r>
              <w:rPr>
                <w:rFonts w:hint="default" w:ascii="Times New Roman" w:hAnsi="Times New Roman" w:eastAsia="宋体" w:cs="Times New Roman"/>
                <w:color w:val="auto"/>
                <w:sz w:val="21"/>
                <w:szCs w:val="21"/>
                <w:u w:val="single" w:color="auto"/>
              </w:rPr>
              <w:t>《</w:t>
            </w:r>
            <w:r>
              <w:rPr>
                <w:rFonts w:hint="default" w:ascii="Times New Roman" w:hAnsi="Times New Roman" w:eastAsia="宋体" w:cs="Times New Roman"/>
                <w:color w:val="auto"/>
                <w:sz w:val="21"/>
                <w:szCs w:val="21"/>
                <w:u w:val="single" w:color="auto"/>
                <w:lang w:eastAsia="zh-CN"/>
              </w:rPr>
              <w:t>饮食业油烟排放标准（试行）》（GB 18483-2001）表2</w:t>
            </w:r>
            <w:r>
              <w:rPr>
                <w:rFonts w:hint="eastAsia" w:cs="Times New Roman"/>
                <w:color w:val="auto"/>
                <w:sz w:val="21"/>
                <w:szCs w:val="21"/>
                <w:u w:val="single" w:color="auto"/>
                <w:lang w:eastAsia="zh-CN"/>
              </w:rPr>
              <w:t>中相关标准</w:t>
            </w:r>
          </w:p>
        </w:tc>
      </w:tr>
      <w:tr w14:paraId="2D883C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33" w:hRule="atLeast"/>
        </w:trPr>
        <w:tc>
          <w:tcPr>
            <w:tcW w:w="890" w:type="dxa"/>
            <w:vMerge w:val="continue"/>
            <w:noWrap w:val="0"/>
            <w:vAlign w:val="center"/>
          </w:tcPr>
          <w:p w14:paraId="054F446B">
            <w:pPr>
              <w:adjustRightInd w:val="0"/>
              <w:snapToGrid w:val="0"/>
              <w:jc w:val="center"/>
              <w:rPr>
                <w:rFonts w:hint="default" w:ascii="Times New Roman" w:hAnsi="Times New Roman" w:eastAsia="宋体" w:cs="Times New Roman"/>
                <w:color w:val="auto"/>
                <w:sz w:val="21"/>
                <w:szCs w:val="21"/>
                <w:u w:val="single" w:color="auto"/>
              </w:rPr>
            </w:pPr>
          </w:p>
        </w:tc>
        <w:tc>
          <w:tcPr>
            <w:tcW w:w="775" w:type="dxa"/>
            <w:vMerge w:val="restart"/>
            <w:noWrap w:val="0"/>
            <w:vAlign w:val="center"/>
          </w:tcPr>
          <w:p w14:paraId="6A420087">
            <w:pPr>
              <w:adjustRightInd w:val="0"/>
              <w:snapToGrid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无组织</w:t>
            </w:r>
          </w:p>
        </w:tc>
        <w:tc>
          <w:tcPr>
            <w:tcW w:w="1703" w:type="dxa"/>
            <w:noWrap w:val="0"/>
            <w:vAlign w:val="center"/>
          </w:tcPr>
          <w:p w14:paraId="7B69A6EB">
            <w:pPr>
              <w:spacing w:line="240" w:lineRule="auto"/>
              <w:ind w:firstLine="0" w:firstLineChars="0"/>
              <w:jc w:val="center"/>
              <w:rPr>
                <w:rFonts w:hint="eastAsia" w:ascii="Times New Roman" w:hAnsi="Times New Roman" w:eastAsia="宋体" w:cs="Times New Roman"/>
                <w:color w:val="auto"/>
                <w:sz w:val="21"/>
                <w:szCs w:val="21"/>
                <w:u w:val="single" w:color="auto"/>
                <w:lang w:eastAsia="zh-CN"/>
              </w:rPr>
            </w:pPr>
            <w:r>
              <w:rPr>
                <w:rFonts w:hint="default" w:ascii="Times New Roman" w:hAnsi="Times New Roman" w:eastAsia="宋体" w:cs="Times New Roman"/>
                <w:color w:val="auto"/>
                <w:sz w:val="21"/>
                <w:szCs w:val="21"/>
                <w:u w:val="single" w:color="auto"/>
                <w:lang w:eastAsia="zh-CN"/>
              </w:rPr>
              <w:t>污水站</w:t>
            </w:r>
            <w:r>
              <w:rPr>
                <w:rFonts w:hint="eastAsia"/>
                <w:sz w:val="21"/>
                <w:szCs w:val="21"/>
                <w:u w:val="single" w:color="auto"/>
                <w:lang w:eastAsia="zh-CN"/>
              </w:rPr>
              <w:t>恶臭气体</w:t>
            </w:r>
          </w:p>
        </w:tc>
        <w:tc>
          <w:tcPr>
            <w:tcW w:w="1565" w:type="dxa"/>
            <w:noWrap w:val="0"/>
            <w:vAlign w:val="center"/>
          </w:tcPr>
          <w:p w14:paraId="3AE31032">
            <w:pPr>
              <w:tabs>
                <w:tab w:val="left" w:pos="2940"/>
              </w:tabs>
              <w:snapToGrid w:val="0"/>
              <w:spacing w:line="240" w:lineRule="auto"/>
              <w:ind w:firstLine="0" w:firstLineChars="0"/>
              <w:jc w:val="center"/>
              <w:rPr>
                <w:rFonts w:hint="default" w:ascii="Times New Roman" w:hAnsi="Times New Roman" w:eastAsia="宋体" w:cs="Times New Roman"/>
                <w:color w:val="auto"/>
                <w:sz w:val="21"/>
                <w:szCs w:val="21"/>
                <w:u w:val="single" w:color="auto"/>
                <w:lang w:val="en-US"/>
              </w:rPr>
            </w:pPr>
            <w:r>
              <w:rPr>
                <w:rFonts w:hint="default" w:ascii="Times New Roman" w:hAnsi="Times New Roman" w:eastAsia="宋体" w:cs="Times New Roman"/>
                <w:color w:val="auto"/>
                <w:sz w:val="21"/>
                <w:szCs w:val="21"/>
                <w:u w:val="single" w:color="auto"/>
              </w:rPr>
              <w:t>氨、硫化氢、臭气浓度、</w:t>
            </w:r>
            <w:r>
              <w:rPr>
                <w:rFonts w:hint="eastAsia" w:cs="Times New Roman"/>
                <w:color w:val="auto"/>
                <w:sz w:val="21"/>
                <w:szCs w:val="21"/>
                <w:u w:val="single" w:color="auto"/>
                <w:lang w:eastAsia="zh-CN"/>
              </w:rPr>
              <w:t>甲烷</w:t>
            </w:r>
          </w:p>
        </w:tc>
        <w:tc>
          <w:tcPr>
            <w:tcW w:w="2016" w:type="dxa"/>
            <w:noWrap w:val="0"/>
            <w:vAlign w:val="center"/>
          </w:tcPr>
          <w:p w14:paraId="17BFD318">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设备密闭、喷洒除臭剂</w:t>
            </w:r>
          </w:p>
        </w:tc>
        <w:tc>
          <w:tcPr>
            <w:tcW w:w="2590" w:type="dxa"/>
            <w:noWrap w:val="0"/>
            <w:vAlign w:val="center"/>
          </w:tcPr>
          <w:p w14:paraId="79A3BEDD">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rPr>
              <w:t>《医疗机构水污染物排放标准》（GB18466-2005）表3污水处理站周边大气污染物最高允许浓度中排放标准</w:t>
            </w:r>
          </w:p>
        </w:tc>
      </w:tr>
      <w:tr w14:paraId="6D3CF5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890" w:type="dxa"/>
            <w:vMerge w:val="continue"/>
            <w:noWrap w:val="0"/>
            <w:vAlign w:val="center"/>
          </w:tcPr>
          <w:p w14:paraId="244215C7">
            <w:pPr>
              <w:adjustRightInd w:val="0"/>
              <w:snapToGrid w:val="0"/>
              <w:jc w:val="center"/>
              <w:rPr>
                <w:rFonts w:hint="default" w:ascii="Times New Roman" w:hAnsi="Times New Roman" w:eastAsia="宋体" w:cs="Times New Roman"/>
                <w:color w:val="auto"/>
                <w:sz w:val="21"/>
                <w:szCs w:val="21"/>
                <w:u w:val="single" w:color="auto"/>
              </w:rPr>
            </w:pPr>
          </w:p>
        </w:tc>
        <w:tc>
          <w:tcPr>
            <w:tcW w:w="775" w:type="dxa"/>
            <w:vMerge w:val="continue"/>
            <w:noWrap w:val="0"/>
            <w:vAlign w:val="center"/>
          </w:tcPr>
          <w:p w14:paraId="0085B8A9">
            <w:pPr>
              <w:adjustRightInd w:val="0"/>
              <w:snapToGrid w:val="0"/>
              <w:jc w:val="center"/>
              <w:rPr>
                <w:rFonts w:hint="default" w:ascii="Times New Roman" w:hAnsi="Times New Roman" w:eastAsia="宋体" w:cs="Times New Roman"/>
                <w:color w:val="auto"/>
                <w:sz w:val="21"/>
                <w:szCs w:val="21"/>
                <w:u w:val="single" w:color="auto"/>
              </w:rPr>
            </w:pPr>
          </w:p>
        </w:tc>
        <w:tc>
          <w:tcPr>
            <w:tcW w:w="1703" w:type="dxa"/>
            <w:noWrap w:val="0"/>
            <w:vAlign w:val="center"/>
          </w:tcPr>
          <w:p w14:paraId="604EC06D">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柴油发电机废气</w:t>
            </w:r>
          </w:p>
        </w:tc>
        <w:tc>
          <w:tcPr>
            <w:tcW w:w="1565" w:type="dxa"/>
            <w:noWrap w:val="0"/>
            <w:vAlign w:val="center"/>
          </w:tcPr>
          <w:p w14:paraId="0D3FEA01">
            <w:pPr>
              <w:tabs>
                <w:tab w:val="left" w:pos="2940"/>
              </w:tabs>
              <w:snapToGrid w:val="0"/>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二氧化硫、氮氧化物、颗粒物</w:t>
            </w:r>
          </w:p>
        </w:tc>
        <w:tc>
          <w:tcPr>
            <w:tcW w:w="2016" w:type="dxa"/>
            <w:noWrap w:val="0"/>
            <w:vAlign w:val="center"/>
          </w:tcPr>
          <w:p w14:paraId="4C0FCAF5">
            <w:pPr>
              <w:adjustRightInd w:val="0"/>
              <w:snapToGrid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加强通风</w:t>
            </w:r>
          </w:p>
        </w:tc>
        <w:tc>
          <w:tcPr>
            <w:tcW w:w="2590" w:type="dxa"/>
            <w:noWrap w:val="0"/>
            <w:vAlign w:val="center"/>
          </w:tcPr>
          <w:p w14:paraId="32FF6D5D">
            <w:pPr>
              <w:spacing w:line="240" w:lineRule="auto"/>
              <w:ind w:firstLine="0" w:firstLineChars="0"/>
              <w:jc w:val="center"/>
              <w:rPr>
                <w:rFonts w:hint="default" w:ascii="Times New Roman" w:hAnsi="Times New Roman" w:eastAsia="宋体" w:cs="Times New Roman"/>
                <w:color w:val="auto"/>
                <w:sz w:val="21"/>
                <w:szCs w:val="21"/>
                <w:u w:val="single" w:color="auto"/>
                <w:lang w:val="en-US"/>
              </w:rPr>
            </w:pPr>
            <w:r>
              <w:rPr>
                <w:rFonts w:hint="default" w:ascii="Times New Roman" w:hAnsi="Times New Roman" w:eastAsia="宋体" w:cs="Times New Roman"/>
                <w:color w:val="auto"/>
                <w:sz w:val="21"/>
                <w:szCs w:val="21"/>
                <w:u w:val="single" w:color="auto"/>
                <w:lang w:val="en-US" w:eastAsia="zh-CN"/>
              </w:rPr>
              <w:t>《大气污染物综合排放标准》（GB16297-1996）表2无组织标准</w:t>
            </w:r>
          </w:p>
        </w:tc>
      </w:tr>
      <w:tr w14:paraId="25893F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890" w:type="dxa"/>
            <w:vMerge w:val="continue"/>
            <w:noWrap w:val="0"/>
            <w:vAlign w:val="center"/>
          </w:tcPr>
          <w:p w14:paraId="004CB24C">
            <w:pPr>
              <w:adjustRightInd w:val="0"/>
              <w:snapToGrid w:val="0"/>
              <w:jc w:val="center"/>
              <w:rPr>
                <w:rFonts w:hint="default" w:ascii="Times New Roman" w:hAnsi="Times New Roman" w:eastAsia="宋体" w:cs="Times New Roman"/>
                <w:color w:val="auto"/>
                <w:sz w:val="21"/>
                <w:szCs w:val="21"/>
                <w:u w:val="single" w:color="auto"/>
              </w:rPr>
            </w:pPr>
          </w:p>
        </w:tc>
        <w:tc>
          <w:tcPr>
            <w:tcW w:w="775" w:type="dxa"/>
            <w:vMerge w:val="continue"/>
            <w:noWrap w:val="0"/>
            <w:vAlign w:val="center"/>
          </w:tcPr>
          <w:p w14:paraId="176F213C">
            <w:pPr>
              <w:adjustRightInd w:val="0"/>
              <w:snapToGrid w:val="0"/>
              <w:jc w:val="center"/>
              <w:rPr>
                <w:rFonts w:hint="default" w:ascii="Times New Roman" w:hAnsi="Times New Roman" w:eastAsia="宋体" w:cs="Times New Roman"/>
                <w:color w:val="auto"/>
                <w:sz w:val="21"/>
                <w:szCs w:val="21"/>
                <w:u w:val="single" w:color="auto"/>
              </w:rPr>
            </w:pPr>
          </w:p>
        </w:tc>
        <w:tc>
          <w:tcPr>
            <w:tcW w:w="1703" w:type="dxa"/>
            <w:noWrap w:val="0"/>
            <w:vAlign w:val="center"/>
          </w:tcPr>
          <w:p w14:paraId="6624FDB1">
            <w:pPr>
              <w:spacing w:line="240" w:lineRule="auto"/>
              <w:jc w:val="center"/>
              <w:rPr>
                <w:rFonts w:hint="default" w:ascii="宋体" w:hAnsi="宋体" w:eastAsia="宋体" w:cs="宋体"/>
                <w:szCs w:val="20"/>
                <w:u w:val="single" w:color="auto"/>
                <w:lang w:val="en-US" w:eastAsia="zh-CN" w:bidi="ar-SA"/>
              </w:rPr>
            </w:pPr>
            <w:r>
              <w:rPr>
                <w:rFonts w:ascii="Times New Roman" w:hAnsi="Times New Roman" w:eastAsia="宋体" w:cs="Times New Roman"/>
                <w:color w:val="auto"/>
                <w:sz w:val="21"/>
                <w:szCs w:val="21"/>
                <w:u w:val="single" w:color="auto"/>
                <w:lang w:val="en-US"/>
              </w:rPr>
              <w:t>煎药</w:t>
            </w:r>
            <w:r>
              <w:rPr>
                <w:rFonts w:hint="eastAsia" w:ascii="Times New Roman" w:hAnsi="Times New Roman" w:eastAsia="宋体" w:cs="Times New Roman"/>
                <w:color w:val="auto"/>
                <w:sz w:val="21"/>
                <w:szCs w:val="21"/>
                <w:u w:val="single" w:color="auto"/>
                <w:lang w:val="en-US" w:eastAsia="zh-CN"/>
              </w:rPr>
              <w:t>房</w:t>
            </w:r>
            <w:r>
              <w:rPr>
                <w:rFonts w:ascii="Times New Roman" w:hAnsi="Times New Roman" w:eastAsia="宋体" w:cs="Times New Roman"/>
                <w:color w:val="auto"/>
                <w:sz w:val="21"/>
                <w:szCs w:val="21"/>
                <w:u w:val="single" w:color="auto"/>
                <w:lang w:val="en-US"/>
              </w:rPr>
              <w:t>恶臭气体</w:t>
            </w:r>
          </w:p>
        </w:tc>
        <w:tc>
          <w:tcPr>
            <w:tcW w:w="1565" w:type="dxa"/>
            <w:noWrap w:val="0"/>
            <w:vAlign w:val="center"/>
          </w:tcPr>
          <w:p w14:paraId="11882CBE">
            <w:pPr>
              <w:tabs>
                <w:tab w:val="left" w:pos="2940"/>
              </w:tabs>
              <w:snapToGrid w:val="0"/>
              <w:spacing w:line="240" w:lineRule="auto"/>
              <w:ind w:firstLine="0"/>
              <w:jc w:val="center"/>
              <w:rPr>
                <w:rFonts w:hint="default" w:ascii="Times New Roman" w:hAnsi="Times New Roman" w:eastAsia="宋体" w:cs="Times New Roman"/>
                <w:color w:val="auto"/>
                <w:sz w:val="21"/>
                <w:szCs w:val="21"/>
                <w:u w:val="single" w:color="auto"/>
                <w:lang w:val="en-US" w:eastAsia="zh-CN" w:bidi="ar-SA"/>
              </w:rPr>
            </w:pPr>
            <w:r>
              <w:rPr>
                <w:rFonts w:hint="eastAsia" w:cs="Times New Roman"/>
                <w:color w:val="auto"/>
                <w:sz w:val="21"/>
                <w:szCs w:val="21"/>
                <w:u w:val="single" w:color="auto"/>
                <w:lang w:val="en-US" w:eastAsia="zh-CN"/>
              </w:rPr>
              <w:t>臭气浓度</w:t>
            </w:r>
          </w:p>
        </w:tc>
        <w:tc>
          <w:tcPr>
            <w:tcW w:w="2016" w:type="dxa"/>
            <w:noWrap w:val="0"/>
            <w:vAlign w:val="center"/>
          </w:tcPr>
          <w:p w14:paraId="3360AC6A">
            <w:pPr>
              <w:adjustRightInd w:val="0"/>
              <w:snapToGrid w:val="0"/>
              <w:spacing w:line="240" w:lineRule="auto"/>
              <w:jc w:val="center"/>
              <w:rPr>
                <w:rFonts w:hint="default" w:ascii="Times New Roman" w:hAnsi="Times New Roman" w:eastAsia="宋体" w:cs="Times New Roman"/>
                <w:color w:val="auto"/>
                <w:sz w:val="21"/>
                <w:szCs w:val="21"/>
                <w:u w:val="single" w:color="auto"/>
                <w:lang w:val="en-US" w:eastAsia="zh-CN" w:bidi="ar-SA"/>
              </w:rPr>
            </w:pPr>
            <w:r>
              <w:rPr>
                <w:rFonts w:hint="default" w:ascii="Times New Roman" w:hAnsi="Times New Roman" w:cs="Times New Roman"/>
                <w:color w:val="auto"/>
                <w:sz w:val="21"/>
                <w:szCs w:val="21"/>
                <w:highlight w:val="none"/>
                <w:u w:val="single" w:color="auto"/>
                <w:lang w:val="en-US" w:eastAsia="zh-CN"/>
              </w:rPr>
              <w:t>加强自然通风及机械通风</w:t>
            </w:r>
          </w:p>
        </w:tc>
        <w:tc>
          <w:tcPr>
            <w:tcW w:w="2590" w:type="dxa"/>
            <w:noWrap w:val="0"/>
            <w:vAlign w:val="center"/>
          </w:tcPr>
          <w:p w14:paraId="5BD0CC32">
            <w:pPr>
              <w:spacing w:line="240" w:lineRule="auto"/>
              <w:jc w:val="center"/>
              <w:rPr>
                <w:rFonts w:hint="default" w:ascii="宋体" w:hAnsi="宋体" w:eastAsia="宋体" w:cs="宋体"/>
                <w:sz w:val="20"/>
                <w:szCs w:val="20"/>
                <w:u w:val="single" w:color="auto"/>
                <w:lang w:val="en-US" w:eastAsia="zh-CN" w:bidi="ar-SA"/>
              </w:rPr>
            </w:pPr>
            <w:r>
              <w:rPr>
                <w:rFonts w:hint="eastAsia" w:cs="Times New Roman"/>
                <w:color w:val="auto"/>
                <w:sz w:val="21"/>
                <w:szCs w:val="21"/>
                <w:u w:val="single" w:color="auto"/>
                <w:lang w:val="en-US" w:eastAsia="zh-CN"/>
              </w:rPr>
              <w:t>/</w:t>
            </w:r>
          </w:p>
        </w:tc>
      </w:tr>
      <w:tr w14:paraId="22B467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0" w:hRule="atLeast"/>
        </w:trPr>
        <w:tc>
          <w:tcPr>
            <w:tcW w:w="1665" w:type="dxa"/>
            <w:gridSpan w:val="2"/>
            <w:noWrap w:val="0"/>
            <w:vAlign w:val="center"/>
          </w:tcPr>
          <w:p w14:paraId="2D1026DB">
            <w:pPr>
              <w:adjustRightInd w:val="0"/>
              <w:snapToGrid w:val="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地表水环境</w:t>
            </w:r>
          </w:p>
        </w:tc>
        <w:tc>
          <w:tcPr>
            <w:tcW w:w="1703" w:type="dxa"/>
            <w:noWrap w:val="0"/>
            <w:vAlign w:val="center"/>
          </w:tcPr>
          <w:p w14:paraId="24A1ACD5">
            <w:pPr>
              <w:adjustRightInd w:val="0"/>
              <w:snapToGrid w:val="0"/>
              <w:jc w:val="center"/>
              <w:rPr>
                <w:rFonts w:hint="default" w:ascii="Times New Roman" w:hAnsi="Times New Roman" w:eastAsia="宋体" w:cs="Times New Roman"/>
                <w:color w:val="auto"/>
                <w:sz w:val="21"/>
                <w:szCs w:val="21"/>
                <w:u w:val="single" w:color="auto"/>
                <w:lang w:val="en-US"/>
              </w:rPr>
            </w:pPr>
            <w:r>
              <w:rPr>
                <w:rFonts w:hint="default" w:ascii="Times New Roman" w:hAnsi="Times New Roman" w:eastAsia="宋体" w:cs="Times New Roman"/>
                <w:color w:val="auto"/>
                <w:sz w:val="21"/>
                <w:szCs w:val="21"/>
                <w:u w:val="single" w:color="auto"/>
                <w:lang w:val="en-US" w:eastAsia="zh-CN"/>
              </w:rPr>
              <w:t>医疗废水</w:t>
            </w:r>
          </w:p>
        </w:tc>
        <w:tc>
          <w:tcPr>
            <w:tcW w:w="1565" w:type="dxa"/>
            <w:noWrap w:val="0"/>
            <w:vAlign w:val="center"/>
          </w:tcPr>
          <w:p w14:paraId="66BC0744">
            <w:pPr>
              <w:adjustRightInd w:val="0"/>
              <w:snapToGrid w:val="0"/>
              <w:jc w:val="center"/>
              <w:rPr>
                <w:rFonts w:hint="default" w:ascii="Times New Roman" w:hAnsi="Times New Roman" w:eastAsia="宋体" w:cs="Times New Roman"/>
                <w:color w:val="auto"/>
                <w:sz w:val="21"/>
                <w:szCs w:val="21"/>
                <w:u w:val="single" w:color="auto"/>
                <w:lang w:val="en-US"/>
              </w:rPr>
            </w:pPr>
            <w:r>
              <w:rPr>
                <w:rFonts w:hint="default" w:ascii="Times New Roman" w:hAnsi="Times New Roman" w:eastAsia="宋体" w:cs="Times New Roman"/>
                <w:color w:val="auto"/>
                <w:sz w:val="21"/>
                <w:szCs w:val="21"/>
                <w:u w:val="single" w:color="auto"/>
              </w:rPr>
              <w:t>粪大肠菌群数、肠道致病菌b、肠道病毒、化学需氧量、氨氮、pH值、悬浮物、五日生化需氧量、动植物油、石油类、阴离子表面活性剂、挥发酚、色度、总氰化物、总余氯</w:t>
            </w:r>
          </w:p>
        </w:tc>
        <w:tc>
          <w:tcPr>
            <w:tcW w:w="2016" w:type="dxa"/>
            <w:noWrap w:val="0"/>
            <w:vAlign w:val="center"/>
          </w:tcPr>
          <w:p w14:paraId="2DC9B52F">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经格栅</w:t>
            </w:r>
            <w:r>
              <w:rPr>
                <w:rFonts w:hint="default" w:ascii="Times New Roman" w:hAnsi="Times New Roman" w:eastAsia="宋体" w:cs="Times New Roman"/>
                <w:color w:val="auto"/>
                <w:sz w:val="21"/>
                <w:szCs w:val="21"/>
                <w:u w:val="single" w:color="auto"/>
                <w:lang w:val="en-US" w:eastAsia="zh-CN"/>
              </w:rPr>
              <w:t>+</w:t>
            </w:r>
            <w:r>
              <w:rPr>
                <w:rFonts w:hint="eastAsia" w:cs="Times New Roman"/>
                <w:color w:val="auto"/>
                <w:sz w:val="21"/>
                <w:szCs w:val="21"/>
                <w:u w:val="single" w:color="auto"/>
                <w:lang w:val="en-US" w:eastAsia="zh-CN"/>
              </w:rPr>
              <w:t>调节池</w:t>
            </w:r>
            <w:r>
              <w:rPr>
                <w:rFonts w:hint="default" w:ascii="Times New Roman" w:hAnsi="Times New Roman" w:eastAsia="宋体" w:cs="Times New Roman"/>
                <w:color w:val="auto"/>
                <w:sz w:val="21"/>
                <w:szCs w:val="21"/>
                <w:u w:val="single" w:color="auto"/>
                <w:lang w:val="en-US" w:eastAsia="zh-CN"/>
              </w:rPr>
              <w:t>+</w:t>
            </w:r>
            <w:r>
              <w:rPr>
                <w:rFonts w:hint="eastAsia" w:cs="Times New Roman"/>
                <w:color w:val="auto"/>
                <w:sz w:val="21"/>
                <w:szCs w:val="21"/>
                <w:u w:val="single" w:color="auto"/>
                <w:lang w:val="en-US" w:eastAsia="zh-CN"/>
              </w:rPr>
              <w:t>混凝沉淀池+消毒处理后</w:t>
            </w:r>
            <w:r>
              <w:rPr>
                <w:rFonts w:hint="default" w:ascii="Times New Roman" w:hAnsi="Times New Roman" w:eastAsia="宋体" w:cs="Times New Roman"/>
                <w:color w:val="auto"/>
                <w:sz w:val="21"/>
                <w:szCs w:val="21"/>
                <w:u w:val="single" w:color="auto"/>
                <w:lang w:val="en-US" w:eastAsia="zh-CN"/>
              </w:rPr>
              <w:t>进入</w:t>
            </w:r>
            <w:r>
              <w:rPr>
                <w:rFonts w:hint="eastAsia" w:ascii="Times New Roman" w:hAnsi="Times New Roman" w:eastAsia="宋体" w:cs="Times New Roman"/>
                <w:color w:val="auto"/>
                <w:sz w:val="21"/>
                <w:szCs w:val="21"/>
                <w:u w:val="single" w:color="auto"/>
                <w:lang w:val="en-US" w:eastAsia="zh-CN"/>
              </w:rPr>
              <w:t>城镇污水管网</w:t>
            </w:r>
            <w:r>
              <w:rPr>
                <w:rFonts w:hint="default" w:ascii="Times New Roman" w:hAnsi="Times New Roman" w:eastAsia="宋体" w:cs="Times New Roman"/>
                <w:color w:val="auto"/>
                <w:sz w:val="21"/>
                <w:szCs w:val="21"/>
                <w:u w:val="single" w:color="auto"/>
                <w:lang w:val="en-US" w:eastAsia="zh-CN"/>
              </w:rPr>
              <w:t>排入</w:t>
            </w:r>
            <w:r>
              <w:rPr>
                <w:rFonts w:hint="eastAsia" w:cs="Times New Roman"/>
                <w:color w:val="auto"/>
                <w:sz w:val="21"/>
                <w:szCs w:val="21"/>
                <w:u w:val="single" w:color="auto"/>
                <w:lang w:val="en-US" w:eastAsia="zh-CN"/>
              </w:rPr>
              <w:t>低庄镇污水处理厂</w:t>
            </w:r>
            <w:r>
              <w:rPr>
                <w:rFonts w:hint="default" w:ascii="Times New Roman" w:hAnsi="Times New Roman" w:eastAsia="宋体" w:cs="Times New Roman"/>
                <w:color w:val="auto"/>
                <w:sz w:val="21"/>
                <w:szCs w:val="21"/>
                <w:u w:val="single" w:color="auto"/>
                <w:lang w:val="en-US" w:eastAsia="zh-CN"/>
              </w:rPr>
              <w:t>处理</w:t>
            </w:r>
          </w:p>
        </w:tc>
        <w:tc>
          <w:tcPr>
            <w:tcW w:w="2590" w:type="dxa"/>
            <w:noWrap w:val="0"/>
            <w:vAlign w:val="center"/>
          </w:tcPr>
          <w:p w14:paraId="3B254E57">
            <w:pPr>
              <w:spacing w:line="240" w:lineRule="auto"/>
              <w:ind w:firstLine="0" w:firstLineChars="0"/>
              <w:jc w:val="center"/>
              <w:rPr>
                <w:rFonts w:hint="eastAsia" w:eastAsia="宋体" w:cs="Times New Roman"/>
                <w:color w:val="auto"/>
                <w:sz w:val="21"/>
                <w:szCs w:val="21"/>
                <w:u w:val="single" w:color="auto"/>
                <w:lang w:eastAsia="zh-CN"/>
              </w:rPr>
            </w:pPr>
            <w:r>
              <w:rPr>
                <w:rFonts w:hint="eastAsia" w:cs="Times New Roman"/>
                <w:color w:val="auto"/>
                <w:sz w:val="21"/>
                <w:szCs w:val="21"/>
                <w:u w:val="single" w:color="auto"/>
                <w:lang w:eastAsia="zh-CN"/>
              </w:rPr>
              <w:t>《</w:t>
            </w:r>
            <w:r>
              <w:rPr>
                <w:rFonts w:hint="default" w:ascii="Times New Roman" w:hAnsi="Times New Roman" w:eastAsia="宋体" w:cs="Times New Roman"/>
                <w:color w:val="auto"/>
                <w:sz w:val="21"/>
                <w:szCs w:val="21"/>
                <w:u w:val="single" w:color="auto"/>
              </w:rPr>
              <w:t>医疗机构水污染物排放标准》（GB18466-2005）表2中综合医疗机构和其他医疗机构水污染物排放限值中</w:t>
            </w:r>
            <w:r>
              <w:rPr>
                <w:rFonts w:hint="eastAsia" w:cs="Times New Roman"/>
                <w:color w:val="auto"/>
                <w:sz w:val="21"/>
                <w:szCs w:val="21"/>
                <w:u w:val="single" w:color="auto"/>
                <w:lang w:eastAsia="zh-CN"/>
              </w:rPr>
              <w:t>预处理</w:t>
            </w:r>
            <w:r>
              <w:rPr>
                <w:rFonts w:hint="default" w:ascii="Times New Roman" w:hAnsi="Times New Roman" w:eastAsia="宋体" w:cs="Times New Roman"/>
                <w:color w:val="auto"/>
                <w:sz w:val="21"/>
                <w:szCs w:val="21"/>
                <w:u w:val="single" w:color="auto"/>
              </w:rPr>
              <w:t>排放标准</w:t>
            </w:r>
          </w:p>
          <w:p w14:paraId="29DCB282">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p>
        </w:tc>
      </w:tr>
    </w:tbl>
    <w:p w14:paraId="3C8C6DC8">
      <w:pPr>
        <w:adjustRightInd w:val="0"/>
        <w:snapToGrid w:val="0"/>
        <w:jc w:val="center"/>
        <w:rPr>
          <w:rFonts w:hint="default" w:ascii="Times New Roman" w:hAnsi="Times New Roman" w:eastAsia="宋体" w:cs="Times New Roman"/>
          <w:color w:val="auto"/>
          <w:sz w:val="21"/>
          <w:szCs w:val="21"/>
          <w:u w:val="single" w:color="auto"/>
        </w:rPr>
        <w:sectPr>
          <w:footerReference r:id="rId8" w:type="default"/>
          <w:pgSz w:w="11906" w:h="16838"/>
          <w:pgMar w:top="1440" w:right="1083" w:bottom="1440" w:left="1083" w:header="850"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4"/>
        <w:tblpPr w:leftFromText="180" w:rightFromText="180" w:vertAnchor="text" w:horzAnchor="page" w:tblpX="1640" w:tblpY="667"/>
        <w:tblOverlap w:val="never"/>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65"/>
        <w:gridCol w:w="1703"/>
        <w:gridCol w:w="1565"/>
        <w:gridCol w:w="2016"/>
        <w:gridCol w:w="2590"/>
      </w:tblGrid>
      <w:tr w14:paraId="5DE5EF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5" w:hRule="atLeast"/>
        </w:trPr>
        <w:tc>
          <w:tcPr>
            <w:tcW w:w="1665" w:type="dxa"/>
            <w:vMerge w:val="restart"/>
            <w:noWrap w:val="0"/>
            <w:vAlign w:val="center"/>
          </w:tcPr>
          <w:p w14:paraId="351EF782">
            <w:pPr>
              <w:pStyle w:val="96"/>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食堂</w:t>
            </w:r>
            <w:r>
              <w:rPr>
                <w:rFonts w:hint="eastAsia" w:cs="Times New Roman"/>
                <w:color w:val="auto"/>
                <w:sz w:val="21"/>
                <w:szCs w:val="21"/>
                <w:u w:val="single" w:color="auto"/>
                <w:lang w:val="en-US" w:eastAsia="zh-CN"/>
              </w:rPr>
              <w:t>污水</w:t>
            </w:r>
          </w:p>
          <w:p w14:paraId="1FE3F5ED">
            <w:pPr>
              <w:pStyle w:val="96"/>
              <w:bidi w:val="0"/>
              <w:jc w:val="center"/>
              <w:rPr>
                <w:rFonts w:hint="default" w:ascii="Times New Roman" w:hAnsi="Times New Roman" w:eastAsia="宋体" w:cs="Times New Roman"/>
                <w:color w:val="auto"/>
                <w:sz w:val="21"/>
                <w:szCs w:val="21"/>
                <w:u w:val="single" w:color="auto"/>
                <w:lang w:val="en-US" w:eastAsia="zh-CN"/>
              </w:rPr>
            </w:pPr>
          </w:p>
        </w:tc>
        <w:tc>
          <w:tcPr>
            <w:tcW w:w="1703" w:type="dxa"/>
            <w:noWrap w:val="0"/>
            <w:vAlign w:val="center"/>
          </w:tcPr>
          <w:p w14:paraId="7BD431BA">
            <w:pPr>
              <w:adjustRightInd w:val="0"/>
              <w:snapToGrid w:val="0"/>
              <w:jc w:val="center"/>
              <w:rPr>
                <w:rFonts w:hint="default" w:ascii="Times New Roman" w:hAnsi="Times New Roman" w:eastAsia="宋体" w:cs="Times New Roman"/>
                <w:color w:val="auto"/>
                <w:kern w:val="0"/>
                <w:sz w:val="21"/>
                <w:szCs w:val="21"/>
                <w:u w:val="single" w:color="auto"/>
                <w:lang w:val="en-US" w:eastAsia="zh-CN" w:bidi="ar"/>
              </w:rPr>
            </w:pPr>
            <w:r>
              <w:rPr>
                <w:rFonts w:hint="default" w:ascii="Times New Roman" w:hAnsi="Times New Roman" w:eastAsia="宋体" w:cs="Times New Roman"/>
                <w:color w:val="auto"/>
                <w:kern w:val="0"/>
                <w:sz w:val="21"/>
                <w:szCs w:val="21"/>
                <w:u w:val="single" w:color="auto"/>
                <w:lang w:val="en-US" w:eastAsia="zh-CN" w:bidi="ar"/>
              </w:rPr>
              <w:t>动植物油</w:t>
            </w:r>
          </w:p>
        </w:tc>
        <w:tc>
          <w:tcPr>
            <w:tcW w:w="1565" w:type="dxa"/>
            <w:noWrap w:val="0"/>
            <w:vAlign w:val="center"/>
          </w:tcPr>
          <w:p w14:paraId="68CFE7C2">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食堂废水经</w:t>
            </w:r>
            <w:r>
              <w:rPr>
                <w:rFonts w:hint="default" w:ascii="Times New Roman" w:hAnsi="Times New Roman" w:eastAsia="宋体" w:cs="Times New Roman"/>
                <w:color w:val="auto"/>
                <w:sz w:val="21"/>
                <w:szCs w:val="21"/>
                <w:u w:val="single" w:color="auto"/>
                <w:lang w:val="en-US" w:eastAsia="zh-CN"/>
              </w:rPr>
              <w:t>隔油池</w:t>
            </w:r>
            <w:r>
              <w:rPr>
                <w:rFonts w:hint="eastAsia" w:cs="Times New Roman"/>
                <w:color w:val="auto"/>
                <w:sz w:val="21"/>
                <w:szCs w:val="21"/>
                <w:u w:val="single" w:color="auto"/>
                <w:lang w:val="en-US" w:eastAsia="zh-CN"/>
              </w:rPr>
              <w:t>后进入市政管网</w:t>
            </w:r>
            <w:r>
              <w:rPr>
                <w:rFonts w:hint="default" w:ascii="Times New Roman" w:hAnsi="Times New Roman" w:eastAsia="宋体" w:cs="Times New Roman"/>
                <w:color w:val="auto"/>
                <w:sz w:val="21"/>
                <w:szCs w:val="21"/>
                <w:u w:val="single" w:color="auto"/>
                <w:lang w:val="en-US" w:eastAsia="zh-CN"/>
              </w:rPr>
              <w:t>排入</w:t>
            </w:r>
            <w:r>
              <w:rPr>
                <w:rFonts w:hint="eastAsia" w:cs="Times New Roman"/>
                <w:color w:val="auto"/>
                <w:sz w:val="21"/>
                <w:szCs w:val="21"/>
                <w:u w:val="single" w:color="auto"/>
                <w:lang w:val="en-US" w:eastAsia="zh-CN"/>
              </w:rPr>
              <w:t>低庄镇污水处理厂</w:t>
            </w:r>
            <w:r>
              <w:rPr>
                <w:rFonts w:hint="default" w:ascii="Times New Roman" w:hAnsi="Times New Roman" w:eastAsia="宋体" w:cs="Times New Roman"/>
                <w:color w:val="auto"/>
                <w:sz w:val="21"/>
                <w:szCs w:val="21"/>
                <w:u w:val="single" w:color="auto"/>
                <w:lang w:val="en-US" w:eastAsia="zh-CN"/>
              </w:rPr>
              <w:t>处理</w:t>
            </w:r>
          </w:p>
        </w:tc>
        <w:tc>
          <w:tcPr>
            <w:tcW w:w="2016" w:type="dxa"/>
            <w:noWrap w:val="0"/>
            <w:vAlign w:val="center"/>
          </w:tcPr>
          <w:p w14:paraId="466240B9">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p>
        </w:tc>
        <w:tc>
          <w:tcPr>
            <w:tcW w:w="2590" w:type="dxa"/>
            <w:vMerge w:val="restart"/>
            <w:noWrap w:val="0"/>
            <w:vAlign w:val="center"/>
          </w:tcPr>
          <w:p w14:paraId="487BDCB5"/>
        </w:tc>
      </w:tr>
      <w:tr w14:paraId="4DC1F6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1665" w:type="dxa"/>
            <w:noWrap w:val="0"/>
            <w:vAlign w:val="center"/>
          </w:tcPr>
          <w:p w14:paraId="7EBF528F">
            <w:pPr>
              <w:adjustRightInd w:val="0"/>
              <w:snapToGrid w:val="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声环境</w:t>
            </w:r>
          </w:p>
        </w:tc>
        <w:tc>
          <w:tcPr>
            <w:tcW w:w="1703" w:type="dxa"/>
            <w:noWrap w:val="0"/>
            <w:vAlign w:val="center"/>
          </w:tcPr>
          <w:p w14:paraId="7A229CA3">
            <w:pPr>
              <w:adjustRightInd w:val="0"/>
              <w:snapToGrid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设备噪声、就诊人群噪声</w:t>
            </w:r>
          </w:p>
        </w:tc>
        <w:tc>
          <w:tcPr>
            <w:tcW w:w="1565" w:type="dxa"/>
            <w:noWrap w:val="0"/>
            <w:vAlign w:val="center"/>
          </w:tcPr>
          <w:p w14:paraId="2AF624D6">
            <w:pPr>
              <w:adjustRightInd w:val="0"/>
              <w:snapToGrid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噪声</w:t>
            </w:r>
          </w:p>
        </w:tc>
        <w:tc>
          <w:tcPr>
            <w:tcW w:w="2016" w:type="dxa"/>
            <w:noWrap w:val="0"/>
            <w:vAlign w:val="center"/>
          </w:tcPr>
          <w:p w14:paraId="28A4DA63">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rPr>
              <w:t>隔声、基础减震</w:t>
            </w:r>
            <w:r>
              <w:rPr>
                <w:rFonts w:hint="default" w:ascii="Times New Roman" w:hAnsi="Times New Roman" w:eastAsia="宋体" w:cs="Times New Roman"/>
                <w:color w:val="auto"/>
                <w:sz w:val="21"/>
                <w:szCs w:val="21"/>
                <w:u w:val="single" w:color="auto"/>
                <w:lang w:val="en-US" w:eastAsia="zh-CN"/>
              </w:rPr>
              <w:t>加强管理，禁止喧哗，强化行车管理制度</w:t>
            </w:r>
          </w:p>
        </w:tc>
        <w:tc>
          <w:tcPr>
            <w:tcW w:w="2590" w:type="dxa"/>
            <w:noWrap w:val="0"/>
            <w:vAlign w:val="center"/>
          </w:tcPr>
          <w:p w14:paraId="2D489115">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rPr>
              <w:t>《工业企业厂界环境噪声排放标准》（GB12348-2008）中的2类标准</w:t>
            </w:r>
          </w:p>
        </w:tc>
      </w:tr>
      <w:tr w14:paraId="6CD371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665" w:type="dxa"/>
            <w:noWrap w:val="0"/>
            <w:vAlign w:val="center"/>
          </w:tcPr>
          <w:p w14:paraId="37568C70">
            <w:pPr>
              <w:adjustRightInd w:val="0"/>
              <w:snapToGrid w:val="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电磁辐射</w:t>
            </w:r>
          </w:p>
        </w:tc>
        <w:tc>
          <w:tcPr>
            <w:tcW w:w="1703" w:type="dxa"/>
            <w:noWrap w:val="0"/>
            <w:vAlign w:val="center"/>
          </w:tcPr>
          <w:p w14:paraId="16E30DE6">
            <w:pPr>
              <w:adjustRightInd w:val="0"/>
              <w:snapToGrid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w:t>
            </w:r>
          </w:p>
        </w:tc>
        <w:tc>
          <w:tcPr>
            <w:tcW w:w="1565" w:type="dxa"/>
            <w:noWrap w:val="0"/>
            <w:vAlign w:val="center"/>
          </w:tcPr>
          <w:p w14:paraId="56474CDB">
            <w:pPr>
              <w:adjustRightInd w:val="0"/>
              <w:snapToGrid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w:t>
            </w:r>
          </w:p>
        </w:tc>
        <w:tc>
          <w:tcPr>
            <w:tcW w:w="2016" w:type="dxa"/>
            <w:noWrap w:val="0"/>
            <w:vAlign w:val="center"/>
          </w:tcPr>
          <w:p w14:paraId="255EF264">
            <w:pPr>
              <w:adjustRightInd w:val="0"/>
              <w:snapToGrid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w:t>
            </w:r>
          </w:p>
        </w:tc>
        <w:tc>
          <w:tcPr>
            <w:tcW w:w="2590" w:type="dxa"/>
            <w:noWrap w:val="0"/>
            <w:vAlign w:val="center"/>
          </w:tcPr>
          <w:p w14:paraId="29A77884">
            <w:pPr>
              <w:adjustRightInd w:val="0"/>
              <w:snapToGrid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w:t>
            </w:r>
          </w:p>
        </w:tc>
      </w:tr>
      <w:tr w14:paraId="51535C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1665" w:type="dxa"/>
            <w:vMerge w:val="restart"/>
            <w:noWrap w:val="0"/>
            <w:vAlign w:val="center"/>
          </w:tcPr>
          <w:p w14:paraId="3453EA8D">
            <w:pPr>
              <w:adjustRightInd w:val="0"/>
              <w:snapToGrid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固体废物</w:t>
            </w:r>
          </w:p>
        </w:tc>
        <w:tc>
          <w:tcPr>
            <w:tcW w:w="1703" w:type="dxa"/>
            <w:noWrap w:val="0"/>
            <w:vAlign w:val="center"/>
          </w:tcPr>
          <w:p w14:paraId="3A556FC2">
            <w:pPr>
              <w:adjustRightInd w:val="0"/>
              <w:snapToGrid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生活垃圾</w:t>
            </w:r>
          </w:p>
        </w:tc>
        <w:tc>
          <w:tcPr>
            <w:tcW w:w="3581" w:type="dxa"/>
            <w:gridSpan w:val="2"/>
            <w:vMerge w:val="restart"/>
            <w:noWrap w:val="0"/>
            <w:vAlign w:val="center"/>
          </w:tcPr>
          <w:p w14:paraId="1456C5C3">
            <w:pPr>
              <w:pStyle w:val="96"/>
              <w:bidi w:val="0"/>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rPr>
              <w:t>生活垃圾由环卫部门统一收集、一般固废集中收集后</w:t>
            </w:r>
            <w:r>
              <w:rPr>
                <w:rFonts w:hint="eastAsia" w:cs="Times New Roman"/>
                <w:color w:val="auto"/>
                <w:sz w:val="21"/>
                <w:szCs w:val="21"/>
                <w:u w:val="single" w:color="auto"/>
                <w:lang w:eastAsia="zh-CN"/>
              </w:rPr>
              <w:t>统一</w:t>
            </w:r>
            <w:r>
              <w:rPr>
                <w:rFonts w:hint="default" w:ascii="Times New Roman" w:hAnsi="Times New Roman" w:eastAsia="宋体" w:cs="Times New Roman"/>
                <w:color w:val="auto"/>
                <w:sz w:val="21"/>
                <w:szCs w:val="21"/>
                <w:u w:val="single" w:color="auto"/>
              </w:rPr>
              <w:t>外售</w:t>
            </w:r>
          </w:p>
        </w:tc>
        <w:tc>
          <w:tcPr>
            <w:tcW w:w="2590" w:type="dxa"/>
            <w:vMerge w:val="restart"/>
            <w:noWrap w:val="0"/>
            <w:vAlign w:val="center"/>
          </w:tcPr>
          <w:p w14:paraId="5CCE41E4">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rPr>
              <w:t>《一般工业固体废物贮存</w:t>
            </w:r>
            <w:r>
              <w:rPr>
                <w:rFonts w:hint="eastAsia" w:cs="Times New Roman"/>
                <w:color w:val="auto"/>
                <w:sz w:val="21"/>
                <w:szCs w:val="21"/>
                <w:u w:val="single" w:color="auto"/>
                <w:lang w:eastAsia="zh-CN"/>
              </w:rPr>
              <w:t>和填埋</w:t>
            </w:r>
            <w:r>
              <w:rPr>
                <w:rFonts w:hint="default" w:ascii="Times New Roman" w:hAnsi="Times New Roman" w:eastAsia="宋体" w:cs="Times New Roman"/>
                <w:color w:val="auto"/>
                <w:sz w:val="21"/>
                <w:szCs w:val="21"/>
                <w:u w:val="single" w:color="auto"/>
              </w:rPr>
              <w:t>污染控制标准》（GB18599－</w:t>
            </w:r>
            <w:r>
              <w:rPr>
                <w:rFonts w:hint="eastAsia" w:cs="Times New Roman"/>
                <w:color w:val="auto"/>
                <w:sz w:val="21"/>
                <w:szCs w:val="21"/>
                <w:u w:val="single" w:color="auto"/>
                <w:lang w:val="en-US" w:eastAsia="zh-CN"/>
              </w:rPr>
              <w:t>2020</w:t>
            </w:r>
            <w:r>
              <w:rPr>
                <w:rFonts w:hint="default" w:ascii="Times New Roman" w:hAnsi="Times New Roman" w:eastAsia="宋体" w:cs="Times New Roman"/>
                <w:color w:val="auto"/>
                <w:sz w:val="21"/>
                <w:szCs w:val="21"/>
                <w:u w:val="single" w:color="auto"/>
              </w:rPr>
              <w:t>）</w:t>
            </w:r>
          </w:p>
        </w:tc>
      </w:tr>
      <w:tr w14:paraId="38B1B6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65" w:type="dxa"/>
            <w:vMerge w:val="continue"/>
            <w:noWrap w:val="0"/>
            <w:vAlign w:val="center"/>
          </w:tcPr>
          <w:p w14:paraId="09B84FED">
            <w:pPr>
              <w:adjustRightInd w:val="0"/>
              <w:snapToGrid w:val="0"/>
              <w:jc w:val="center"/>
              <w:rPr>
                <w:rFonts w:hint="default" w:ascii="Times New Roman" w:hAnsi="Times New Roman" w:eastAsia="宋体" w:cs="Times New Roman"/>
                <w:color w:val="auto"/>
                <w:sz w:val="21"/>
                <w:szCs w:val="21"/>
                <w:u w:val="single" w:color="auto"/>
                <w:lang w:val="en-US" w:eastAsia="zh-CN"/>
              </w:rPr>
            </w:pPr>
          </w:p>
        </w:tc>
        <w:tc>
          <w:tcPr>
            <w:tcW w:w="1703" w:type="dxa"/>
            <w:noWrap w:val="0"/>
            <w:vAlign w:val="center"/>
          </w:tcPr>
          <w:p w14:paraId="050B678C">
            <w:pPr>
              <w:adjustRightInd w:val="0"/>
              <w:snapToGrid w:val="0"/>
              <w:jc w:val="center"/>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一般固废</w:t>
            </w:r>
          </w:p>
        </w:tc>
        <w:tc>
          <w:tcPr>
            <w:tcW w:w="3581" w:type="dxa"/>
            <w:gridSpan w:val="2"/>
            <w:vMerge w:val="continue"/>
            <w:noWrap w:val="0"/>
            <w:vAlign w:val="center"/>
          </w:tcPr>
          <w:p w14:paraId="39442792">
            <w:pPr>
              <w:pStyle w:val="96"/>
              <w:bidi w:val="0"/>
              <w:ind w:firstLine="0" w:firstLineChars="0"/>
              <w:jc w:val="center"/>
              <w:rPr>
                <w:rFonts w:hint="default" w:ascii="Times New Roman" w:hAnsi="Times New Roman" w:eastAsia="宋体" w:cs="Times New Roman"/>
                <w:color w:val="auto"/>
                <w:sz w:val="21"/>
                <w:szCs w:val="21"/>
                <w:u w:val="single" w:color="auto"/>
              </w:rPr>
            </w:pPr>
          </w:p>
        </w:tc>
        <w:tc>
          <w:tcPr>
            <w:tcW w:w="2590" w:type="dxa"/>
            <w:vMerge w:val="continue"/>
            <w:noWrap w:val="0"/>
            <w:vAlign w:val="center"/>
          </w:tcPr>
          <w:p w14:paraId="36A118D5">
            <w:pPr>
              <w:spacing w:line="240" w:lineRule="auto"/>
              <w:ind w:firstLine="0" w:firstLineChars="0"/>
              <w:jc w:val="center"/>
              <w:rPr>
                <w:rFonts w:hint="default" w:ascii="Times New Roman" w:hAnsi="Times New Roman" w:eastAsia="宋体" w:cs="Times New Roman"/>
                <w:color w:val="auto"/>
                <w:sz w:val="21"/>
                <w:szCs w:val="21"/>
                <w:u w:val="single" w:color="auto"/>
                <w:lang w:val="zh-CN" w:eastAsia="zh-CN"/>
              </w:rPr>
            </w:pPr>
          </w:p>
        </w:tc>
      </w:tr>
      <w:tr w14:paraId="5D9B60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5" w:hRule="atLeast"/>
        </w:trPr>
        <w:tc>
          <w:tcPr>
            <w:tcW w:w="1665" w:type="dxa"/>
            <w:vMerge w:val="continue"/>
            <w:noWrap w:val="0"/>
            <w:vAlign w:val="center"/>
          </w:tcPr>
          <w:p w14:paraId="78D79A08">
            <w:pPr>
              <w:adjustRightInd w:val="0"/>
              <w:snapToGrid w:val="0"/>
              <w:jc w:val="center"/>
              <w:rPr>
                <w:rFonts w:hint="default" w:ascii="Times New Roman" w:hAnsi="Times New Roman" w:eastAsia="宋体" w:cs="Times New Roman"/>
                <w:color w:val="auto"/>
                <w:sz w:val="21"/>
                <w:szCs w:val="21"/>
                <w:u w:val="single" w:color="auto"/>
                <w:lang w:val="en-US" w:eastAsia="zh-CN"/>
              </w:rPr>
            </w:pPr>
          </w:p>
        </w:tc>
        <w:tc>
          <w:tcPr>
            <w:tcW w:w="1703" w:type="dxa"/>
            <w:noWrap w:val="0"/>
            <w:vAlign w:val="center"/>
          </w:tcPr>
          <w:p w14:paraId="152687C6">
            <w:pPr>
              <w:adjustRightInd w:val="0"/>
              <w:snapToGrid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医疗废物</w:t>
            </w:r>
          </w:p>
        </w:tc>
        <w:tc>
          <w:tcPr>
            <w:tcW w:w="1565" w:type="dxa"/>
            <w:noWrap w:val="0"/>
            <w:vAlign w:val="center"/>
          </w:tcPr>
          <w:p w14:paraId="0A4F059B">
            <w:pPr>
              <w:adjustRightInd w:val="0"/>
              <w:snapToGrid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医疗废物</w:t>
            </w:r>
          </w:p>
        </w:tc>
        <w:tc>
          <w:tcPr>
            <w:tcW w:w="2016" w:type="dxa"/>
            <w:vMerge w:val="restart"/>
            <w:noWrap w:val="0"/>
            <w:vAlign w:val="center"/>
          </w:tcPr>
          <w:p w14:paraId="08CDACDE">
            <w:pPr>
              <w:pStyle w:val="96"/>
              <w:bidi w:val="0"/>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rPr>
              <w:t>医院在院区设置医废暂存间，配置相应的医疗转运箱，</w:t>
            </w:r>
            <w:r>
              <w:rPr>
                <w:rFonts w:hint="default" w:ascii="Times New Roman" w:hAnsi="Times New Roman" w:eastAsia="宋体" w:cs="Times New Roman"/>
                <w:color w:val="auto"/>
                <w:sz w:val="21"/>
                <w:szCs w:val="21"/>
                <w:u w:val="single" w:color="auto"/>
                <w:lang w:eastAsia="zh-CN"/>
              </w:rPr>
              <w:t>危险废物</w:t>
            </w:r>
            <w:r>
              <w:rPr>
                <w:rFonts w:hint="default" w:ascii="Times New Roman" w:hAnsi="Times New Roman" w:eastAsia="宋体" w:cs="Times New Roman"/>
                <w:color w:val="auto"/>
                <w:sz w:val="21"/>
                <w:szCs w:val="21"/>
                <w:u w:val="single" w:color="auto"/>
              </w:rPr>
              <w:t>与有资质单位签订清运处置协议；污水处理站污泥暂存在危废暂存间，统一交由有危废资质公司处置</w:t>
            </w:r>
          </w:p>
        </w:tc>
        <w:tc>
          <w:tcPr>
            <w:tcW w:w="2590" w:type="dxa"/>
            <w:vMerge w:val="restart"/>
            <w:noWrap w:val="0"/>
            <w:vAlign w:val="center"/>
          </w:tcPr>
          <w:p w14:paraId="5E2194D7">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eastAsia="zh-CN"/>
              </w:rPr>
              <w:t>《危险废物贮存污染控制标准》（GB18597-2023）</w:t>
            </w:r>
          </w:p>
        </w:tc>
      </w:tr>
      <w:tr w14:paraId="0E9B3D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6" w:hRule="atLeast"/>
        </w:trPr>
        <w:tc>
          <w:tcPr>
            <w:tcW w:w="1665" w:type="dxa"/>
            <w:vMerge w:val="continue"/>
            <w:noWrap w:val="0"/>
            <w:vAlign w:val="center"/>
          </w:tcPr>
          <w:p w14:paraId="79CE017B">
            <w:pPr>
              <w:adjustRightInd w:val="0"/>
              <w:snapToGrid w:val="0"/>
              <w:jc w:val="center"/>
              <w:rPr>
                <w:rFonts w:hint="default" w:ascii="Times New Roman" w:hAnsi="Times New Roman" w:eastAsia="宋体" w:cs="Times New Roman"/>
                <w:color w:val="auto"/>
                <w:sz w:val="21"/>
                <w:szCs w:val="21"/>
                <w:u w:val="single" w:color="auto"/>
                <w:lang w:val="en-US" w:eastAsia="zh-CN"/>
              </w:rPr>
            </w:pPr>
          </w:p>
        </w:tc>
        <w:tc>
          <w:tcPr>
            <w:tcW w:w="1703" w:type="dxa"/>
            <w:noWrap w:val="0"/>
            <w:vAlign w:val="center"/>
          </w:tcPr>
          <w:p w14:paraId="20FC133C">
            <w:pPr>
              <w:adjustRightInd w:val="0"/>
              <w:snapToGrid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危险废物</w:t>
            </w:r>
          </w:p>
        </w:tc>
        <w:tc>
          <w:tcPr>
            <w:tcW w:w="1565" w:type="dxa"/>
            <w:noWrap w:val="0"/>
            <w:vAlign w:val="center"/>
          </w:tcPr>
          <w:p w14:paraId="1ED86431">
            <w:pPr>
              <w:adjustRightInd w:val="0"/>
              <w:snapToGrid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污水站污泥</w:t>
            </w:r>
          </w:p>
        </w:tc>
        <w:tc>
          <w:tcPr>
            <w:tcW w:w="2016" w:type="dxa"/>
            <w:vMerge w:val="continue"/>
            <w:noWrap w:val="0"/>
            <w:vAlign w:val="center"/>
          </w:tcPr>
          <w:p w14:paraId="5A143573">
            <w:pPr>
              <w:pStyle w:val="96"/>
              <w:bidi w:val="0"/>
              <w:ind w:firstLine="0" w:firstLineChars="0"/>
              <w:jc w:val="center"/>
              <w:rPr>
                <w:rFonts w:hint="default" w:ascii="Times New Roman" w:hAnsi="Times New Roman" w:eastAsia="宋体" w:cs="Times New Roman"/>
                <w:color w:val="auto"/>
                <w:sz w:val="21"/>
                <w:szCs w:val="21"/>
                <w:u w:val="single" w:color="auto"/>
                <w:lang w:val="en-US" w:eastAsia="zh-CN"/>
              </w:rPr>
            </w:pPr>
          </w:p>
        </w:tc>
        <w:tc>
          <w:tcPr>
            <w:tcW w:w="2590" w:type="dxa"/>
            <w:vMerge w:val="continue"/>
            <w:noWrap w:val="0"/>
            <w:vAlign w:val="center"/>
          </w:tcPr>
          <w:p w14:paraId="2A47BFEC">
            <w:pPr>
              <w:adjustRightInd w:val="0"/>
              <w:snapToGrid w:val="0"/>
              <w:jc w:val="center"/>
              <w:rPr>
                <w:rFonts w:hint="default" w:ascii="Times New Roman" w:hAnsi="Times New Roman" w:eastAsia="宋体" w:cs="Times New Roman"/>
                <w:color w:val="auto"/>
                <w:sz w:val="21"/>
                <w:szCs w:val="21"/>
                <w:u w:val="single" w:color="auto"/>
                <w:lang w:val="en-US" w:eastAsia="zh-CN"/>
              </w:rPr>
            </w:pPr>
          </w:p>
        </w:tc>
      </w:tr>
      <w:tr w14:paraId="501C8C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1665" w:type="dxa"/>
            <w:noWrap w:val="0"/>
            <w:vAlign w:val="center"/>
          </w:tcPr>
          <w:p w14:paraId="2FB86F86">
            <w:pPr>
              <w:adjustRightInd w:val="0"/>
              <w:snapToGrid w:val="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土壤及地下水</w:t>
            </w:r>
          </w:p>
          <w:p w14:paraId="4313C96B">
            <w:pPr>
              <w:adjustRightInd w:val="0"/>
              <w:snapToGrid w:val="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污染防治措施</w:t>
            </w:r>
          </w:p>
        </w:tc>
        <w:tc>
          <w:tcPr>
            <w:tcW w:w="7874" w:type="dxa"/>
            <w:gridSpan w:val="4"/>
            <w:noWrap w:val="0"/>
            <w:vAlign w:val="center"/>
          </w:tcPr>
          <w:p w14:paraId="146C5320">
            <w:pPr>
              <w:pStyle w:val="96"/>
              <w:bidi w:val="0"/>
              <w:spacing w:line="240" w:lineRule="auto"/>
              <w:ind w:firstLine="420" w:firstLineChars="200"/>
              <w:jc w:val="left"/>
              <w:rPr>
                <w:rFonts w:hint="default"/>
                <w:color w:val="auto"/>
                <w:highlight w:val="none"/>
                <w:u w:val="single" w:color="auto"/>
              </w:rPr>
            </w:pPr>
            <w:r>
              <w:rPr>
                <w:rFonts w:hint="default"/>
                <w:color w:val="auto"/>
                <w:highlight w:val="none"/>
                <w:u w:val="single" w:color="auto"/>
                <w:lang w:eastAsia="zh-CN"/>
              </w:rPr>
              <w:t>（</w:t>
            </w:r>
            <w:r>
              <w:rPr>
                <w:rFonts w:hint="default"/>
                <w:color w:val="auto"/>
                <w:highlight w:val="none"/>
                <w:u w:val="single" w:color="auto"/>
                <w:lang w:val="en-US" w:eastAsia="zh-CN"/>
              </w:rPr>
              <w:t>1）</w:t>
            </w:r>
            <w:r>
              <w:rPr>
                <w:rFonts w:hint="default"/>
                <w:color w:val="auto"/>
                <w:highlight w:val="none"/>
                <w:u w:val="single" w:color="auto"/>
              </w:rPr>
              <w:t>加强对污水收集管道、</w:t>
            </w:r>
            <w:r>
              <w:rPr>
                <w:rFonts w:hint="eastAsia"/>
                <w:color w:val="auto"/>
                <w:highlight w:val="none"/>
                <w:u w:val="single" w:color="auto"/>
                <w:lang w:eastAsia="zh-CN"/>
              </w:rPr>
              <w:t>污水处理设备</w:t>
            </w:r>
            <w:r>
              <w:rPr>
                <w:rFonts w:hint="default"/>
                <w:color w:val="auto"/>
                <w:highlight w:val="none"/>
                <w:u w:val="single" w:color="auto"/>
              </w:rPr>
              <w:t>的管理，定期维护保养，每日定时巡检，避免污染物“跑、冒、滴、漏”。从源头上避免污染物通过地面漫流、入渗进入土壤及地下水的情形发生。</w:t>
            </w:r>
          </w:p>
          <w:p w14:paraId="428C6574">
            <w:pPr>
              <w:pStyle w:val="96"/>
              <w:bidi w:val="0"/>
              <w:spacing w:line="240" w:lineRule="auto"/>
              <w:ind w:firstLine="420" w:firstLineChars="200"/>
              <w:jc w:val="left"/>
              <w:rPr>
                <w:rFonts w:hint="default"/>
                <w:color w:val="auto"/>
                <w:highlight w:val="none"/>
                <w:u w:val="single" w:color="auto"/>
              </w:rPr>
            </w:pPr>
            <w:r>
              <w:rPr>
                <w:rFonts w:hint="default"/>
                <w:color w:val="auto"/>
                <w:highlight w:val="none"/>
                <w:u w:val="single" w:color="auto"/>
                <w:lang w:eastAsia="zh-CN"/>
              </w:rPr>
              <w:t>（</w:t>
            </w:r>
            <w:r>
              <w:rPr>
                <w:rFonts w:hint="default"/>
                <w:color w:val="auto"/>
                <w:highlight w:val="none"/>
                <w:u w:val="single" w:color="auto"/>
                <w:lang w:val="en-US" w:eastAsia="zh-CN"/>
              </w:rPr>
              <w:t>2）</w:t>
            </w:r>
            <w:r>
              <w:rPr>
                <w:rFonts w:hint="default"/>
                <w:color w:val="auto"/>
                <w:highlight w:val="none"/>
                <w:u w:val="single" w:color="auto"/>
              </w:rPr>
              <w:t>严格落实污水收集管道的防渗措施，从污染途径方面避免污染物入渗进入土壤及地下水造成污染。</w:t>
            </w:r>
          </w:p>
          <w:p w14:paraId="5594072D">
            <w:pPr>
              <w:adjustRightInd w:val="0"/>
              <w:snapToGrid w:val="0"/>
              <w:jc w:val="both"/>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宋体"/>
                <w:color w:val="auto"/>
                <w:sz w:val="21"/>
                <w:szCs w:val="24"/>
                <w:highlight w:val="none"/>
                <w:u w:val="single" w:color="auto"/>
                <w:lang w:val="zh-CN" w:eastAsia="zh-CN" w:bidi="zh-CN"/>
              </w:rPr>
              <w:t>（</w:t>
            </w:r>
            <w:r>
              <w:rPr>
                <w:rFonts w:hint="default" w:ascii="Times New Roman" w:hAnsi="Times New Roman" w:eastAsia="宋体" w:cs="宋体"/>
                <w:color w:val="auto"/>
                <w:sz w:val="21"/>
                <w:szCs w:val="24"/>
                <w:highlight w:val="none"/>
                <w:u w:val="single" w:color="auto"/>
                <w:lang w:val="en-US" w:eastAsia="zh-CN" w:bidi="zh-CN"/>
              </w:rPr>
              <w:t>3）</w:t>
            </w:r>
            <w:r>
              <w:rPr>
                <w:rFonts w:hint="default" w:ascii="Times New Roman" w:hAnsi="Times New Roman" w:eastAsia="宋体" w:cs="宋体"/>
                <w:color w:val="auto"/>
                <w:sz w:val="21"/>
                <w:szCs w:val="24"/>
                <w:highlight w:val="none"/>
                <w:u w:val="single" w:color="auto"/>
                <w:lang w:val="zh-CN" w:eastAsia="zh-CN" w:bidi="zh-CN"/>
              </w:rPr>
              <w:t>若发生泄漏事故，应及时对泄漏处进行封堵，对泄漏物进行清理并妥善处置。</w:t>
            </w:r>
          </w:p>
        </w:tc>
      </w:tr>
      <w:tr w14:paraId="37DD4C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665" w:type="dxa"/>
            <w:noWrap w:val="0"/>
            <w:vAlign w:val="center"/>
          </w:tcPr>
          <w:p w14:paraId="7B1C3797">
            <w:pPr>
              <w:adjustRightInd w:val="0"/>
              <w:snapToGrid w:val="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生态保护措施</w:t>
            </w:r>
          </w:p>
        </w:tc>
        <w:tc>
          <w:tcPr>
            <w:tcW w:w="7874" w:type="dxa"/>
            <w:gridSpan w:val="4"/>
            <w:noWrap w:val="0"/>
            <w:vAlign w:val="center"/>
          </w:tcPr>
          <w:p w14:paraId="393FC72B">
            <w:pPr>
              <w:adjustRightInd w:val="0"/>
              <w:snapToGrid w:val="0"/>
              <w:jc w:val="center"/>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禁止砍伐周边树木等措施，</w:t>
            </w:r>
            <w:r>
              <w:rPr>
                <w:rFonts w:hint="eastAsia"/>
                <w:sz w:val="21"/>
                <w:szCs w:val="21"/>
                <w:lang w:eastAsia="zh-CN"/>
              </w:rPr>
              <w:t>表土剥离，合理安排工期，强化水体流失防治、绿化</w:t>
            </w:r>
            <w:r>
              <w:rPr>
                <w:rFonts w:hint="eastAsia" w:cs="Times New Roman"/>
                <w:color w:val="auto"/>
                <w:sz w:val="21"/>
                <w:szCs w:val="21"/>
                <w:u w:val="single" w:color="auto"/>
                <w:lang w:val="en-US" w:eastAsia="zh-CN"/>
              </w:rPr>
              <w:t>等措施</w:t>
            </w:r>
            <w:r>
              <w:rPr>
                <w:rFonts w:hint="default" w:ascii="Times New Roman" w:hAnsi="Times New Roman" w:eastAsia="宋体" w:cs="Times New Roman"/>
                <w:color w:val="auto"/>
                <w:sz w:val="21"/>
                <w:szCs w:val="21"/>
                <w:highlight w:val="none"/>
                <w:u w:val="single" w:color="auto"/>
                <w:lang w:val="en-US" w:eastAsia="zh-CN" w:bidi="zh-CN"/>
              </w:rPr>
              <w:t>。</w:t>
            </w:r>
          </w:p>
        </w:tc>
      </w:tr>
      <w:tr w14:paraId="532247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1" w:hRule="atLeast"/>
        </w:trPr>
        <w:tc>
          <w:tcPr>
            <w:tcW w:w="1665" w:type="dxa"/>
            <w:noWrap w:val="0"/>
            <w:vAlign w:val="center"/>
          </w:tcPr>
          <w:p w14:paraId="09ACA1AD">
            <w:pPr>
              <w:adjustRightInd w:val="0"/>
              <w:snapToGrid w:val="0"/>
              <w:jc w:val="center"/>
              <w:rPr>
                <w:rFonts w:hint="default" w:ascii="Times New Roman" w:hAnsi="Times New Roman" w:eastAsia="宋体" w:cs="Times New Roman"/>
                <w:color w:val="auto"/>
                <w:spacing w:val="-8"/>
                <w:sz w:val="21"/>
                <w:szCs w:val="21"/>
                <w:u w:val="single" w:color="auto"/>
              </w:rPr>
            </w:pPr>
            <w:r>
              <w:rPr>
                <w:rFonts w:hint="default" w:ascii="Times New Roman" w:hAnsi="Times New Roman" w:eastAsia="宋体" w:cs="Times New Roman"/>
                <w:color w:val="auto"/>
                <w:spacing w:val="-8"/>
                <w:sz w:val="21"/>
                <w:szCs w:val="21"/>
                <w:u w:val="single" w:color="auto"/>
              </w:rPr>
              <w:t>环境风险</w:t>
            </w:r>
          </w:p>
          <w:p w14:paraId="6802C5EC">
            <w:pPr>
              <w:adjustRightInd w:val="0"/>
              <w:snapToGrid w:val="0"/>
              <w:jc w:val="center"/>
              <w:rPr>
                <w:rFonts w:hint="default" w:ascii="Times New Roman" w:hAnsi="Times New Roman" w:eastAsia="宋体" w:cs="Times New Roman"/>
                <w:color w:val="auto"/>
                <w:spacing w:val="-8"/>
                <w:sz w:val="21"/>
                <w:szCs w:val="21"/>
                <w:u w:val="single" w:color="auto"/>
              </w:rPr>
            </w:pPr>
            <w:r>
              <w:rPr>
                <w:rFonts w:hint="default" w:ascii="Times New Roman" w:hAnsi="Times New Roman" w:eastAsia="宋体" w:cs="Times New Roman"/>
                <w:color w:val="auto"/>
                <w:spacing w:val="-8"/>
                <w:sz w:val="21"/>
                <w:szCs w:val="21"/>
                <w:u w:val="single" w:color="auto"/>
              </w:rPr>
              <w:t>防范措施</w:t>
            </w:r>
          </w:p>
        </w:tc>
        <w:tc>
          <w:tcPr>
            <w:tcW w:w="7874" w:type="dxa"/>
            <w:gridSpan w:val="4"/>
            <w:noWrap w:val="0"/>
            <w:vAlign w:val="center"/>
          </w:tcPr>
          <w:p w14:paraId="69609D62">
            <w:pPr>
              <w:ind w:firstLine="420" w:firstLineChars="200"/>
              <w:jc w:val="both"/>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（1）医疗废物暂存间应做好</w:t>
            </w:r>
            <w:r>
              <w:rPr>
                <w:rFonts w:hint="eastAsia" w:ascii="Times New Roman" w:hAnsi="Times New Roman" w:eastAsia="宋体" w:cs="Times New Roman"/>
                <w:color w:val="auto"/>
                <w:sz w:val="21"/>
                <w:szCs w:val="21"/>
                <w:highlight w:val="none"/>
                <w:u w:val="single" w:color="auto"/>
                <w:lang w:val="en-US" w:eastAsia="zh-CN"/>
              </w:rPr>
              <w:t>防渗</w:t>
            </w:r>
            <w:r>
              <w:rPr>
                <w:rFonts w:hint="default" w:ascii="Times New Roman" w:hAnsi="Times New Roman" w:eastAsia="宋体" w:cs="Times New Roman"/>
                <w:color w:val="auto"/>
                <w:sz w:val="21"/>
                <w:szCs w:val="21"/>
                <w:highlight w:val="none"/>
                <w:u w:val="single" w:color="auto"/>
                <w:lang w:val="en-US" w:eastAsia="zh-CN"/>
              </w:rPr>
              <w:t>、防漏、防风、防流失等措施。</w:t>
            </w:r>
          </w:p>
          <w:p w14:paraId="64CFF5CE">
            <w:pPr>
              <w:adjustRightInd w:val="0"/>
              <w:snapToGrid w:val="0"/>
              <w:ind w:firstLine="420" w:firstLineChars="200"/>
              <w:jc w:val="both"/>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（2）加强设备日常的维护和管理，定期对废水处理系统的各类设备进行保养、检查和维修，确保废水处理系统的正常运行。</w:t>
            </w:r>
          </w:p>
          <w:p w14:paraId="75954E70">
            <w:pPr>
              <w:adjustRightInd w:val="0"/>
              <w:snapToGrid w:val="0"/>
              <w:ind w:firstLine="420" w:firstLineChars="200"/>
              <w:jc w:val="both"/>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（3）设置应急池</w:t>
            </w:r>
          </w:p>
        </w:tc>
      </w:tr>
      <w:tr w14:paraId="0F0DA2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5" w:hRule="atLeast"/>
        </w:trPr>
        <w:tc>
          <w:tcPr>
            <w:tcW w:w="1665" w:type="dxa"/>
            <w:noWrap w:val="0"/>
            <w:vAlign w:val="center"/>
          </w:tcPr>
          <w:p w14:paraId="75EB121F">
            <w:pPr>
              <w:adjustRightInd w:val="0"/>
              <w:snapToGrid w:val="0"/>
              <w:jc w:val="center"/>
              <w:rPr>
                <w:rFonts w:hint="default" w:ascii="Times New Roman" w:hAnsi="Times New Roman" w:eastAsia="宋体" w:cs="Times New Roman"/>
                <w:color w:val="auto"/>
                <w:spacing w:val="-8"/>
                <w:sz w:val="21"/>
                <w:szCs w:val="21"/>
                <w:u w:val="single" w:color="auto"/>
              </w:rPr>
            </w:pPr>
            <w:r>
              <w:rPr>
                <w:rFonts w:hint="default" w:ascii="Times New Roman" w:hAnsi="Times New Roman" w:eastAsia="宋体" w:cs="Times New Roman"/>
                <w:color w:val="auto"/>
                <w:spacing w:val="-8"/>
                <w:sz w:val="21"/>
                <w:szCs w:val="21"/>
                <w:u w:val="single" w:color="auto"/>
              </w:rPr>
              <w:t>其他环境</w:t>
            </w:r>
          </w:p>
          <w:p w14:paraId="2BBFE5F8">
            <w:pPr>
              <w:adjustRightInd w:val="0"/>
              <w:snapToGrid w:val="0"/>
              <w:jc w:val="center"/>
              <w:rPr>
                <w:rFonts w:hint="default" w:ascii="Times New Roman" w:hAnsi="Times New Roman" w:eastAsia="宋体" w:cs="Times New Roman"/>
                <w:color w:val="auto"/>
                <w:spacing w:val="-8"/>
                <w:sz w:val="21"/>
                <w:szCs w:val="21"/>
                <w:u w:val="single" w:color="auto"/>
              </w:rPr>
            </w:pPr>
            <w:r>
              <w:rPr>
                <w:rFonts w:hint="default" w:ascii="Times New Roman" w:hAnsi="Times New Roman" w:eastAsia="宋体" w:cs="Times New Roman"/>
                <w:color w:val="auto"/>
                <w:spacing w:val="-8"/>
                <w:sz w:val="21"/>
                <w:szCs w:val="21"/>
                <w:u w:val="single" w:color="auto"/>
              </w:rPr>
              <w:t>管理要求</w:t>
            </w:r>
          </w:p>
        </w:tc>
        <w:tc>
          <w:tcPr>
            <w:tcW w:w="7874" w:type="dxa"/>
            <w:gridSpan w:val="4"/>
            <w:noWrap w:val="0"/>
            <w:vAlign w:val="center"/>
          </w:tcPr>
          <w:p w14:paraId="23BAC6EA">
            <w:pPr>
              <w:keepNext w:val="0"/>
              <w:keepLines w:val="0"/>
              <w:widowControl/>
              <w:suppressLineNumbers w:val="0"/>
              <w:ind w:firstLine="420" w:firstLineChars="200"/>
              <w:jc w:val="left"/>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（1）根据《建设项目环境保护验收暂行办法》，项目主体工程和环保设施正常运行情况下，企业可自行申请竣工验收；</w:t>
            </w:r>
          </w:p>
          <w:p w14:paraId="7C3E88DC">
            <w:pPr>
              <w:keepNext w:val="0"/>
              <w:keepLines w:val="0"/>
              <w:widowControl/>
              <w:suppressLineNumbers w:val="0"/>
              <w:ind w:firstLine="420" w:firstLineChars="200"/>
              <w:jc w:val="left"/>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（2）做好环保管理基础台账。</w:t>
            </w:r>
          </w:p>
          <w:p w14:paraId="4AED05D0">
            <w:pPr>
              <w:widowControl/>
              <w:adjustRightInd/>
              <w:snapToGrid/>
              <w:ind w:firstLine="420" w:firstLineChars="200"/>
              <w:jc w:val="left"/>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（3）及时进行污染源自行监测。</w:t>
            </w:r>
          </w:p>
        </w:tc>
      </w:tr>
    </w:tbl>
    <w:p w14:paraId="32DC2F42">
      <w:pPr>
        <w:pStyle w:val="2"/>
        <w:rPr>
          <w:color w:val="auto"/>
          <w:highlight w:val="none"/>
          <w:u w:val="none"/>
          <w:lang w:val="en-US"/>
        </w:rPr>
      </w:pPr>
      <w:r>
        <w:rPr>
          <w:color w:val="auto"/>
          <w:highlight w:val="none"/>
          <w:u w:val="none"/>
          <w:lang w:val="en-US"/>
        </w:rPr>
        <w:br w:type="page"/>
      </w:r>
      <w:bookmarkStart w:id="10" w:name="_Toc134635720"/>
      <w:r>
        <w:rPr>
          <w:rFonts w:hint="eastAsia"/>
          <w:color w:val="auto"/>
          <w:highlight w:val="none"/>
          <w:u w:val="none"/>
          <w:lang w:val="en-US"/>
        </w:rPr>
        <w:t>六、结论</w:t>
      </w:r>
      <w:bookmarkEnd w:id="10"/>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56"/>
      </w:tblGrid>
      <w:tr w14:paraId="48AD3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4" w:hRule="atLeast"/>
        </w:trPr>
        <w:tc>
          <w:tcPr>
            <w:tcW w:w="5000" w:type="pct"/>
            <w:vAlign w:val="center"/>
          </w:tcPr>
          <w:p w14:paraId="706742A0">
            <w:pPr>
              <w:spacing w:line="360" w:lineRule="auto"/>
              <w:ind w:firstLine="480" w:firstLineChars="200"/>
              <w:jc w:val="both"/>
              <w:rPr>
                <w:rFonts w:hint="eastAsia"/>
                <w:color w:val="auto"/>
                <w:highlight w:val="none"/>
                <w:u w:val="none"/>
                <w:lang w:val="en-US" w:eastAsia="zh-CN"/>
              </w:rPr>
            </w:pPr>
            <w:r>
              <w:rPr>
                <w:rFonts w:hint="eastAsia"/>
                <w:color w:val="auto"/>
                <w:highlight w:val="none"/>
                <w:u w:val="none"/>
                <w:lang w:val="en-US" w:eastAsia="zh-CN"/>
              </w:rPr>
              <w:t>本项目</w:t>
            </w:r>
            <w:r>
              <w:rPr>
                <w:color w:val="auto"/>
                <w:highlight w:val="none"/>
                <w:u w:val="none"/>
                <w:lang w:val="en-US" w:eastAsia="zh-CN"/>
              </w:rPr>
              <w:t>建设单位</w:t>
            </w:r>
            <w:r>
              <w:rPr>
                <w:rFonts w:hint="eastAsia"/>
                <w:color w:val="auto"/>
                <w:highlight w:val="none"/>
                <w:u w:val="none"/>
                <w:lang w:val="en-US" w:eastAsia="zh-CN"/>
              </w:rPr>
              <w:t>在采取有效污染防治措施后，废气、废水、噪声可实现达标排放，固体废物能得到有效、安全处置，项目产生的污染物对周围环境产生的影响在可接受的范围内。</w:t>
            </w:r>
            <w:r>
              <w:rPr>
                <w:color w:val="auto"/>
                <w:highlight w:val="none"/>
                <w:u w:val="none"/>
                <w:lang w:val="en-US" w:eastAsia="zh-CN"/>
              </w:rPr>
              <w:t>在</w:t>
            </w:r>
            <w:r>
              <w:rPr>
                <w:rFonts w:hint="eastAsia"/>
                <w:color w:val="auto"/>
                <w:highlight w:val="none"/>
                <w:u w:val="none"/>
                <w:lang w:val="en-US" w:eastAsia="zh-CN"/>
              </w:rPr>
              <w:t>建设单位切实落实环境污染治理资金，</w:t>
            </w:r>
            <w:r>
              <w:rPr>
                <w:color w:val="auto"/>
                <w:highlight w:val="none"/>
                <w:u w:val="none"/>
                <w:lang w:val="en-US" w:eastAsia="zh-CN"/>
              </w:rPr>
              <w:t>严格执行环保“三同时”制度，</w:t>
            </w:r>
            <w:r>
              <w:rPr>
                <w:rFonts w:hint="eastAsia"/>
                <w:color w:val="auto"/>
                <w:highlight w:val="none"/>
                <w:u w:val="none"/>
                <w:lang w:val="en-US" w:eastAsia="zh-CN"/>
              </w:rPr>
              <w:t>认真落实本环评提出的各项污染防治措施和建议，并加强环境管理，确保污染物全面达标排放的前提下，从环保的角度分析，本项目的建设是可行的。</w:t>
            </w:r>
          </w:p>
          <w:p w14:paraId="2315A5F0">
            <w:pPr>
              <w:spacing w:line="360" w:lineRule="auto"/>
              <w:ind w:firstLine="480" w:firstLineChars="200"/>
              <w:jc w:val="both"/>
              <w:rPr>
                <w:color w:val="auto"/>
                <w:highlight w:val="none"/>
                <w:u w:val="none"/>
                <w:lang w:val="en-US"/>
              </w:rPr>
            </w:pPr>
          </w:p>
        </w:tc>
      </w:tr>
    </w:tbl>
    <w:p w14:paraId="3A6D67AF">
      <w:pPr>
        <w:rPr>
          <w:color w:val="auto"/>
          <w:highlight w:val="none"/>
          <w:u w:val="none"/>
          <w:lang w:val="en-US"/>
        </w:rPr>
        <w:sectPr>
          <w:footerReference r:id="rId9" w:type="default"/>
          <w:pgSz w:w="11906" w:h="16838"/>
          <w:pgMar w:top="1440" w:right="1083" w:bottom="1440" w:left="1083" w:header="850" w:footer="992" w:gutter="0"/>
          <w:pgBorders>
            <w:top w:val="none" w:sz="0" w:space="0"/>
            <w:left w:val="none" w:sz="0" w:space="0"/>
            <w:bottom w:val="none" w:sz="0" w:space="0"/>
            <w:right w:val="none" w:sz="0" w:space="0"/>
          </w:pgBorders>
          <w:pgNumType w:fmt="decimal"/>
          <w:cols w:space="425" w:num="1"/>
          <w:docGrid w:type="lines" w:linePitch="312" w:charSpace="0"/>
        </w:sectPr>
      </w:pPr>
    </w:p>
    <w:p w14:paraId="0A893EC0">
      <w:pPr>
        <w:pStyle w:val="2"/>
        <w:jc w:val="left"/>
        <w:rPr>
          <w:lang w:val="en-US"/>
        </w:rPr>
      </w:pPr>
      <w:r>
        <w:rPr>
          <w:rFonts w:hint="eastAsia"/>
          <w:lang w:val="en-US"/>
        </w:rPr>
        <w:t>附表</w:t>
      </w:r>
    </w:p>
    <w:p w14:paraId="388A671B">
      <w:pPr>
        <w:spacing w:line="360" w:lineRule="auto"/>
        <w:jc w:val="center"/>
        <w:rPr>
          <w:rFonts w:cs="Times New Roman"/>
          <w:b/>
          <w:bCs/>
          <w:color w:val="auto"/>
          <w:highlight w:val="none"/>
          <w:u w:val="none"/>
        </w:rPr>
      </w:pPr>
      <w:r>
        <w:rPr>
          <w:rFonts w:cs="Times New Roman"/>
          <w:b/>
          <w:bCs/>
          <w:color w:val="auto"/>
          <w:highlight w:val="none"/>
          <w:u w:val="none"/>
        </w:rPr>
        <w:t>建设项目污染物排放量汇总表</w:t>
      </w:r>
      <w:r>
        <w:rPr>
          <w:rFonts w:hint="eastAsia" w:cs="Times New Roman"/>
          <w:b/>
          <w:bCs/>
          <w:color w:val="auto"/>
          <w:highlight w:val="none"/>
          <w:u w:val="none"/>
        </w:rPr>
        <w:t xml:space="preserve"> </w:t>
      </w:r>
      <w:r>
        <w:rPr>
          <w:rFonts w:cs="Times New Roman"/>
          <w:b/>
          <w:bCs/>
          <w:color w:val="auto"/>
          <w:highlight w:val="none"/>
          <w:u w:val="none"/>
        </w:rPr>
        <w:t xml:space="preserve">   </w:t>
      </w:r>
      <w:r>
        <w:rPr>
          <w:rFonts w:hint="eastAsia" w:cs="Times New Roman"/>
          <w:b/>
          <w:bCs/>
          <w:color w:val="auto"/>
          <w:highlight w:val="none"/>
          <w:u w:val="none"/>
        </w:rPr>
        <w:t>单位：t/a</w:t>
      </w:r>
    </w:p>
    <w:tbl>
      <w:tblPr>
        <w:tblStyle w:val="34"/>
        <w:tblW w:w="1481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2004"/>
        <w:gridCol w:w="1666"/>
        <w:gridCol w:w="1034"/>
        <w:gridCol w:w="2025"/>
        <w:gridCol w:w="1977"/>
        <w:gridCol w:w="1731"/>
        <w:gridCol w:w="1738"/>
        <w:gridCol w:w="1415"/>
      </w:tblGrid>
      <w:tr w14:paraId="54FCE2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1226" w:type="dxa"/>
            <w:tcBorders>
              <w:tl2br w:val="single" w:color="auto" w:sz="4" w:space="0"/>
            </w:tcBorders>
            <w:noWrap w:val="0"/>
            <w:tcMar>
              <w:left w:w="28" w:type="dxa"/>
              <w:right w:w="28" w:type="dxa"/>
            </w:tcMar>
            <w:vAlign w:val="center"/>
          </w:tcPr>
          <w:p w14:paraId="0B19BB8E">
            <w:pPr>
              <w:pStyle w:val="96"/>
              <w:bidi w:val="0"/>
              <w:ind w:firstLine="0" w:firstLineChars="0"/>
              <w:rPr>
                <w:rFonts w:hint="default" w:ascii="Times New Roman" w:hAnsi="Times New Roman" w:eastAsia="宋体" w:cs="Times New Roman"/>
                <w:color w:val="auto"/>
                <w:szCs w:val="22"/>
                <w:u w:val="none"/>
                <w:lang w:val="en-US" w:eastAsia="zh-CN"/>
              </w:rPr>
            </w:pPr>
            <w:bookmarkStart w:id="11" w:name="_Toc24217"/>
            <w:r>
              <w:rPr>
                <w:rFonts w:hint="default" w:ascii="Times New Roman" w:hAnsi="Times New Roman" w:eastAsia="宋体" w:cs="Times New Roman"/>
                <w:color w:val="auto"/>
                <w:szCs w:val="22"/>
                <w:u w:val="none"/>
                <w:lang w:val="en-US" w:eastAsia="zh-CN"/>
              </w:rPr>
              <w:t>项目</w:t>
            </w:r>
          </w:p>
          <w:p w14:paraId="19EE6C94">
            <w:pPr>
              <w:pStyle w:val="96"/>
              <w:bidi w:val="0"/>
              <w:ind w:firstLine="0" w:firstLineChars="0"/>
              <w:rPr>
                <w:rFonts w:hint="default" w:ascii="Times New Roman" w:hAnsi="Times New Roman" w:eastAsia="宋体" w:cs="Times New Roman"/>
                <w:color w:val="auto"/>
                <w:szCs w:val="22"/>
                <w:u w:val="none"/>
                <w:lang w:val="en-US" w:eastAsia="zh-CN"/>
              </w:rPr>
            </w:pPr>
            <w:r>
              <w:rPr>
                <w:rFonts w:hint="default" w:ascii="Times New Roman" w:hAnsi="Times New Roman" w:eastAsia="宋体" w:cs="Times New Roman"/>
                <w:color w:val="auto"/>
                <w:szCs w:val="22"/>
                <w:u w:val="none"/>
                <w:lang w:val="en-US" w:eastAsia="zh-CN"/>
              </w:rPr>
              <w:t>分类</w:t>
            </w:r>
          </w:p>
        </w:tc>
        <w:tc>
          <w:tcPr>
            <w:tcW w:w="2004" w:type="dxa"/>
            <w:noWrap w:val="0"/>
            <w:tcMar>
              <w:left w:w="28" w:type="dxa"/>
              <w:right w:w="28" w:type="dxa"/>
            </w:tcMar>
            <w:vAlign w:val="center"/>
          </w:tcPr>
          <w:p w14:paraId="3C3B51B6">
            <w:pPr>
              <w:pStyle w:val="96"/>
              <w:bidi w:val="0"/>
              <w:ind w:firstLine="0" w:firstLineChars="0"/>
              <w:rPr>
                <w:rFonts w:hint="default" w:ascii="Times New Roman" w:hAnsi="Times New Roman" w:eastAsia="宋体" w:cs="Times New Roman"/>
                <w:color w:val="auto"/>
                <w:szCs w:val="22"/>
                <w:u w:val="none"/>
                <w:lang w:val="en-US" w:eastAsia="zh-CN"/>
              </w:rPr>
            </w:pPr>
            <w:r>
              <w:rPr>
                <w:rFonts w:hint="default" w:ascii="Times New Roman" w:hAnsi="Times New Roman" w:eastAsia="宋体" w:cs="Times New Roman"/>
                <w:color w:val="auto"/>
                <w:szCs w:val="22"/>
                <w:u w:val="none"/>
                <w:lang w:val="en-US" w:eastAsia="zh-CN"/>
              </w:rPr>
              <w:t>污染物名称</w:t>
            </w:r>
          </w:p>
        </w:tc>
        <w:tc>
          <w:tcPr>
            <w:tcW w:w="1666" w:type="dxa"/>
            <w:noWrap w:val="0"/>
            <w:tcMar>
              <w:left w:w="28" w:type="dxa"/>
              <w:right w:w="28" w:type="dxa"/>
            </w:tcMar>
            <w:vAlign w:val="center"/>
          </w:tcPr>
          <w:p w14:paraId="74253453">
            <w:pPr>
              <w:pStyle w:val="96"/>
              <w:bidi w:val="0"/>
              <w:ind w:firstLine="0" w:firstLineChars="0"/>
              <w:rPr>
                <w:rFonts w:hint="default" w:ascii="Times New Roman" w:hAnsi="Times New Roman" w:eastAsia="宋体" w:cs="Times New Roman"/>
                <w:color w:val="auto"/>
                <w:szCs w:val="22"/>
                <w:u w:val="none"/>
                <w:lang w:val="en-US" w:eastAsia="zh-CN"/>
              </w:rPr>
            </w:pPr>
            <w:r>
              <w:rPr>
                <w:rFonts w:hint="default" w:ascii="Times New Roman" w:hAnsi="Times New Roman" w:eastAsia="宋体" w:cs="Times New Roman"/>
                <w:color w:val="auto"/>
                <w:szCs w:val="22"/>
                <w:u w:val="none"/>
                <w:lang w:val="en-US" w:eastAsia="zh-CN"/>
              </w:rPr>
              <w:t>现有工程</w:t>
            </w:r>
          </w:p>
          <w:p w14:paraId="498260C0">
            <w:pPr>
              <w:pStyle w:val="96"/>
              <w:bidi w:val="0"/>
              <w:ind w:firstLine="0" w:firstLineChars="0"/>
              <w:rPr>
                <w:rFonts w:hint="default" w:ascii="Times New Roman" w:hAnsi="Times New Roman" w:eastAsia="宋体" w:cs="Times New Roman"/>
                <w:color w:val="auto"/>
                <w:szCs w:val="22"/>
                <w:u w:val="none"/>
                <w:lang w:val="en-US" w:eastAsia="zh-CN"/>
              </w:rPr>
            </w:pPr>
            <w:r>
              <w:rPr>
                <w:rFonts w:hint="default" w:ascii="Times New Roman" w:hAnsi="Times New Roman" w:eastAsia="宋体" w:cs="Times New Roman"/>
                <w:color w:val="auto"/>
                <w:szCs w:val="22"/>
                <w:u w:val="none"/>
                <w:lang w:val="en-US" w:eastAsia="zh-CN"/>
              </w:rPr>
              <w:t>排放量（固体废物产生量）</w:t>
            </w:r>
            <w:r>
              <w:rPr>
                <w:rFonts w:hint="default" w:ascii="Times New Roman" w:hAnsi="Times New Roman" w:eastAsia="宋体" w:cs="Times New Roman"/>
                <w:color w:val="auto"/>
                <w:szCs w:val="22"/>
                <w:u w:val="none"/>
                <w:lang w:val="en-US" w:eastAsia="zh-CN"/>
              </w:rPr>
              <w:fldChar w:fldCharType="begin"/>
            </w:r>
            <w:r>
              <w:rPr>
                <w:rFonts w:hint="default" w:ascii="Times New Roman" w:hAnsi="Times New Roman" w:eastAsia="宋体" w:cs="Times New Roman"/>
                <w:color w:val="auto"/>
                <w:szCs w:val="22"/>
                <w:u w:val="none"/>
                <w:lang w:val="en-US" w:eastAsia="zh-CN"/>
              </w:rPr>
              <w:instrText xml:space="preserve"> = 1 \* GB3 \* MERGEFORMAT </w:instrText>
            </w:r>
            <w:r>
              <w:rPr>
                <w:rFonts w:hint="default" w:ascii="Times New Roman" w:hAnsi="Times New Roman" w:eastAsia="宋体" w:cs="Times New Roman"/>
                <w:color w:val="auto"/>
                <w:szCs w:val="22"/>
                <w:u w:val="none"/>
                <w:lang w:val="en-US" w:eastAsia="zh-CN"/>
              </w:rPr>
              <w:fldChar w:fldCharType="separate"/>
            </w:r>
            <w:r>
              <w:rPr>
                <w:rFonts w:hint="default" w:ascii="Times New Roman" w:hAnsi="Times New Roman" w:eastAsia="宋体" w:cs="Times New Roman"/>
                <w:color w:val="auto"/>
                <w:szCs w:val="22"/>
                <w:u w:val="none"/>
                <w:lang w:val="en-US" w:eastAsia="zh-CN"/>
              </w:rPr>
              <w:t>①</w:t>
            </w:r>
            <w:r>
              <w:rPr>
                <w:rFonts w:hint="default" w:ascii="Times New Roman" w:hAnsi="Times New Roman" w:eastAsia="宋体" w:cs="Times New Roman"/>
                <w:color w:val="auto"/>
                <w:szCs w:val="22"/>
                <w:u w:val="none"/>
                <w:lang w:val="en-US" w:eastAsia="zh-CN"/>
              </w:rPr>
              <w:fldChar w:fldCharType="end"/>
            </w:r>
          </w:p>
        </w:tc>
        <w:tc>
          <w:tcPr>
            <w:tcW w:w="1034" w:type="dxa"/>
            <w:noWrap w:val="0"/>
            <w:tcMar>
              <w:left w:w="28" w:type="dxa"/>
              <w:right w:w="28" w:type="dxa"/>
            </w:tcMar>
            <w:vAlign w:val="center"/>
          </w:tcPr>
          <w:p w14:paraId="05C08291">
            <w:pPr>
              <w:pStyle w:val="96"/>
              <w:bidi w:val="0"/>
              <w:ind w:firstLine="0" w:firstLineChars="0"/>
              <w:rPr>
                <w:rFonts w:hint="default" w:ascii="Times New Roman" w:hAnsi="Times New Roman" w:eastAsia="宋体" w:cs="Times New Roman"/>
                <w:color w:val="auto"/>
                <w:szCs w:val="22"/>
                <w:u w:val="none"/>
                <w:lang w:val="en-US" w:eastAsia="zh-CN"/>
              </w:rPr>
            </w:pPr>
            <w:r>
              <w:rPr>
                <w:rFonts w:hint="default" w:ascii="Times New Roman" w:hAnsi="Times New Roman" w:eastAsia="宋体" w:cs="Times New Roman"/>
                <w:color w:val="auto"/>
                <w:szCs w:val="22"/>
                <w:u w:val="none"/>
                <w:lang w:val="en-US" w:eastAsia="zh-CN"/>
              </w:rPr>
              <w:t>现有工程</w:t>
            </w:r>
          </w:p>
          <w:p w14:paraId="2F46ED63">
            <w:pPr>
              <w:pStyle w:val="96"/>
              <w:bidi w:val="0"/>
              <w:ind w:firstLine="0" w:firstLineChars="0"/>
              <w:rPr>
                <w:rFonts w:hint="default" w:ascii="Times New Roman" w:hAnsi="Times New Roman" w:eastAsia="宋体" w:cs="Times New Roman"/>
                <w:color w:val="auto"/>
                <w:szCs w:val="22"/>
                <w:u w:val="none"/>
                <w:lang w:val="en-US" w:eastAsia="zh-CN"/>
              </w:rPr>
            </w:pPr>
            <w:r>
              <w:rPr>
                <w:rFonts w:hint="default" w:ascii="Times New Roman" w:hAnsi="Times New Roman" w:eastAsia="宋体" w:cs="Times New Roman"/>
                <w:color w:val="auto"/>
                <w:szCs w:val="22"/>
                <w:u w:val="none"/>
                <w:lang w:val="en-US" w:eastAsia="zh-CN"/>
              </w:rPr>
              <w:t>许可排放量</w:t>
            </w:r>
            <w:r>
              <w:rPr>
                <w:rFonts w:hint="default" w:ascii="Times New Roman" w:hAnsi="Times New Roman" w:eastAsia="宋体" w:cs="Times New Roman"/>
                <w:color w:val="auto"/>
                <w:szCs w:val="22"/>
                <w:u w:val="none"/>
                <w:lang w:val="en-US" w:eastAsia="zh-CN"/>
              </w:rPr>
              <w:fldChar w:fldCharType="begin"/>
            </w:r>
            <w:r>
              <w:rPr>
                <w:rFonts w:hint="default" w:ascii="Times New Roman" w:hAnsi="Times New Roman" w:eastAsia="宋体" w:cs="Times New Roman"/>
                <w:color w:val="auto"/>
                <w:szCs w:val="22"/>
                <w:u w:val="none"/>
                <w:lang w:val="en-US" w:eastAsia="zh-CN"/>
              </w:rPr>
              <w:instrText xml:space="preserve"> = 2 \* GB3 \* MERGEFORMAT </w:instrText>
            </w:r>
            <w:r>
              <w:rPr>
                <w:rFonts w:hint="default" w:ascii="Times New Roman" w:hAnsi="Times New Roman" w:eastAsia="宋体" w:cs="Times New Roman"/>
                <w:color w:val="auto"/>
                <w:szCs w:val="22"/>
                <w:u w:val="none"/>
                <w:lang w:val="en-US" w:eastAsia="zh-CN"/>
              </w:rPr>
              <w:fldChar w:fldCharType="separate"/>
            </w:r>
            <w:r>
              <w:rPr>
                <w:rFonts w:hint="default" w:ascii="Times New Roman" w:hAnsi="Times New Roman" w:eastAsia="宋体" w:cs="Times New Roman"/>
                <w:color w:val="auto"/>
                <w:szCs w:val="22"/>
                <w:u w:val="none"/>
                <w:lang w:val="en-US" w:eastAsia="zh-CN"/>
              </w:rPr>
              <w:t>②</w:t>
            </w:r>
            <w:r>
              <w:rPr>
                <w:rFonts w:hint="default" w:ascii="Times New Roman" w:hAnsi="Times New Roman" w:eastAsia="宋体" w:cs="Times New Roman"/>
                <w:color w:val="auto"/>
                <w:szCs w:val="22"/>
                <w:u w:val="none"/>
                <w:lang w:val="en-US" w:eastAsia="zh-CN"/>
              </w:rPr>
              <w:fldChar w:fldCharType="end"/>
            </w:r>
          </w:p>
        </w:tc>
        <w:tc>
          <w:tcPr>
            <w:tcW w:w="2025" w:type="dxa"/>
            <w:noWrap w:val="0"/>
            <w:tcMar>
              <w:left w:w="28" w:type="dxa"/>
              <w:right w:w="28" w:type="dxa"/>
            </w:tcMar>
            <w:vAlign w:val="center"/>
          </w:tcPr>
          <w:p w14:paraId="12426F76">
            <w:pPr>
              <w:pStyle w:val="96"/>
              <w:bidi w:val="0"/>
              <w:ind w:firstLine="0" w:firstLineChars="0"/>
              <w:rPr>
                <w:rFonts w:hint="default" w:ascii="Times New Roman" w:hAnsi="Times New Roman" w:eastAsia="宋体" w:cs="Times New Roman"/>
                <w:color w:val="auto"/>
                <w:szCs w:val="22"/>
                <w:u w:val="none"/>
                <w:lang w:val="en-US" w:eastAsia="zh-CN"/>
              </w:rPr>
            </w:pPr>
            <w:r>
              <w:rPr>
                <w:rFonts w:hint="default" w:ascii="Times New Roman" w:hAnsi="Times New Roman" w:eastAsia="宋体" w:cs="Times New Roman"/>
                <w:color w:val="auto"/>
                <w:szCs w:val="22"/>
                <w:u w:val="none"/>
                <w:lang w:val="en-US" w:eastAsia="zh-CN"/>
              </w:rPr>
              <w:t>在建工程</w:t>
            </w:r>
          </w:p>
          <w:p w14:paraId="524DE470">
            <w:pPr>
              <w:pStyle w:val="96"/>
              <w:bidi w:val="0"/>
              <w:ind w:firstLine="0" w:firstLineChars="0"/>
              <w:rPr>
                <w:rFonts w:hint="default" w:ascii="Times New Roman" w:hAnsi="Times New Roman" w:eastAsia="宋体" w:cs="Times New Roman"/>
                <w:color w:val="auto"/>
                <w:szCs w:val="22"/>
                <w:u w:val="none"/>
                <w:lang w:val="en-US" w:eastAsia="zh-CN"/>
              </w:rPr>
            </w:pPr>
            <w:r>
              <w:rPr>
                <w:rFonts w:hint="default" w:ascii="Times New Roman" w:hAnsi="Times New Roman" w:eastAsia="宋体" w:cs="Times New Roman"/>
                <w:color w:val="auto"/>
                <w:szCs w:val="22"/>
                <w:u w:val="none"/>
                <w:lang w:val="en-US" w:eastAsia="zh-CN"/>
              </w:rPr>
              <w:t>排放量（固体废物产生量）</w:t>
            </w:r>
            <w:r>
              <w:rPr>
                <w:rFonts w:hint="default" w:ascii="Times New Roman" w:hAnsi="Times New Roman" w:eastAsia="宋体" w:cs="Times New Roman"/>
                <w:color w:val="auto"/>
                <w:szCs w:val="22"/>
                <w:u w:val="none"/>
                <w:lang w:val="en-US" w:eastAsia="zh-CN"/>
              </w:rPr>
              <w:fldChar w:fldCharType="begin"/>
            </w:r>
            <w:r>
              <w:rPr>
                <w:rFonts w:hint="default" w:ascii="Times New Roman" w:hAnsi="Times New Roman" w:eastAsia="宋体" w:cs="Times New Roman"/>
                <w:color w:val="auto"/>
                <w:szCs w:val="22"/>
                <w:u w:val="none"/>
                <w:lang w:val="en-US" w:eastAsia="zh-CN"/>
              </w:rPr>
              <w:instrText xml:space="preserve"> = 3 \* GB3 \* MERGEFORMAT </w:instrText>
            </w:r>
            <w:r>
              <w:rPr>
                <w:rFonts w:hint="default" w:ascii="Times New Roman" w:hAnsi="Times New Roman" w:eastAsia="宋体" w:cs="Times New Roman"/>
                <w:color w:val="auto"/>
                <w:szCs w:val="22"/>
                <w:u w:val="none"/>
                <w:lang w:val="en-US" w:eastAsia="zh-CN"/>
              </w:rPr>
              <w:fldChar w:fldCharType="separate"/>
            </w:r>
            <w:r>
              <w:rPr>
                <w:rFonts w:hint="default" w:ascii="Times New Roman" w:hAnsi="Times New Roman" w:eastAsia="宋体" w:cs="Times New Roman"/>
                <w:color w:val="auto"/>
                <w:szCs w:val="22"/>
                <w:u w:val="none"/>
                <w:lang w:val="en-US" w:eastAsia="zh-CN"/>
              </w:rPr>
              <w:t>③</w:t>
            </w:r>
            <w:r>
              <w:rPr>
                <w:rFonts w:hint="default" w:ascii="Times New Roman" w:hAnsi="Times New Roman" w:eastAsia="宋体" w:cs="Times New Roman"/>
                <w:color w:val="auto"/>
                <w:szCs w:val="22"/>
                <w:u w:val="none"/>
                <w:lang w:val="en-US" w:eastAsia="zh-CN"/>
              </w:rPr>
              <w:fldChar w:fldCharType="end"/>
            </w:r>
          </w:p>
        </w:tc>
        <w:tc>
          <w:tcPr>
            <w:tcW w:w="1977" w:type="dxa"/>
            <w:noWrap w:val="0"/>
            <w:tcMar>
              <w:left w:w="28" w:type="dxa"/>
              <w:right w:w="28" w:type="dxa"/>
            </w:tcMar>
            <w:vAlign w:val="center"/>
          </w:tcPr>
          <w:p w14:paraId="418EAB98">
            <w:pPr>
              <w:pStyle w:val="96"/>
              <w:bidi w:val="0"/>
              <w:ind w:firstLine="0" w:firstLineChars="0"/>
              <w:rPr>
                <w:rFonts w:hint="default" w:ascii="Times New Roman" w:hAnsi="Times New Roman" w:eastAsia="宋体" w:cs="Times New Roman"/>
                <w:color w:val="auto"/>
                <w:szCs w:val="22"/>
                <w:u w:val="none"/>
                <w:lang w:val="en-US" w:eastAsia="zh-CN"/>
              </w:rPr>
            </w:pPr>
            <w:r>
              <w:rPr>
                <w:rFonts w:hint="default" w:ascii="Times New Roman" w:hAnsi="Times New Roman" w:eastAsia="宋体" w:cs="Times New Roman"/>
                <w:color w:val="auto"/>
                <w:szCs w:val="22"/>
                <w:u w:val="none"/>
                <w:lang w:val="en-US" w:eastAsia="zh-CN"/>
              </w:rPr>
              <w:t>本项目排放量（固体废物产生量）</w:t>
            </w:r>
            <w:r>
              <w:rPr>
                <w:rFonts w:hint="default" w:ascii="Times New Roman" w:hAnsi="Times New Roman" w:eastAsia="宋体" w:cs="Times New Roman"/>
                <w:color w:val="auto"/>
                <w:szCs w:val="22"/>
                <w:u w:val="none"/>
                <w:lang w:val="en-US" w:eastAsia="zh-CN"/>
              </w:rPr>
              <w:fldChar w:fldCharType="begin"/>
            </w:r>
            <w:r>
              <w:rPr>
                <w:rFonts w:hint="default" w:ascii="Times New Roman" w:hAnsi="Times New Roman" w:eastAsia="宋体" w:cs="Times New Roman"/>
                <w:color w:val="auto"/>
                <w:szCs w:val="22"/>
                <w:u w:val="none"/>
                <w:lang w:val="en-US" w:eastAsia="zh-CN"/>
              </w:rPr>
              <w:instrText xml:space="preserve"> = 4 \* GB3 \* MERGEFORMAT </w:instrText>
            </w:r>
            <w:r>
              <w:rPr>
                <w:rFonts w:hint="default" w:ascii="Times New Roman" w:hAnsi="Times New Roman" w:eastAsia="宋体" w:cs="Times New Roman"/>
                <w:color w:val="auto"/>
                <w:szCs w:val="22"/>
                <w:u w:val="none"/>
                <w:lang w:val="en-US" w:eastAsia="zh-CN"/>
              </w:rPr>
              <w:fldChar w:fldCharType="separate"/>
            </w:r>
            <w:r>
              <w:rPr>
                <w:rFonts w:hint="default" w:ascii="Times New Roman" w:hAnsi="Times New Roman" w:eastAsia="宋体" w:cs="Times New Roman"/>
                <w:color w:val="auto"/>
                <w:szCs w:val="22"/>
                <w:u w:val="none"/>
                <w:lang w:val="en-US" w:eastAsia="zh-CN"/>
              </w:rPr>
              <w:t>④</w:t>
            </w:r>
            <w:r>
              <w:rPr>
                <w:rFonts w:hint="default" w:ascii="Times New Roman" w:hAnsi="Times New Roman" w:eastAsia="宋体" w:cs="Times New Roman"/>
                <w:color w:val="auto"/>
                <w:szCs w:val="22"/>
                <w:u w:val="none"/>
                <w:lang w:val="en-US" w:eastAsia="zh-CN"/>
              </w:rPr>
              <w:fldChar w:fldCharType="end"/>
            </w:r>
          </w:p>
        </w:tc>
        <w:tc>
          <w:tcPr>
            <w:tcW w:w="1731" w:type="dxa"/>
            <w:noWrap w:val="0"/>
            <w:tcMar>
              <w:left w:w="28" w:type="dxa"/>
              <w:right w:w="28" w:type="dxa"/>
            </w:tcMar>
            <w:vAlign w:val="center"/>
          </w:tcPr>
          <w:p w14:paraId="7604AF43">
            <w:pPr>
              <w:pStyle w:val="96"/>
              <w:bidi w:val="0"/>
              <w:ind w:firstLine="0" w:firstLineChars="0"/>
              <w:rPr>
                <w:rFonts w:hint="default" w:ascii="Times New Roman" w:hAnsi="Times New Roman" w:eastAsia="宋体" w:cs="Times New Roman"/>
                <w:color w:val="auto"/>
                <w:szCs w:val="22"/>
                <w:u w:val="none"/>
                <w:lang w:val="en-US" w:eastAsia="zh-CN"/>
              </w:rPr>
            </w:pPr>
            <w:r>
              <w:rPr>
                <w:rFonts w:hint="default" w:ascii="Times New Roman" w:hAnsi="Times New Roman" w:eastAsia="宋体" w:cs="Times New Roman"/>
                <w:color w:val="auto"/>
                <w:szCs w:val="22"/>
                <w:u w:val="none"/>
                <w:lang w:val="en-US" w:eastAsia="zh-CN"/>
              </w:rPr>
              <w:t>以新带老削减量</w:t>
            </w:r>
          </w:p>
          <w:p w14:paraId="14847AFD">
            <w:pPr>
              <w:pStyle w:val="96"/>
              <w:bidi w:val="0"/>
              <w:ind w:firstLine="0" w:firstLineChars="0"/>
              <w:rPr>
                <w:rFonts w:hint="default" w:ascii="Times New Roman" w:hAnsi="Times New Roman" w:eastAsia="宋体" w:cs="Times New Roman"/>
                <w:color w:val="auto"/>
                <w:szCs w:val="22"/>
                <w:u w:val="none"/>
                <w:lang w:val="en-US" w:eastAsia="zh-CN"/>
              </w:rPr>
            </w:pPr>
            <w:r>
              <w:rPr>
                <w:rFonts w:hint="default" w:ascii="Times New Roman" w:hAnsi="Times New Roman" w:eastAsia="宋体" w:cs="Times New Roman"/>
                <w:color w:val="auto"/>
                <w:szCs w:val="22"/>
                <w:u w:val="none"/>
                <w:lang w:val="en-US" w:eastAsia="zh-CN"/>
              </w:rPr>
              <w:t>（新建项目不填）</w:t>
            </w:r>
            <w:r>
              <w:rPr>
                <w:rFonts w:hint="default" w:ascii="Times New Roman" w:hAnsi="Times New Roman" w:eastAsia="宋体" w:cs="Times New Roman"/>
                <w:color w:val="auto"/>
                <w:szCs w:val="22"/>
                <w:u w:val="none"/>
                <w:lang w:val="en-US" w:eastAsia="zh-CN"/>
              </w:rPr>
              <w:fldChar w:fldCharType="begin"/>
            </w:r>
            <w:r>
              <w:rPr>
                <w:rFonts w:hint="default" w:ascii="Times New Roman" w:hAnsi="Times New Roman" w:eastAsia="宋体" w:cs="Times New Roman"/>
                <w:color w:val="auto"/>
                <w:szCs w:val="22"/>
                <w:u w:val="none"/>
                <w:lang w:val="en-US" w:eastAsia="zh-CN"/>
              </w:rPr>
              <w:instrText xml:space="preserve"> = 5 \* GB3 \* MERGEFORMAT </w:instrText>
            </w:r>
            <w:r>
              <w:rPr>
                <w:rFonts w:hint="default" w:ascii="Times New Roman" w:hAnsi="Times New Roman" w:eastAsia="宋体" w:cs="Times New Roman"/>
                <w:color w:val="auto"/>
                <w:szCs w:val="22"/>
                <w:u w:val="none"/>
                <w:lang w:val="en-US" w:eastAsia="zh-CN"/>
              </w:rPr>
              <w:fldChar w:fldCharType="separate"/>
            </w:r>
            <w:r>
              <w:rPr>
                <w:rFonts w:hint="default" w:ascii="Times New Roman" w:hAnsi="Times New Roman" w:eastAsia="宋体" w:cs="Times New Roman"/>
                <w:color w:val="auto"/>
                <w:szCs w:val="22"/>
                <w:u w:val="none"/>
                <w:lang w:val="en-US" w:eastAsia="zh-CN"/>
              </w:rPr>
              <w:t>⑤</w:t>
            </w:r>
            <w:r>
              <w:rPr>
                <w:rFonts w:hint="default" w:ascii="Times New Roman" w:hAnsi="Times New Roman" w:eastAsia="宋体" w:cs="Times New Roman"/>
                <w:color w:val="auto"/>
                <w:szCs w:val="22"/>
                <w:u w:val="none"/>
                <w:lang w:val="en-US" w:eastAsia="zh-CN"/>
              </w:rPr>
              <w:fldChar w:fldCharType="end"/>
            </w:r>
          </w:p>
        </w:tc>
        <w:tc>
          <w:tcPr>
            <w:tcW w:w="1738" w:type="dxa"/>
            <w:noWrap w:val="0"/>
            <w:tcMar>
              <w:left w:w="28" w:type="dxa"/>
              <w:right w:w="28" w:type="dxa"/>
            </w:tcMar>
            <w:vAlign w:val="center"/>
          </w:tcPr>
          <w:p w14:paraId="302EE83F">
            <w:pPr>
              <w:pStyle w:val="96"/>
              <w:bidi w:val="0"/>
              <w:ind w:firstLine="0" w:firstLineChars="0"/>
              <w:rPr>
                <w:rFonts w:hint="default" w:ascii="Times New Roman" w:hAnsi="Times New Roman" w:eastAsia="宋体" w:cs="Times New Roman"/>
                <w:color w:val="auto"/>
                <w:szCs w:val="22"/>
                <w:u w:val="none"/>
                <w:lang w:val="en-US" w:eastAsia="zh-CN"/>
              </w:rPr>
            </w:pPr>
            <w:r>
              <w:rPr>
                <w:rFonts w:hint="default" w:ascii="Times New Roman" w:hAnsi="Times New Roman" w:eastAsia="宋体" w:cs="Times New Roman"/>
                <w:color w:val="auto"/>
                <w:szCs w:val="22"/>
                <w:u w:val="none"/>
                <w:lang w:val="en-US" w:eastAsia="zh-CN"/>
              </w:rPr>
              <w:t>本项目建成后</w:t>
            </w:r>
          </w:p>
          <w:p w14:paraId="4B944311">
            <w:pPr>
              <w:pStyle w:val="96"/>
              <w:bidi w:val="0"/>
              <w:ind w:firstLine="0" w:firstLineChars="0"/>
              <w:rPr>
                <w:rFonts w:hint="default" w:ascii="Times New Roman" w:hAnsi="Times New Roman" w:eastAsia="宋体" w:cs="Times New Roman"/>
                <w:color w:val="auto"/>
                <w:szCs w:val="22"/>
                <w:u w:val="none"/>
                <w:lang w:val="en-US" w:eastAsia="zh-CN"/>
              </w:rPr>
            </w:pPr>
            <w:r>
              <w:rPr>
                <w:rFonts w:hint="default" w:ascii="Times New Roman" w:hAnsi="Times New Roman" w:eastAsia="宋体" w:cs="Times New Roman"/>
                <w:color w:val="auto"/>
                <w:szCs w:val="22"/>
                <w:u w:val="none"/>
                <w:lang w:val="en-US" w:eastAsia="zh-CN"/>
              </w:rPr>
              <w:t>全厂排放量（固体废物产生量）</w:t>
            </w:r>
            <w:r>
              <w:rPr>
                <w:rFonts w:hint="default" w:ascii="Times New Roman" w:hAnsi="Times New Roman" w:eastAsia="宋体" w:cs="Times New Roman"/>
                <w:color w:val="auto"/>
                <w:szCs w:val="22"/>
                <w:u w:val="none"/>
                <w:lang w:val="en-US" w:eastAsia="zh-CN"/>
              </w:rPr>
              <w:fldChar w:fldCharType="begin"/>
            </w:r>
            <w:r>
              <w:rPr>
                <w:rFonts w:hint="default" w:ascii="Times New Roman" w:hAnsi="Times New Roman" w:eastAsia="宋体" w:cs="Times New Roman"/>
                <w:color w:val="auto"/>
                <w:szCs w:val="22"/>
                <w:u w:val="none"/>
                <w:lang w:val="en-US" w:eastAsia="zh-CN"/>
              </w:rPr>
              <w:instrText xml:space="preserve"> = 6 \* GB3 \* MERGEFORMAT </w:instrText>
            </w:r>
            <w:r>
              <w:rPr>
                <w:rFonts w:hint="default" w:ascii="Times New Roman" w:hAnsi="Times New Roman" w:eastAsia="宋体" w:cs="Times New Roman"/>
                <w:color w:val="auto"/>
                <w:szCs w:val="22"/>
                <w:u w:val="none"/>
                <w:lang w:val="en-US" w:eastAsia="zh-CN"/>
              </w:rPr>
              <w:fldChar w:fldCharType="separate"/>
            </w:r>
            <w:r>
              <w:rPr>
                <w:rFonts w:hint="default" w:ascii="Times New Roman" w:hAnsi="Times New Roman" w:eastAsia="宋体" w:cs="Times New Roman"/>
                <w:color w:val="auto"/>
                <w:szCs w:val="22"/>
                <w:u w:val="none"/>
                <w:lang w:val="en-US" w:eastAsia="zh-CN"/>
              </w:rPr>
              <w:t>⑥</w:t>
            </w:r>
            <w:r>
              <w:rPr>
                <w:rFonts w:hint="default" w:ascii="Times New Roman" w:hAnsi="Times New Roman" w:eastAsia="宋体" w:cs="Times New Roman"/>
                <w:color w:val="auto"/>
                <w:szCs w:val="22"/>
                <w:u w:val="none"/>
                <w:lang w:val="en-US" w:eastAsia="zh-CN"/>
              </w:rPr>
              <w:fldChar w:fldCharType="end"/>
            </w:r>
          </w:p>
        </w:tc>
        <w:tc>
          <w:tcPr>
            <w:tcW w:w="1415" w:type="dxa"/>
            <w:noWrap w:val="0"/>
            <w:tcMar>
              <w:left w:w="28" w:type="dxa"/>
              <w:right w:w="28" w:type="dxa"/>
            </w:tcMar>
            <w:vAlign w:val="center"/>
          </w:tcPr>
          <w:p w14:paraId="47241856">
            <w:pPr>
              <w:pStyle w:val="96"/>
              <w:bidi w:val="0"/>
              <w:ind w:firstLine="0" w:firstLineChars="0"/>
              <w:rPr>
                <w:rFonts w:hint="default" w:ascii="Times New Roman" w:hAnsi="Times New Roman" w:eastAsia="宋体" w:cs="Times New Roman"/>
                <w:color w:val="auto"/>
                <w:szCs w:val="22"/>
                <w:u w:val="none"/>
                <w:lang w:val="en-US" w:eastAsia="zh-CN"/>
              </w:rPr>
            </w:pPr>
            <w:r>
              <w:rPr>
                <w:rFonts w:hint="default" w:ascii="Times New Roman" w:hAnsi="Times New Roman" w:eastAsia="宋体" w:cs="Times New Roman"/>
                <w:color w:val="auto"/>
                <w:szCs w:val="22"/>
                <w:u w:val="none"/>
                <w:lang w:val="en-US" w:eastAsia="zh-CN"/>
              </w:rPr>
              <w:t>变化量</w:t>
            </w:r>
          </w:p>
          <w:p w14:paraId="7E39B60B">
            <w:pPr>
              <w:pStyle w:val="96"/>
              <w:bidi w:val="0"/>
              <w:ind w:firstLine="0" w:firstLineChars="0"/>
              <w:rPr>
                <w:rFonts w:hint="default" w:ascii="Times New Roman" w:hAnsi="Times New Roman" w:eastAsia="宋体" w:cs="Times New Roman"/>
                <w:color w:val="auto"/>
                <w:szCs w:val="22"/>
                <w:u w:val="none"/>
                <w:lang w:val="en-US" w:eastAsia="zh-CN"/>
              </w:rPr>
            </w:pPr>
            <w:r>
              <w:rPr>
                <w:rFonts w:hint="default" w:ascii="Times New Roman" w:hAnsi="Times New Roman" w:eastAsia="宋体" w:cs="Times New Roman"/>
                <w:color w:val="auto"/>
                <w:szCs w:val="22"/>
                <w:u w:val="none"/>
                <w:lang w:val="en-US" w:eastAsia="zh-CN"/>
              </w:rPr>
              <w:fldChar w:fldCharType="begin"/>
            </w:r>
            <w:r>
              <w:rPr>
                <w:rFonts w:hint="default" w:ascii="Times New Roman" w:hAnsi="Times New Roman" w:eastAsia="宋体" w:cs="Times New Roman"/>
                <w:color w:val="auto"/>
                <w:szCs w:val="22"/>
                <w:u w:val="none"/>
                <w:lang w:val="en-US" w:eastAsia="zh-CN"/>
              </w:rPr>
              <w:instrText xml:space="preserve"> = 7 \* GB3 \* MERGEFORMAT </w:instrText>
            </w:r>
            <w:r>
              <w:rPr>
                <w:rFonts w:hint="default" w:ascii="Times New Roman" w:hAnsi="Times New Roman" w:eastAsia="宋体" w:cs="Times New Roman"/>
                <w:color w:val="auto"/>
                <w:szCs w:val="22"/>
                <w:u w:val="none"/>
                <w:lang w:val="en-US" w:eastAsia="zh-CN"/>
              </w:rPr>
              <w:fldChar w:fldCharType="separate"/>
            </w:r>
            <w:r>
              <w:rPr>
                <w:rFonts w:hint="default" w:ascii="Times New Roman" w:hAnsi="Times New Roman" w:eastAsia="宋体" w:cs="Times New Roman"/>
                <w:color w:val="auto"/>
                <w:szCs w:val="22"/>
                <w:u w:val="none"/>
                <w:lang w:val="en-US" w:eastAsia="zh-CN"/>
              </w:rPr>
              <w:t>⑦</w:t>
            </w:r>
            <w:r>
              <w:rPr>
                <w:rFonts w:hint="default" w:ascii="Times New Roman" w:hAnsi="Times New Roman" w:eastAsia="宋体" w:cs="Times New Roman"/>
                <w:color w:val="auto"/>
                <w:szCs w:val="22"/>
                <w:u w:val="none"/>
                <w:lang w:val="en-US" w:eastAsia="zh-CN"/>
              </w:rPr>
              <w:fldChar w:fldCharType="end"/>
            </w:r>
          </w:p>
        </w:tc>
      </w:tr>
      <w:tr w14:paraId="67EA8F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6" w:type="dxa"/>
            <w:vMerge w:val="restart"/>
            <w:noWrap w:val="0"/>
            <w:vAlign w:val="center"/>
          </w:tcPr>
          <w:p w14:paraId="20909604">
            <w:pPr>
              <w:pStyle w:val="96"/>
              <w:bidi w:val="0"/>
              <w:ind w:firstLine="0" w:firstLineChars="0"/>
              <w:rPr>
                <w:rFonts w:hint="default" w:ascii="Times New Roman" w:hAnsi="Times New Roman" w:eastAsia="宋体" w:cs="Times New Roman"/>
                <w:color w:val="auto"/>
                <w:szCs w:val="22"/>
                <w:u w:val="none"/>
                <w:lang w:val="en-US" w:eastAsia="zh-CN"/>
              </w:rPr>
            </w:pPr>
            <w:r>
              <w:rPr>
                <w:rFonts w:hint="default" w:ascii="Times New Roman" w:hAnsi="Times New Roman" w:eastAsia="宋体" w:cs="Times New Roman"/>
                <w:color w:val="auto"/>
                <w:szCs w:val="22"/>
                <w:u w:val="none"/>
                <w:lang w:val="en-US" w:eastAsia="zh-CN"/>
              </w:rPr>
              <w:t>废气</w:t>
            </w:r>
          </w:p>
        </w:tc>
        <w:tc>
          <w:tcPr>
            <w:tcW w:w="2004" w:type="dxa"/>
            <w:noWrap w:val="0"/>
            <w:vAlign w:val="center"/>
          </w:tcPr>
          <w:p w14:paraId="34735971">
            <w:pPr>
              <w:pStyle w:val="96"/>
              <w:bidi w:val="0"/>
              <w:ind w:firstLine="0" w:firstLineChars="0"/>
              <w:rPr>
                <w:rFonts w:hint="default" w:ascii="Times New Roman" w:hAnsi="Times New Roman" w:eastAsia="宋体" w:cs="Times New Roman"/>
                <w:color w:val="auto"/>
                <w:szCs w:val="22"/>
                <w:u w:val="none"/>
                <w:lang w:val="en-US" w:eastAsia="zh-CN"/>
              </w:rPr>
            </w:pPr>
            <w:r>
              <w:rPr>
                <w:rFonts w:hint="eastAsia" w:cs="Times New Roman"/>
                <w:color w:val="auto"/>
                <w:szCs w:val="22"/>
                <w:u w:val="none"/>
                <w:lang w:val="en-US" w:eastAsia="zh-CN"/>
              </w:rPr>
              <w:t>硫化氢</w:t>
            </w:r>
          </w:p>
        </w:tc>
        <w:tc>
          <w:tcPr>
            <w:tcW w:w="1666" w:type="dxa"/>
            <w:noWrap w:val="0"/>
            <w:vAlign w:val="center"/>
          </w:tcPr>
          <w:p w14:paraId="72DD6F13">
            <w:pPr>
              <w:pStyle w:val="96"/>
              <w:bidi w:val="0"/>
              <w:ind w:firstLine="0" w:firstLineChars="0"/>
              <w:rPr>
                <w:rFonts w:hint="default" w:ascii="Times New Roman" w:hAnsi="Times New Roman" w:eastAsia="宋体" w:cs="Times New Roman"/>
                <w:color w:val="auto"/>
                <w:szCs w:val="22"/>
                <w:u w:val="single" w:color="auto"/>
                <w:lang w:val="en-US" w:eastAsia="zh-CN"/>
              </w:rPr>
            </w:pPr>
            <w:r>
              <w:rPr>
                <w:rFonts w:hint="eastAsia"/>
                <w:color w:val="auto"/>
                <w:sz w:val="21"/>
                <w:szCs w:val="21"/>
                <w:highlight w:val="none"/>
                <w:u w:val="none" w:color="auto"/>
                <w:vertAlign w:val="baseline"/>
                <w:lang w:val="en-US" w:eastAsia="zh-CN"/>
              </w:rPr>
              <w:t>0.00006</w:t>
            </w:r>
          </w:p>
        </w:tc>
        <w:tc>
          <w:tcPr>
            <w:tcW w:w="1034" w:type="dxa"/>
            <w:noWrap w:val="0"/>
            <w:vAlign w:val="center"/>
          </w:tcPr>
          <w:p w14:paraId="04EE8B00">
            <w:pPr>
              <w:pStyle w:val="96"/>
              <w:bidi w:val="0"/>
              <w:ind w:firstLine="0" w:firstLineChars="0"/>
              <w:rPr>
                <w:rFonts w:hint="default" w:ascii="Times New Roman" w:hAnsi="Times New Roman" w:eastAsia="宋体" w:cs="Times New Roman"/>
                <w:color w:val="auto"/>
                <w:szCs w:val="22"/>
                <w:u w:val="none"/>
                <w:lang w:val="en-US" w:eastAsia="zh-CN"/>
              </w:rPr>
            </w:pPr>
            <w:r>
              <w:rPr>
                <w:rFonts w:hint="eastAsia" w:ascii="Times New Roman" w:hAnsi="Times New Roman" w:eastAsia="宋体" w:cs="Times New Roman"/>
                <w:color w:val="auto"/>
                <w:szCs w:val="22"/>
                <w:u w:val="none"/>
                <w:lang w:val="en-US" w:eastAsia="zh-CN"/>
              </w:rPr>
              <w:t>/</w:t>
            </w:r>
          </w:p>
        </w:tc>
        <w:tc>
          <w:tcPr>
            <w:tcW w:w="2025" w:type="dxa"/>
            <w:noWrap w:val="0"/>
            <w:vAlign w:val="center"/>
          </w:tcPr>
          <w:p w14:paraId="7634D3B0">
            <w:pPr>
              <w:pStyle w:val="96"/>
              <w:bidi w:val="0"/>
              <w:ind w:firstLine="0" w:firstLineChars="0"/>
              <w:rPr>
                <w:rFonts w:hint="default" w:ascii="Times New Roman" w:hAnsi="Times New Roman" w:eastAsia="宋体" w:cs="Times New Roman"/>
                <w:color w:val="auto"/>
                <w:szCs w:val="22"/>
                <w:u w:val="none"/>
                <w:lang w:val="en-US" w:eastAsia="zh-CN"/>
              </w:rPr>
            </w:pPr>
            <w:r>
              <w:rPr>
                <w:rFonts w:hint="eastAsia" w:ascii="Times New Roman" w:hAnsi="Times New Roman" w:eastAsia="宋体" w:cs="Times New Roman"/>
                <w:color w:val="auto"/>
                <w:szCs w:val="22"/>
                <w:u w:val="none"/>
                <w:lang w:val="en-US" w:eastAsia="zh-CN"/>
              </w:rPr>
              <w:t>/</w:t>
            </w:r>
          </w:p>
        </w:tc>
        <w:tc>
          <w:tcPr>
            <w:tcW w:w="1977" w:type="dxa"/>
            <w:noWrap w:val="0"/>
            <w:vAlign w:val="center"/>
          </w:tcPr>
          <w:p w14:paraId="5D15B021">
            <w:pPr>
              <w:pStyle w:val="96"/>
              <w:bidi w:val="0"/>
              <w:ind w:firstLine="0" w:firstLineChars="0"/>
              <w:rPr>
                <w:rFonts w:hint="default" w:ascii="Times New Roman" w:hAnsi="Times New Roman" w:eastAsia="宋体" w:cs="Times New Roman"/>
                <w:color w:val="auto"/>
                <w:szCs w:val="22"/>
                <w:u w:val="none"/>
                <w:lang w:val="en-US" w:eastAsia="zh-CN"/>
              </w:rPr>
            </w:pPr>
            <w:r>
              <w:rPr>
                <w:rFonts w:hint="eastAsia" w:cs="Times New Roman"/>
                <w:color w:val="auto"/>
                <w:szCs w:val="22"/>
                <w:u w:val="none"/>
                <w:lang w:val="en-US" w:eastAsia="zh-CN"/>
              </w:rPr>
              <w:t>0.000616</w:t>
            </w:r>
          </w:p>
        </w:tc>
        <w:tc>
          <w:tcPr>
            <w:tcW w:w="1731" w:type="dxa"/>
            <w:noWrap w:val="0"/>
            <w:vAlign w:val="center"/>
          </w:tcPr>
          <w:p w14:paraId="4B5BAD60">
            <w:pPr>
              <w:pStyle w:val="96"/>
              <w:bidi w:val="0"/>
              <w:ind w:firstLine="0" w:firstLineChars="0"/>
              <w:rPr>
                <w:rFonts w:hint="default" w:ascii="Times New Roman" w:hAnsi="Times New Roman" w:eastAsia="宋体" w:cs="Times New Roman"/>
                <w:color w:val="auto"/>
                <w:szCs w:val="22"/>
                <w:u w:val="single" w:color="auto"/>
                <w:lang w:val="en-US" w:eastAsia="zh-CN"/>
              </w:rPr>
            </w:pPr>
            <w:r>
              <w:rPr>
                <w:rFonts w:hint="eastAsia"/>
                <w:color w:val="auto"/>
                <w:sz w:val="21"/>
                <w:szCs w:val="21"/>
                <w:highlight w:val="none"/>
                <w:u w:val="none" w:color="auto"/>
                <w:vertAlign w:val="baseline"/>
                <w:lang w:val="en-US" w:eastAsia="zh-CN"/>
              </w:rPr>
              <w:t>0.00006</w:t>
            </w:r>
          </w:p>
        </w:tc>
        <w:tc>
          <w:tcPr>
            <w:tcW w:w="1738" w:type="dxa"/>
            <w:noWrap w:val="0"/>
            <w:vAlign w:val="center"/>
          </w:tcPr>
          <w:p w14:paraId="6ABDE17C">
            <w:pPr>
              <w:pStyle w:val="96"/>
              <w:bidi w:val="0"/>
              <w:ind w:firstLine="0" w:firstLineChars="0"/>
              <w:rPr>
                <w:rFonts w:hint="default" w:ascii="Times New Roman" w:hAnsi="Times New Roman" w:eastAsia="宋体" w:cs="Times New Roman"/>
                <w:color w:val="auto"/>
                <w:szCs w:val="22"/>
                <w:u w:val="none"/>
                <w:lang w:val="en-US" w:eastAsia="zh-CN"/>
              </w:rPr>
            </w:pPr>
            <w:r>
              <w:rPr>
                <w:rFonts w:hint="eastAsia" w:cs="Times New Roman"/>
                <w:color w:val="auto"/>
                <w:szCs w:val="22"/>
                <w:u w:val="none"/>
                <w:lang w:val="en-US" w:eastAsia="zh-CN"/>
              </w:rPr>
              <w:t>0.000616</w:t>
            </w:r>
          </w:p>
        </w:tc>
        <w:tc>
          <w:tcPr>
            <w:tcW w:w="1415" w:type="dxa"/>
            <w:noWrap w:val="0"/>
            <w:vAlign w:val="center"/>
          </w:tcPr>
          <w:p w14:paraId="3073E00D">
            <w:pPr>
              <w:pStyle w:val="96"/>
              <w:bidi w:val="0"/>
              <w:ind w:firstLine="0" w:firstLineChars="0"/>
              <w:rPr>
                <w:rFonts w:hint="default" w:ascii="Times New Roman" w:hAnsi="Times New Roman" w:eastAsia="宋体" w:cs="Times New Roman"/>
                <w:color w:val="auto"/>
                <w:szCs w:val="22"/>
                <w:u w:val="none"/>
                <w:lang w:val="en-US" w:eastAsia="zh-CN"/>
              </w:rPr>
            </w:pPr>
            <w:r>
              <w:rPr>
                <w:rFonts w:hint="eastAsia" w:cs="Times New Roman"/>
                <w:color w:val="auto"/>
                <w:szCs w:val="22"/>
                <w:u w:val="none"/>
                <w:lang w:val="en-US" w:eastAsia="zh-CN"/>
              </w:rPr>
              <w:t>+0.000556</w:t>
            </w:r>
          </w:p>
        </w:tc>
      </w:tr>
      <w:tr w14:paraId="65163F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6" w:type="dxa"/>
            <w:vMerge w:val="continue"/>
            <w:noWrap w:val="0"/>
            <w:vAlign w:val="center"/>
          </w:tcPr>
          <w:p w14:paraId="0B1D2052">
            <w:pPr>
              <w:pStyle w:val="96"/>
              <w:bidi w:val="0"/>
              <w:ind w:firstLine="0" w:firstLineChars="0"/>
              <w:rPr>
                <w:rFonts w:hint="default" w:ascii="Times New Roman" w:hAnsi="Times New Roman" w:eastAsia="宋体" w:cs="Times New Roman"/>
                <w:color w:val="auto"/>
                <w:szCs w:val="22"/>
                <w:u w:val="none"/>
                <w:lang w:val="en-US" w:eastAsia="zh-CN"/>
              </w:rPr>
            </w:pPr>
          </w:p>
        </w:tc>
        <w:tc>
          <w:tcPr>
            <w:tcW w:w="2004" w:type="dxa"/>
            <w:noWrap w:val="0"/>
            <w:vAlign w:val="center"/>
          </w:tcPr>
          <w:p w14:paraId="3C9B792E">
            <w:pPr>
              <w:pStyle w:val="96"/>
              <w:bidi w:val="0"/>
              <w:ind w:firstLine="0" w:firstLineChars="0"/>
              <w:rPr>
                <w:rFonts w:hint="eastAsia" w:ascii="Times New Roman" w:hAnsi="Times New Roman" w:eastAsia="宋体" w:cs="Times New Roman"/>
                <w:color w:val="auto"/>
                <w:szCs w:val="22"/>
                <w:u w:val="none"/>
                <w:lang w:val="en-US" w:eastAsia="zh-CN"/>
              </w:rPr>
            </w:pPr>
            <w:r>
              <w:rPr>
                <w:rFonts w:hint="eastAsia" w:cs="Times New Roman"/>
                <w:color w:val="auto"/>
                <w:szCs w:val="22"/>
                <w:u w:val="none"/>
                <w:lang w:val="en-US" w:eastAsia="zh-CN"/>
              </w:rPr>
              <w:t>氨气</w:t>
            </w:r>
          </w:p>
        </w:tc>
        <w:tc>
          <w:tcPr>
            <w:tcW w:w="1666" w:type="dxa"/>
            <w:noWrap w:val="0"/>
            <w:vAlign w:val="center"/>
          </w:tcPr>
          <w:p w14:paraId="6332EE32">
            <w:pPr>
              <w:pStyle w:val="96"/>
              <w:bidi w:val="0"/>
              <w:ind w:firstLine="0" w:firstLineChars="0"/>
              <w:rPr>
                <w:rFonts w:hint="eastAsia" w:ascii="Times New Roman" w:hAnsi="Times New Roman" w:eastAsia="宋体" w:cs="Times New Roman"/>
                <w:color w:val="auto"/>
                <w:szCs w:val="22"/>
                <w:u w:val="single" w:color="auto"/>
                <w:lang w:val="en-US" w:eastAsia="zh-CN"/>
              </w:rPr>
            </w:pPr>
            <w:r>
              <w:rPr>
                <w:rFonts w:hint="eastAsia"/>
                <w:color w:val="auto"/>
                <w:sz w:val="21"/>
                <w:szCs w:val="21"/>
                <w:highlight w:val="none"/>
                <w:u w:val="none" w:color="auto"/>
                <w:vertAlign w:val="baseline"/>
                <w:lang w:val="en-US" w:eastAsia="zh-CN"/>
              </w:rPr>
              <w:t>0.007</w:t>
            </w:r>
          </w:p>
        </w:tc>
        <w:tc>
          <w:tcPr>
            <w:tcW w:w="1034" w:type="dxa"/>
            <w:noWrap w:val="0"/>
            <w:vAlign w:val="center"/>
          </w:tcPr>
          <w:p w14:paraId="610B7ED8">
            <w:pPr>
              <w:pStyle w:val="96"/>
              <w:bidi w:val="0"/>
              <w:ind w:firstLine="0" w:firstLineChars="0"/>
              <w:rPr>
                <w:rFonts w:hint="eastAsia" w:ascii="Times New Roman" w:hAnsi="Times New Roman" w:eastAsia="宋体" w:cs="Times New Roman"/>
                <w:color w:val="auto"/>
                <w:szCs w:val="22"/>
                <w:u w:val="none"/>
                <w:lang w:val="en-US" w:eastAsia="zh-CN"/>
              </w:rPr>
            </w:pPr>
          </w:p>
        </w:tc>
        <w:tc>
          <w:tcPr>
            <w:tcW w:w="2025" w:type="dxa"/>
            <w:noWrap w:val="0"/>
            <w:vAlign w:val="center"/>
          </w:tcPr>
          <w:p w14:paraId="22021B1F">
            <w:pPr>
              <w:pStyle w:val="96"/>
              <w:bidi w:val="0"/>
              <w:ind w:firstLine="0" w:firstLineChars="0"/>
              <w:rPr>
                <w:rFonts w:hint="eastAsia" w:ascii="Times New Roman" w:hAnsi="Times New Roman" w:eastAsia="宋体" w:cs="Times New Roman"/>
                <w:color w:val="auto"/>
                <w:szCs w:val="22"/>
                <w:u w:val="none"/>
                <w:lang w:val="en-US" w:eastAsia="zh-CN"/>
              </w:rPr>
            </w:pPr>
          </w:p>
        </w:tc>
        <w:tc>
          <w:tcPr>
            <w:tcW w:w="1977" w:type="dxa"/>
            <w:noWrap w:val="0"/>
            <w:vAlign w:val="center"/>
          </w:tcPr>
          <w:p w14:paraId="77769BFC">
            <w:pPr>
              <w:pStyle w:val="96"/>
              <w:bidi w:val="0"/>
              <w:ind w:firstLine="0" w:firstLineChars="0"/>
              <w:rPr>
                <w:rFonts w:hint="default" w:ascii="Times New Roman" w:hAnsi="Times New Roman" w:eastAsia="宋体" w:cs="Times New Roman"/>
                <w:color w:val="auto"/>
                <w:szCs w:val="22"/>
                <w:u w:val="none"/>
                <w:lang w:val="en-US" w:eastAsia="zh-CN"/>
              </w:rPr>
            </w:pPr>
            <w:r>
              <w:rPr>
                <w:rFonts w:hint="eastAsia" w:cs="Times New Roman"/>
                <w:color w:val="auto"/>
                <w:szCs w:val="22"/>
                <w:u w:val="none"/>
                <w:lang w:val="en-US" w:eastAsia="zh-CN"/>
              </w:rPr>
              <w:t>0.0147</w:t>
            </w:r>
          </w:p>
        </w:tc>
        <w:tc>
          <w:tcPr>
            <w:tcW w:w="1731" w:type="dxa"/>
            <w:noWrap w:val="0"/>
            <w:vAlign w:val="center"/>
          </w:tcPr>
          <w:p w14:paraId="70C889CF">
            <w:pPr>
              <w:pStyle w:val="96"/>
              <w:bidi w:val="0"/>
              <w:ind w:firstLine="0" w:firstLineChars="0"/>
              <w:rPr>
                <w:rFonts w:hint="eastAsia" w:ascii="Times New Roman" w:hAnsi="Times New Roman" w:eastAsia="宋体" w:cs="Times New Roman"/>
                <w:color w:val="auto"/>
                <w:szCs w:val="22"/>
                <w:u w:val="single" w:color="auto"/>
                <w:lang w:val="en-US" w:eastAsia="zh-CN"/>
              </w:rPr>
            </w:pPr>
            <w:r>
              <w:rPr>
                <w:rFonts w:hint="eastAsia"/>
                <w:color w:val="auto"/>
                <w:sz w:val="21"/>
                <w:szCs w:val="21"/>
                <w:highlight w:val="none"/>
                <w:u w:val="none" w:color="auto"/>
                <w:vertAlign w:val="baseline"/>
                <w:lang w:val="en-US" w:eastAsia="zh-CN"/>
              </w:rPr>
              <w:t>0.007</w:t>
            </w:r>
          </w:p>
        </w:tc>
        <w:tc>
          <w:tcPr>
            <w:tcW w:w="1738" w:type="dxa"/>
            <w:noWrap w:val="0"/>
            <w:vAlign w:val="center"/>
          </w:tcPr>
          <w:p w14:paraId="20C7A502">
            <w:pPr>
              <w:pStyle w:val="96"/>
              <w:bidi w:val="0"/>
              <w:ind w:firstLine="0" w:firstLineChars="0"/>
              <w:rPr>
                <w:rFonts w:hint="eastAsia" w:ascii="Times New Roman" w:hAnsi="Times New Roman" w:eastAsia="宋体" w:cs="Times New Roman"/>
                <w:color w:val="auto"/>
                <w:szCs w:val="22"/>
                <w:u w:val="none"/>
                <w:lang w:val="en-US" w:eastAsia="zh-CN"/>
              </w:rPr>
            </w:pPr>
            <w:r>
              <w:rPr>
                <w:rFonts w:hint="eastAsia" w:cs="Times New Roman"/>
                <w:color w:val="auto"/>
                <w:szCs w:val="22"/>
                <w:u w:val="none"/>
                <w:lang w:val="en-US" w:eastAsia="zh-CN"/>
              </w:rPr>
              <w:t>0.0147</w:t>
            </w:r>
          </w:p>
        </w:tc>
        <w:tc>
          <w:tcPr>
            <w:tcW w:w="1415" w:type="dxa"/>
            <w:noWrap w:val="0"/>
            <w:vAlign w:val="center"/>
          </w:tcPr>
          <w:p w14:paraId="014193A1">
            <w:pPr>
              <w:pStyle w:val="96"/>
              <w:bidi w:val="0"/>
              <w:ind w:firstLine="0" w:firstLineChars="0"/>
              <w:rPr>
                <w:rFonts w:hint="default" w:ascii="Times New Roman" w:hAnsi="Times New Roman" w:eastAsia="宋体" w:cs="Times New Roman"/>
                <w:color w:val="auto"/>
                <w:szCs w:val="22"/>
                <w:u w:val="none"/>
                <w:lang w:val="en-US" w:eastAsia="zh-CN"/>
              </w:rPr>
            </w:pPr>
            <w:r>
              <w:rPr>
                <w:rFonts w:hint="eastAsia" w:cs="Times New Roman"/>
                <w:color w:val="auto"/>
                <w:szCs w:val="22"/>
                <w:u w:val="none"/>
                <w:lang w:val="en-US" w:eastAsia="zh-CN"/>
              </w:rPr>
              <w:t>+0.0077</w:t>
            </w:r>
          </w:p>
        </w:tc>
      </w:tr>
      <w:tr w14:paraId="40B350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226" w:type="dxa"/>
            <w:vMerge w:val="restart"/>
            <w:noWrap w:val="0"/>
            <w:vAlign w:val="center"/>
          </w:tcPr>
          <w:p w14:paraId="464B023F">
            <w:pPr>
              <w:pStyle w:val="96"/>
              <w:bidi w:val="0"/>
              <w:ind w:firstLine="0" w:firstLineChars="0"/>
              <w:rPr>
                <w:rFonts w:hint="default" w:ascii="Times New Roman" w:hAnsi="Times New Roman" w:eastAsia="宋体" w:cs="Times New Roman"/>
                <w:color w:val="auto"/>
                <w:szCs w:val="22"/>
                <w:u w:val="none"/>
                <w:lang w:val="en-US" w:eastAsia="zh-CN"/>
              </w:rPr>
            </w:pPr>
            <w:r>
              <w:rPr>
                <w:rFonts w:hint="default" w:ascii="Times New Roman" w:hAnsi="Times New Roman" w:eastAsia="宋体" w:cs="Times New Roman"/>
                <w:color w:val="auto"/>
                <w:szCs w:val="22"/>
                <w:u w:val="none"/>
                <w:lang w:val="en-US" w:eastAsia="zh-CN"/>
              </w:rPr>
              <w:t>废水</w:t>
            </w:r>
          </w:p>
        </w:tc>
        <w:tc>
          <w:tcPr>
            <w:tcW w:w="2004" w:type="dxa"/>
            <w:noWrap w:val="0"/>
            <w:vAlign w:val="center"/>
          </w:tcPr>
          <w:p w14:paraId="39067086">
            <w:pPr>
              <w:pStyle w:val="44"/>
              <w:bidi w:val="0"/>
              <w:ind w:left="0" w:leftChars="0" w:firstLine="0" w:firstLineChars="0"/>
              <w:jc w:val="center"/>
              <w:rPr>
                <w:rFonts w:hint="default" w:ascii="Times New Roman" w:hAnsi="Times New Roman" w:eastAsia="宋体" w:cs="Times New Roman"/>
                <w:color w:val="auto"/>
                <w:szCs w:val="22"/>
                <w:u w:val="none"/>
                <w:lang w:val="en-US" w:eastAsia="zh-CN"/>
              </w:rPr>
            </w:pPr>
            <w:r>
              <w:rPr>
                <w:rFonts w:hint="eastAsia" w:ascii="Times New Roman" w:hAnsi="Times New Roman" w:eastAsia="宋体" w:cs="Times New Roman"/>
                <w:color w:val="auto"/>
                <w:highlight w:val="none"/>
                <w:u w:val="none"/>
                <w:lang w:val="en-US" w:eastAsia="zh-CN"/>
              </w:rPr>
              <w:t>COD</w:t>
            </w:r>
          </w:p>
        </w:tc>
        <w:tc>
          <w:tcPr>
            <w:tcW w:w="1666" w:type="dxa"/>
            <w:noWrap w:val="0"/>
            <w:vAlign w:val="center"/>
          </w:tcPr>
          <w:p w14:paraId="2D2262B4">
            <w:pPr>
              <w:pStyle w:val="96"/>
              <w:bidi w:val="0"/>
              <w:ind w:firstLine="0" w:firstLineChars="0"/>
              <w:rPr>
                <w:rFonts w:hint="default" w:ascii="Times New Roman" w:hAnsi="Times New Roman" w:eastAsia="宋体" w:cs="Times New Roman"/>
                <w:color w:val="auto"/>
                <w:szCs w:val="22"/>
                <w:u w:val="none"/>
                <w:lang w:val="en-US" w:eastAsia="zh-CN"/>
              </w:rPr>
            </w:pPr>
            <w:r>
              <w:rPr>
                <w:rFonts w:hint="eastAsia" w:cs="Times New Roman"/>
                <w:color w:val="auto"/>
                <w:szCs w:val="22"/>
                <w:u w:val="none"/>
                <w:lang w:val="en-US" w:eastAsia="zh-CN"/>
              </w:rPr>
              <w:t>0.38</w:t>
            </w:r>
          </w:p>
        </w:tc>
        <w:tc>
          <w:tcPr>
            <w:tcW w:w="1034" w:type="dxa"/>
            <w:noWrap w:val="0"/>
            <w:vAlign w:val="center"/>
          </w:tcPr>
          <w:p w14:paraId="3FB16D99">
            <w:pPr>
              <w:pStyle w:val="96"/>
              <w:bidi w:val="0"/>
              <w:ind w:firstLine="0" w:firstLineChars="0"/>
              <w:rPr>
                <w:rFonts w:hint="default" w:ascii="Times New Roman" w:hAnsi="Times New Roman" w:eastAsia="宋体" w:cs="Times New Roman"/>
                <w:color w:val="auto"/>
                <w:szCs w:val="22"/>
                <w:u w:val="none"/>
                <w:lang w:val="en-US" w:eastAsia="zh-CN"/>
              </w:rPr>
            </w:pPr>
            <w:r>
              <w:rPr>
                <w:rFonts w:hint="eastAsia" w:ascii="Times New Roman" w:hAnsi="Times New Roman" w:eastAsia="宋体" w:cs="Times New Roman"/>
                <w:color w:val="auto"/>
                <w:szCs w:val="22"/>
                <w:u w:val="none"/>
                <w:lang w:val="en-US" w:eastAsia="zh-CN"/>
              </w:rPr>
              <w:t>/</w:t>
            </w:r>
          </w:p>
        </w:tc>
        <w:tc>
          <w:tcPr>
            <w:tcW w:w="2025" w:type="dxa"/>
            <w:noWrap w:val="0"/>
            <w:vAlign w:val="center"/>
          </w:tcPr>
          <w:p w14:paraId="23D13CAB">
            <w:pPr>
              <w:pStyle w:val="96"/>
              <w:bidi w:val="0"/>
              <w:ind w:firstLine="0" w:firstLineChars="0"/>
              <w:rPr>
                <w:rFonts w:hint="default" w:ascii="Times New Roman" w:hAnsi="Times New Roman" w:eastAsia="宋体" w:cs="Times New Roman"/>
                <w:color w:val="auto"/>
                <w:szCs w:val="22"/>
                <w:u w:val="none"/>
                <w:lang w:val="en-US" w:eastAsia="zh-CN"/>
              </w:rPr>
            </w:pPr>
            <w:r>
              <w:rPr>
                <w:rFonts w:hint="eastAsia" w:ascii="Times New Roman" w:hAnsi="Times New Roman" w:eastAsia="宋体" w:cs="Times New Roman"/>
                <w:color w:val="auto"/>
                <w:szCs w:val="22"/>
                <w:u w:val="none"/>
                <w:lang w:val="en-US" w:eastAsia="zh-CN"/>
              </w:rPr>
              <w:t>/</w:t>
            </w:r>
          </w:p>
        </w:tc>
        <w:tc>
          <w:tcPr>
            <w:tcW w:w="1977" w:type="dxa"/>
            <w:noWrap w:val="0"/>
            <w:vAlign w:val="center"/>
          </w:tcPr>
          <w:p w14:paraId="4B1DA53E">
            <w:pPr>
              <w:pStyle w:val="44"/>
              <w:bidi w:val="0"/>
              <w:ind w:left="0" w:leftChars="0" w:firstLine="0" w:firstLineChars="0"/>
              <w:jc w:val="center"/>
              <w:rPr>
                <w:rFonts w:hint="default" w:ascii="Times New Roman" w:hAnsi="Times New Roman" w:eastAsia="宋体" w:cs="Times New Roman"/>
                <w:color w:val="auto"/>
                <w:szCs w:val="22"/>
                <w:u w:val="none"/>
                <w:lang w:val="en-US" w:eastAsia="zh-CN"/>
              </w:rPr>
            </w:pPr>
            <w:r>
              <w:rPr>
                <w:rFonts w:hint="eastAsia" w:ascii="Times New Roman" w:cs="Times New Roman"/>
                <w:color w:val="auto"/>
                <w:highlight w:val="none"/>
                <w:u w:val="none"/>
                <w:lang w:val="en-US" w:eastAsia="zh-CN"/>
              </w:rPr>
              <w:t>2.44</w:t>
            </w:r>
          </w:p>
        </w:tc>
        <w:tc>
          <w:tcPr>
            <w:tcW w:w="1731" w:type="dxa"/>
            <w:noWrap w:val="0"/>
            <w:vAlign w:val="center"/>
          </w:tcPr>
          <w:p w14:paraId="15CE6B9B">
            <w:pPr>
              <w:pStyle w:val="96"/>
              <w:bidi w:val="0"/>
              <w:ind w:firstLine="0" w:firstLineChars="0"/>
              <w:rPr>
                <w:rFonts w:hint="default" w:ascii="Times New Roman" w:hAnsi="Times New Roman" w:eastAsia="宋体" w:cs="Times New Roman"/>
                <w:color w:val="auto"/>
                <w:szCs w:val="22"/>
                <w:u w:val="none"/>
                <w:lang w:val="en-US" w:eastAsia="zh-CN"/>
              </w:rPr>
            </w:pPr>
            <w:r>
              <w:rPr>
                <w:rFonts w:hint="eastAsia" w:cs="Times New Roman"/>
                <w:color w:val="auto"/>
                <w:szCs w:val="22"/>
                <w:u w:val="none"/>
                <w:lang w:val="en-US" w:eastAsia="zh-CN"/>
              </w:rPr>
              <w:t>0.38</w:t>
            </w:r>
          </w:p>
        </w:tc>
        <w:tc>
          <w:tcPr>
            <w:tcW w:w="1738" w:type="dxa"/>
            <w:noWrap w:val="0"/>
            <w:vAlign w:val="center"/>
          </w:tcPr>
          <w:p w14:paraId="753D9284">
            <w:pPr>
              <w:pStyle w:val="44"/>
              <w:bidi w:val="0"/>
              <w:ind w:left="0" w:leftChars="0" w:firstLine="0" w:firstLineChars="0"/>
              <w:jc w:val="center"/>
              <w:rPr>
                <w:rFonts w:hint="default" w:ascii="Times New Roman" w:hAnsi="Times New Roman" w:eastAsia="宋体" w:cs="Times New Roman"/>
                <w:color w:val="auto"/>
                <w:szCs w:val="22"/>
                <w:u w:val="none"/>
                <w:lang w:val="en-US" w:eastAsia="zh-CN"/>
              </w:rPr>
            </w:pPr>
            <w:r>
              <w:rPr>
                <w:rFonts w:hint="eastAsia" w:ascii="Times New Roman" w:cs="Times New Roman"/>
                <w:color w:val="auto"/>
                <w:highlight w:val="none"/>
                <w:u w:val="none"/>
                <w:lang w:val="en-US" w:eastAsia="zh-CN"/>
              </w:rPr>
              <w:t>2.44</w:t>
            </w:r>
          </w:p>
        </w:tc>
        <w:tc>
          <w:tcPr>
            <w:tcW w:w="1415" w:type="dxa"/>
            <w:noWrap w:val="0"/>
            <w:vAlign w:val="center"/>
          </w:tcPr>
          <w:p w14:paraId="67F81935">
            <w:pPr>
              <w:pStyle w:val="44"/>
              <w:bidi w:val="0"/>
              <w:ind w:left="0" w:leftChars="0" w:firstLine="0" w:firstLineChars="0"/>
              <w:jc w:val="center"/>
              <w:rPr>
                <w:rFonts w:hint="default" w:ascii="Times New Roman" w:hAnsi="Times New Roman" w:eastAsia="宋体" w:cs="Times New Roman"/>
                <w:color w:val="auto"/>
                <w:szCs w:val="22"/>
                <w:u w:val="none"/>
                <w:lang w:val="en-US" w:eastAsia="zh-CN"/>
              </w:rPr>
            </w:pPr>
            <w:r>
              <w:rPr>
                <w:rFonts w:hint="eastAsia" w:ascii="Times New Roman" w:cs="Times New Roman"/>
                <w:color w:val="auto"/>
                <w:highlight w:val="none"/>
                <w:u w:val="none"/>
                <w:lang w:val="en-US" w:eastAsia="zh-CN"/>
              </w:rPr>
              <w:t>+2.06</w:t>
            </w:r>
          </w:p>
        </w:tc>
      </w:tr>
      <w:tr w14:paraId="6C1209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226" w:type="dxa"/>
            <w:vMerge w:val="continue"/>
            <w:noWrap w:val="0"/>
            <w:vAlign w:val="center"/>
          </w:tcPr>
          <w:p w14:paraId="36BD6C4A">
            <w:pPr>
              <w:pStyle w:val="96"/>
              <w:bidi w:val="0"/>
              <w:ind w:firstLine="0" w:firstLineChars="0"/>
              <w:rPr>
                <w:rFonts w:hint="default" w:ascii="Times New Roman" w:hAnsi="Times New Roman" w:eastAsia="宋体" w:cs="Times New Roman"/>
                <w:color w:val="auto"/>
                <w:szCs w:val="22"/>
                <w:u w:val="none"/>
                <w:lang w:val="en-US" w:eastAsia="zh-CN"/>
              </w:rPr>
            </w:pPr>
          </w:p>
        </w:tc>
        <w:tc>
          <w:tcPr>
            <w:tcW w:w="2004" w:type="dxa"/>
            <w:noWrap w:val="0"/>
            <w:vAlign w:val="center"/>
          </w:tcPr>
          <w:p w14:paraId="6E830821">
            <w:pPr>
              <w:pStyle w:val="44"/>
              <w:bidi w:val="0"/>
              <w:ind w:left="0" w:leftChars="0" w:firstLine="0" w:firstLineChars="0"/>
              <w:jc w:val="center"/>
              <w:rPr>
                <w:rFonts w:hint="default" w:ascii="Times New Roman" w:hAnsi="Times New Roman" w:eastAsia="宋体" w:cs="Times New Roman"/>
                <w:color w:val="auto"/>
                <w:szCs w:val="22"/>
                <w:u w:val="none"/>
                <w:lang w:val="en-US" w:eastAsia="zh-CN"/>
              </w:rPr>
            </w:pPr>
            <w:r>
              <w:rPr>
                <w:rFonts w:hint="eastAsia" w:ascii="Times New Roman" w:hAnsi="Times New Roman" w:eastAsia="宋体" w:cs="Times New Roman"/>
                <w:color w:val="auto"/>
                <w:highlight w:val="none"/>
                <w:u w:val="none"/>
                <w:lang w:val="en-US" w:eastAsia="zh-CN"/>
              </w:rPr>
              <w:t>BOD</w:t>
            </w:r>
            <w:r>
              <w:rPr>
                <w:rFonts w:hint="eastAsia" w:ascii="Times New Roman" w:hAnsi="Times New Roman" w:eastAsia="宋体" w:cs="Times New Roman"/>
                <w:color w:val="auto"/>
                <w:highlight w:val="none"/>
                <w:u w:val="none"/>
                <w:vertAlign w:val="subscript"/>
                <w:lang w:val="en-US" w:eastAsia="zh-CN"/>
              </w:rPr>
              <w:t>5</w:t>
            </w:r>
          </w:p>
        </w:tc>
        <w:tc>
          <w:tcPr>
            <w:tcW w:w="1666" w:type="dxa"/>
            <w:noWrap w:val="0"/>
            <w:vAlign w:val="center"/>
          </w:tcPr>
          <w:p w14:paraId="06C519C3">
            <w:pPr>
              <w:pStyle w:val="96"/>
              <w:bidi w:val="0"/>
              <w:ind w:firstLine="0" w:firstLineChars="0"/>
              <w:rPr>
                <w:rFonts w:hint="default" w:ascii="Times New Roman" w:hAnsi="Times New Roman" w:eastAsia="宋体" w:cs="Times New Roman"/>
                <w:color w:val="auto"/>
                <w:szCs w:val="22"/>
                <w:u w:val="none"/>
                <w:lang w:val="en-US" w:eastAsia="zh-CN"/>
              </w:rPr>
            </w:pPr>
            <w:r>
              <w:rPr>
                <w:rFonts w:hint="eastAsia" w:cs="Times New Roman"/>
                <w:color w:val="auto"/>
                <w:szCs w:val="22"/>
                <w:u w:val="none"/>
                <w:lang w:val="en-US" w:eastAsia="zh-CN"/>
              </w:rPr>
              <w:t>0.077</w:t>
            </w:r>
          </w:p>
        </w:tc>
        <w:tc>
          <w:tcPr>
            <w:tcW w:w="1034" w:type="dxa"/>
            <w:noWrap w:val="0"/>
            <w:vAlign w:val="center"/>
          </w:tcPr>
          <w:p w14:paraId="537EB91F">
            <w:pPr>
              <w:pStyle w:val="96"/>
              <w:bidi w:val="0"/>
              <w:ind w:firstLine="0" w:firstLineChars="0"/>
              <w:rPr>
                <w:rFonts w:hint="default" w:ascii="Times New Roman" w:hAnsi="Times New Roman" w:eastAsia="宋体" w:cs="Times New Roman"/>
                <w:color w:val="auto"/>
                <w:szCs w:val="22"/>
                <w:u w:val="none"/>
                <w:lang w:val="en-US" w:eastAsia="zh-CN"/>
              </w:rPr>
            </w:pPr>
            <w:r>
              <w:rPr>
                <w:rFonts w:hint="eastAsia" w:ascii="Times New Roman" w:hAnsi="Times New Roman" w:eastAsia="宋体" w:cs="Times New Roman"/>
                <w:color w:val="auto"/>
                <w:szCs w:val="22"/>
                <w:u w:val="none"/>
                <w:lang w:val="en-US" w:eastAsia="zh-CN"/>
              </w:rPr>
              <w:t>/</w:t>
            </w:r>
          </w:p>
        </w:tc>
        <w:tc>
          <w:tcPr>
            <w:tcW w:w="2025" w:type="dxa"/>
            <w:noWrap w:val="0"/>
            <w:vAlign w:val="center"/>
          </w:tcPr>
          <w:p w14:paraId="40C289B1">
            <w:pPr>
              <w:pStyle w:val="96"/>
              <w:bidi w:val="0"/>
              <w:ind w:firstLine="0" w:firstLineChars="0"/>
              <w:rPr>
                <w:rFonts w:hint="default" w:ascii="Times New Roman" w:hAnsi="Times New Roman" w:eastAsia="宋体" w:cs="Times New Roman"/>
                <w:color w:val="auto"/>
                <w:szCs w:val="22"/>
                <w:u w:val="none"/>
                <w:lang w:val="en-US" w:eastAsia="zh-CN"/>
              </w:rPr>
            </w:pPr>
            <w:r>
              <w:rPr>
                <w:rFonts w:hint="eastAsia" w:ascii="Times New Roman" w:hAnsi="Times New Roman" w:eastAsia="宋体" w:cs="Times New Roman"/>
                <w:color w:val="auto"/>
                <w:szCs w:val="22"/>
                <w:u w:val="none"/>
                <w:lang w:val="en-US" w:eastAsia="zh-CN"/>
              </w:rPr>
              <w:t>/</w:t>
            </w:r>
          </w:p>
        </w:tc>
        <w:tc>
          <w:tcPr>
            <w:tcW w:w="1977" w:type="dxa"/>
            <w:noWrap w:val="0"/>
            <w:vAlign w:val="center"/>
          </w:tcPr>
          <w:p w14:paraId="70AA7BD5">
            <w:pPr>
              <w:pStyle w:val="44"/>
              <w:bidi w:val="0"/>
              <w:ind w:left="0" w:leftChars="0" w:firstLine="0" w:firstLineChars="0"/>
              <w:jc w:val="center"/>
              <w:rPr>
                <w:rFonts w:hint="default" w:ascii="Times New Roman" w:hAnsi="Times New Roman" w:eastAsia="宋体" w:cs="Times New Roman"/>
                <w:color w:val="auto"/>
                <w:szCs w:val="22"/>
                <w:u w:val="none"/>
                <w:lang w:val="en-US" w:eastAsia="zh-CN"/>
              </w:rPr>
            </w:pPr>
            <w:r>
              <w:rPr>
                <w:rFonts w:hint="eastAsia" w:ascii="Times New Roman" w:cs="Times New Roman"/>
                <w:color w:val="auto"/>
                <w:highlight w:val="none"/>
                <w:u w:val="none"/>
                <w:lang w:val="en-US" w:eastAsia="zh-CN"/>
              </w:rPr>
              <w:t>0.49</w:t>
            </w:r>
          </w:p>
        </w:tc>
        <w:tc>
          <w:tcPr>
            <w:tcW w:w="1731" w:type="dxa"/>
            <w:noWrap w:val="0"/>
            <w:vAlign w:val="center"/>
          </w:tcPr>
          <w:p w14:paraId="7F9BA46C">
            <w:pPr>
              <w:pStyle w:val="96"/>
              <w:bidi w:val="0"/>
              <w:ind w:firstLine="0" w:firstLineChars="0"/>
              <w:rPr>
                <w:rFonts w:hint="default" w:ascii="Times New Roman" w:hAnsi="Times New Roman" w:eastAsia="宋体" w:cs="Times New Roman"/>
                <w:color w:val="auto"/>
                <w:szCs w:val="22"/>
                <w:u w:val="none"/>
                <w:lang w:val="en-US" w:eastAsia="zh-CN"/>
              </w:rPr>
            </w:pPr>
            <w:r>
              <w:rPr>
                <w:rFonts w:hint="eastAsia" w:cs="Times New Roman"/>
                <w:color w:val="auto"/>
                <w:szCs w:val="22"/>
                <w:u w:val="none"/>
                <w:lang w:val="en-US" w:eastAsia="zh-CN"/>
              </w:rPr>
              <w:t>0.077</w:t>
            </w:r>
          </w:p>
        </w:tc>
        <w:tc>
          <w:tcPr>
            <w:tcW w:w="1738" w:type="dxa"/>
            <w:noWrap w:val="0"/>
            <w:vAlign w:val="center"/>
          </w:tcPr>
          <w:p w14:paraId="5B51302C">
            <w:pPr>
              <w:pStyle w:val="44"/>
              <w:bidi w:val="0"/>
              <w:ind w:left="0" w:leftChars="0" w:firstLine="0" w:firstLineChars="0"/>
              <w:jc w:val="center"/>
              <w:rPr>
                <w:rFonts w:hint="default" w:ascii="Times New Roman" w:hAnsi="Times New Roman" w:eastAsia="宋体" w:cs="Times New Roman"/>
                <w:color w:val="auto"/>
                <w:szCs w:val="22"/>
                <w:u w:val="none"/>
                <w:lang w:val="en-US" w:eastAsia="zh-CN"/>
              </w:rPr>
            </w:pPr>
            <w:r>
              <w:rPr>
                <w:rFonts w:hint="eastAsia" w:ascii="Times New Roman" w:cs="Times New Roman"/>
                <w:color w:val="auto"/>
                <w:highlight w:val="none"/>
                <w:u w:val="none"/>
                <w:lang w:val="en-US" w:eastAsia="zh-CN"/>
              </w:rPr>
              <w:t>0.49</w:t>
            </w:r>
          </w:p>
        </w:tc>
        <w:tc>
          <w:tcPr>
            <w:tcW w:w="1415" w:type="dxa"/>
            <w:noWrap w:val="0"/>
            <w:vAlign w:val="center"/>
          </w:tcPr>
          <w:p w14:paraId="2AECA395">
            <w:pPr>
              <w:pStyle w:val="44"/>
              <w:bidi w:val="0"/>
              <w:ind w:left="0" w:leftChars="0" w:firstLine="0" w:firstLineChars="0"/>
              <w:jc w:val="center"/>
              <w:rPr>
                <w:rFonts w:hint="default" w:ascii="Times New Roman" w:hAnsi="Times New Roman" w:eastAsia="宋体" w:cs="Times New Roman"/>
                <w:color w:val="auto"/>
                <w:szCs w:val="22"/>
                <w:u w:val="none"/>
                <w:lang w:val="en-US" w:eastAsia="zh-CN"/>
              </w:rPr>
            </w:pPr>
            <w:r>
              <w:rPr>
                <w:rFonts w:hint="eastAsia" w:ascii="Times New Roman" w:cs="Times New Roman"/>
                <w:color w:val="auto"/>
                <w:highlight w:val="none"/>
                <w:u w:val="none"/>
                <w:lang w:val="en-US" w:eastAsia="zh-CN"/>
              </w:rPr>
              <w:t>+0.413</w:t>
            </w:r>
          </w:p>
        </w:tc>
      </w:tr>
      <w:tr w14:paraId="7B5C64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226" w:type="dxa"/>
            <w:vMerge w:val="continue"/>
            <w:noWrap w:val="0"/>
            <w:vAlign w:val="center"/>
          </w:tcPr>
          <w:p w14:paraId="48B91912">
            <w:pPr>
              <w:pStyle w:val="96"/>
              <w:bidi w:val="0"/>
              <w:ind w:firstLine="0" w:firstLineChars="0"/>
              <w:rPr>
                <w:rFonts w:hint="default" w:ascii="Times New Roman" w:hAnsi="Times New Roman" w:eastAsia="宋体" w:cs="Times New Roman"/>
                <w:color w:val="auto"/>
                <w:szCs w:val="22"/>
                <w:u w:val="none"/>
                <w:lang w:val="en-US" w:eastAsia="zh-CN"/>
              </w:rPr>
            </w:pPr>
          </w:p>
        </w:tc>
        <w:tc>
          <w:tcPr>
            <w:tcW w:w="2004" w:type="dxa"/>
            <w:noWrap w:val="0"/>
            <w:vAlign w:val="center"/>
          </w:tcPr>
          <w:p w14:paraId="038BCF7A">
            <w:pPr>
              <w:pStyle w:val="44"/>
              <w:bidi w:val="0"/>
              <w:ind w:left="0" w:leftChars="0" w:firstLine="0" w:firstLineChars="0"/>
              <w:jc w:val="center"/>
              <w:rPr>
                <w:rFonts w:hint="default" w:ascii="Times New Roman" w:hAnsi="Times New Roman" w:eastAsia="宋体" w:cs="Times New Roman"/>
                <w:color w:val="auto"/>
                <w:szCs w:val="22"/>
                <w:u w:val="none"/>
                <w:lang w:val="en-US" w:eastAsia="zh-CN"/>
              </w:rPr>
            </w:pPr>
            <w:r>
              <w:rPr>
                <w:rFonts w:hint="eastAsia" w:ascii="Times New Roman" w:hAnsi="Times New Roman" w:eastAsia="宋体" w:cs="Times New Roman"/>
                <w:color w:val="auto"/>
                <w:highlight w:val="none"/>
                <w:u w:val="none"/>
                <w:lang w:val="en-US" w:eastAsia="zh-CN"/>
              </w:rPr>
              <w:t>氨氮</w:t>
            </w:r>
          </w:p>
        </w:tc>
        <w:tc>
          <w:tcPr>
            <w:tcW w:w="1666" w:type="dxa"/>
            <w:noWrap w:val="0"/>
            <w:vAlign w:val="center"/>
          </w:tcPr>
          <w:p w14:paraId="412D3A41">
            <w:pPr>
              <w:pStyle w:val="96"/>
              <w:bidi w:val="0"/>
              <w:ind w:firstLine="0" w:firstLineChars="0"/>
              <w:rPr>
                <w:rFonts w:hint="default" w:ascii="Times New Roman" w:hAnsi="Times New Roman" w:eastAsia="宋体" w:cs="Times New Roman"/>
                <w:color w:val="auto"/>
                <w:szCs w:val="22"/>
                <w:u w:val="none"/>
                <w:lang w:val="en-US" w:eastAsia="zh-CN"/>
              </w:rPr>
            </w:pPr>
            <w:r>
              <w:rPr>
                <w:rFonts w:hint="eastAsia" w:cs="Times New Roman"/>
                <w:color w:val="auto"/>
                <w:szCs w:val="22"/>
                <w:u w:val="none"/>
                <w:lang w:val="en-US" w:eastAsia="zh-CN"/>
              </w:rPr>
              <w:t>0.038</w:t>
            </w:r>
          </w:p>
        </w:tc>
        <w:tc>
          <w:tcPr>
            <w:tcW w:w="1034" w:type="dxa"/>
            <w:noWrap w:val="0"/>
            <w:vAlign w:val="center"/>
          </w:tcPr>
          <w:p w14:paraId="4980A260">
            <w:pPr>
              <w:pStyle w:val="96"/>
              <w:bidi w:val="0"/>
              <w:ind w:firstLine="0" w:firstLineChars="0"/>
              <w:rPr>
                <w:rFonts w:hint="eastAsia" w:ascii="Times New Roman" w:hAnsi="Times New Roman" w:eastAsia="宋体" w:cs="Times New Roman"/>
                <w:color w:val="auto"/>
                <w:szCs w:val="22"/>
                <w:u w:val="none"/>
                <w:lang w:val="en-US" w:eastAsia="zh-CN"/>
              </w:rPr>
            </w:pPr>
            <w:r>
              <w:rPr>
                <w:rFonts w:hint="eastAsia" w:ascii="Times New Roman" w:hAnsi="Times New Roman" w:eastAsia="宋体" w:cs="Times New Roman"/>
                <w:color w:val="auto"/>
                <w:szCs w:val="22"/>
                <w:u w:val="none"/>
                <w:lang w:val="en-US" w:eastAsia="zh-CN"/>
              </w:rPr>
              <w:t>/</w:t>
            </w:r>
          </w:p>
        </w:tc>
        <w:tc>
          <w:tcPr>
            <w:tcW w:w="2025" w:type="dxa"/>
            <w:noWrap w:val="0"/>
            <w:vAlign w:val="center"/>
          </w:tcPr>
          <w:p w14:paraId="3BC65D64">
            <w:pPr>
              <w:pStyle w:val="96"/>
              <w:bidi w:val="0"/>
              <w:ind w:firstLine="0" w:firstLineChars="0"/>
              <w:rPr>
                <w:rFonts w:hint="eastAsia" w:ascii="Times New Roman" w:hAnsi="Times New Roman" w:eastAsia="宋体" w:cs="Times New Roman"/>
                <w:color w:val="auto"/>
                <w:szCs w:val="22"/>
                <w:u w:val="none"/>
                <w:lang w:val="en-US" w:eastAsia="zh-CN"/>
              </w:rPr>
            </w:pPr>
            <w:r>
              <w:rPr>
                <w:rFonts w:hint="eastAsia" w:ascii="Times New Roman" w:hAnsi="Times New Roman" w:eastAsia="宋体" w:cs="Times New Roman"/>
                <w:color w:val="auto"/>
                <w:szCs w:val="22"/>
                <w:u w:val="none"/>
                <w:lang w:val="en-US" w:eastAsia="zh-CN"/>
              </w:rPr>
              <w:t>/</w:t>
            </w:r>
          </w:p>
        </w:tc>
        <w:tc>
          <w:tcPr>
            <w:tcW w:w="1977" w:type="dxa"/>
            <w:noWrap w:val="0"/>
            <w:vAlign w:val="center"/>
          </w:tcPr>
          <w:p w14:paraId="27E3D364">
            <w:pPr>
              <w:pStyle w:val="44"/>
              <w:bidi w:val="0"/>
              <w:ind w:left="0" w:leftChars="0" w:firstLine="0" w:firstLineChars="0"/>
              <w:jc w:val="center"/>
              <w:rPr>
                <w:rFonts w:hint="default" w:ascii="Times New Roman" w:hAnsi="Times New Roman" w:eastAsia="宋体" w:cs="Times New Roman"/>
                <w:color w:val="auto"/>
                <w:szCs w:val="22"/>
                <w:u w:val="none"/>
                <w:lang w:val="en-US" w:eastAsia="zh-CN"/>
              </w:rPr>
            </w:pPr>
            <w:r>
              <w:rPr>
                <w:rFonts w:hint="eastAsia" w:ascii="Times New Roman" w:cs="Times New Roman"/>
                <w:color w:val="auto"/>
                <w:highlight w:val="none"/>
                <w:u w:val="none"/>
                <w:lang w:val="en-US" w:eastAsia="zh-CN"/>
              </w:rPr>
              <w:t>0.24</w:t>
            </w:r>
          </w:p>
        </w:tc>
        <w:tc>
          <w:tcPr>
            <w:tcW w:w="1731" w:type="dxa"/>
            <w:noWrap w:val="0"/>
            <w:vAlign w:val="center"/>
          </w:tcPr>
          <w:p w14:paraId="0D537974">
            <w:pPr>
              <w:pStyle w:val="96"/>
              <w:bidi w:val="0"/>
              <w:ind w:firstLine="0" w:firstLineChars="0"/>
              <w:rPr>
                <w:rFonts w:hint="eastAsia" w:ascii="Times New Roman" w:hAnsi="Times New Roman" w:eastAsia="宋体" w:cs="Times New Roman"/>
                <w:color w:val="auto"/>
                <w:szCs w:val="22"/>
                <w:u w:val="none"/>
                <w:lang w:val="en-US" w:eastAsia="zh-CN"/>
              </w:rPr>
            </w:pPr>
            <w:r>
              <w:rPr>
                <w:rFonts w:hint="eastAsia" w:cs="Times New Roman"/>
                <w:color w:val="auto"/>
                <w:szCs w:val="22"/>
                <w:u w:val="none"/>
                <w:lang w:val="en-US" w:eastAsia="zh-CN"/>
              </w:rPr>
              <w:t>0.038</w:t>
            </w:r>
          </w:p>
        </w:tc>
        <w:tc>
          <w:tcPr>
            <w:tcW w:w="1738" w:type="dxa"/>
            <w:noWrap w:val="0"/>
            <w:vAlign w:val="center"/>
          </w:tcPr>
          <w:p w14:paraId="1AA1CF10">
            <w:pPr>
              <w:pStyle w:val="44"/>
              <w:bidi w:val="0"/>
              <w:ind w:left="0" w:leftChars="0" w:firstLine="0" w:firstLineChars="0"/>
              <w:jc w:val="center"/>
              <w:rPr>
                <w:rFonts w:hint="default" w:ascii="Times New Roman" w:hAnsi="Times New Roman" w:eastAsia="宋体" w:cs="Times New Roman"/>
                <w:color w:val="auto"/>
                <w:szCs w:val="22"/>
                <w:u w:val="none"/>
                <w:lang w:val="en-US" w:eastAsia="zh-CN"/>
              </w:rPr>
            </w:pPr>
            <w:r>
              <w:rPr>
                <w:rFonts w:hint="eastAsia" w:ascii="Times New Roman" w:cs="Times New Roman"/>
                <w:color w:val="auto"/>
                <w:highlight w:val="none"/>
                <w:u w:val="none"/>
                <w:lang w:val="en-US" w:eastAsia="zh-CN"/>
              </w:rPr>
              <w:t>0.24</w:t>
            </w:r>
          </w:p>
        </w:tc>
        <w:tc>
          <w:tcPr>
            <w:tcW w:w="1415" w:type="dxa"/>
            <w:noWrap w:val="0"/>
            <w:vAlign w:val="center"/>
          </w:tcPr>
          <w:p w14:paraId="22540EA2">
            <w:pPr>
              <w:pStyle w:val="44"/>
              <w:bidi w:val="0"/>
              <w:ind w:left="0" w:leftChars="0" w:firstLine="0" w:firstLineChars="0"/>
              <w:jc w:val="center"/>
              <w:rPr>
                <w:rFonts w:hint="eastAsia" w:ascii="Times New Roman" w:hAnsi="Times New Roman" w:eastAsia="宋体" w:cs="Times New Roman"/>
                <w:color w:val="auto"/>
                <w:szCs w:val="22"/>
                <w:u w:val="none"/>
                <w:lang w:val="en-US" w:eastAsia="zh-CN"/>
              </w:rPr>
            </w:pPr>
            <w:r>
              <w:rPr>
                <w:rFonts w:hint="eastAsia" w:ascii="Times New Roman" w:cs="Times New Roman"/>
                <w:color w:val="auto"/>
                <w:highlight w:val="none"/>
                <w:u w:val="none"/>
                <w:lang w:val="en-US" w:eastAsia="zh-CN"/>
              </w:rPr>
              <w:t>+0.202</w:t>
            </w:r>
          </w:p>
        </w:tc>
      </w:tr>
      <w:tr w14:paraId="7768AC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226" w:type="dxa"/>
            <w:vMerge w:val="continue"/>
            <w:noWrap w:val="0"/>
            <w:vAlign w:val="center"/>
          </w:tcPr>
          <w:p w14:paraId="148D4D57">
            <w:pPr>
              <w:pStyle w:val="96"/>
              <w:bidi w:val="0"/>
              <w:ind w:firstLine="0" w:firstLineChars="0"/>
              <w:rPr>
                <w:rFonts w:hint="default" w:ascii="Times New Roman" w:hAnsi="Times New Roman" w:eastAsia="宋体" w:cs="Times New Roman"/>
                <w:color w:val="auto"/>
                <w:szCs w:val="22"/>
                <w:u w:val="none"/>
                <w:lang w:val="en-US" w:eastAsia="zh-CN"/>
              </w:rPr>
            </w:pPr>
          </w:p>
        </w:tc>
        <w:tc>
          <w:tcPr>
            <w:tcW w:w="2004" w:type="dxa"/>
            <w:noWrap w:val="0"/>
            <w:vAlign w:val="center"/>
          </w:tcPr>
          <w:p w14:paraId="0A043C21">
            <w:pPr>
              <w:pStyle w:val="44"/>
              <w:bidi w:val="0"/>
              <w:ind w:left="0" w:leftChars="0" w:firstLine="0" w:firstLineChars="0"/>
              <w:jc w:val="center"/>
              <w:rPr>
                <w:rFonts w:hint="default" w:ascii="Times New Roman" w:hAnsi="Times New Roman" w:eastAsia="宋体" w:cs="Times New Roman"/>
                <w:color w:val="auto"/>
                <w:szCs w:val="22"/>
                <w:u w:val="none"/>
                <w:lang w:val="en-US" w:eastAsia="zh-CN"/>
              </w:rPr>
            </w:pPr>
            <w:r>
              <w:rPr>
                <w:rFonts w:hint="eastAsia" w:ascii="Times New Roman" w:hAnsi="Times New Roman" w:eastAsia="宋体" w:cs="Times New Roman"/>
                <w:color w:val="auto"/>
                <w:highlight w:val="none"/>
                <w:u w:val="none"/>
                <w:lang w:val="en-US" w:eastAsia="zh-CN"/>
              </w:rPr>
              <w:t>SS</w:t>
            </w:r>
          </w:p>
        </w:tc>
        <w:tc>
          <w:tcPr>
            <w:tcW w:w="1666" w:type="dxa"/>
            <w:noWrap w:val="0"/>
            <w:vAlign w:val="center"/>
          </w:tcPr>
          <w:p w14:paraId="3673A3E7">
            <w:pPr>
              <w:pStyle w:val="96"/>
              <w:bidi w:val="0"/>
              <w:ind w:firstLine="0" w:firstLineChars="0"/>
              <w:rPr>
                <w:rFonts w:hint="default" w:ascii="Times New Roman" w:hAnsi="Times New Roman" w:eastAsia="宋体" w:cs="Times New Roman"/>
                <w:color w:val="auto"/>
                <w:szCs w:val="22"/>
                <w:u w:val="none"/>
                <w:lang w:val="en-US" w:eastAsia="zh-CN"/>
              </w:rPr>
            </w:pPr>
            <w:r>
              <w:rPr>
                <w:rFonts w:hint="eastAsia" w:cs="Times New Roman"/>
                <w:color w:val="auto"/>
                <w:szCs w:val="22"/>
                <w:u w:val="none"/>
                <w:lang w:val="en-US" w:eastAsia="zh-CN"/>
              </w:rPr>
              <w:t>0.077</w:t>
            </w:r>
          </w:p>
        </w:tc>
        <w:tc>
          <w:tcPr>
            <w:tcW w:w="1034" w:type="dxa"/>
            <w:noWrap w:val="0"/>
            <w:vAlign w:val="center"/>
          </w:tcPr>
          <w:p w14:paraId="58FD08C2">
            <w:pPr>
              <w:pStyle w:val="96"/>
              <w:bidi w:val="0"/>
              <w:ind w:firstLine="0" w:firstLineChars="0"/>
              <w:rPr>
                <w:rFonts w:hint="eastAsia" w:ascii="Times New Roman" w:hAnsi="Times New Roman" w:eastAsia="宋体" w:cs="Times New Roman"/>
                <w:color w:val="auto"/>
                <w:szCs w:val="22"/>
                <w:u w:val="none"/>
                <w:lang w:val="en-US" w:eastAsia="zh-CN"/>
              </w:rPr>
            </w:pPr>
            <w:r>
              <w:rPr>
                <w:rFonts w:hint="eastAsia" w:ascii="Times New Roman" w:hAnsi="Times New Roman" w:eastAsia="宋体" w:cs="Times New Roman"/>
                <w:color w:val="auto"/>
                <w:szCs w:val="22"/>
                <w:u w:val="none"/>
                <w:lang w:val="en-US" w:eastAsia="zh-CN"/>
              </w:rPr>
              <w:t>/</w:t>
            </w:r>
          </w:p>
        </w:tc>
        <w:tc>
          <w:tcPr>
            <w:tcW w:w="2025" w:type="dxa"/>
            <w:noWrap w:val="0"/>
            <w:vAlign w:val="center"/>
          </w:tcPr>
          <w:p w14:paraId="53E71665">
            <w:pPr>
              <w:pStyle w:val="96"/>
              <w:bidi w:val="0"/>
              <w:ind w:firstLine="0" w:firstLineChars="0"/>
              <w:rPr>
                <w:rFonts w:hint="eastAsia" w:ascii="Times New Roman" w:hAnsi="Times New Roman" w:eastAsia="宋体" w:cs="Times New Roman"/>
                <w:color w:val="auto"/>
                <w:szCs w:val="22"/>
                <w:u w:val="none"/>
                <w:lang w:val="en-US" w:eastAsia="zh-CN"/>
              </w:rPr>
            </w:pPr>
            <w:r>
              <w:rPr>
                <w:rFonts w:hint="eastAsia" w:ascii="Times New Roman" w:hAnsi="Times New Roman" w:eastAsia="宋体" w:cs="Times New Roman"/>
                <w:color w:val="auto"/>
                <w:szCs w:val="22"/>
                <w:u w:val="none"/>
                <w:lang w:val="en-US" w:eastAsia="zh-CN"/>
              </w:rPr>
              <w:t>/</w:t>
            </w:r>
          </w:p>
        </w:tc>
        <w:tc>
          <w:tcPr>
            <w:tcW w:w="1977" w:type="dxa"/>
            <w:noWrap w:val="0"/>
            <w:vAlign w:val="center"/>
          </w:tcPr>
          <w:p w14:paraId="2243B138">
            <w:pPr>
              <w:pStyle w:val="44"/>
              <w:bidi w:val="0"/>
              <w:ind w:left="0" w:leftChars="0" w:firstLine="0" w:firstLineChars="0"/>
              <w:jc w:val="center"/>
              <w:rPr>
                <w:rFonts w:hint="default" w:ascii="Times New Roman" w:hAnsi="Times New Roman" w:eastAsia="宋体" w:cs="Times New Roman"/>
                <w:color w:val="auto"/>
                <w:szCs w:val="22"/>
                <w:u w:val="none"/>
                <w:lang w:val="en-US" w:eastAsia="zh-CN"/>
              </w:rPr>
            </w:pPr>
            <w:r>
              <w:rPr>
                <w:rFonts w:hint="eastAsia" w:ascii="Times New Roman" w:cs="Times New Roman"/>
                <w:color w:val="auto"/>
                <w:highlight w:val="none"/>
                <w:u w:val="none"/>
                <w:lang w:val="en-US" w:eastAsia="zh-CN"/>
              </w:rPr>
              <w:t>0.49</w:t>
            </w:r>
          </w:p>
        </w:tc>
        <w:tc>
          <w:tcPr>
            <w:tcW w:w="1731" w:type="dxa"/>
            <w:noWrap w:val="0"/>
            <w:vAlign w:val="center"/>
          </w:tcPr>
          <w:p w14:paraId="5D7CDF72">
            <w:pPr>
              <w:pStyle w:val="96"/>
              <w:bidi w:val="0"/>
              <w:ind w:firstLine="0" w:firstLineChars="0"/>
              <w:rPr>
                <w:rFonts w:hint="eastAsia" w:ascii="Times New Roman" w:hAnsi="Times New Roman" w:eastAsia="宋体" w:cs="Times New Roman"/>
                <w:color w:val="auto"/>
                <w:szCs w:val="22"/>
                <w:u w:val="none"/>
                <w:lang w:val="en-US" w:eastAsia="zh-CN"/>
              </w:rPr>
            </w:pPr>
            <w:r>
              <w:rPr>
                <w:rFonts w:hint="eastAsia" w:cs="Times New Roman"/>
                <w:color w:val="auto"/>
                <w:szCs w:val="22"/>
                <w:u w:val="none"/>
                <w:lang w:val="en-US" w:eastAsia="zh-CN"/>
              </w:rPr>
              <w:t>0.077</w:t>
            </w:r>
          </w:p>
        </w:tc>
        <w:tc>
          <w:tcPr>
            <w:tcW w:w="1738" w:type="dxa"/>
            <w:noWrap w:val="0"/>
            <w:vAlign w:val="center"/>
          </w:tcPr>
          <w:p w14:paraId="42A3CADA">
            <w:pPr>
              <w:pStyle w:val="44"/>
              <w:bidi w:val="0"/>
              <w:ind w:left="0" w:leftChars="0" w:firstLine="0" w:firstLineChars="0"/>
              <w:jc w:val="center"/>
              <w:rPr>
                <w:rFonts w:hint="default" w:ascii="Times New Roman" w:hAnsi="Times New Roman" w:eastAsia="宋体" w:cs="Times New Roman"/>
                <w:color w:val="auto"/>
                <w:szCs w:val="22"/>
                <w:u w:val="none"/>
                <w:lang w:val="en-US" w:eastAsia="zh-CN"/>
              </w:rPr>
            </w:pPr>
            <w:r>
              <w:rPr>
                <w:rFonts w:hint="eastAsia" w:ascii="Times New Roman" w:cs="Times New Roman"/>
                <w:color w:val="auto"/>
                <w:highlight w:val="none"/>
                <w:u w:val="none"/>
                <w:lang w:val="en-US" w:eastAsia="zh-CN"/>
              </w:rPr>
              <w:t>0.49</w:t>
            </w:r>
          </w:p>
        </w:tc>
        <w:tc>
          <w:tcPr>
            <w:tcW w:w="1415" w:type="dxa"/>
            <w:noWrap w:val="0"/>
            <w:vAlign w:val="center"/>
          </w:tcPr>
          <w:p w14:paraId="51F47659">
            <w:pPr>
              <w:pStyle w:val="44"/>
              <w:bidi w:val="0"/>
              <w:ind w:left="0" w:leftChars="0" w:firstLine="0" w:firstLineChars="0"/>
              <w:jc w:val="center"/>
              <w:rPr>
                <w:rFonts w:hint="eastAsia" w:ascii="Times New Roman" w:hAnsi="Times New Roman" w:eastAsia="宋体" w:cs="Times New Roman"/>
                <w:color w:val="auto"/>
                <w:szCs w:val="22"/>
                <w:u w:val="none"/>
                <w:lang w:val="en-US" w:eastAsia="zh-CN"/>
              </w:rPr>
            </w:pPr>
            <w:r>
              <w:rPr>
                <w:rFonts w:hint="eastAsia" w:ascii="Times New Roman" w:cs="Times New Roman"/>
                <w:color w:val="auto"/>
                <w:highlight w:val="none"/>
                <w:u w:val="none"/>
                <w:lang w:val="en-US" w:eastAsia="zh-CN"/>
              </w:rPr>
              <w:t>+0.413</w:t>
            </w:r>
          </w:p>
        </w:tc>
      </w:tr>
      <w:tr w14:paraId="6D5DAF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226" w:type="dxa"/>
            <w:vMerge w:val="restart"/>
            <w:noWrap w:val="0"/>
            <w:vAlign w:val="center"/>
          </w:tcPr>
          <w:p w14:paraId="77E7CE40">
            <w:pPr>
              <w:pStyle w:val="96"/>
              <w:bidi w:val="0"/>
              <w:ind w:firstLine="0" w:firstLineChars="0"/>
              <w:rPr>
                <w:rFonts w:hint="default" w:ascii="Times New Roman" w:hAnsi="Times New Roman" w:eastAsia="宋体" w:cs="Times New Roman"/>
                <w:color w:val="auto"/>
                <w:szCs w:val="22"/>
                <w:u w:val="none"/>
                <w:lang w:val="en-US" w:eastAsia="zh-CN"/>
              </w:rPr>
            </w:pPr>
            <w:r>
              <w:rPr>
                <w:rFonts w:hint="default" w:ascii="Times New Roman" w:hAnsi="Times New Roman" w:eastAsia="宋体" w:cs="Times New Roman"/>
                <w:color w:val="auto"/>
                <w:szCs w:val="22"/>
                <w:u w:val="none"/>
                <w:lang w:val="en-US" w:eastAsia="zh-CN"/>
              </w:rPr>
              <w:t>一般工业</w:t>
            </w:r>
          </w:p>
          <w:p w14:paraId="0D427F38">
            <w:pPr>
              <w:pStyle w:val="96"/>
              <w:bidi w:val="0"/>
              <w:ind w:firstLine="0" w:firstLineChars="0"/>
              <w:rPr>
                <w:rFonts w:hint="default" w:ascii="Times New Roman" w:hAnsi="Times New Roman" w:eastAsia="宋体" w:cs="Times New Roman"/>
                <w:color w:val="auto"/>
                <w:szCs w:val="22"/>
                <w:u w:val="none"/>
                <w:lang w:val="en-US" w:eastAsia="zh-CN"/>
              </w:rPr>
            </w:pPr>
            <w:r>
              <w:rPr>
                <w:rFonts w:hint="default" w:ascii="Times New Roman" w:hAnsi="Times New Roman" w:eastAsia="宋体" w:cs="Times New Roman"/>
                <w:color w:val="auto"/>
                <w:szCs w:val="22"/>
                <w:u w:val="none"/>
                <w:lang w:val="en-US" w:eastAsia="zh-CN"/>
              </w:rPr>
              <w:t>固体废物</w:t>
            </w:r>
          </w:p>
        </w:tc>
        <w:tc>
          <w:tcPr>
            <w:tcW w:w="2004" w:type="dxa"/>
            <w:noWrap w:val="0"/>
            <w:vAlign w:val="center"/>
          </w:tcPr>
          <w:p w14:paraId="7715BCD1">
            <w:pPr>
              <w:pStyle w:val="96"/>
              <w:bidi w:val="0"/>
              <w:ind w:firstLine="0" w:firstLineChars="0"/>
              <w:rPr>
                <w:rFonts w:hint="default" w:ascii="Times New Roman" w:hAnsi="Times New Roman" w:eastAsia="宋体" w:cs="Times New Roman"/>
                <w:color w:val="auto"/>
                <w:szCs w:val="22"/>
                <w:u w:val="none"/>
                <w:lang w:val="en-US" w:eastAsia="zh-CN"/>
              </w:rPr>
            </w:pPr>
            <w:r>
              <w:rPr>
                <w:rFonts w:hint="eastAsia" w:cs="Times New Roman"/>
                <w:color w:val="auto"/>
                <w:szCs w:val="22"/>
                <w:u w:val="none"/>
                <w:lang w:val="en-US" w:eastAsia="zh-CN"/>
              </w:rPr>
              <w:t>中药渣</w:t>
            </w:r>
          </w:p>
        </w:tc>
        <w:tc>
          <w:tcPr>
            <w:tcW w:w="1666" w:type="dxa"/>
            <w:noWrap w:val="0"/>
            <w:vAlign w:val="center"/>
          </w:tcPr>
          <w:p w14:paraId="1A087509">
            <w:pPr>
              <w:pStyle w:val="96"/>
              <w:bidi w:val="0"/>
              <w:ind w:firstLine="0" w:firstLineChars="0"/>
              <w:rPr>
                <w:rFonts w:hint="default" w:ascii="Times New Roman" w:hAnsi="Times New Roman" w:eastAsia="宋体" w:cs="Times New Roman"/>
                <w:color w:val="auto"/>
                <w:szCs w:val="22"/>
                <w:u w:val="none"/>
                <w:lang w:val="en-US" w:eastAsia="zh-CN"/>
              </w:rPr>
            </w:pPr>
            <w:r>
              <w:rPr>
                <w:rFonts w:hint="eastAsia" w:cs="Times New Roman"/>
                <w:color w:val="auto"/>
                <w:szCs w:val="22"/>
                <w:u w:val="none"/>
                <w:lang w:val="en-US" w:eastAsia="zh-CN"/>
              </w:rPr>
              <w:t>0.6</w:t>
            </w:r>
          </w:p>
        </w:tc>
        <w:tc>
          <w:tcPr>
            <w:tcW w:w="1034" w:type="dxa"/>
            <w:noWrap w:val="0"/>
            <w:vAlign w:val="center"/>
          </w:tcPr>
          <w:p w14:paraId="5BEA23BD">
            <w:pPr>
              <w:pStyle w:val="96"/>
              <w:bidi w:val="0"/>
              <w:ind w:firstLine="0" w:firstLineChars="0"/>
              <w:rPr>
                <w:rFonts w:hint="default" w:ascii="Times New Roman" w:hAnsi="Times New Roman" w:eastAsia="宋体" w:cs="Times New Roman"/>
                <w:color w:val="auto"/>
                <w:szCs w:val="22"/>
                <w:u w:val="none"/>
                <w:lang w:val="en-US" w:eastAsia="zh-CN"/>
              </w:rPr>
            </w:pPr>
            <w:r>
              <w:rPr>
                <w:rFonts w:hint="eastAsia" w:ascii="Times New Roman" w:hAnsi="Times New Roman" w:eastAsia="宋体" w:cs="Times New Roman"/>
                <w:color w:val="auto"/>
                <w:szCs w:val="22"/>
                <w:u w:val="none"/>
                <w:lang w:val="en-US" w:eastAsia="zh-CN"/>
              </w:rPr>
              <w:t>/</w:t>
            </w:r>
          </w:p>
        </w:tc>
        <w:tc>
          <w:tcPr>
            <w:tcW w:w="2025" w:type="dxa"/>
            <w:noWrap w:val="0"/>
            <w:vAlign w:val="center"/>
          </w:tcPr>
          <w:p w14:paraId="1E731116">
            <w:pPr>
              <w:pStyle w:val="96"/>
              <w:bidi w:val="0"/>
              <w:ind w:firstLine="0" w:firstLineChars="0"/>
              <w:rPr>
                <w:rFonts w:hint="default" w:ascii="Times New Roman" w:hAnsi="Times New Roman" w:eastAsia="宋体" w:cs="Times New Roman"/>
                <w:color w:val="auto"/>
                <w:szCs w:val="22"/>
                <w:u w:val="none"/>
                <w:lang w:val="en-US" w:eastAsia="zh-CN"/>
              </w:rPr>
            </w:pPr>
            <w:r>
              <w:rPr>
                <w:rFonts w:hint="eastAsia" w:ascii="Times New Roman" w:hAnsi="Times New Roman" w:eastAsia="宋体" w:cs="Times New Roman"/>
                <w:color w:val="auto"/>
                <w:szCs w:val="22"/>
                <w:u w:val="none"/>
                <w:lang w:val="en-US" w:eastAsia="zh-CN"/>
              </w:rPr>
              <w:t>/</w:t>
            </w:r>
          </w:p>
        </w:tc>
        <w:tc>
          <w:tcPr>
            <w:tcW w:w="1977" w:type="dxa"/>
            <w:noWrap w:val="0"/>
            <w:vAlign w:val="center"/>
          </w:tcPr>
          <w:p w14:paraId="30E820CD">
            <w:pPr>
              <w:pStyle w:val="96"/>
              <w:bidi w:val="0"/>
              <w:ind w:firstLine="0" w:firstLineChars="0"/>
              <w:rPr>
                <w:rFonts w:hint="default" w:ascii="Times New Roman" w:hAnsi="Times New Roman" w:eastAsia="宋体" w:cs="Times New Roman"/>
                <w:color w:val="auto"/>
                <w:szCs w:val="22"/>
                <w:u w:val="none"/>
                <w:lang w:val="en-US" w:eastAsia="zh-CN"/>
              </w:rPr>
            </w:pPr>
            <w:r>
              <w:rPr>
                <w:rFonts w:hint="eastAsia" w:cs="Times New Roman"/>
                <w:color w:val="auto"/>
                <w:szCs w:val="22"/>
                <w:u w:val="none"/>
                <w:lang w:val="en-US" w:eastAsia="zh-CN"/>
              </w:rPr>
              <w:t>2</w:t>
            </w:r>
          </w:p>
        </w:tc>
        <w:tc>
          <w:tcPr>
            <w:tcW w:w="1731" w:type="dxa"/>
            <w:noWrap w:val="0"/>
            <w:vAlign w:val="center"/>
          </w:tcPr>
          <w:p w14:paraId="3715A750">
            <w:pPr>
              <w:pStyle w:val="96"/>
              <w:bidi w:val="0"/>
              <w:ind w:firstLine="0" w:firstLineChars="0"/>
              <w:rPr>
                <w:rFonts w:hint="default" w:ascii="Times New Roman" w:hAnsi="Times New Roman" w:eastAsia="宋体" w:cs="Times New Roman"/>
                <w:color w:val="auto"/>
                <w:szCs w:val="22"/>
                <w:u w:val="none"/>
                <w:lang w:val="en-US" w:eastAsia="zh-CN"/>
              </w:rPr>
            </w:pPr>
            <w:r>
              <w:rPr>
                <w:rFonts w:hint="eastAsia" w:cs="Times New Roman"/>
                <w:color w:val="auto"/>
                <w:szCs w:val="22"/>
                <w:u w:val="none"/>
                <w:lang w:val="en-US" w:eastAsia="zh-CN"/>
              </w:rPr>
              <w:t>0.6</w:t>
            </w:r>
          </w:p>
        </w:tc>
        <w:tc>
          <w:tcPr>
            <w:tcW w:w="1738" w:type="dxa"/>
            <w:noWrap w:val="0"/>
            <w:vAlign w:val="center"/>
          </w:tcPr>
          <w:p w14:paraId="53A16857">
            <w:pPr>
              <w:pStyle w:val="96"/>
              <w:bidi w:val="0"/>
              <w:ind w:firstLine="0" w:firstLineChars="0"/>
              <w:rPr>
                <w:rFonts w:hint="default" w:ascii="Times New Roman" w:hAnsi="Times New Roman" w:eastAsia="宋体" w:cs="Times New Roman"/>
                <w:color w:val="auto"/>
                <w:szCs w:val="22"/>
                <w:u w:val="none"/>
                <w:lang w:val="en-US" w:eastAsia="zh-CN"/>
              </w:rPr>
            </w:pPr>
            <w:r>
              <w:rPr>
                <w:rFonts w:hint="eastAsia" w:cs="Times New Roman"/>
                <w:color w:val="auto"/>
                <w:szCs w:val="22"/>
                <w:u w:val="none"/>
                <w:lang w:val="en-US" w:eastAsia="zh-CN"/>
              </w:rPr>
              <w:t>2</w:t>
            </w:r>
          </w:p>
        </w:tc>
        <w:tc>
          <w:tcPr>
            <w:tcW w:w="1415" w:type="dxa"/>
            <w:noWrap w:val="0"/>
            <w:vAlign w:val="center"/>
          </w:tcPr>
          <w:p w14:paraId="5150D2A8">
            <w:pPr>
              <w:pStyle w:val="96"/>
              <w:bidi w:val="0"/>
              <w:ind w:firstLine="0" w:firstLineChars="0"/>
              <w:rPr>
                <w:rFonts w:hint="default" w:ascii="Times New Roman" w:hAnsi="Times New Roman" w:eastAsia="宋体" w:cs="Times New Roman"/>
                <w:color w:val="auto"/>
                <w:szCs w:val="22"/>
                <w:u w:val="none"/>
                <w:lang w:val="en-US" w:eastAsia="zh-CN"/>
              </w:rPr>
            </w:pPr>
            <w:r>
              <w:rPr>
                <w:rFonts w:hint="eastAsia" w:cs="Times New Roman"/>
                <w:color w:val="auto"/>
                <w:szCs w:val="22"/>
                <w:u w:val="none"/>
                <w:lang w:val="en-US" w:eastAsia="zh-CN"/>
              </w:rPr>
              <w:t>+1.4</w:t>
            </w:r>
          </w:p>
        </w:tc>
      </w:tr>
      <w:tr w14:paraId="5E253C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6" w:type="dxa"/>
            <w:vMerge w:val="continue"/>
            <w:noWrap w:val="0"/>
            <w:vAlign w:val="center"/>
          </w:tcPr>
          <w:p w14:paraId="7C78BDDA">
            <w:pPr>
              <w:pStyle w:val="96"/>
              <w:bidi w:val="0"/>
              <w:ind w:firstLine="0" w:firstLineChars="0"/>
              <w:rPr>
                <w:rFonts w:hint="default" w:ascii="Times New Roman" w:hAnsi="Times New Roman" w:eastAsia="宋体" w:cs="Times New Roman"/>
                <w:color w:val="auto"/>
                <w:szCs w:val="22"/>
                <w:u w:val="none"/>
                <w:lang w:val="en-US" w:eastAsia="zh-CN"/>
              </w:rPr>
            </w:pPr>
          </w:p>
        </w:tc>
        <w:tc>
          <w:tcPr>
            <w:tcW w:w="2004" w:type="dxa"/>
            <w:noWrap w:val="0"/>
            <w:vAlign w:val="center"/>
          </w:tcPr>
          <w:p w14:paraId="5FA13FCA">
            <w:pPr>
              <w:keepNext w:val="0"/>
              <w:keepLines w:val="0"/>
              <w:widowControl/>
              <w:suppressLineNumbers w:val="0"/>
              <w:spacing w:before="0" w:beforeAutospacing="0" w:after="0" w:afterAutospacing="0" w:line="240" w:lineRule="auto"/>
              <w:ind w:left="0" w:leftChars="0" w:right="0" w:rightChars="0" w:firstLine="0" w:firstLineChars="0"/>
              <w:jc w:val="both"/>
              <w:rPr>
                <w:rFonts w:hint="eastAsia" w:ascii="Times New Roman" w:hAnsi="Times New Roman" w:eastAsia="宋体" w:cs="Times New Roman"/>
                <w:color w:val="auto"/>
                <w:szCs w:val="22"/>
                <w:u w:val="none"/>
                <w:lang w:val="en-US" w:eastAsia="zh-CN"/>
              </w:rPr>
            </w:pPr>
            <w:r>
              <w:rPr>
                <w:rFonts w:hint="eastAsia" w:ascii="Times New Roman" w:hAnsi="Times New Roman" w:eastAsia="宋体" w:cs="Times New Roman"/>
                <w:snapToGrid w:val="0"/>
                <w:color w:val="auto"/>
                <w:kern w:val="0"/>
                <w:sz w:val="21"/>
                <w:szCs w:val="20"/>
                <w:u w:val="none"/>
                <w:lang w:val="en-US" w:eastAsia="zh-CN" w:bidi="ar-SA"/>
              </w:rPr>
              <w:t>医用玻璃、一次性塑料输液瓶（袋）</w:t>
            </w:r>
          </w:p>
        </w:tc>
        <w:tc>
          <w:tcPr>
            <w:tcW w:w="1666" w:type="dxa"/>
            <w:noWrap w:val="0"/>
            <w:vAlign w:val="center"/>
          </w:tcPr>
          <w:p w14:paraId="4B28F9BF">
            <w:pPr>
              <w:pStyle w:val="96"/>
              <w:bidi w:val="0"/>
              <w:ind w:firstLine="0" w:firstLineChars="0"/>
              <w:rPr>
                <w:rFonts w:hint="default" w:ascii="Times New Roman" w:hAnsi="Times New Roman" w:eastAsia="宋体" w:cs="Times New Roman"/>
                <w:color w:val="auto"/>
                <w:szCs w:val="22"/>
                <w:u w:val="none"/>
                <w:lang w:val="en-US" w:eastAsia="zh-CN"/>
              </w:rPr>
            </w:pPr>
            <w:r>
              <w:rPr>
                <w:rFonts w:hint="eastAsia" w:cs="Times New Roman"/>
                <w:color w:val="auto"/>
                <w:szCs w:val="22"/>
                <w:u w:val="none"/>
                <w:lang w:val="en-US" w:eastAsia="zh-CN"/>
              </w:rPr>
              <w:t>37.8</w:t>
            </w:r>
          </w:p>
        </w:tc>
        <w:tc>
          <w:tcPr>
            <w:tcW w:w="1034" w:type="dxa"/>
            <w:noWrap w:val="0"/>
            <w:vAlign w:val="center"/>
          </w:tcPr>
          <w:p w14:paraId="58FA1482">
            <w:pPr>
              <w:pStyle w:val="96"/>
              <w:bidi w:val="0"/>
              <w:ind w:firstLine="0" w:firstLineChars="0"/>
              <w:rPr>
                <w:rFonts w:hint="eastAsia" w:ascii="Times New Roman" w:hAnsi="Times New Roman" w:eastAsia="宋体" w:cs="Times New Roman"/>
                <w:color w:val="auto"/>
                <w:szCs w:val="22"/>
                <w:u w:val="none"/>
                <w:lang w:val="en-US" w:eastAsia="zh-CN"/>
              </w:rPr>
            </w:pPr>
            <w:r>
              <w:rPr>
                <w:rFonts w:hint="eastAsia" w:ascii="Times New Roman" w:hAnsi="Times New Roman" w:eastAsia="宋体" w:cs="Times New Roman"/>
                <w:color w:val="auto"/>
                <w:szCs w:val="22"/>
                <w:u w:val="none"/>
                <w:lang w:val="en-US" w:eastAsia="zh-CN"/>
              </w:rPr>
              <w:t>/</w:t>
            </w:r>
          </w:p>
        </w:tc>
        <w:tc>
          <w:tcPr>
            <w:tcW w:w="2025" w:type="dxa"/>
            <w:noWrap w:val="0"/>
            <w:vAlign w:val="center"/>
          </w:tcPr>
          <w:p w14:paraId="2DC26E14">
            <w:pPr>
              <w:pStyle w:val="96"/>
              <w:bidi w:val="0"/>
              <w:ind w:firstLine="0" w:firstLineChars="0"/>
              <w:rPr>
                <w:rFonts w:hint="eastAsia" w:ascii="Times New Roman" w:hAnsi="Times New Roman" w:eastAsia="宋体" w:cs="Times New Roman"/>
                <w:color w:val="auto"/>
                <w:szCs w:val="22"/>
                <w:u w:val="none"/>
                <w:lang w:val="en-US" w:eastAsia="zh-CN"/>
              </w:rPr>
            </w:pPr>
            <w:r>
              <w:rPr>
                <w:rFonts w:hint="eastAsia" w:ascii="Times New Roman" w:hAnsi="Times New Roman" w:eastAsia="宋体" w:cs="Times New Roman"/>
                <w:color w:val="auto"/>
                <w:szCs w:val="22"/>
                <w:u w:val="none"/>
                <w:lang w:val="en-US" w:eastAsia="zh-CN"/>
              </w:rPr>
              <w:t>/</w:t>
            </w:r>
          </w:p>
        </w:tc>
        <w:tc>
          <w:tcPr>
            <w:tcW w:w="1977" w:type="dxa"/>
            <w:noWrap w:val="0"/>
            <w:vAlign w:val="center"/>
          </w:tcPr>
          <w:p w14:paraId="17E3859A">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Cs w:val="22"/>
                <w:u w:val="none"/>
                <w:lang w:val="en-US" w:eastAsia="zh-CN"/>
              </w:rPr>
            </w:pPr>
            <w:r>
              <w:rPr>
                <w:rFonts w:hint="eastAsia" w:cs="Times New Roman"/>
                <w:snapToGrid w:val="0"/>
                <w:color w:val="auto"/>
                <w:sz w:val="21"/>
                <w:szCs w:val="21"/>
                <w:u w:val="none"/>
                <w:lang w:val="en-US" w:eastAsia="zh-CN"/>
              </w:rPr>
              <w:t>127.2</w:t>
            </w:r>
          </w:p>
        </w:tc>
        <w:tc>
          <w:tcPr>
            <w:tcW w:w="1731" w:type="dxa"/>
            <w:noWrap w:val="0"/>
            <w:vAlign w:val="center"/>
          </w:tcPr>
          <w:p w14:paraId="384BE14E">
            <w:pPr>
              <w:pStyle w:val="96"/>
              <w:bidi w:val="0"/>
              <w:ind w:firstLine="0" w:firstLineChars="0"/>
              <w:rPr>
                <w:rFonts w:hint="eastAsia" w:ascii="Times New Roman" w:hAnsi="Times New Roman" w:eastAsia="宋体" w:cs="Times New Roman"/>
                <w:color w:val="auto"/>
                <w:szCs w:val="22"/>
                <w:u w:val="none"/>
                <w:lang w:val="en-US" w:eastAsia="zh-CN"/>
              </w:rPr>
            </w:pPr>
            <w:r>
              <w:rPr>
                <w:rFonts w:hint="eastAsia" w:cs="Times New Roman"/>
                <w:color w:val="auto"/>
                <w:szCs w:val="22"/>
                <w:u w:val="none"/>
                <w:lang w:val="en-US" w:eastAsia="zh-CN"/>
              </w:rPr>
              <w:t>37.8</w:t>
            </w:r>
          </w:p>
        </w:tc>
        <w:tc>
          <w:tcPr>
            <w:tcW w:w="1738" w:type="dxa"/>
            <w:noWrap w:val="0"/>
            <w:vAlign w:val="center"/>
          </w:tcPr>
          <w:p w14:paraId="3CF6BA2E">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Cs w:val="22"/>
                <w:u w:val="none"/>
                <w:lang w:val="en-US" w:eastAsia="zh-CN"/>
              </w:rPr>
            </w:pPr>
            <w:r>
              <w:rPr>
                <w:rFonts w:hint="eastAsia" w:cs="Times New Roman"/>
                <w:snapToGrid w:val="0"/>
                <w:color w:val="auto"/>
                <w:sz w:val="21"/>
                <w:szCs w:val="21"/>
                <w:u w:val="none"/>
                <w:lang w:val="en-US" w:eastAsia="zh-CN"/>
              </w:rPr>
              <w:t>127.2</w:t>
            </w:r>
          </w:p>
        </w:tc>
        <w:tc>
          <w:tcPr>
            <w:tcW w:w="1415" w:type="dxa"/>
            <w:noWrap w:val="0"/>
            <w:vAlign w:val="center"/>
          </w:tcPr>
          <w:p w14:paraId="26F1856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Cs w:val="22"/>
                <w:u w:val="none"/>
                <w:lang w:val="en-US" w:eastAsia="zh-CN"/>
              </w:rPr>
            </w:pPr>
            <w:r>
              <w:rPr>
                <w:rFonts w:hint="eastAsia" w:cs="Times New Roman"/>
                <w:snapToGrid w:val="0"/>
                <w:color w:val="auto"/>
                <w:sz w:val="21"/>
                <w:szCs w:val="21"/>
                <w:u w:val="none"/>
                <w:lang w:val="en-US" w:eastAsia="zh-CN"/>
              </w:rPr>
              <w:t>+89.4</w:t>
            </w:r>
          </w:p>
        </w:tc>
      </w:tr>
      <w:tr w14:paraId="17BA59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226" w:type="dxa"/>
            <w:vMerge w:val="restart"/>
            <w:noWrap w:val="0"/>
            <w:vAlign w:val="center"/>
          </w:tcPr>
          <w:p w14:paraId="35763627">
            <w:pPr>
              <w:pStyle w:val="96"/>
              <w:bidi w:val="0"/>
              <w:ind w:firstLine="0" w:firstLineChars="0"/>
              <w:rPr>
                <w:rFonts w:hint="default" w:ascii="Times New Roman" w:hAnsi="Times New Roman" w:eastAsia="宋体" w:cs="Times New Roman"/>
                <w:color w:val="auto"/>
                <w:szCs w:val="22"/>
                <w:u w:val="none"/>
                <w:lang w:val="en-US" w:eastAsia="zh-CN"/>
              </w:rPr>
            </w:pPr>
            <w:r>
              <w:rPr>
                <w:rFonts w:hint="default" w:ascii="Times New Roman" w:hAnsi="Times New Roman" w:eastAsia="宋体" w:cs="Times New Roman"/>
                <w:color w:val="auto"/>
                <w:szCs w:val="22"/>
                <w:u w:val="none"/>
                <w:lang w:val="en-US" w:eastAsia="zh-CN"/>
              </w:rPr>
              <w:t>危险废物</w:t>
            </w:r>
          </w:p>
        </w:tc>
        <w:tc>
          <w:tcPr>
            <w:tcW w:w="2004" w:type="dxa"/>
            <w:noWrap w:val="0"/>
            <w:vAlign w:val="center"/>
          </w:tcPr>
          <w:p w14:paraId="7E7B6F46">
            <w:pPr>
              <w:pStyle w:val="96"/>
              <w:bidi w:val="0"/>
              <w:spacing w:line="240" w:lineRule="auto"/>
              <w:ind w:firstLine="0" w:firstLineChars="0"/>
              <w:jc w:val="center"/>
              <w:rPr>
                <w:rFonts w:hint="default" w:ascii="Times New Roman" w:hAnsi="Times New Roman" w:eastAsia="宋体" w:cs="Times New Roman"/>
                <w:color w:val="auto"/>
                <w:szCs w:val="22"/>
                <w:u w:val="none"/>
                <w:lang w:val="en-US" w:eastAsia="zh-CN"/>
              </w:rPr>
            </w:pPr>
            <w:r>
              <w:rPr>
                <w:rFonts w:hint="eastAsia"/>
                <w:color w:val="auto"/>
                <w:u w:val="none"/>
                <w:lang w:val="en-US" w:eastAsia="zh-CN"/>
              </w:rPr>
              <w:t>医疗废物</w:t>
            </w:r>
          </w:p>
        </w:tc>
        <w:tc>
          <w:tcPr>
            <w:tcW w:w="1666" w:type="dxa"/>
            <w:noWrap w:val="0"/>
            <w:vAlign w:val="center"/>
          </w:tcPr>
          <w:p w14:paraId="555A9344">
            <w:pPr>
              <w:pStyle w:val="96"/>
              <w:bidi w:val="0"/>
              <w:ind w:firstLine="0" w:firstLineChars="0"/>
              <w:rPr>
                <w:rFonts w:hint="default" w:ascii="Times New Roman" w:hAnsi="Times New Roman" w:eastAsia="宋体" w:cs="Times New Roman"/>
                <w:color w:val="auto"/>
                <w:szCs w:val="22"/>
                <w:u w:val="none"/>
                <w:lang w:val="en-US" w:eastAsia="zh-CN"/>
              </w:rPr>
            </w:pPr>
            <w:r>
              <w:rPr>
                <w:rFonts w:hint="eastAsia" w:cs="Times New Roman"/>
                <w:color w:val="auto"/>
                <w:szCs w:val="22"/>
                <w:u w:val="none"/>
                <w:lang w:val="en-US" w:eastAsia="zh-CN"/>
              </w:rPr>
              <w:t>5.3</w:t>
            </w:r>
          </w:p>
        </w:tc>
        <w:tc>
          <w:tcPr>
            <w:tcW w:w="1034" w:type="dxa"/>
            <w:noWrap w:val="0"/>
            <w:vAlign w:val="center"/>
          </w:tcPr>
          <w:p w14:paraId="1C5874A6">
            <w:pPr>
              <w:pStyle w:val="96"/>
              <w:bidi w:val="0"/>
              <w:ind w:firstLine="0" w:firstLineChars="0"/>
              <w:rPr>
                <w:rFonts w:hint="default" w:ascii="Times New Roman" w:hAnsi="Times New Roman" w:eastAsia="宋体" w:cs="Times New Roman"/>
                <w:color w:val="auto"/>
                <w:szCs w:val="22"/>
                <w:u w:val="none"/>
                <w:lang w:val="en-US" w:eastAsia="zh-CN"/>
              </w:rPr>
            </w:pPr>
            <w:r>
              <w:rPr>
                <w:rFonts w:hint="eastAsia" w:ascii="Times New Roman" w:hAnsi="Times New Roman" w:eastAsia="宋体" w:cs="Times New Roman"/>
                <w:color w:val="auto"/>
                <w:szCs w:val="22"/>
                <w:u w:val="none"/>
                <w:lang w:val="en-US" w:eastAsia="zh-CN"/>
              </w:rPr>
              <w:t>/</w:t>
            </w:r>
          </w:p>
        </w:tc>
        <w:tc>
          <w:tcPr>
            <w:tcW w:w="2025" w:type="dxa"/>
            <w:noWrap w:val="0"/>
            <w:vAlign w:val="center"/>
          </w:tcPr>
          <w:p w14:paraId="4FAA4F0C">
            <w:pPr>
              <w:pStyle w:val="96"/>
              <w:bidi w:val="0"/>
              <w:ind w:firstLine="0" w:firstLineChars="0"/>
              <w:rPr>
                <w:rFonts w:hint="default" w:ascii="Times New Roman" w:hAnsi="Times New Roman" w:eastAsia="宋体" w:cs="Times New Roman"/>
                <w:color w:val="auto"/>
                <w:szCs w:val="22"/>
                <w:u w:val="none"/>
                <w:lang w:val="en-US" w:eastAsia="zh-CN"/>
              </w:rPr>
            </w:pPr>
            <w:r>
              <w:rPr>
                <w:rFonts w:hint="eastAsia" w:ascii="Times New Roman" w:hAnsi="Times New Roman" w:eastAsia="宋体" w:cs="Times New Roman"/>
                <w:color w:val="auto"/>
                <w:szCs w:val="22"/>
                <w:u w:val="none"/>
                <w:lang w:val="en-US" w:eastAsia="zh-CN"/>
              </w:rPr>
              <w:t>/</w:t>
            </w:r>
          </w:p>
        </w:tc>
        <w:tc>
          <w:tcPr>
            <w:tcW w:w="1977" w:type="dxa"/>
            <w:noWrap w:val="0"/>
            <w:vAlign w:val="center"/>
          </w:tcPr>
          <w:p w14:paraId="50E1E5DF">
            <w:pPr>
              <w:pStyle w:val="96"/>
              <w:bidi w:val="0"/>
              <w:spacing w:line="240" w:lineRule="auto"/>
              <w:ind w:firstLine="0" w:firstLineChars="0"/>
              <w:jc w:val="center"/>
              <w:rPr>
                <w:rFonts w:hint="default" w:ascii="Times New Roman" w:hAnsi="Times New Roman" w:eastAsia="宋体" w:cs="Times New Roman"/>
                <w:color w:val="auto"/>
                <w:szCs w:val="22"/>
                <w:u w:val="none"/>
                <w:lang w:val="en-US" w:eastAsia="zh-CN"/>
              </w:rPr>
            </w:pPr>
            <w:r>
              <w:rPr>
                <w:rFonts w:hint="eastAsia"/>
                <w:color w:val="auto"/>
                <w:highlight w:val="none"/>
                <w:u w:val="none"/>
                <w:lang w:val="en-US" w:eastAsia="zh-CN"/>
              </w:rPr>
              <w:t>31.8</w:t>
            </w:r>
          </w:p>
        </w:tc>
        <w:tc>
          <w:tcPr>
            <w:tcW w:w="1731" w:type="dxa"/>
            <w:noWrap w:val="0"/>
            <w:vAlign w:val="center"/>
          </w:tcPr>
          <w:p w14:paraId="65982B5F">
            <w:pPr>
              <w:pStyle w:val="96"/>
              <w:bidi w:val="0"/>
              <w:ind w:firstLine="0" w:firstLineChars="0"/>
              <w:rPr>
                <w:rFonts w:hint="default" w:ascii="Times New Roman" w:hAnsi="Times New Roman" w:eastAsia="宋体" w:cs="Times New Roman"/>
                <w:color w:val="auto"/>
                <w:szCs w:val="22"/>
                <w:u w:val="none"/>
                <w:lang w:val="en-US" w:eastAsia="zh-CN"/>
              </w:rPr>
            </w:pPr>
            <w:r>
              <w:rPr>
                <w:rFonts w:hint="eastAsia" w:cs="Times New Roman"/>
                <w:color w:val="auto"/>
                <w:szCs w:val="22"/>
                <w:u w:val="none"/>
                <w:lang w:val="en-US" w:eastAsia="zh-CN"/>
              </w:rPr>
              <w:t>5.3</w:t>
            </w:r>
          </w:p>
        </w:tc>
        <w:tc>
          <w:tcPr>
            <w:tcW w:w="1738" w:type="dxa"/>
            <w:noWrap w:val="0"/>
            <w:vAlign w:val="center"/>
          </w:tcPr>
          <w:p w14:paraId="386007C0">
            <w:pPr>
              <w:pStyle w:val="96"/>
              <w:bidi w:val="0"/>
              <w:spacing w:line="240" w:lineRule="auto"/>
              <w:ind w:firstLine="0" w:firstLineChars="0"/>
              <w:jc w:val="center"/>
              <w:rPr>
                <w:rFonts w:hint="default" w:ascii="Times New Roman" w:hAnsi="Times New Roman" w:eastAsia="宋体" w:cs="Times New Roman"/>
                <w:color w:val="auto"/>
                <w:szCs w:val="22"/>
                <w:u w:val="none"/>
                <w:lang w:val="en-US" w:eastAsia="zh-CN"/>
              </w:rPr>
            </w:pPr>
            <w:r>
              <w:rPr>
                <w:rFonts w:hint="eastAsia"/>
                <w:color w:val="auto"/>
                <w:highlight w:val="none"/>
                <w:u w:val="none"/>
                <w:lang w:val="en-US" w:eastAsia="zh-CN"/>
              </w:rPr>
              <w:t>31.8</w:t>
            </w:r>
          </w:p>
        </w:tc>
        <w:tc>
          <w:tcPr>
            <w:tcW w:w="1415" w:type="dxa"/>
            <w:noWrap w:val="0"/>
            <w:vAlign w:val="center"/>
          </w:tcPr>
          <w:p w14:paraId="0E8C194D">
            <w:pPr>
              <w:pStyle w:val="96"/>
              <w:bidi w:val="0"/>
              <w:spacing w:line="240" w:lineRule="auto"/>
              <w:ind w:firstLine="0" w:firstLineChars="0"/>
              <w:jc w:val="center"/>
              <w:rPr>
                <w:rFonts w:hint="default" w:ascii="Times New Roman" w:hAnsi="Times New Roman" w:eastAsia="宋体" w:cs="Times New Roman"/>
                <w:color w:val="auto"/>
                <w:szCs w:val="22"/>
                <w:u w:val="none"/>
                <w:lang w:val="en-US" w:eastAsia="zh-CN"/>
              </w:rPr>
            </w:pPr>
            <w:r>
              <w:rPr>
                <w:rFonts w:hint="eastAsia"/>
                <w:color w:val="auto"/>
                <w:highlight w:val="none"/>
                <w:u w:val="none"/>
                <w:lang w:val="en-US" w:eastAsia="zh-CN"/>
              </w:rPr>
              <w:t>+26.5</w:t>
            </w:r>
          </w:p>
        </w:tc>
      </w:tr>
      <w:tr w14:paraId="41C7F7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226" w:type="dxa"/>
            <w:vMerge w:val="continue"/>
            <w:noWrap w:val="0"/>
            <w:vAlign w:val="center"/>
          </w:tcPr>
          <w:p w14:paraId="41E11A0B">
            <w:pPr>
              <w:pStyle w:val="96"/>
              <w:bidi w:val="0"/>
              <w:ind w:firstLine="0" w:firstLineChars="0"/>
              <w:rPr>
                <w:rFonts w:hint="default" w:ascii="Times New Roman" w:hAnsi="Times New Roman" w:eastAsia="宋体" w:cs="Times New Roman"/>
                <w:color w:val="auto"/>
                <w:szCs w:val="22"/>
                <w:u w:val="none"/>
                <w:lang w:val="en-US" w:eastAsia="zh-CN"/>
              </w:rPr>
            </w:pPr>
          </w:p>
        </w:tc>
        <w:tc>
          <w:tcPr>
            <w:tcW w:w="2004" w:type="dxa"/>
            <w:noWrap w:val="0"/>
            <w:vAlign w:val="center"/>
          </w:tcPr>
          <w:p w14:paraId="7CB14A71">
            <w:pPr>
              <w:pStyle w:val="96"/>
              <w:bidi w:val="0"/>
              <w:spacing w:line="240" w:lineRule="auto"/>
              <w:ind w:firstLine="0" w:firstLineChars="0"/>
              <w:jc w:val="center"/>
              <w:rPr>
                <w:rFonts w:hint="eastAsia"/>
                <w:color w:val="auto"/>
                <w:u w:val="none"/>
                <w:lang w:val="en-US" w:eastAsia="zh-CN"/>
              </w:rPr>
            </w:pPr>
            <w:r>
              <w:rPr>
                <w:rFonts w:hint="eastAsia" w:cs="Times New Roman"/>
                <w:color w:val="auto"/>
                <w:u w:val="none"/>
                <w:lang w:val="en-US" w:eastAsia="zh-CN"/>
              </w:rPr>
              <w:t>污水处理</w:t>
            </w:r>
            <w:r>
              <w:rPr>
                <w:rFonts w:hint="eastAsia" w:ascii="Times New Roman" w:hAnsi="Times New Roman" w:eastAsia="宋体" w:cs="Times New Roman"/>
                <w:color w:val="auto"/>
                <w:u w:val="none"/>
                <w:lang w:val="en-US" w:eastAsia="zh-CN"/>
              </w:rPr>
              <w:t>污泥</w:t>
            </w:r>
          </w:p>
        </w:tc>
        <w:tc>
          <w:tcPr>
            <w:tcW w:w="1666" w:type="dxa"/>
            <w:noWrap w:val="0"/>
            <w:vAlign w:val="center"/>
          </w:tcPr>
          <w:p w14:paraId="25EEE130">
            <w:pPr>
              <w:pStyle w:val="96"/>
              <w:bidi w:val="0"/>
              <w:ind w:firstLine="0" w:firstLineChars="0"/>
              <w:rPr>
                <w:rFonts w:hint="default" w:ascii="Times New Roman" w:hAnsi="Times New Roman" w:eastAsia="宋体" w:cs="Times New Roman"/>
                <w:color w:val="auto"/>
                <w:szCs w:val="22"/>
                <w:u w:val="none"/>
                <w:lang w:val="en-US" w:eastAsia="zh-CN"/>
              </w:rPr>
            </w:pPr>
            <w:r>
              <w:rPr>
                <w:rFonts w:hint="eastAsia" w:cs="Times New Roman"/>
                <w:color w:val="auto"/>
                <w:szCs w:val="22"/>
                <w:u w:val="none"/>
                <w:lang w:val="en-US" w:eastAsia="zh-CN"/>
              </w:rPr>
              <w:t>0.9</w:t>
            </w:r>
          </w:p>
        </w:tc>
        <w:tc>
          <w:tcPr>
            <w:tcW w:w="1034" w:type="dxa"/>
            <w:noWrap w:val="0"/>
            <w:vAlign w:val="center"/>
          </w:tcPr>
          <w:p w14:paraId="10724CA5">
            <w:pPr>
              <w:pStyle w:val="96"/>
              <w:bidi w:val="0"/>
              <w:ind w:firstLine="0" w:firstLineChars="0"/>
              <w:rPr>
                <w:rFonts w:hint="eastAsia" w:ascii="Times New Roman" w:hAnsi="Times New Roman" w:eastAsia="宋体" w:cs="Times New Roman"/>
                <w:color w:val="auto"/>
                <w:szCs w:val="22"/>
                <w:u w:val="none"/>
                <w:lang w:val="en-US" w:eastAsia="zh-CN"/>
              </w:rPr>
            </w:pPr>
            <w:r>
              <w:rPr>
                <w:rFonts w:hint="eastAsia" w:ascii="Times New Roman" w:hAnsi="Times New Roman" w:eastAsia="宋体" w:cs="Times New Roman"/>
                <w:color w:val="auto"/>
                <w:szCs w:val="22"/>
                <w:u w:val="none"/>
                <w:lang w:val="en-US" w:eastAsia="zh-CN"/>
              </w:rPr>
              <w:t>/</w:t>
            </w:r>
          </w:p>
        </w:tc>
        <w:tc>
          <w:tcPr>
            <w:tcW w:w="2025" w:type="dxa"/>
            <w:noWrap w:val="0"/>
            <w:vAlign w:val="center"/>
          </w:tcPr>
          <w:p w14:paraId="3C245605">
            <w:pPr>
              <w:pStyle w:val="96"/>
              <w:bidi w:val="0"/>
              <w:ind w:firstLine="0" w:firstLineChars="0"/>
              <w:rPr>
                <w:rFonts w:hint="eastAsia" w:ascii="Times New Roman" w:hAnsi="Times New Roman" w:eastAsia="宋体" w:cs="Times New Roman"/>
                <w:color w:val="auto"/>
                <w:szCs w:val="22"/>
                <w:u w:val="none"/>
                <w:lang w:val="en-US" w:eastAsia="zh-CN"/>
              </w:rPr>
            </w:pPr>
            <w:r>
              <w:rPr>
                <w:rFonts w:hint="eastAsia" w:ascii="Times New Roman" w:hAnsi="Times New Roman" w:eastAsia="宋体" w:cs="Times New Roman"/>
                <w:color w:val="auto"/>
                <w:szCs w:val="22"/>
                <w:u w:val="none"/>
                <w:lang w:val="en-US" w:eastAsia="zh-CN"/>
              </w:rPr>
              <w:t>/</w:t>
            </w:r>
          </w:p>
        </w:tc>
        <w:tc>
          <w:tcPr>
            <w:tcW w:w="1977" w:type="dxa"/>
            <w:noWrap w:val="0"/>
            <w:vAlign w:val="center"/>
          </w:tcPr>
          <w:p w14:paraId="05EB76AF">
            <w:pPr>
              <w:pStyle w:val="96"/>
              <w:bidi w:val="0"/>
              <w:spacing w:line="240" w:lineRule="auto"/>
              <w:ind w:firstLine="0" w:firstLineChars="0"/>
              <w:jc w:val="center"/>
              <w:rPr>
                <w:rFonts w:hint="eastAsia"/>
                <w:color w:val="auto"/>
                <w:highlight w:val="none"/>
                <w:u w:val="none"/>
                <w:lang w:val="en-US" w:eastAsia="zh-CN"/>
              </w:rPr>
            </w:pPr>
            <w:r>
              <w:rPr>
                <w:rFonts w:hint="eastAsia"/>
                <w:color w:val="auto"/>
                <w:highlight w:val="none"/>
                <w:u w:val="none"/>
                <w:lang w:val="en-US" w:eastAsia="zh-CN"/>
              </w:rPr>
              <w:t>5.913</w:t>
            </w:r>
          </w:p>
        </w:tc>
        <w:tc>
          <w:tcPr>
            <w:tcW w:w="1731" w:type="dxa"/>
            <w:noWrap w:val="0"/>
            <w:vAlign w:val="center"/>
          </w:tcPr>
          <w:p w14:paraId="2753A0B8">
            <w:pPr>
              <w:pStyle w:val="96"/>
              <w:bidi w:val="0"/>
              <w:ind w:firstLine="0" w:firstLineChars="0"/>
              <w:rPr>
                <w:rFonts w:hint="default" w:ascii="Times New Roman" w:hAnsi="Times New Roman" w:eastAsia="宋体" w:cs="Times New Roman"/>
                <w:color w:val="auto"/>
                <w:szCs w:val="22"/>
                <w:u w:val="none"/>
                <w:lang w:val="en-US" w:eastAsia="zh-CN"/>
              </w:rPr>
            </w:pPr>
            <w:r>
              <w:rPr>
                <w:rFonts w:hint="eastAsia" w:cs="Times New Roman"/>
                <w:color w:val="auto"/>
                <w:szCs w:val="22"/>
                <w:u w:val="none"/>
                <w:lang w:val="en-US" w:eastAsia="zh-CN"/>
              </w:rPr>
              <w:t>0.9</w:t>
            </w:r>
          </w:p>
        </w:tc>
        <w:tc>
          <w:tcPr>
            <w:tcW w:w="1738" w:type="dxa"/>
            <w:noWrap w:val="0"/>
            <w:vAlign w:val="center"/>
          </w:tcPr>
          <w:p w14:paraId="081BD9C3">
            <w:pPr>
              <w:pStyle w:val="96"/>
              <w:bidi w:val="0"/>
              <w:spacing w:line="240" w:lineRule="auto"/>
              <w:ind w:firstLine="0" w:firstLineChars="0"/>
              <w:jc w:val="center"/>
              <w:rPr>
                <w:rFonts w:hint="eastAsia"/>
                <w:color w:val="auto"/>
                <w:highlight w:val="none"/>
                <w:u w:val="none"/>
                <w:lang w:val="en-US" w:eastAsia="zh-CN"/>
              </w:rPr>
            </w:pPr>
            <w:r>
              <w:rPr>
                <w:rFonts w:hint="eastAsia"/>
                <w:color w:val="auto"/>
                <w:highlight w:val="none"/>
                <w:u w:val="none"/>
                <w:lang w:val="en-US" w:eastAsia="zh-CN"/>
              </w:rPr>
              <w:t>5.913</w:t>
            </w:r>
          </w:p>
        </w:tc>
        <w:tc>
          <w:tcPr>
            <w:tcW w:w="1415" w:type="dxa"/>
            <w:noWrap w:val="0"/>
            <w:vAlign w:val="center"/>
          </w:tcPr>
          <w:p w14:paraId="7DEA4FEF">
            <w:pPr>
              <w:pStyle w:val="96"/>
              <w:bidi w:val="0"/>
              <w:spacing w:line="240" w:lineRule="auto"/>
              <w:ind w:firstLine="0" w:firstLineChars="0"/>
              <w:jc w:val="center"/>
              <w:rPr>
                <w:rFonts w:hint="eastAsia"/>
                <w:color w:val="auto"/>
                <w:highlight w:val="none"/>
                <w:u w:val="none"/>
                <w:lang w:val="en-US" w:eastAsia="zh-CN"/>
              </w:rPr>
            </w:pPr>
            <w:r>
              <w:rPr>
                <w:rFonts w:hint="eastAsia"/>
                <w:color w:val="auto"/>
                <w:highlight w:val="none"/>
                <w:u w:val="none"/>
                <w:lang w:val="en-US" w:eastAsia="zh-CN"/>
              </w:rPr>
              <w:t>+5.013</w:t>
            </w:r>
          </w:p>
        </w:tc>
      </w:tr>
      <w:tr w14:paraId="113C71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226" w:type="dxa"/>
            <w:noWrap w:val="0"/>
            <w:vAlign w:val="center"/>
          </w:tcPr>
          <w:p w14:paraId="7639757E">
            <w:pPr>
              <w:pStyle w:val="96"/>
              <w:bidi w:val="0"/>
              <w:ind w:firstLine="0" w:firstLineChars="0"/>
              <w:rPr>
                <w:rFonts w:hint="default" w:ascii="Times New Roman" w:hAnsi="Times New Roman" w:eastAsia="宋体" w:cs="Times New Roman"/>
                <w:color w:val="auto"/>
                <w:szCs w:val="22"/>
                <w:u w:val="none"/>
                <w:lang w:val="en-US" w:eastAsia="zh-CN"/>
              </w:rPr>
            </w:pPr>
            <w:r>
              <w:rPr>
                <w:rFonts w:hint="eastAsia" w:cs="Times New Roman"/>
                <w:color w:val="auto"/>
                <w:szCs w:val="22"/>
                <w:u w:val="none"/>
                <w:lang w:val="en-US" w:eastAsia="zh-CN"/>
              </w:rPr>
              <w:t>生活垃圾</w:t>
            </w:r>
          </w:p>
        </w:tc>
        <w:tc>
          <w:tcPr>
            <w:tcW w:w="2004" w:type="dxa"/>
            <w:noWrap w:val="0"/>
            <w:vAlign w:val="center"/>
          </w:tcPr>
          <w:p w14:paraId="7233C88F">
            <w:pPr>
              <w:pStyle w:val="96"/>
              <w:bidi w:val="0"/>
              <w:spacing w:line="240" w:lineRule="auto"/>
              <w:ind w:firstLine="0" w:firstLineChars="0"/>
              <w:jc w:val="center"/>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szCs w:val="22"/>
                <w:u w:val="none"/>
                <w:lang w:val="en-US" w:eastAsia="zh-CN"/>
              </w:rPr>
              <w:t>生活垃圾</w:t>
            </w:r>
          </w:p>
        </w:tc>
        <w:tc>
          <w:tcPr>
            <w:tcW w:w="1666" w:type="dxa"/>
            <w:shd w:val="clear" w:color="auto" w:fill="auto"/>
            <w:noWrap w:val="0"/>
            <w:vAlign w:val="center"/>
          </w:tcPr>
          <w:p w14:paraId="136278CF">
            <w:pPr>
              <w:pStyle w:val="96"/>
              <w:bidi w:val="0"/>
              <w:ind w:firstLine="0" w:firstLineChars="0"/>
              <w:rPr>
                <w:rFonts w:hint="default" w:ascii="Times New Roman" w:hAnsi="Times New Roman" w:eastAsia="宋体" w:cs="Times New Roman"/>
                <w:color w:val="auto"/>
                <w:sz w:val="21"/>
                <w:szCs w:val="22"/>
                <w:u w:val="none"/>
                <w:lang w:val="en-US" w:eastAsia="zh-CN" w:bidi="zh-CN"/>
              </w:rPr>
            </w:pPr>
            <w:r>
              <w:rPr>
                <w:rFonts w:hint="eastAsia" w:cs="Times New Roman"/>
                <w:color w:val="auto"/>
                <w:szCs w:val="22"/>
                <w:u w:val="none"/>
                <w:lang w:val="en-US" w:eastAsia="zh-CN"/>
              </w:rPr>
              <w:t>27.5</w:t>
            </w:r>
          </w:p>
        </w:tc>
        <w:tc>
          <w:tcPr>
            <w:tcW w:w="1034" w:type="dxa"/>
            <w:shd w:val="clear" w:color="auto" w:fill="auto"/>
            <w:noWrap w:val="0"/>
            <w:vAlign w:val="center"/>
          </w:tcPr>
          <w:p w14:paraId="3A8D4BA1">
            <w:pPr>
              <w:pStyle w:val="96"/>
              <w:bidi w:val="0"/>
              <w:ind w:firstLine="0" w:firstLineChars="0"/>
              <w:rPr>
                <w:rFonts w:hint="eastAsia" w:ascii="Times New Roman" w:hAnsi="Times New Roman" w:eastAsia="宋体" w:cs="Times New Roman"/>
                <w:color w:val="auto"/>
                <w:sz w:val="21"/>
                <w:szCs w:val="22"/>
                <w:u w:val="none"/>
                <w:lang w:val="en-US" w:eastAsia="zh-CN" w:bidi="zh-CN"/>
              </w:rPr>
            </w:pPr>
            <w:r>
              <w:rPr>
                <w:rFonts w:hint="eastAsia" w:ascii="Times New Roman" w:hAnsi="Times New Roman" w:eastAsia="宋体" w:cs="Times New Roman"/>
                <w:color w:val="auto"/>
                <w:szCs w:val="22"/>
                <w:u w:val="none"/>
                <w:lang w:val="en-US" w:eastAsia="zh-CN"/>
              </w:rPr>
              <w:t>/</w:t>
            </w:r>
          </w:p>
        </w:tc>
        <w:tc>
          <w:tcPr>
            <w:tcW w:w="2025" w:type="dxa"/>
            <w:shd w:val="clear" w:color="auto" w:fill="auto"/>
            <w:noWrap w:val="0"/>
            <w:vAlign w:val="center"/>
          </w:tcPr>
          <w:p w14:paraId="34202D14">
            <w:pPr>
              <w:pStyle w:val="96"/>
              <w:bidi w:val="0"/>
              <w:ind w:firstLine="0" w:firstLineChars="0"/>
              <w:rPr>
                <w:rFonts w:hint="eastAsia" w:ascii="Times New Roman" w:hAnsi="Times New Roman" w:eastAsia="宋体" w:cs="Times New Roman"/>
                <w:color w:val="auto"/>
                <w:sz w:val="21"/>
                <w:szCs w:val="22"/>
                <w:u w:val="none"/>
                <w:lang w:val="en-US" w:eastAsia="zh-CN" w:bidi="zh-CN"/>
              </w:rPr>
            </w:pPr>
            <w:r>
              <w:rPr>
                <w:rFonts w:hint="eastAsia" w:ascii="Times New Roman" w:hAnsi="Times New Roman" w:eastAsia="宋体" w:cs="Times New Roman"/>
                <w:color w:val="auto"/>
                <w:szCs w:val="22"/>
                <w:u w:val="none"/>
                <w:lang w:val="en-US" w:eastAsia="zh-CN"/>
              </w:rPr>
              <w:t>/</w:t>
            </w:r>
          </w:p>
        </w:tc>
        <w:tc>
          <w:tcPr>
            <w:tcW w:w="1977" w:type="dxa"/>
            <w:noWrap w:val="0"/>
            <w:vAlign w:val="center"/>
          </w:tcPr>
          <w:p w14:paraId="0BD047C7">
            <w:pPr>
              <w:pStyle w:val="96"/>
              <w:bidi w:val="0"/>
              <w:spacing w:line="240" w:lineRule="auto"/>
              <w:ind w:firstLine="0" w:firstLineChars="0"/>
              <w:jc w:val="center"/>
              <w:rPr>
                <w:rFonts w:hint="eastAsia"/>
                <w:color w:val="auto"/>
                <w:highlight w:val="none"/>
                <w:u w:val="none"/>
                <w:lang w:val="en-US" w:eastAsia="zh-CN"/>
              </w:rPr>
            </w:pPr>
            <w:r>
              <w:rPr>
                <w:rFonts w:hint="eastAsia" w:cs="Times New Roman"/>
                <w:snapToGrid w:val="0"/>
                <w:color w:val="auto"/>
                <w:kern w:val="0"/>
                <w:sz w:val="21"/>
                <w:szCs w:val="20"/>
                <w:u w:val="none"/>
                <w:lang w:val="en-US" w:eastAsia="zh-CN" w:bidi="ar-SA"/>
              </w:rPr>
              <w:t>90.34</w:t>
            </w:r>
          </w:p>
        </w:tc>
        <w:tc>
          <w:tcPr>
            <w:tcW w:w="1731" w:type="dxa"/>
            <w:noWrap w:val="0"/>
            <w:vAlign w:val="center"/>
          </w:tcPr>
          <w:p w14:paraId="76058406">
            <w:pPr>
              <w:pStyle w:val="96"/>
              <w:bidi w:val="0"/>
              <w:ind w:firstLine="0" w:firstLineChars="0"/>
              <w:rPr>
                <w:rFonts w:hint="default" w:ascii="Times New Roman" w:hAnsi="Times New Roman" w:eastAsia="宋体" w:cs="Times New Roman"/>
                <w:color w:val="auto"/>
                <w:szCs w:val="22"/>
                <w:u w:val="none"/>
                <w:lang w:val="en-US" w:eastAsia="zh-CN"/>
              </w:rPr>
            </w:pPr>
            <w:r>
              <w:rPr>
                <w:rFonts w:hint="eastAsia" w:cs="Times New Roman"/>
                <w:color w:val="auto"/>
                <w:szCs w:val="22"/>
                <w:u w:val="none"/>
                <w:lang w:val="en-US" w:eastAsia="zh-CN"/>
              </w:rPr>
              <w:t>27.5</w:t>
            </w:r>
          </w:p>
        </w:tc>
        <w:tc>
          <w:tcPr>
            <w:tcW w:w="1738" w:type="dxa"/>
            <w:noWrap w:val="0"/>
            <w:vAlign w:val="center"/>
          </w:tcPr>
          <w:p w14:paraId="0A4198CC">
            <w:pPr>
              <w:pStyle w:val="96"/>
              <w:bidi w:val="0"/>
              <w:spacing w:line="240" w:lineRule="auto"/>
              <w:ind w:firstLine="0" w:firstLineChars="0"/>
              <w:jc w:val="center"/>
              <w:rPr>
                <w:rFonts w:hint="eastAsia"/>
                <w:color w:val="auto"/>
                <w:highlight w:val="none"/>
                <w:u w:val="none"/>
                <w:lang w:val="en-US" w:eastAsia="zh-CN"/>
              </w:rPr>
            </w:pPr>
            <w:r>
              <w:rPr>
                <w:rFonts w:hint="eastAsia" w:cs="Times New Roman"/>
                <w:snapToGrid w:val="0"/>
                <w:color w:val="auto"/>
                <w:kern w:val="0"/>
                <w:sz w:val="21"/>
                <w:szCs w:val="20"/>
                <w:u w:val="none"/>
                <w:lang w:val="en-US" w:eastAsia="zh-CN" w:bidi="ar-SA"/>
              </w:rPr>
              <w:t>90.34</w:t>
            </w:r>
          </w:p>
        </w:tc>
        <w:tc>
          <w:tcPr>
            <w:tcW w:w="1415" w:type="dxa"/>
            <w:noWrap w:val="0"/>
            <w:vAlign w:val="center"/>
          </w:tcPr>
          <w:p w14:paraId="670E4557">
            <w:pPr>
              <w:pStyle w:val="96"/>
              <w:bidi w:val="0"/>
              <w:spacing w:line="240" w:lineRule="auto"/>
              <w:ind w:firstLine="0" w:firstLineChars="0"/>
              <w:jc w:val="center"/>
              <w:rPr>
                <w:rFonts w:hint="eastAsia"/>
                <w:color w:val="auto"/>
                <w:highlight w:val="none"/>
                <w:u w:val="none"/>
                <w:lang w:val="en-US" w:eastAsia="zh-CN"/>
              </w:rPr>
            </w:pPr>
            <w:r>
              <w:rPr>
                <w:rFonts w:hint="eastAsia" w:cs="Times New Roman"/>
                <w:snapToGrid w:val="0"/>
                <w:color w:val="auto"/>
                <w:kern w:val="0"/>
                <w:sz w:val="21"/>
                <w:szCs w:val="20"/>
                <w:u w:val="none"/>
                <w:lang w:val="en-US" w:eastAsia="zh-CN" w:bidi="ar-SA"/>
              </w:rPr>
              <w:t>+62.84</w:t>
            </w:r>
          </w:p>
        </w:tc>
      </w:tr>
    </w:tbl>
    <w:p w14:paraId="0A271B1B">
      <w:pPr>
        <w:spacing w:before="69"/>
        <w:ind w:left="151" w:firstLine="480"/>
        <w:rPr>
          <w:rFonts w:hint="eastAsia" w:ascii="宋体" w:hAnsi="宋体"/>
          <w:color w:val="auto"/>
          <w:highlight w:val="none"/>
          <w:u w:val="none"/>
          <w:lang w:val="en-US"/>
        </w:rPr>
      </w:pPr>
      <w:r>
        <w:rPr>
          <w:rFonts w:hint="eastAsia" w:cs="Times New Roman"/>
          <w:color w:val="auto"/>
          <w:highlight w:val="none"/>
          <w:u w:val="none"/>
        </w:rPr>
        <w:t>注</w:t>
      </w:r>
      <w:r>
        <w:rPr>
          <w:rFonts w:hint="eastAsia" w:cs="Times New Roman"/>
          <w:color w:val="auto"/>
          <w:highlight w:val="none"/>
          <w:u w:val="none"/>
          <w:lang w:val="en-US"/>
        </w:rPr>
        <w:t>：</w:t>
      </w:r>
      <w:r>
        <w:rPr>
          <w:rFonts w:hint="eastAsia" w:ascii="宋体" w:hAnsi="宋体"/>
          <w:color w:val="auto"/>
          <w:highlight w:val="none"/>
          <w:u w:val="none"/>
          <w:lang w:val="en-US"/>
        </w:rPr>
        <w:t>⑥</w:t>
      </w:r>
      <w:r>
        <w:rPr>
          <w:rFonts w:cs="Times New Roman"/>
          <w:color w:val="auto"/>
          <w:highlight w:val="none"/>
          <w:u w:val="none"/>
          <w:lang w:val="en-US"/>
        </w:rPr>
        <w:t>=</w:t>
      </w:r>
      <w:r>
        <w:rPr>
          <w:rFonts w:hint="eastAsia" w:ascii="宋体" w:hAnsi="宋体"/>
          <w:color w:val="auto"/>
          <w:highlight w:val="none"/>
          <w:u w:val="none"/>
          <w:lang w:val="en-US"/>
        </w:rPr>
        <w:t>①</w:t>
      </w:r>
      <w:r>
        <w:rPr>
          <w:rFonts w:cs="Times New Roman"/>
          <w:color w:val="auto"/>
          <w:highlight w:val="none"/>
          <w:u w:val="none"/>
          <w:lang w:val="en-US"/>
        </w:rPr>
        <w:t>+</w:t>
      </w:r>
      <w:r>
        <w:rPr>
          <w:rFonts w:hint="eastAsia" w:ascii="宋体" w:hAnsi="宋体"/>
          <w:color w:val="auto"/>
          <w:highlight w:val="none"/>
          <w:u w:val="none"/>
          <w:lang w:val="en-US"/>
        </w:rPr>
        <w:t>③</w:t>
      </w:r>
      <w:r>
        <w:rPr>
          <w:rFonts w:cs="Times New Roman"/>
          <w:color w:val="auto"/>
          <w:highlight w:val="none"/>
          <w:u w:val="none"/>
          <w:lang w:val="en-US"/>
        </w:rPr>
        <w:t>+</w:t>
      </w:r>
      <w:r>
        <w:rPr>
          <w:rFonts w:hint="eastAsia" w:ascii="宋体" w:hAnsi="宋体"/>
          <w:color w:val="auto"/>
          <w:highlight w:val="none"/>
          <w:u w:val="none"/>
          <w:lang w:val="en-US"/>
        </w:rPr>
        <w:t>④</w:t>
      </w:r>
      <w:r>
        <w:rPr>
          <w:rFonts w:cs="Times New Roman"/>
          <w:color w:val="auto"/>
          <w:highlight w:val="none"/>
          <w:u w:val="none"/>
          <w:lang w:val="en-US"/>
        </w:rPr>
        <w:t>-</w:t>
      </w:r>
      <w:r>
        <w:rPr>
          <w:rFonts w:hint="eastAsia" w:ascii="宋体" w:hAnsi="宋体"/>
          <w:color w:val="auto"/>
          <w:highlight w:val="none"/>
          <w:u w:val="none"/>
          <w:lang w:val="en-US"/>
        </w:rPr>
        <w:t>⑤</w:t>
      </w:r>
      <w:r>
        <w:rPr>
          <w:rFonts w:hint="eastAsia" w:cs="Times New Roman"/>
          <w:color w:val="auto"/>
          <w:highlight w:val="none"/>
          <w:u w:val="none"/>
          <w:lang w:val="en-US"/>
        </w:rPr>
        <w:t>；</w:t>
      </w:r>
      <w:r>
        <w:rPr>
          <w:rFonts w:hint="eastAsia" w:ascii="宋体" w:hAnsi="宋体"/>
          <w:color w:val="auto"/>
          <w:highlight w:val="none"/>
          <w:u w:val="none"/>
          <w:lang w:val="en-US"/>
        </w:rPr>
        <w:t>⑦</w:t>
      </w:r>
      <w:r>
        <w:rPr>
          <w:rFonts w:cs="Times New Roman"/>
          <w:color w:val="auto"/>
          <w:highlight w:val="none"/>
          <w:u w:val="none"/>
          <w:lang w:val="en-US"/>
        </w:rPr>
        <w:t>=</w:t>
      </w:r>
      <w:r>
        <w:rPr>
          <w:rFonts w:hint="eastAsia" w:ascii="宋体" w:hAnsi="宋体"/>
          <w:color w:val="auto"/>
          <w:highlight w:val="none"/>
          <w:u w:val="none"/>
          <w:lang w:val="en-US"/>
        </w:rPr>
        <w:t>⑥</w:t>
      </w:r>
      <w:r>
        <w:rPr>
          <w:rFonts w:cs="Times New Roman"/>
          <w:color w:val="auto"/>
          <w:highlight w:val="none"/>
          <w:u w:val="none"/>
          <w:lang w:val="en-US"/>
        </w:rPr>
        <w:t>-</w:t>
      </w:r>
      <w:r>
        <w:rPr>
          <w:rFonts w:hint="eastAsia" w:ascii="宋体" w:hAnsi="宋体"/>
          <w:color w:val="auto"/>
          <w:highlight w:val="none"/>
          <w:u w:val="none"/>
          <w:lang w:val="en-US"/>
        </w:rPr>
        <w:t>①</w:t>
      </w:r>
      <w:bookmarkEnd w:id="11"/>
    </w:p>
    <w:p w14:paraId="3E000B96">
      <w:pPr>
        <w:rPr>
          <w:rFonts w:hint="default" w:eastAsia="宋体"/>
          <w:lang w:val="en-US" w:eastAsia="zh-CN"/>
        </w:rPr>
      </w:pPr>
    </w:p>
    <w:sectPr>
      <w:pgSz w:w="16838" w:h="11906" w:orient="landscape"/>
      <w:pgMar w:top="1083" w:right="1440" w:bottom="1083"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2DED93B-5DFE-4375-BCA3-2C30F24D87A4}"/>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2" w:fontKey="{F02F4241-D27D-491B-8C11-1C7B8DE7689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TT5A56o00">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Verdana">
    <w:panose1 w:val="020B0604030504040204"/>
    <w:charset w:val="00"/>
    <w:family w:val="swiss"/>
    <w:pitch w:val="default"/>
    <w:sig w:usb0="A10006FF" w:usb1="4000205B" w:usb2="00000010" w:usb3="00000000" w:csb0="2000019F" w:csb1="00000000"/>
  </w:font>
  <w:font w:name="Cambria">
    <w:panose1 w:val="02040503050406030204"/>
    <w:charset w:val="00"/>
    <w:family w:val="roman"/>
    <w:pitch w:val="default"/>
    <w:sig w:usb0="E00002FF" w:usb1="400004FF" w:usb2="00000000" w:usb3="00000000" w:csb0="2000019F" w:csb1="00000000"/>
  </w:font>
  <w:font w:name="PMingLiU">
    <w:panose1 w:val="02020500000000000000"/>
    <w:charset w:val="88"/>
    <w:family w:val="roman"/>
    <w:pitch w:val="default"/>
    <w:sig w:usb0="A00002FF" w:usb1="28CFFCFA" w:usb2="00000016" w:usb3="00000000" w:csb0="00100001" w:csb1="00000000"/>
  </w:font>
  <w:font w:name="方正小标宋_GBK">
    <w:panose1 w:val="02000000000000000000"/>
    <w:charset w:val="86"/>
    <w:family w:val="script"/>
    <w:pitch w:val="default"/>
    <w:sig w:usb0="A00002BF" w:usb1="38CF7CFA" w:usb2="00082016" w:usb3="00000000" w:csb0="00040001" w:csb1="00000000"/>
    <w:embedRegular r:id="rId3" w:fontKey="{07F8E67B-64D7-4F02-8AFF-E0D658966362}"/>
  </w:font>
  <w:font w:name="楷体_GB2312">
    <w:altName w:val="楷体"/>
    <w:panose1 w:val="02010609030101010101"/>
    <w:charset w:val="86"/>
    <w:family w:val="auto"/>
    <w:pitch w:val="default"/>
    <w:sig w:usb0="00000000" w:usb1="00000000" w:usb2="00000000" w:usb3="00000000" w:csb0="00040000" w:csb1="00000000"/>
    <w:embedRegular r:id="rId4" w:fontKey="{C5BE16BC-25C1-431B-B2F7-4C9FCD573E3E}"/>
  </w:font>
  <w:font w:name="楷体">
    <w:panose1 w:val="02010609060101010101"/>
    <w:charset w:val="86"/>
    <w:family w:val="auto"/>
    <w:pitch w:val="default"/>
    <w:sig w:usb0="800002BF" w:usb1="38CF7CFA" w:usb2="00000016" w:usb3="00000000" w:csb0="00040001" w:csb1="00000000"/>
  </w:font>
  <w:font w:name="Times New Roman Regular">
    <w:altName w:val="Times New Roman"/>
    <w:panose1 w:val="02020503050405090304"/>
    <w:charset w:val="00"/>
    <w:family w:val="auto"/>
    <w:pitch w:val="default"/>
    <w:sig w:usb0="00000000" w:usb1="00000000" w:usb2="00000001" w:usb3="00000000" w:csb0="400001BF" w:csb1="DFF70000"/>
    <w:embedRegular r:id="rId5" w:fontKey="{95A8A535-4D34-4F66-8782-8BF5267E87F4}"/>
  </w:font>
  <w:font w:name="Times New Roman Bold">
    <w:altName w:val="Times New Roman"/>
    <w:panose1 w:val="02020503050405090304"/>
    <w:charset w:val="00"/>
    <w:family w:val="auto"/>
    <w:pitch w:val="default"/>
    <w:sig w:usb0="00000000" w:usb1="00000000" w:usb2="00000001" w:usb3="00000000" w:csb0="400001BF" w:csb1="DFF70000"/>
    <w:embedRegular r:id="rId6" w:fontKey="{19E82B8A-E012-42B2-92E8-79CA4D0C2A83}"/>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A5DCB">
    <w:pPr>
      <w:pStyle w:val="20"/>
      <w:tabs>
        <w:tab w:val="left" w:pos="5113"/>
        <w:tab w:val="clear" w:pos="4153"/>
      </w:tabs>
      <w:rPr>
        <w:rFonts w:hint="default"/>
        <w:lang w:val="en-US"/>
      </w:rPr>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47201">
    <w:pPr>
      <w:pStyle w:val="20"/>
      <w:tabs>
        <w:tab w:val="left" w:pos="5113"/>
        <w:tab w:val="clear" w:pos="4153"/>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1905</wp:posOffset>
              </wp:positionV>
              <wp:extent cx="18288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F79164">
                          <w:pPr>
                            <w:pStyle w:val="20"/>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15pt;height:144pt;width:14.4pt;mso-position-horizontal:center;mso-position-horizontal-relative:margin;z-index:251660288;mso-width-relative:page;mso-height-relative:page;" filled="f" stroked="f" coordsize="21600,21600" o:gfxdata="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GFJHp0wAAAAQBAAAPAAAAAAAAAAEAIAAAACIAAABkcnMvZG93bnJldi54bWxQSwECFAAUAAAA&#10;CACHTuJAWvZveiwCAABYBAAADgAAAAAAAAABACAAAAAiAQAAZHJzL2Uyb0RvYy54bWxQSwUGAAAA&#10;AAYABgBZAQAAwAUAAAAA&#10;">
              <v:fill on="f" focussize="0,0"/>
              <v:stroke on="f" weight="0.5pt"/>
              <v:imagedata o:title=""/>
              <o:lock v:ext="edit" aspectratio="f"/>
              <v:textbox inset="0mm,0mm,0mm,0mm" style="mso-fit-shape-to-text:t;">
                <w:txbxContent>
                  <w:p w14:paraId="71F79164">
                    <w:pPr>
                      <w:pStyle w:val="20"/>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v:textbox>
            </v:shape>
          </w:pict>
        </mc:Fallback>
      </mc:AlternateContent>
    </w: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EAE5F">
    <w:pPr>
      <w:pStyle w:val="20"/>
      <w:tabs>
        <w:tab w:val="left" w:pos="5113"/>
        <w:tab w:val="clear" w:pos="4153"/>
      </w:tabs>
      <w:rPr>
        <w:rFonts w:hint="default"/>
        <w:lang w:val="en-U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1905</wp:posOffset>
              </wp:positionV>
              <wp:extent cx="18288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261E39">
                          <w:pPr>
                            <w:pStyle w:val="20"/>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15pt;height:144pt;width:14.4pt;mso-position-horizontal:center;mso-position-horizontal-relative:margin;z-index:251661312;mso-width-relative:page;mso-height-relative:page;" filled="f" stroked="f" coordsize="21600,21600" o:gfxdata="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GFJHp0wAAAAQBAAAPAAAAAAAAAAEAIAAAACIAAABkcnMvZG93bnJldi54bWxQSwECFAAUAAAA&#10;CACHTuJA3vQRESwCAABYBAAADgAAAAAAAAABACAAAAAiAQAAZHJzL2Uyb0RvYy54bWxQSwUGAAAA&#10;AAYABgBZAQAAwAUAAAAA&#10;">
              <v:fill on="f" focussize="0,0"/>
              <v:stroke on="f" weight="0.5pt"/>
              <v:imagedata o:title=""/>
              <o:lock v:ext="edit" aspectratio="f"/>
              <v:textbox inset="0mm,0mm,0mm,0mm" style="mso-fit-shape-to-text:t;">
                <w:txbxContent>
                  <w:p w14:paraId="22261E39">
                    <w:pPr>
                      <w:pStyle w:val="20"/>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v:textbox>
            </v:shape>
          </w:pict>
        </mc:Fallback>
      </mc:AlternateContent>
    </w: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C494E">
    <w:pPr>
      <w:pStyle w:val="20"/>
      <w:tabs>
        <w:tab w:val="left" w:pos="5113"/>
        <w:tab w:val="clear" w:pos="4153"/>
      </w:tabs>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1905</wp:posOffset>
              </wp:positionV>
              <wp:extent cx="18288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E2A165">
                          <w:pPr>
                            <w:pStyle w:val="20"/>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15pt;height:144pt;width:14.4pt;mso-position-horizontal:center;mso-position-horizontal-relative:margin;z-index:251663360;mso-width-relative:page;mso-height-relative:page;" filled="f" stroked="f" coordsize="21600,21600" o:gfxdata="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YUkenTAAAABAEAAA8AAAAAAAAAAQAgAAAAIgAAAGRycy9kb3ducmV2LnhtbFBLAQIUABQA&#10;AAAIAIdO4kDLU4K5LgIAAFgEAAAOAAAAAAAAAAEAIAAAACIBAABkcnMvZTJvRG9jLnhtbFBLBQYA&#10;AAAABgAGAFkBAADCBQAAAAA=&#10;">
              <v:fill on="f" focussize="0,0"/>
              <v:stroke on="f" weight="0.5pt"/>
              <v:imagedata o:title=""/>
              <o:lock v:ext="edit" aspectratio="f"/>
              <v:textbox inset="0mm,0mm,0mm,0mm" style="mso-fit-shape-to-text:t;">
                <w:txbxContent>
                  <w:p w14:paraId="13E2A165">
                    <w:pPr>
                      <w:pStyle w:val="20"/>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v:textbox>
            </v:shape>
          </w:pict>
        </mc:Fallback>
      </mc:AlternateContent>
    </w:r>
    <w:r>
      <w:rPr>
        <w:rFonts w:hint="eastAsia"/>
        <w:lang w:eastAsia="zh-C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3818C">
    <w:pPr>
      <w:pStyle w:val="21"/>
      <w:pBdr>
        <w:bottom w:val="none" w:color="auto" w:sz="0" w:space="1"/>
      </w:pBdr>
      <w:jc w:val="center"/>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803892"/>
    <w:multiLevelType w:val="singleLevel"/>
    <w:tmpl w:val="89803892"/>
    <w:lvl w:ilvl="0" w:tentative="0">
      <w:start w:val="1"/>
      <w:numFmt w:val="decimal"/>
      <w:suff w:val="nothing"/>
      <w:lvlText w:val="%1、"/>
      <w:lvlJc w:val="left"/>
    </w:lvl>
  </w:abstractNum>
  <w:abstractNum w:abstractNumId="1">
    <w:nsid w:val="D269684C"/>
    <w:multiLevelType w:val="singleLevel"/>
    <w:tmpl w:val="D269684C"/>
    <w:lvl w:ilvl="0" w:tentative="0">
      <w:start w:val="1"/>
      <w:numFmt w:val="decimal"/>
      <w:suff w:val="nothing"/>
      <w:lvlText w:val="（%1）"/>
      <w:lvlJc w:val="left"/>
    </w:lvl>
  </w:abstractNum>
  <w:abstractNum w:abstractNumId="2">
    <w:nsid w:val="1F007FEE"/>
    <w:multiLevelType w:val="singleLevel"/>
    <w:tmpl w:val="1F007FEE"/>
    <w:lvl w:ilvl="0" w:tentative="0">
      <w:start w:val="7"/>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31"/>
  <w:embedTrueTypeFonts/>
  <w:saveSubsetFonts/>
  <w:bordersDoNotSurroundHeader w:val="0"/>
  <w:bordersDoNotSurroundFooter w:val="0"/>
  <w:doNotTrackFormatting/>
  <w:trackRevisions w:val="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Q1ODI2MzQyMjU4NmMwMWQzMTRmN2U4OTk0Y2ZkZDgifQ=="/>
    <w:docVar w:name="KSO_WPS_MARK_KEY" w:val="a150c027-d92e-438c-a6f5-543905b5037a"/>
  </w:docVars>
  <w:rsids>
    <w:rsidRoot w:val="000552CE"/>
    <w:rsid w:val="0000678F"/>
    <w:rsid w:val="00006CB0"/>
    <w:rsid w:val="00007E5B"/>
    <w:rsid w:val="000157AF"/>
    <w:rsid w:val="00015EAE"/>
    <w:rsid w:val="000207A5"/>
    <w:rsid w:val="00021772"/>
    <w:rsid w:val="000250DA"/>
    <w:rsid w:val="00036F81"/>
    <w:rsid w:val="00040769"/>
    <w:rsid w:val="000464A3"/>
    <w:rsid w:val="00050909"/>
    <w:rsid w:val="00051830"/>
    <w:rsid w:val="000539D1"/>
    <w:rsid w:val="00053ECB"/>
    <w:rsid w:val="00053FB9"/>
    <w:rsid w:val="00054E60"/>
    <w:rsid w:val="000552CE"/>
    <w:rsid w:val="00055E28"/>
    <w:rsid w:val="000569DB"/>
    <w:rsid w:val="0007446D"/>
    <w:rsid w:val="00080FD3"/>
    <w:rsid w:val="00085389"/>
    <w:rsid w:val="00091621"/>
    <w:rsid w:val="00095CAE"/>
    <w:rsid w:val="00096E73"/>
    <w:rsid w:val="000B405B"/>
    <w:rsid w:val="000C1FF9"/>
    <w:rsid w:val="000D111D"/>
    <w:rsid w:val="000D50AF"/>
    <w:rsid w:val="000E015D"/>
    <w:rsid w:val="000E27A4"/>
    <w:rsid w:val="000E29E0"/>
    <w:rsid w:val="000F24C2"/>
    <w:rsid w:val="000F78D4"/>
    <w:rsid w:val="00105D01"/>
    <w:rsid w:val="00107B14"/>
    <w:rsid w:val="00110DEA"/>
    <w:rsid w:val="00115A4A"/>
    <w:rsid w:val="0012078F"/>
    <w:rsid w:val="001220A9"/>
    <w:rsid w:val="00122EF3"/>
    <w:rsid w:val="00123328"/>
    <w:rsid w:val="00124CA2"/>
    <w:rsid w:val="0012656F"/>
    <w:rsid w:val="00130F8A"/>
    <w:rsid w:val="00134FDC"/>
    <w:rsid w:val="001411FF"/>
    <w:rsid w:val="001422F9"/>
    <w:rsid w:val="001447FB"/>
    <w:rsid w:val="00150FC5"/>
    <w:rsid w:val="00170F18"/>
    <w:rsid w:val="00173A2B"/>
    <w:rsid w:val="00174D31"/>
    <w:rsid w:val="0018041F"/>
    <w:rsid w:val="0018136D"/>
    <w:rsid w:val="00183C93"/>
    <w:rsid w:val="0018461A"/>
    <w:rsid w:val="0018763E"/>
    <w:rsid w:val="001934E5"/>
    <w:rsid w:val="0019575D"/>
    <w:rsid w:val="001A32A3"/>
    <w:rsid w:val="001A4490"/>
    <w:rsid w:val="001A61DD"/>
    <w:rsid w:val="001B3DC7"/>
    <w:rsid w:val="001B4EF9"/>
    <w:rsid w:val="001B6975"/>
    <w:rsid w:val="001C7C4A"/>
    <w:rsid w:val="001D3F6C"/>
    <w:rsid w:val="001D6610"/>
    <w:rsid w:val="001E7321"/>
    <w:rsid w:val="001E7EC5"/>
    <w:rsid w:val="001F0C95"/>
    <w:rsid w:val="001F4F2F"/>
    <w:rsid w:val="00203560"/>
    <w:rsid w:val="00215353"/>
    <w:rsid w:val="00215482"/>
    <w:rsid w:val="00215E0B"/>
    <w:rsid w:val="002165F8"/>
    <w:rsid w:val="00217A40"/>
    <w:rsid w:val="00224F5C"/>
    <w:rsid w:val="002256B0"/>
    <w:rsid w:val="002323BC"/>
    <w:rsid w:val="00235997"/>
    <w:rsid w:val="00236FF0"/>
    <w:rsid w:val="00237181"/>
    <w:rsid w:val="00245839"/>
    <w:rsid w:val="0024644F"/>
    <w:rsid w:val="00251573"/>
    <w:rsid w:val="00254524"/>
    <w:rsid w:val="00254C69"/>
    <w:rsid w:val="002606F6"/>
    <w:rsid w:val="002631AD"/>
    <w:rsid w:val="00263792"/>
    <w:rsid w:val="0027339E"/>
    <w:rsid w:val="0027390D"/>
    <w:rsid w:val="0027673F"/>
    <w:rsid w:val="00276FD2"/>
    <w:rsid w:val="00291D3A"/>
    <w:rsid w:val="00292768"/>
    <w:rsid w:val="00292D6F"/>
    <w:rsid w:val="002943EB"/>
    <w:rsid w:val="002A37B2"/>
    <w:rsid w:val="002B3E12"/>
    <w:rsid w:val="002B5C65"/>
    <w:rsid w:val="002B69B6"/>
    <w:rsid w:val="002C4449"/>
    <w:rsid w:val="002C4F2C"/>
    <w:rsid w:val="002D2161"/>
    <w:rsid w:val="002D3808"/>
    <w:rsid w:val="002E2712"/>
    <w:rsid w:val="002E78B8"/>
    <w:rsid w:val="002F095C"/>
    <w:rsid w:val="002F3956"/>
    <w:rsid w:val="002F53BD"/>
    <w:rsid w:val="002F54DF"/>
    <w:rsid w:val="002F6BB2"/>
    <w:rsid w:val="00310F09"/>
    <w:rsid w:val="00312185"/>
    <w:rsid w:val="00312C37"/>
    <w:rsid w:val="00312FB8"/>
    <w:rsid w:val="00313FE9"/>
    <w:rsid w:val="0032197B"/>
    <w:rsid w:val="00321F49"/>
    <w:rsid w:val="0032334E"/>
    <w:rsid w:val="0032344A"/>
    <w:rsid w:val="00323F40"/>
    <w:rsid w:val="003252BC"/>
    <w:rsid w:val="00325696"/>
    <w:rsid w:val="003257B8"/>
    <w:rsid w:val="003307E9"/>
    <w:rsid w:val="00336B68"/>
    <w:rsid w:val="00336D5D"/>
    <w:rsid w:val="0034120D"/>
    <w:rsid w:val="0034321D"/>
    <w:rsid w:val="00344A39"/>
    <w:rsid w:val="00344B38"/>
    <w:rsid w:val="0034521B"/>
    <w:rsid w:val="003541F2"/>
    <w:rsid w:val="00355C08"/>
    <w:rsid w:val="00371F2B"/>
    <w:rsid w:val="00375E8B"/>
    <w:rsid w:val="003825FC"/>
    <w:rsid w:val="003832E2"/>
    <w:rsid w:val="00386875"/>
    <w:rsid w:val="00394A77"/>
    <w:rsid w:val="003953F8"/>
    <w:rsid w:val="00396438"/>
    <w:rsid w:val="00397042"/>
    <w:rsid w:val="003A1B59"/>
    <w:rsid w:val="003A1BD2"/>
    <w:rsid w:val="003A2840"/>
    <w:rsid w:val="003A5ADD"/>
    <w:rsid w:val="003A6B66"/>
    <w:rsid w:val="003B38A8"/>
    <w:rsid w:val="003B49B0"/>
    <w:rsid w:val="003B4C77"/>
    <w:rsid w:val="003B4D09"/>
    <w:rsid w:val="003B6007"/>
    <w:rsid w:val="003B6F66"/>
    <w:rsid w:val="003D6656"/>
    <w:rsid w:val="003D6D68"/>
    <w:rsid w:val="003E562E"/>
    <w:rsid w:val="003F1688"/>
    <w:rsid w:val="003F23A3"/>
    <w:rsid w:val="003F59E1"/>
    <w:rsid w:val="003F6841"/>
    <w:rsid w:val="004041E0"/>
    <w:rsid w:val="00411283"/>
    <w:rsid w:val="00411CA3"/>
    <w:rsid w:val="00414158"/>
    <w:rsid w:val="00426732"/>
    <w:rsid w:val="0042743F"/>
    <w:rsid w:val="00427C21"/>
    <w:rsid w:val="00431B15"/>
    <w:rsid w:val="004342B2"/>
    <w:rsid w:val="004346AF"/>
    <w:rsid w:val="00435D5D"/>
    <w:rsid w:val="00441793"/>
    <w:rsid w:val="004420AC"/>
    <w:rsid w:val="00451C85"/>
    <w:rsid w:val="00452F79"/>
    <w:rsid w:val="00457198"/>
    <w:rsid w:val="0046360F"/>
    <w:rsid w:val="0046550B"/>
    <w:rsid w:val="00477470"/>
    <w:rsid w:val="00480A10"/>
    <w:rsid w:val="00480B85"/>
    <w:rsid w:val="004846B6"/>
    <w:rsid w:val="00484D90"/>
    <w:rsid w:val="00485441"/>
    <w:rsid w:val="004874D5"/>
    <w:rsid w:val="00492182"/>
    <w:rsid w:val="00497C37"/>
    <w:rsid w:val="004A2379"/>
    <w:rsid w:val="004A3BAF"/>
    <w:rsid w:val="004A3D8A"/>
    <w:rsid w:val="004A6EAA"/>
    <w:rsid w:val="004B14C6"/>
    <w:rsid w:val="004B2B21"/>
    <w:rsid w:val="004B2D0C"/>
    <w:rsid w:val="004B31DF"/>
    <w:rsid w:val="004B36EA"/>
    <w:rsid w:val="004B491F"/>
    <w:rsid w:val="004C0D4C"/>
    <w:rsid w:val="004C3799"/>
    <w:rsid w:val="004C547F"/>
    <w:rsid w:val="004C6F1D"/>
    <w:rsid w:val="004C7E52"/>
    <w:rsid w:val="004D4AEB"/>
    <w:rsid w:val="004D5AFE"/>
    <w:rsid w:val="004D6F7B"/>
    <w:rsid w:val="004D79B4"/>
    <w:rsid w:val="004D7D34"/>
    <w:rsid w:val="004F0E60"/>
    <w:rsid w:val="00500B6C"/>
    <w:rsid w:val="0050347E"/>
    <w:rsid w:val="0052490F"/>
    <w:rsid w:val="00525C07"/>
    <w:rsid w:val="0053364F"/>
    <w:rsid w:val="00535E7A"/>
    <w:rsid w:val="00537733"/>
    <w:rsid w:val="00552BFB"/>
    <w:rsid w:val="00557396"/>
    <w:rsid w:val="005574FC"/>
    <w:rsid w:val="00561E0F"/>
    <w:rsid w:val="00575047"/>
    <w:rsid w:val="00581CC3"/>
    <w:rsid w:val="00583C66"/>
    <w:rsid w:val="00584E7C"/>
    <w:rsid w:val="00591B8A"/>
    <w:rsid w:val="00592837"/>
    <w:rsid w:val="005A0DD7"/>
    <w:rsid w:val="005A6C3C"/>
    <w:rsid w:val="005B1F86"/>
    <w:rsid w:val="005B5304"/>
    <w:rsid w:val="005D4603"/>
    <w:rsid w:val="005D6875"/>
    <w:rsid w:val="005E0D49"/>
    <w:rsid w:val="005E1D22"/>
    <w:rsid w:val="005E3072"/>
    <w:rsid w:val="005E6F31"/>
    <w:rsid w:val="005E772E"/>
    <w:rsid w:val="005E7D62"/>
    <w:rsid w:val="005F15D2"/>
    <w:rsid w:val="005F3972"/>
    <w:rsid w:val="005F493A"/>
    <w:rsid w:val="005F5F03"/>
    <w:rsid w:val="00601B70"/>
    <w:rsid w:val="00603A95"/>
    <w:rsid w:val="006145FE"/>
    <w:rsid w:val="00616514"/>
    <w:rsid w:val="006214F8"/>
    <w:rsid w:val="00624C52"/>
    <w:rsid w:val="00627B95"/>
    <w:rsid w:val="00631CC3"/>
    <w:rsid w:val="006428C4"/>
    <w:rsid w:val="006469A9"/>
    <w:rsid w:val="00646C78"/>
    <w:rsid w:val="00661709"/>
    <w:rsid w:val="006652B8"/>
    <w:rsid w:val="006676CA"/>
    <w:rsid w:val="00672239"/>
    <w:rsid w:val="0067475E"/>
    <w:rsid w:val="00680816"/>
    <w:rsid w:val="00680976"/>
    <w:rsid w:val="00684B8B"/>
    <w:rsid w:val="00690548"/>
    <w:rsid w:val="00692780"/>
    <w:rsid w:val="00692E98"/>
    <w:rsid w:val="006A546A"/>
    <w:rsid w:val="006B34F7"/>
    <w:rsid w:val="006C2AAF"/>
    <w:rsid w:val="006D0774"/>
    <w:rsid w:val="006D444B"/>
    <w:rsid w:val="006E05BE"/>
    <w:rsid w:val="006E72EA"/>
    <w:rsid w:val="006F560F"/>
    <w:rsid w:val="006F5842"/>
    <w:rsid w:val="00700AC2"/>
    <w:rsid w:val="00702DB4"/>
    <w:rsid w:val="00710D7C"/>
    <w:rsid w:val="00711A95"/>
    <w:rsid w:val="00713E44"/>
    <w:rsid w:val="00714B61"/>
    <w:rsid w:val="00715E02"/>
    <w:rsid w:val="00732078"/>
    <w:rsid w:val="00732153"/>
    <w:rsid w:val="00732707"/>
    <w:rsid w:val="007436EF"/>
    <w:rsid w:val="00746AFC"/>
    <w:rsid w:val="00775CB1"/>
    <w:rsid w:val="007810FF"/>
    <w:rsid w:val="007958E0"/>
    <w:rsid w:val="007B3431"/>
    <w:rsid w:val="007C2CDB"/>
    <w:rsid w:val="007C35B2"/>
    <w:rsid w:val="007C588E"/>
    <w:rsid w:val="007C717F"/>
    <w:rsid w:val="007C73F0"/>
    <w:rsid w:val="007C7E81"/>
    <w:rsid w:val="007D0028"/>
    <w:rsid w:val="007D77C8"/>
    <w:rsid w:val="007E28CF"/>
    <w:rsid w:val="007E5E71"/>
    <w:rsid w:val="007F019A"/>
    <w:rsid w:val="007F176B"/>
    <w:rsid w:val="007F545E"/>
    <w:rsid w:val="00800455"/>
    <w:rsid w:val="00807AF6"/>
    <w:rsid w:val="00813B10"/>
    <w:rsid w:val="00822F5C"/>
    <w:rsid w:val="00827C98"/>
    <w:rsid w:val="0083211A"/>
    <w:rsid w:val="00846033"/>
    <w:rsid w:val="008506C3"/>
    <w:rsid w:val="0085756E"/>
    <w:rsid w:val="0086286B"/>
    <w:rsid w:val="0086422C"/>
    <w:rsid w:val="00866F91"/>
    <w:rsid w:val="00873465"/>
    <w:rsid w:val="00876A73"/>
    <w:rsid w:val="00883B5C"/>
    <w:rsid w:val="00884004"/>
    <w:rsid w:val="00886752"/>
    <w:rsid w:val="008961C3"/>
    <w:rsid w:val="008A106F"/>
    <w:rsid w:val="008A4212"/>
    <w:rsid w:val="008A489A"/>
    <w:rsid w:val="008B3CB2"/>
    <w:rsid w:val="008C3314"/>
    <w:rsid w:val="008C37C2"/>
    <w:rsid w:val="008C3A7D"/>
    <w:rsid w:val="008C7B85"/>
    <w:rsid w:val="008D7D6B"/>
    <w:rsid w:val="008E0269"/>
    <w:rsid w:val="008E0C60"/>
    <w:rsid w:val="008E147B"/>
    <w:rsid w:val="008E25F2"/>
    <w:rsid w:val="008E55DD"/>
    <w:rsid w:val="008E6235"/>
    <w:rsid w:val="008F2039"/>
    <w:rsid w:val="008F5DC8"/>
    <w:rsid w:val="00902893"/>
    <w:rsid w:val="009134AD"/>
    <w:rsid w:val="00916AA1"/>
    <w:rsid w:val="00922433"/>
    <w:rsid w:val="00923784"/>
    <w:rsid w:val="00924154"/>
    <w:rsid w:val="009269D4"/>
    <w:rsid w:val="009278CF"/>
    <w:rsid w:val="0093073B"/>
    <w:rsid w:val="0093587C"/>
    <w:rsid w:val="00936AB0"/>
    <w:rsid w:val="009409A1"/>
    <w:rsid w:val="00943D8E"/>
    <w:rsid w:val="00944A57"/>
    <w:rsid w:val="0094603A"/>
    <w:rsid w:val="009474DA"/>
    <w:rsid w:val="009479CA"/>
    <w:rsid w:val="00950B20"/>
    <w:rsid w:val="009526FD"/>
    <w:rsid w:val="00962AF0"/>
    <w:rsid w:val="00963735"/>
    <w:rsid w:val="00964B5A"/>
    <w:rsid w:val="00965D40"/>
    <w:rsid w:val="00970F6B"/>
    <w:rsid w:val="009736F9"/>
    <w:rsid w:val="00973B45"/>
    <w:rsid w:val="00986E7B"/>
    <w:rsid w:val="009A637C"/>
    <w:rsid w:val="009A6CCB"/>
    <w:rsid w:val="009A7A67"/>
    <w:rsid w:val="009B466B"/>
    <w:rsid w:val="009B5900"/>
    <w:rsid w:val="009C292D"/>
    <w:rsid w:val="009D20C4"/>
    <w:rsid w:val="009D576E"/>
    <w:rsid w:val="009E1E3A"/>
    <w:rsid w:val="009E62F6"/>
    <w:rsid w:val="009F788F"/>
    <w:rsid w:val="00A02CDB"/>
    <w:rsid w:val="00A14DA0"/>
    <w:rsid w:val="00A210E3"/>
    <w:rsid w:val="00A21130"/>
    <w:rsid w:val="00A2180D"/>
    <w:rsid w:val="00A30318"/>
    <w:rsid w:val="00A467BD"/>
    <w:rsid w:val="00A51C1B"/>
    <w:rsid w:val="00A530CC"/>
    <w:rsid w:val="00A54959"/>
    <w:rsid w:val="00A576BC"/>
    <w:rsid w:val="00A6072F"/>
    <w:rsid w:val="00A6098B"/>
    <w:rsid w:val="00A67223"/>
    <w:rsid w:val="00A6756E"/>
    <w:rsid w:val="00A73DC3"/>
    <w:rsid w:val="00A83DB7"/>
    <w:rsid w:val="00A86930"/>
    <w:rsid w:val="00A87F74"/>
    <w:rsid w:val="00A9128F"/>
    <w:rsid w:val="00A94CEA"/>
    <w:rsid w:val="00A96C1A"/>
    <w:rsid w:val="00AA0482"/>
    <w:rsid w:val="00AA3198"/>
    <w:rsid w:val="00AA649A"/>
    <w:rsid w:val="00AB3EAB"/>
    <w:rsid w:val="00AC00E1"/>
    <w:rsid w:val="00AC08D6"/>
    <w:rsid w:val="00AD25FE"/>
    <w:rsid w:val="00AD56BD"/>
    <w:rsid w:val="00AE33E6"/>
    <w:rsid w:val="00AE53A5"/>
    <w:rsid w:val="00AE6663"/>
    <w:rsid w:val="00AF02F5"/>
    <w:rsid w:val="00AF1D5E"/>
    <w:rsid w:val="00B010EB"/>
    <w:rsid w:val="00B06E28"/>
    <w:rsid w:val="00B07801"/>
    <w:rsid w:val="00B132A0"/>
    <w:rsid w:val="00B140FB"/>
    <w:rsid w:val="00B14498"/>
    <w:rsid w:val="00B16BA8"/>
    <w:rsid w:val="00B17738"/>
    <w:rsid w:val="00B2234D"/>
    <w:rsid w:val="00B278A8"/>
    <w:rsid w:val="00B409F5"/>
    <w:rsid w:val="00B46918"/>
    <w:rsid w:val="00B47CF7"/>
    <w:rsid w:val="00B5357F"/>
    <w:rsid w:val="00B53D04"/>
    <w:rsid w:val="00B561ED"/>
    <w:rsid w:val="00B61751"/>
    <w:rsid w:val="00B66AC1"/>
    <w:rsid w:val="00B8224C"/>
    <w:rsid w:val="00B878BA"/>
    <w:rsid w:val="00B87A8B"/>
    <w:rsid w:val="00B91E6C"/>
    <w:rsid w:val="00B95D5F"/>
    <w:rsid w:val="00B96638"/>
    <w:rsid w:val="00BA0A08"/>
    <w:rsid w:val="00BA141C"/>
    <w:rsid w:val="00BA466E"/>
    <w:rsid w:val="00BA7CA7"/>
    <w:rsid w:val="00BB5A02"/>
    <w:rsid w:val="00BC0ADD"/>
    <w:rsid w:val="00BD00FB"/>
    <w:rsid w:val="00BD4A70"/>
    <w:rsid w:val="00BE0505"/>
    <w:rsid w:val="00BE7C3D"/>
    <w:rsid w:val="00BF1DF7"/>
    <w:rsid w:val="00C12533"/>
    <w:rsid w:val="00C12586"/>
    <w:rsid w:val="00C22210"/>
    <w:rsid w:val="00C2566B"/>
    <w:rsid w:val="00C273DB"/>
    <w:rsid w:val="00C2762A"/>
    <w:rsid w:val="00C3629B"/>
    <w:rsid w:val="00C47860"/>
    <w:rsid w:val="00C53B06"/>
    <w:rsid w:val="00C56C78"/>
    <w:rsid w:val="00C62BA4"/>
    <w:rsid w:val="00C630D0"/>
    <w:rsid w:val="00C675C8"/>
    <w:rsid w:val="00C70D00"/>
    <w:rsid w:val="00C71318"/>
    <w:rsid w:val="00C74398"/>
    <w:rsid w:val="00C85471"/>
    <w:rsid w:val="00C85D47"/>
    <w:rsid w:val="00CA538B"/>
    <w:rsid w:val="00CB1F01"/>
    <w:rsid w:val="00CB31AB"/>
    <w:rsid w:val="00CC1602"/>
    <w:rsid w:val="00CC1D4C"/>
    <w:rsid w:val="00CC3CE7"/>
    <w:rsid w:val="00CC5333"/>
    <w:rsid w:val="00CD7875"/>
    <w:rsid w:val="00CE1AF1"/>
    <w:rsid w:val="00CE2DF1"/>
    <w:rsid w:val="00CE7E62"/>
    <w:rsid w:val="00CF3426"/>
    <w:rsid w:val="00D00051"/>
    <w:rsid w:val="00D022BF"/>
    <w:rsid w:val="00D10E20"/>
    <w:rsid w:val="00D14B3C"/>
    <w:rsid w:val="00D157D3"/>
    <w:rsid w:val="00D2285B"/>
    <w:rsid w:val="00D25F16"/>
    <w:rsid w:val="00D30D9B"/>
    <w:rsid w:val="00D370B2"/>
    <w:rsid w:val="00D404BB"/>
    <w:rsid w:val="00D42B17"/>
    <w:rsid w:val="00D44E80"/>
    <w:rsid w:val="00D47BA1"/>
    <w:rsid w:val="00D50475"/>
    <w:rsid w:val="00D538AC"/>
    <w:rsid w:val="00D629BB"/>
    <w:rsid w:val="00D75FAB"/>
    <w:rsid w:val="00D8003B"/>
    <w:rsid w:val="00D822BD"/>
    <w:rsid w:val="00D83B40"/>
    <w:rsid w:val="00D917F2"/>
    <w:rsid w:val="00D920AC"/>
    <w:rsid w:val="00D94DAD"/>
    <w:rsid w:val="00DA0B72"/>
    <w:rsid w:val="00DA6ED0"/>
    <w:rsid w:val="00DB1BC1"/>
    <w:rsid w:val="00DB30E9"/>
    <w:rsid w:val="00DB50B4"/>
    <w:rsid w:val="00DC2055"/>
    <w:rsid w:val="00DC3A09"/>
    <w:rsid w:val="00DC6459"/>
    <w:rsid w:val="00DE1AEA"/>
    <w:rsid w:val="00DF0137"/>
    <w:rsid w:val="00DF1D10"/>
    <w:rsid w:val="00DF2147"/>
    <w:rsid w:val="00E00A88"/>
    <w:rsid w:val="00E03446"/>
    <w:rsid w:val="00E13486"/>
    <w:rsid w:val="00E13D98"/>
    <w:rsid w:val="00E21818"/>
    <w:rsid w:val="00E23814"/>
    <w:rsid w:val="00E31CBF"/>
    <w:rsid w:val="00E34158"/>
    <w:rsid w:val="00E36467"/>
    <w:rsid w:val="00E366CF"/>
    <w:rsid w:val="00E40D8F"/>
    <w:rsid w:val="00E444FE"/>
    <w:rsid w:val="00E44ED7"/>
    <w:rsid w:val="00E506AD"/>
    <w:rsid w:val="00E50AF2"/>
    <w:rsid w:val="00E518DA"/>
    <w:rsid w:val="00E52B78"/>
    <w:rsid w:val="00E56962"/>
    <w:rsid w:val="00E5711F"/>
    <w:rsid w:val="00E65E00"/>
    <w:rsid w:val="00E70A3E"/>
    <w:rsid w:val="00E70F19"/>
    <w:rsid w:val="00E75184"/>
    <w:rsid w:val="00E7622E"/>
    <w:rsid w:val="00E77E56"/>
    <w:rsid w:val="00E81058"/>
    <w:rsid w:val="00E81EC6"/>
    <w:rsid w:val="00E8500C"/>
    <w:rsid w:val="00E853F8"/>
    <w:rsid w:val="00E86CBF"/>
    <w:rsid w:val="00E875AC"/>
    <w:rsid w:val="00E91FC5"/>
    <w:rsid w:val="00E92746"/>
    <w:rsid w:val="00E965A5"/>
    <w:rsid w:val="00E97679"/>
    <w:rsid w:val="00EA0B5E"/>
    <w:rsid w:val="00EA2D9D"/>
    <w:rsid w:val="00EA40E8"/>
    <w:rsid w:val="00EB23E9"/>
    <w:rsid w:val="00EB26C0"/>
    <w:rsid w:val="00EB5B6C"/>
    <w:rsid w:val="00EB5B8E"/>
    <w:rsid w:val="00EC00F7"/>
    <w:rsid w:val="00EC2D44"/>
    <w:rsid w:val="00EC4176"/>
    <w:rsid w:val="00ED0588"/>
    <w:rsid w:val="00ED6589"/>
    <w:rsid w:val="00EE0824"/>
    <w:rsid w:val="00EE1265"/>
    <w:rsid w:val="00EE3A5E"/>
    <w:rsid w:val="00EE621A"/>
    <w:rsid w:val="00EE7DFE"/>
    <w:rsid w:val="00EF6437"/>
    <w:rsid w:val="00F06888"/>
    <w:rsid w:val="00F076E7"/>
    <w:rsid w:val="00F12D34"/>
    <w:rsid w:val="00F13C38"/>
    <w:rsid w:val="00F17C3F"/>
    <w:rsid w:val="00F32C10"/>
    <w:rsid w:val="00F347C1"/>
    <w:rsid w:val="00F41FCF"/>
    <w:rsid w:val="00F4229F"/>
    <w:rsid w:val="00F518C9"/>
    <w:rsid w:val="00F51A31"/>
    <w:rsid w:val="00F52AFC"/>
    <w:rsid w:val="00F6138F"/>
    <w:rsid w:val="00F629D0"/>
    <w:rsid w:val="00F74CD4"/>
    <w:rsid w:val="00F7547E"/>
    <w:rsid w:val="00F773F1"/>
    <w:rsid w:val="00F911D3"/>
    <w:rsid w:val="00F9432B"/>
    <w:rsid w:val="00F94A23"/>
    <w:rsid w:val="00F95A48"/>
    <w:rsid w:val="00F962BA"/>
    <w:rsid w:val="00F9711C"/>
    <w:rsid w:val="00FA00A3"/>
    <w:rsid w:val="00FA4DDA"/>
    <w:rsid w:val="00FA6A38"/>
    <w:rsid w:val="00FA7F82"/>
    <w:rsid w:val="00FC2A72"/>
    <w:rsid w:val="00FC511C"/>
    <w:rsid w:val="00FC740E"/>
    <w:rsid w:val="00FD3600"/>
    <w:rsid w:val="00FD7940"/>
    <w:rsid w:val="00FF0F6A"/>
    <w:rsid w:val="00FF2BCB"/>
    <w:rsid w:val="00FF476F"/>
    <w:rsid w:val="010018B4"/>
    <w:rsid w:val="01004F70"/>
    <w:rsid w:val="010D7DD7"/>
    <w:rsid w:val="01115E6A"/>
    <w:rsid w:val="01142271"/>
    <w:rsid w:val="011B51A4"/>
    <w:rsid w:val="011E3D92"/>
    <w:rsid w:val="01255120"/>
    <w:rsid w:val="01284C10"/>
    <w:rsid w:val="012D66CB"/>
    <w:rsid w:val="01334143"/>
    <w:rsid w:val="013C246A"/>
    <w:rsid w:val="015123B9"/>
    <w:rsid w:val="01536131"/>
    <w:rsid w:val="01565C22"/>
    <w:rsid w:val="0159126E"/>
    <w:rsid w:val="015C48BA"/>
    <w:rsid w:val="0162151D"/>
    <w:rsid w:val="016F4205"/>
    <w:rsid w:val="016F45ED"/>
    <w:rsid w:val="017442FA"/>
    <w:rsid w:val="017716F4"/>
    <w:rsid w:val="017A356D"/>
    <w:rsid w:val="017F69D2"/>
    <w:rsid w:val="018C3F43"/>
    <w:rsid w:val="018F6A3E"/>
    <w:rsid w:val="019312E2"/>
    <w:rsid w:val="01994AF2"/>
    <w:rsid w:val="01995B0E"/>
    <w:rsid w:val="019A249A"/>
    <w:rsid w:val="01A7022B"/>
    <w:rsid w:val="01A85D51"/>
    <w:rsid w:val="01AF5332"/>
    <w:rsid w:val="01B14C06"/>
    <w:rsid w:val="01B666C0"/>
    <w:rsid w:val="01CD7566"/>
    <w:rsid w:val="01CF1FD5"/>
    <w:rsid w:val="01D611CC"/>
    <w:rsid w:val="01D6466C"/>
    <w:rsid w:val="01DA3DC2"/>
    <w:rsid w:val="01DB1C83"/>
    <w:rsid w:val="01E75AB3"/>
    <w:rsid w:val="01EA4AB6"/>
    <w:rsid w:val="01EC02B1"/>
    <w:rsid w:val="01EC5C3E"/>
    <w:rsid w:val="01EF572E"/>
    <w:rsid w:val="01F33470"/>
    <w:rsid w:val="01F86CD9"/>
    <w:rsid w:val="01F933E5"/>
    <w:rsid w:val="01FA47FF"/>
    <w:rsid w:val="01FE5971"/>
    <w:rsid w:val="01FF74C5"/>
    <w:rsid w:val="02004145"/>
    <w:rsid w:val="020C62E0"/>
    <w:rsid w:val="020F7B7E"/>
    <w:rsid w:val="02151639"/>
    <w:rsid w:val="021D06BE"/>
    <w:rsid w:val="021F4265"/>
    <w:rsid w:val="022A49B8"/>
    <w:rsid w:val="022B2C0A"/>
    <w:rsid w:val="023D46EC"/>
    <w:rsid w:val="023D4729"/>
    <w:rsid w:val="0241242E"/>
    <w:rsid w:val="024617F2"/>
    <w:rsid w:val="024A64B1"/>
    <w:rsid w:val="024A681D"/>
    <w:rsid w:val="025832D1"/>
    <w:rsid w:val="025A529E"/>
    <w:rsid w:val="025D4D8E"/>
    <w:rsid w:val="02624152"/>
    <w:rsid w:val="0264611C"/>
    <w:rsid w:val="02693733"/>
    <w:rsid w:val="027125E7"/>
    <w:rsid w:val="02720839"/>
    <w:rsid w:val="028B3ADB"/>
    <w:rsid w:val="02936A01"/>
    <w:rsid w:val="029415CA"/>
    <w:rsid w:val="029702A0"/>
    <w:rsid w:val="029C4445"/>
    <w:rsid w:val="02A01938"/>
    <w:rsid w:val="02A73BD6"/>
    <w:rsid w:val="02AB3D4B"/>
    <w:rsid w:val="02B87043"/>
    <w:rsid w:val="02BF15A4"/>
    <w:rsid w:val="02C32E43"/>
    <w:rsid w:val="02C92423"/>
    <w:rsid w:val="02CC3C0E"/>
    <w:rsid w:val="02D52B76"/>
    <w:rsid w:val="02DC3F04"/>
    <w:rsid w:val="02E1151B"/>
    <w:rsid w:val="02E15F84"/>
    <w:rsid w:val="02E66662"/>
    <w:rsid w:val="02EE5303"/>
    <w:rsid w:val="02F51F0C"/>
    <w:rsid w:val="02F76F90"/>
    <w:rsid w:val="02F841E8"/>
    <w:rsid w:val="02FC6355"/>
    <w:rsid w:val="0301396B"/>
    <w:rsid w:val="03036854"/>
    <w:rsid w:val="030654B3"/>
    <w:rsid w:val="030671D3"/>
    <w:rsid w:val="030B262D"/>
    <w:rsid w:val="030B6740"/>
    <w:rsid w:val="030D4835"/>
    <w:rsid w:val="03100052"/>
    <w:rsid w:val="0314369E"/>
    <w:rsid w:val="031A4A2D"/>
    <w:rsid w:val="031F2043"/>
    <w:rsid w:val="03247659"/>
    <w:rsid w:val="0325568D"/>
    <w:rsid w:val="032C7F14"/>
    <w:rsid w:val="0334789D"/>
    <w:rsid w:val="033C2BF5"/>
    <w:rsid w:val="033F6241"/>
    <w:rsid w:val="0341020B"/>
    <w:rsid w:val="03482C26"/>
    <w:rsid w:val="034A3564"/>
    <w:rsid w:val="034C72DC"/>
    <w:rsid w:val="034F4BFC"/>
    <w:rsid w:val="03536BCC"/>
    <w:rsid w:val="036068E4"/>
    <w:rsid w:val="03630182"/>
    <w:rsid w:val="03634626"/>
    <w:rsid w:val="037228E8"/>
    <w:rsid w:val="03724869"/>
    <w:rsid w:val="03743CA7"/>
    <w:rsid w:val="03766107"/>
    <w:rsid w:val="038421AA"/>
    <w:rsid w:val="038460A9"/>
    <w:rsid w:val="038F0F77"/>
    <w:rsid w:val="039461D9"/>
    <w:rsid w:val="03962305"/>
    <w:rsid w:val="03991DF6"/>
    <w:rsid w:val="039C3694"/>
    <w:rsid w:val="039E565E"/>
    <w:rsid w:val="03B24C65"/>
    <w:rsid w:val="03B95FF4"/>
    <w:rsid w:val="03C449CC"/>
    <w:rsid w:val="03C464AB"/>
    <w:rsid w:val="03C50E3C"/>
    <w:rsid w:val="03C91135"/>
    <w:rsid w:val="03C926DB"/>
    <w:rsid w:val="03CA0201"/>
    <w:rsid w:val="03D1158F"/>
    <w:rsid w:val="03D1333D"/>
    <w:rsid w:val="03D64DF8"/>
    <w:rsid w:val="03D764BD"/>
    <w:rsid w:val="03E27A2F"/>
    <w:rsid w:val="03E41018"/>
    <w:rsid w:val="03EB7DBF"/>
    <w:rsid w:val="03EF7C67"/>
    <w:rsid w:val="03F744C3"/>
    <w:rsid w:val="03F86B1C"/>
    <w:rsid w:val="03FB485E"/>
    <w:rsid w:val="04003C23"/>
    <w:rsid w:val="04172B32"/>
    <w:rsid w:val="04221DEB"/>
    <w:rsid w:val="04245B63"/>
    <w:rsid w:val="04247911"/>
    <w:rsid w:val="042B5143"/>
    <w:rsid w:val="042C4A18"/>
    <w:rsid w:val="042D106A"/>
    <w:rsid w:val="042E07AD"/>
    <w:rsid w:val="04354A1B"/>
    <w:rsid w:val="04386322"/>
    <w:rsid w:val="044E0E32"/>
    <w:rsid w:val="04532D85"/>
    <w:rsid w:val="04561706"/>
    <w:rsid w:val="04561A95"/>
    <w:rsid w:val="045D2E23"/>
    <w:rsid w:val="04651CD8"/>
    <w:rsid w:val="046D55EB"/>
    <w:rsid w:val="0471044C"/>
    <w:rsid w:val="04770FA0"/>
    <w:rsid w:val="047B524C"/>
    <w:rsid w:val="047F2D99"/>
    <w:rsid w:val="048402EA"/>
    <w:rsid w:val="04872B38"/>
    <w:rsid w:val="04904FA7"/>
    <w:rsid w:val="04910D1F"/>
    <w:rsid w:val="04A62A1C"/>
    <w:rsid w:val="04A722F0"/>
    <w:rsid w:val="04B74C29"/>
    <w:rsid w:val="04C002CD"/>
    <w:rsid w:val="04C3017D"/>
    <w:rsid w:val="04D035F5"/>
    <w:rsid w:val="04DC01EC"/>
    <w:rsid w:val="04E03757"/>
    <w:rsid w:val="04E23BA4"/>
    <w:rsid w:val="04E62E18"/>
    <w:rsid w:val="04E84DE3"/>
    <w:rsid w:val="04F07245"/>
    <w:rsid w:val="04F17C1F"/>
    <w:rsid w:val="04F53CEB"/>
    <w:rsid w:val="04F66CFF"/>
    <w:rsid w:val="04F82B4C"/>
    <w:rsid w:val="04FA2D68"/>
    <w:rsid w:val="04FA4B16"/>
    <w:rsid w:val="05015EA4"/>
    <w:rsid w:val="050169D1"/>
    <w:rsid w:val="05017C52"/>
    <w:rsid w:val="05091A55"/>
    <w:rsid w:val="0510665E"/>
    <w:rsid w:val="05130419"/>
    <w:rsid w:val="05137986"/>
    <w:rsid w:val="05171224"/>
    <w:rsid w:val="05353DA0"/>
    <w:rsid w:val="053578FC"/>
    <w:rsid w:val="053E79FB"/>
    <w:rsid w:val="054B5371"/>
    <w:rsid w:val="055629C0"/>
    <w:rsid w:val="05585FFF"/>
    <w:rsid w:val="057448C8"/>
    <w:rsid w:val="05747309"/>
    <w:rsid w:val="057517D5"/>
    <w:rsid w:val="057B5C57"/>
    <w:rsid w:val="057F0120"/>
    <w:rsid w:val="05856AD5"/>
    <w:rsid w:val="05940AC6"/>
    <w:rsid w:val="05962A91"/>
    <w:rsid w:val="05A21627"/>
    <w:rsid w:val="05A50F26"/>
    <w:rsid w:val="05A607FA"/>
    <w:rsid w:val="05AC1B7F"/>
    <w:rsid w:val="05AF3B52"/>
    <w:rsid w:val="05B11678"/>
    <w:rsid w:val="05B747B5"/>
    <w:rsid w:val="05B8311D"/>
    <w:rsid w:val="05C018BB"/>
    <w:rsid w:val="05C7509D"/>
    <w:rsid w:val="05C80770"/>
    <w:rsid w:val="05CC1E84"/>
    <w:rsid w:val="05CF2FDE"/>
    <w:rsid w:val="05D42645"/>
    <w:rsid w:val="05D45367"/>
    <w:rsid w:val="05DE7F94"/>
    <w:rsid w:val="05E80E12"/>
    <w:rsid w:val="05EC0669"/>
    <w:rsid w:val="05EF3F4F"/>
    <w:rsid w:val="05F15F19"/>
    <w:rsid w:val="05F504EE"/>
    <w:rsid w:val="05F92733"/>
    <w:rsid w:val="05F9301F"/>
    <w:rsid w:val="06071298"/>
    <w:rsid w:val="060774EA"/>
    <w:rsid w:val="060A1284"/>
    <w:rsid w:val="060A2B37"/>
    <w:rsid w:val="060D0017"/>
    <w:rsid w:val="060E0879"/>
    <w:rsid w:val="061216C2"/>
    <w:rsid w:val="06135E8F"/>
    <w:rsid w:val="06141C07"/>
    <w:rsid w:val="061424A9"/>
    <w:rsid w:val="061D286A"/>
    <w:rsid w:val="0622270A"/>
    <w:rsid w:val="062749A5"/>
    <w:rsid w:val="062F6A41"/>
    <w:rsid w:val="0636398A"/>
    <w:rsid w:val="06377CD2"/>
    <w:rsid w:val="06383B48"/>
    <w:rsid w:val="064029FC"/>
    <w:rsid w:val="064249C6"/>
    <w:rsid w:val="06466684"/>
    <w:rsid w:val="064A5629"/>
    <w:rsid w:val="064C75F3"/>
    <w:rsid w:val="06547848"/>
    <w:rsid w:val="065821AB"/>
    <w:rsid w:val="065E601D"/>
    <w:rsid w:val="06603905"/>
    <w:rsid w:val="066C1A43"/>
    <w:rsid w:val="06700432"/>
    <w:rsid w:val="06701B73"/>
    <w:rsid w:val="0677370D"/>
    <w:rsid w:val="067A7CBC"/>
    <w:rsid w:val="06846D8D"/>
    <w:rsid w:val="06851866"/>
    <w:rsid w:val="068614B2"/>
    <w:rsid w:val="06886E80"/>
    <w:rsid w:val="068F128E"/>
    <w:rsid w:val="069B5E85"/>
    <w:rsid w:val="069B7C33"/>
    <w:rsid w:val="069F5975"/>
    <w:rsid w:val="06B036DE"/>
    <w:rsid w:val="06B30E1D"/>
    <w:rsid w:val="06B75327"/>
    <w:rsid w:val="06C45A0D"/>
    <w:rsid w:val="06C82924"/>
    <w:rsid w:val="06C859D6"/>
    <w:rsid w:val="06D035D9"/>
    <w:rsid w:val="06D064BF"/>
    <w:rsid w:val="06D5093D"/>
    <w:rsid w:val="06D53145"/>
    <w:rsid w:val="06D67D46"/>
    <w:rsid w:val="06E426D9"/>
    <w:rsid w:val="06F35831"/>
    <w:rsid w:val="06FF2B3A"/>
    <w:rsid w:val="07027CB2"/>
    <w:rsid w:val="07043A2A"/>
    <w:rsid w:val="070666BE"/>
    <w:rsid w:val="07067916"/>
    <w:rsid w:val="070B5B30"/>
    <w:rsid w:val="07181283"/>
    <w:rsid w:val="07205265"/>
    <w:rsid w:val="07224C2D"/>
    <w:rsid w:val="07235BE6"/>
    <w:rsid w:val="072458B8"/>
    <w:rsid w:val="0727322A"/>
    <w:rsid w:val="07286F7A"/>
    <w:rsid w:val="072C76B6"/>
    <w:rsid w:val="072F0AE6"/>
    <w:rsid w:val="07300CC3"/>
    <w:rsid w:val="07395EC4"/>
    <w:rsid w:val="0744651C"/>
    <w:rsid w:val="07462294"/>
    <w:rsid w:val="074B78AB"/>
    <w:rsid w:val="074D53D1"/>
    <w:rsid w:val="07500A1D"/>
    <w:rsid w:val="075229E7"/>
    <w:rsid w:val="07593D76"/>
    <w:rsid w:val="075C0948"/>
    <w:rsid w:val="075E313A"/>
    <w:rsid w:val="075E3BEB"/>
    <w:rsid w:val="07634BF4"/>
    <w:rsid w:val="07690DCB"/>
    <w:rsid w:val="076A5F83"/>
    <w:rsid w:val="07707311"/>
    <w:rsid w:val="07766587"/>
    <w:rsid w:val="07807391"/>
    <w:rsid w:val="07830F22"/>
    <w:rsid w:val="078441FF"/>
    <w:rsid w:val="07852DBD"/>
    <w:rsid w:val="078968D9"/>
    <w:rsid w:val="078B4722"/>
    <w:rsid w:val="079832F8"/>
    <w:rsid w:val="07996868"/>
    <w:rsid w:val="07A14383"/>
    <w:rsid w:val="07AE4E1A"/>
    <w:rsid w:val="07B728D5"/>
    <w:rsid w:val="07B94814"/>
    <w:rsid w:val="07C1191B"/>
    <w:rsid w:val="07C5140B"/>
    <w:rsid w:val="07CE1ABE"/>
    <w:rsid w:val="07DB478B"/>
    <w:rsid w:val="07E04497"/>
    <w:rsid w:val="07E21F88"/>
    <w:rsid w:val="07E43686"/>
    <w:rsid w:val="07E55609"/>
    <w:rsid w:val="07E94D14"/>
    <w:rsid w:val="07F615C4"/>
    <w:rsid w:val="07F941C3"/>
    <w:rsid w:val="08000695"/>
    <w:rsid w:val="08064DBA"/>
    <w:rsid w:val="080737D2"/>
    <w:rsid w:val="081144B5"/>
    <w:rsid w:val="08144660"/>
    <w:rsid w:val="08145EEF"/>
    <w:rsid w:val="08163548"/>
    <w:rsid w:val="081D1247"/>
    <w:rsid w:val="082779D0"/>
    <w:rsid w:val="0828574C"/>
    <w:rsid w:val="08346748"/>
    <w:rsid w:val="08357053"/>
    <w:rsid w:val="083D3697"/>
    <w:rsid w:val="08422A5C"/>
    <w:rsid w:val="084F09BE"/>
    <w:rsid w:val="08534C69"/>
    <w:rsid w:val="08542F64"/>
    <w:rsid w:val="085813B6"/>
    <w:rsid w:val="085B1D6F"/>
    <w:rsid w:val="085E6EED"/>
    <w:rsid w:val="08601134"/>
    <w:rsid w:val="08624EAC"/>
    <w:rsid w:val="0865499C"/>
    <w:rsid w:val="08666C45"/>
    <w:rsid w:val="086D334E"/>
    <w:rsid w:val="08745CDD"/>
    <w:rsid w:val="0874698D"/>
    <w:rsid w:val="087B5F6E"/>
    <w:rsid w:val="08852948"/>
    <w:rsid w:val="0888779C"/>
    <w:rsid w:val="088968DD"/>
    <w:rsid w:val="088970C6"/>
    <w:rsid w:val="088C3DEA"/>
    <w:rsid w:val="08915791"/>
    <w:rsid w:val="0891753F"/>
    <w:rsid w:val="089622E5"/>
    <w:rsid w:val="08A033DC"/>
    <w:rsid w:val="08A726DC"/>
    <w:rsid w:val="08A74FB5"/>
    <w:rsid w:val="08A92ADB"/>
    <w:rsid w:val="08AC7F4A"/>
    <w:rsid w:val="08AE6343"/>
    <w:rsid w:val="08AF5928"/>
    <w:rsid w:val="08B6410C"/>
    <w:rsid w:val="08BB636A"/>
    <w:rsid w:val="08C44FA5"/>
    <w:rsid w:val="08C94F2B"/>
    <w:rsid w:val="08CB57A5"/>
    <w:rsid w:val="08D315E7"/>
    <w:rsid w:val="08D4742C"/>
    <w:rsid w:val="08DF0F44"/>
    <w:rsid w:val="08E376BB"/>
    <w:rsid w:val="08E7643E"/>
    <w:rsid w:val="08EB30F3"/>
    <w:rsid w:val="08EB6C4F"/>
    <w:rsid w:val="08EF4AFC"/>
    <w:rsid w:val="08F11B50"/>
    <w:rsid w:val="08FA50E4"/>
    <w:rsid w:val="08FA6E92"/>
    <w:rsid w:val="08FB5DFE"/>
    <w:rsid w:val="09100B1C"/>
    <w:rsid w:val="091A2007"/>
    <w:rsid w:val="09293C1C"/>
    <w:rsid w:val="09297778"/>
    <w:rsid w:val="092B34F0"/>
    <w:rsid w:val="092C7268"/>
    <w:rsid w:val="092F01B8"/>
    <w:rsid w:val="092F5FC3"/>
    <w:rsid w:val="09306D58"/>
    <w:rsid w:val="09336431"/>
    <w:rsid w:val="09336848"/>
    <w:rsid w:val="0935436E"/>
    <w:rsid w:val="09412D13"/>
    <w:rsid w:val="09442803"/>
    <w:rsid w:val="09461AEC"/>
    <w:rsid w:val="09512314"/>
    <w:rsid w:val="0954778C"/>
    <w:rsid w:val="095567BF"/>
    <w:rsid w:val="095A588B"/>
    <w:rsid w:val="095B721E"/>
    <w:rsid w:val="095F2853"/>
    <w:rsid w:val="09632637"/>
    <w:rsid w:val="09644892"/>
    <w:rsid w:val="096B4234"/>
    <w:rsid w:val="096C4286"/>
    <w:rsid w:val="096D2029"/>
    <w:rsid w:val="096E7880"/>
    <w:rsid w:val="09734E97"/>
    <w:rsid w:val="09783CD7"/>
    <w:rsid w:val="097A7FD3"/>
    <w:rsid w:val="097C3D4B"/>
    <w:rsid w:val="097D1872"/>
    <w:rsid w:val="09811362"/>
    <w:rsid w:val="09844198"/>
    <w:rsid w:val="09886AC4"/>
    <w:rsid w:val="098958D2"/>
    <w:rsid w:val="098B21E0"/>
    <w:rsid w:val="098B3F8E"/>
    <w:rsid w:val="09966A31"/>
    <w:rsid w:val="09972933"/>
    <w:rsid w:val="09987827"/>
    <w:rsid w:val="099A2423"/>
    <w:rsid w:val="099C718D"/>
    <w:rsid w:val="09A11A04"/>
    <w:rsid w:val="09A66A4D"/>
    <w:rsid w:val="09AD03A9"/>
    <w:rsid w:val="09B13866"/>
    <w:rsid w:val="09B5725D"/>
    <w:rsid w:val="09B63A79"/>
    <w:rsid w:val="09B721BD"/>
    <w:rsid w:val="09BD3EA7"/>
    <w:rsid w:val="09C01FBF"/>
    <w:rsid w:val="09C35E1E"/>
    <w:rsid w:val="09C94AB7"/>
    <w:rsid w:val="09CA0F5B"/>
    <w:rsid w:val="09CB4CD3"/>
    <w:rsid w:val="09CD0A4B"/>
    <w:rsid w:val="09D34636"/>
    <w:rsid w:val="09DE0562"/>
    <w:rsid w:val="09E90293"/>
    <w:rsid w:val="09EB0ED1"/>
    <w:rsid w:val="09ED044E"/>
    <w:rsid w:val="0A00497C"/>
    <w:rsid w:val="0A00547F"/>
    <w:rsid w:val="0A026946"/>
    <w:rsid w:val="0A0313AD"/>
    <w:rsid w:val="0A03621B"/>
    <w:rsid w:val="0A037FC9"/>
    <w:rsid w:val="0A115D4C"/>
    <w:rsid w:val="0A193C90"/>
    <w:rsid w:val="0A20656E"/>
    <w:rsid w:val="0A2262F9"/>
    <w:rsid w:val="0A23066B"/>
    <w:rsid w:val="0A245017"/>
    <w:rsid w:val="0A2763AD"/>
    <w:rsid w:val="0A2E773B"/>
    <w:rsid w:val="0A314B36"/>
    <w:rsid w:val="0A337B3E"/>
    <w:rsid w:val="0A36214C"/>
    <w:rsid w:val="0A397E20"/>
    <w:rsid w:val="0A456833"/>
    <w:rsid w:val="0A470CEC"/>
    <w:rsid w:val="0A474359"/>
    <w:rsid w:val="0A481917"/>
    <w:rsid w:val="0A481E7F"/>
    <w:rsid w:val="0A4A3E4A"/>
    <w:rsid w:val="0A4E57E4"/>
    <w:rsid w:val="0A516F86"/>
    <w:rsid w:val="0A5D1DCF"/>
    <w:rsid w:val="0A636CB9"/>
    <w:rsid w:val="0A79472F"/>
    <w:rsid w:val="0A7B2255"/>
    <w:rsid w:val="0A7B4CC4"/>
    <w:rsid w:val="0A7D53C7"/>
    <w:rsid w:val="0A83110A"/>
    <w:rsid w:val="0A9F45E7"/>
    <w:rsid w:val="0AA01CBB"/>
    <w:rsid w:val="0AA23C86"/>
    <w:rsid w:val="0AA65CD3"/>
    <w:rsid w:val="0AB87005"/>
    <w:rsid w:val="0ABB4D47"/>
    <w:rsid w:val="0AC74CC8"/>
    <w:rsid w:val="0AC91212"/>
    <w:rsid w:val="0ACA0AE6"/>
    <w:rsid w:val="0AD6392F"/>
    <w:rsid w:val="0ADB7C09"/>
    <w:rsid w:val="0AE16A2B"/>
    <w:rsid w:val="0AE222D4"/>
    <w:rsid w:val="0AE4604C"/>
    <w:rsid w:val="0AE54168"/>
    <w:rsid w:val="0AE71698"/>
    <w:rsid w:val="0AE95411"/>
    <w:rsid w:val="0AF049F1"/>
    <w:rsid w:val="0AFD710E"/>
    <w:rsid w:val="0B0009AC"/>
    <w:rsid w:val="0B057D70"/>
    <w:rsid w:val="0B064214"/>
    <w:rsid w:val="0B1306DF"/>
    <w:rsid w:val="0B1D155E"/>
    <w:rsid w:val="0B1F0FC2"/>
    <w:rsid w:val="0B212DFC"/>
    <w:rsid w:val="0B224DC6"/>
    <w:rsid w:val="0B2B22E4"/>
    <w:rsid w:val="0B2B5A29"/>
    <w:rsid w:val="0B381EF4"/>
    <w:rsid w:val="0B3F3282"/>
    <w:rsid w:val="0B440899"/>
    <w:rsid w:val="0B470389"/>
    <w:rsid w:val="0B4D3BF1"/>
    <w:rsid w:val="0B4E34C6"/>
    <w:rsid w:val="0B5059D1"/>
    <w:rsid w:val="0B510E78"/>
    <w:rsid w:val="0B511704"/>
    <w:rsid w:val="0B5C1160"/>
    <w:rsid w:val="0B5C1325"/>
    <w:rsid w:val="0B5F3925"/>
    <w:rsid w:val="0B6121D2"/>
    <w:rsid w:val="0B674496"/>
    <w:rsid w:val="0B686579"/>
    <w:rsid w:val="0B6E09A0"/>
    <w:rsid w:val="0B6E1EE8"/>
    <w:rsid w:val="0B786794"/>
    <w:rsid w:val="0B81389B"/>
    <w:rsid w:val="0B867E39"/>
    <w:rsid w:val="0B882E7B"/>
    <w:rsid w:val="0B884BAB"/>
    <w:rsid w:val="0B8C1E8A"/>
    <w:rsid w:val="0B9A0F05"/>
    <w:rsid w:val="0BA116CB"/>
    <w:rsid w:val="0BA354C3"/>
    <w:rsid w:val="0BA92DF2"/>
    <w:rsid w:val="0BAD4690"/>
    <w:rsid w:val="0BB023D2"/>
    <w:rsid w:val="0BB20413"/>
    <w:rsid w:val="0BB21CA6"/>
    <w:rsid w:val="0BB92C22"/>
    <w:rsid w:val="0BB93035"/>
    <w:rsid w:val="0BBE1DD7"/>
    <w:rsid w:val="0BCA5242"/>
    <w:rsid w:val="0BCE4606"/>
    <w:rsid w:val="0BD04822"/>
    <w:rsid w:val="0BD64717"/>
    <w:rsid w:val="0BDE6F3F"/>
    <w:rsid w:val="0BE10AC9"/>
    <w:rsid w:val="0BE34556"/>
    <w:rsid w:val="0BE56552"/>
    <w:rsid w:val="0BEB340A"/>
    <w:rsid w:val="0BF127E9"/>
    <w:rsid w:val="0BF3151B"/>
    <w:rsid w:val="0BFC73C5"/>
    <w:rsid w:val="0BFE313E"/>
    <w:rsid w:val="0C001C4A"/>
    <w:rsid w:val="0C040028"/>
    <w:rsid w:val="0C0A0C3E"/>
    <w:rsid w:val="0C0B13B7"/>
    <w:rsid w:val="0C104C1F"/>
    <w:rsid w:val="0C14470F"/>
    <w:rsid w:val="0C1C5981"/>
    <w:rsid w:val="0C1D11D3"/>
    <w:rsid w:val="0C1E0CB3"/>
    <w:rsid w:val="0C2C2DB9"/>
    <w:rsid w:val="0C2F32F7"/>
    <w:rsid w:val="0C3A5FD8"/>
    <w:rsid w:val="0C3B5076"/>
    <w:rsid w:val="0C3E353A"/>
    <w:rsid w:val="0C430B50"/>
    <w:rsid w:val="0C4442CE"/>
    <w:rsid w:val="0C497853"/>
    <w:rsid w:val="0C4F1BEB"/>
    <w:rsid w:val="0C575EC4"/>
    <w:rsid w:val="0C61656B"/>
    <w:rsid w:val="0C6801AB"/>
    <w:rsid w:val="0C6A2581"/>
    <w:rsid w:val="0C6C62F9"/>
    <w:rsid w:val="0C7D1487"/>
    <w:rsid w:val="0C811679"/>
    <w:rsid w:val="0C825B1D"/>
    <w:rsid w:val="0C853899"/>
    <w:rsid w:val="0C9238CE"/>
    <w:rsid w:val="0CA21D1B"/>
    <w:rsid w:val="0CA737D5"/>
    <w:rsid w:val="0CAE6912"/>
    <w:rsid w:val="0CAF7FFC"/>
    <w:rsid w:val="0CB41A4E"/>
    <w:rsid w:val="0CB657C6"/>
    <w:rsid w:val="0CC25F19"/>
    <w:rsid w:val="0CC41D6A"/>
    <w:rsid w:val="0CC47336"/>
    <w:rsid w:val="0CCA3020"/>
    <w:rsid w:val="0CCB5BAD"/>
    <w:rsid w:val="0CCC4FEA"/>
    <w:rsid w:val="0CD143AE"/>
    <w:rsid w:val="0CD520F0"/>
    <w:rsid w:val="0CD8573D"/>
    <w:rsid w:val="0CD90540"/>
    <w:rsid w:val="0CDC6310"/>
    <w:rsid w:val="0CDE0823"/>
    <w:rsid w:val="0CDE478D"/>
    <w:rsid w:val="0CE045F1"/>
    <w:rsid w:val="0CE23502"/>
    <w:rsid w:val="0CEE4F60"/>
    <w:rsid w:val="0CF12CA2"/>
    <w:rsid w:val="0CF82C2D"/>
    <w:rsid w:val="0CFB3EBF"/>
    <w:rsid w:val="0CFC291C"/>
    <w:rsid w:val="0CFE2CC9"/>
    <w:rsid w:val="0D057296"/>
    <w:rsid w:val="0D091D9A"/>
    <w:rsid w:val="0D0B692A"/>
    <w:rsid w:val="0D0C3638"/>
    <w:rsid w:val="0D0E73B0"/>
    <w:rsid w:val="0D125488"/>
    <w:rsid w:val="0D154C07"/>
    <w:rsid w:val="0D186481"/>
    <w:rsid w:val="0D1A32D4"/>
    <w:rsid w:val="0D1D5845"/>
    <w:rsid w:val="0D244E26"/>
    <w:rsid w:val="0D2D03B4"/>
    <w:rsid w:val="0D3155AA"/>
    <w:rsid w:val="0D38442D"/>
    <w:rsid w:val="0D3A1F53"/>
    <w:rsid w:val="0D3B5CCB"/>
    <w:rsid w:val="0D4903E8"/>
    <w:rsid w:val="0D4A5F0F"/>
    <w:rsid w:val="0D4B4161"/>
    <w:rsid w:val="0D510B45"/>
    <w:rsid w:val="0D520A0F"/>
    <w:rsid w:val="0D556D8D"/>
    <w:rsid w:val="0D5B47C8"/>
    <w:rsid w:val="0D5F3A7D"/>
    <w:rsid w:val="0D610F4A"/>
    <w:rsid w:val="0D641F8A"/>
    <w:rsid w:val="0D69333C"/>
    <w:rsid w:val="0D6B65B1"/>
    <w:rsid w:val="0D7040DC"/>
    <w:rsid w:val="0D847672"/>
    <w:rsid w:val="0D8E229F"/>
    <w:rsid w:val="0D9961D1"/>
    <w:rsid w:val="0D9F625A"/>
    <w:rsid w:val="0DA47D15"/>
    <w:rsid w:val="0DA50DBC"/>
    <w:rsid w:val="0DAC2F7A"/>
    <w:rsid w:val="0DAE649D"/>
    <w:rsid w:val="0DB14B56"/>
    <w:rsid w:val="0DB5782C"/>
    <w:rsid w:val="0DB779D3"/>
    <w:rsid w:val="0DB937C0"/>
    <w:rsid w:val="0DBA3094"/>
    <w:rsid w:val="0DBE26D2"/>
    <w:rsid w:val="0DC343D2"/>
    <w:rsid w:val="0DC46DAE"/>
    <w:rsid w:val="0DCD726B"/>
    <w:rsid w:val="0DCE0C9B"/>
    <w:rsid w:val="0DD30BBD"/>
    <w:rsid w:val="0DEE0F90"/>
    <w:rsid w:val="0DF20A80"/>
    <w:rsid w:val="0DFC18FF"/>
    <w:rsid w:val="0DFC6A1D"/>
    <w:rsid w:val="0E0462FA"/>
    <w:rsid w:val="0E2055ED"/>
    <w:rsid w:val="0E2449B2"/>
    <w:rsid w:val="0E2463DB"/>
    <w:rsid w:val="0E2705A0"/>
    <w:rsid w:val="0E2826F4"/>
    <w:rsid w:val="0E2A646C"/>
    <w:rsid w:val="0E2B3F92"/>
    <w:rsid w:val="0E323F07"/>
    <w:rsid w:val="0E365701"/>
    <w:rsid w:val="0E372937"/>
    <w:rsid w:val="0E480902"/>
    <w:rsid w:val="0E4E7B92"/>
    <w:rsid w:val="0E5D7CEC"/>
    <w:rsid w:val="0E5E1C72"/>
    <w:rsid w:val="0E6271C6"/>
    <w:rsid w:val="0E680D42"/>
    <w:rsid w:val="0E6F20D1"/>
    <w:rsid w:val="0E6F3E7F"/>
    <w:rsid w:val="0E7476E7"/>
    <w:rsid w:val="0E794CFD"/>
    <w:rsid w:val="0E7A4F47"/>
    <w:rsid w:val="0E8042DE"/>
    <w:rsid w:val="0E912047"/>
    <w:rsid w:val="0EA224A6"/>
    <w:rsid w:val="0EA63619"/>
    <w:rsid w:val="0EAD00AF"/>
    <w:rsid w:val="0EAD69A2"/>
    <w:rsid w:val="0EAF4BC3"/>
    <w:rsid w:val="0EB126E9"/>
    <w:rsid w:val="0EC22052"/>
    <w:rsid w:val="0ECD1A9D"/>
    <w:rsid w:val="0ED2440E"/>
    <w:rsid w:val="0ED4568F"/>
    <w:rsid w:val="0EDC3C6E"/>
    <w:rsid w:val="0EE04D7C"/>
    <w:rsid w:val="0EE1022F"/>
    <w:rsid w:val="0EE45F30"/>
    <w:rsid w:val="0EFE3455"/>
    <w:rsid w:val="0EFE4AC2"/>
    <w:rsid w:val="0EFE5203"/>
    <w:rsid w:val="0F0A004B"/>
    <w:rsid w:val="0F0A1DF9"/>
    <w:rsid w:val="0F152C78"/>
    <w:rsid w:val="0F184516"/>
    <w:rsid w:val="0F2044B8"/>
    <w:rsid w:val="0F214D14"/>
    <w:rsid w:val="0F2623FD"/>
    <w:rsid w:val="0F2A617B"/>
    <w:rsid w:val="0F2E5AE8"/>
    <w:rsid w:val="0F384A96"/>
    <w:rsid w:val="0F3B0205"/>
    <w:rsid w:val="0F3B2377"/>
    <w:rsid w:val="0F3B4AA4"/>
    <w:rsid w:val="0F3C1D22"/>
    <w:rsid w:val="0F3F1AA3"/>
    <w:rsid w:val="0F447297"/>
    <w:rsid w:val="0F490B74"/>
    <w:rsid w:val="0F4B48EC"/>
    <w:rsid w:val="0F4F5A5E"/>
    <w:rsid w:val="0F501F02"/>
    <w:rsid w:val="0F5B4A89"/>
    <w:rsid w:val="0F6725AF"/>
    <w:rsid w:val="0F6B0AEA"/>
    <w:rsid w:val="0F796797"/>
    <w:rsid w:val="0F7B4AA5"/>
    <w:rsid w:val="0F7C33C7"/>
    <w:rsid w:val="0F841BAC"/>
    <w:rsid w:val="0F880A2F"/>
    <w:rsid w:val="0F8A6A96"/>
    <w:rsid w:val="0F931306"/>
    <w:rsid w:val="0F9977AB"/>
    <w:rsid w:val="0F9C5147"/>
    <w:rsid w:val="0F9F2542"/>
    <w:rsid w:val="0FA45DAA"/>
    <w:rsid w:val="0FA77648"/>
    <w:rsid w:val="0FAB7138"/>
    <w:rsid w:val="0FB53557"/>
    <w:rsid w:val="0FB71F81"/>
    <w:rsid w:val="0FBD50BE"/>
    <w:rsid w:val="0FC91CB4"/>
    <w:rsid w:val="0FD05800"/>
    <w:rsid w:val="0FD146C5"/>
    <w:rsid w:val="0FD1586F"/>
    <w:rsid w:val="0FD348E1"/>
    <w:rsid w:val="0FD416B1"/>
    <w:rsid w:val="0FD53934"/>
    <w:rsid w:val="0FD6203E"/>
    <w:rsid w:val="0FD7617F"/>
    <w:rsid w:val="0FD77696"/>
    <w:rsid w:val="0FD77F2D"/>
    <w:rsid w:val="0FD9793F"/>
    <w:rsid w:val="0FE605DE"/>
    <w:rsid w:val="0FE771CC"/>
    <w:rsid w:val="0FE97C61"/>
    <w:rsid w:val="0FED7687"/>
    <w:rsid w:val="0FF00FEF"/>
    <w:rsid w:val="0FFB485C"/>
    <w:rsid w:val="0FFF56D6"/>
    <w:rsid w:val="100106CE"/>
    <w:rsid w:val="1001144E"/>
    <w:rsid w:val="10023D9C"/>
    <w:rsid w:val="100827DD"/>
    <w:rsid w:val="100A034B"/>
    <w:rsid w:val="100A1780"/>
    <w:rsid w:val="100C57CF"/>
    <w:rsid w:val="101C1B1F"/>
    <w:rsid w:val="10224CB2"/>
    <w:rsid w:val="10260F59"/>
    <w:rsid w:val="102620B7"/>
    <w:rsid w:val="102869DB"/>
    <w:rsid w:val="102F7D69"/>
    <w:rsid w:val="1030200B"/>
    <w:rsid w:val="10303AE2"/>
    <w:rsid w:val="103A025A"/>
    <w:rsid w:val="103A04BC"/>
    <w:rsid w:val="10446F77"/>
    <w:rsid w:val="1045758D"/>
    <w:rsid w:val="104C49AE"/>
    <w:rsid w:val="104D0CD6"/>
    <w:rsid w:val="105477D0"/>
    <w:rsid w:val="10597D75"/>
    <w:rsid w:val="105A290D"/>
    <w:rsid w:val="105C6685"/>
    <w:rsid w:val="106F460A"/>
    <w:rsid w:val="107A6B0B"/>
    <w:rsid w:val="107C2883"/>
    <w:rsid w:val="107D3B5D"/>
    <w:rsid w:val="107F4121"/>
    <w:rsid w:val="1087681D"/>
    <w:rsid w:val="108B0D18"/>
    <w:rsid w:val="108C51BC"/>
    <w:rsid w:val="10922EB9"/>
    <w:rsid w:val="10947BCD"/>
    <w:rsid w:val="109506D4"/>
    <w:rsid w:val="109E4EEF"/>
    <w:rsid w:val="10A83678"/>
    <w:rsid w:val="10B169D0"/>
    <w:rsid w:val="10B63FE7"/>
    <w:rsid w:val="10BA1685"/>
    <w:rsid w:val="10BD35C7"/>
    <w:rsid w:val="10CA7A92"/>
    <w:rsid w:val="10D10E21"/>
    <w:rsid w:val="10D77EF4"/>
    <w:rsid w:val="10D8131B"/>
    <w:rsid w:val="10E10FFD"/>
    <w:rsid w:val="10E30B54"/>
    <w:rsid w:val="10E548CC"/>
    <w:rsid w:val="10E71579"/>
    <w:rsid w:val="10E943BC"/>
    <w:rsid w:val="10F16DCD"/>
    <w:rsid w:val="10FD39C4"/>
    <w:rsid w:val="1101791C"/>
    <w:rsid w:val="11020FDA"/>
    <w:rsid w:val="1102547E"/>
    <w:rsid w:val="1105306B"/>
    <w:rsid w:val="110805BA"/>
    <w:rsid w:val="110D797F"/>
    <w:rsid w:val="110E42F0"/>
    <w:rsid w:val="1111746F"/>
    <w:rsid w:val="111233B1"/>
    <w:rsid w:val="11140D0D"/>
    <w:rsid w:val="11194A07"/>
    <w:rsid w:val="111B3927"/>
    <w:rsid w:val="112F3808"/>
    <w:rsid w:val="113060D1"/>
    <w:rsid w:val="11382C4E"/>
    <w:rsid w:val="11395C46"/>
    <w:rsid w:val="113969C6"/>
    <w:rsid w:val="113B0990"/>
    <w:rsid w:val="113B310D"/>
    <w:rsid w:val="113D0264"/>
    <w:rsid w:val="114415F3"/>
    <w:rsid w:val="11441C25"/>
    <w:rsid w:val="11477335"/>
    <w:rsid w:val="11493EB8"/>
    <w:rsid w:val="114C5B6A"/>
    <w:rsid w:val="115630D4"/>
    <w:rsid w:val="11592BC4"/>
    <w:rsid w:val="115B06EA"/>
    <w:rsid w:val="116C28F7"/>
    <w:rsid w:val="11731ED8"/>
    <w:rsid w:val="11755C50"/>
    <w:rsid w:val="117A14B8"/>
    <w:rsid w:val="11845E93"/>
    <w:rsid w:val="1186357B"/>
    <w:rsid w:val="1187310D"/>
    <w:rsid w:val="11875983"/>
    <w:rsid w:val="11883AE7"/>
    <w:rsid w:val="11946D06"/>
    <w:rsid w:val="11966190"/>
    <w:rsid w:val="11966B90"/>
    <w:rsid w:val="11A2456B"/>
    <w:rsid w:val="11A402E3"/>
    <w:rsid w:val="11A80BD0"/>
    <w:rsid w:val="11C91AF8"/>
    <w:rsid w:val="11CC12B0"/>
    <w:rsid w:val="11D113C2"/>
    <w:rsid w:val="11DA1F57"/>
    <w:rsid w:val="11DC5CCF"/>
    <w:rsid w:val="11E93F48"/>
    <w:rsid w:val="11EE5A02"/>
    <w:rsid w:val="11F46E36"/>
    <w:rsid w:val="11F528ED"/>
    <w:rsid w:val="11F569B9"/>
    <w:rsid w:val="11F74311"/>
    <w:rsid w:val="11FC7FB6"/>
    <w:rsid w:val="1201448E"/>
    <w:rsid w:val="1206210D"/>
    <w:rsid w:val="12072620"/>
    <w:rsid w:val="120A31DF"/>
    <w:rsid w:val="120C03F8"/>
    <w:rsid w:val="12117753"/>
    <w:rsid w:val="12137217"/>
    <w:rsid w:val="122172CE"/>
    <w:rsid w:val="12246164"/>
    <w:rsid w:val="12255C4E"/>
    <w:rsid w:val="12274A70"/>
    <w:rsid w:val="122D38D9"/>
    <w:rsid w:val="122D49B3"/>
    <w:rsid w:val="1230601B"/>
    <w:rsid w:val="1232769D"/>
    <w:rsid w:val="12371430"/>
    <w:rsid w:val="123C051C"/>
    <w:rsid w:val="123D0D6C"/>
    <w:rsid w:val="123F000C"/>
    <w:rsid w:val="123F1DBA"/>
    <w:rsid w:val="123F625E"/>
    <w:rsid w:val="12403B60"/>
    <w:rsid w:val="1246139A"/>
    <w:rsid w:val="124949E7"/>
    <w:rsid w:val="124A70DD"/>
    <w:rsid w:val="124C05C2"/>
    <w:rsid w:val="12541D09"/>
    <w:rsid w:val="125A3098"/>
    <w:rsid w:val="12635200"/>
    <w:rsid w:val="12661A3D"/>
    <w:rsid w:val="12681311"/>
    <w:rsid w:val="126D209E"/>
    <w:rsid w:val="12744159"/>
    <w:rsid w:val="12791770"/>
    <w:rsid w:val="127C3DC5"/>
    <w:rsid w:val="128C1676"/>
    <w:rsid w:val="128F4AEF"/>
    <w:rsid w:val="129739A4"/>
    <w:rsid w:val="129C6D40"/>
    <w:rsid w:val="12A460C1"/>
    <w:rsid w:val="12A61E39"/>
    <w:rsid w:val="12A8795F"/>
    <w:rsid w:val="12B05320"/>
    <w:rsid w:val="12B2310A"/>
    <w:rsid w:val="12B66520"/>
    <w:rsid w:val="12B83667"/>
    <w:rsid w:val="12B96010"/>
    <w:rsid w:val="12C423C9"/>
    <w:rsid w:val="12C61F6E"/>
    <w:rsid w:val="12C624DB"/>
    <w:rsid w:val="12CB18A0"/>
    <w:rsid w:val="12CD5618"/>
    <w:rsid w:val="12D15108"/>
    <w:rsid w:val="12D270D2"/>
    <w:rsid w:val="12D445EA"/>
    <w:rsid w:val="12D60970"/>
    <w:rsid w:val="12D616CB"/>
    <w:rsid w:val="12D93FBD"/>
    <w:rsid w:val="12DC3AAD"/>
    <w:rsid w:val="12E0534B"/>
    <w:rsid w:val="12E110C3"/>
    <w:rsid w:val="12E12E71"/>
    <w:rsid w:val="12E3308D"/>
    <w:rsid w:val="12EF7AF8"/>
    <w:rsid w:val="12F42E81"/>
    <w:rsid w:val="12F473A6"/>
    <w:rsid w:val="12F4756B"/>
    <w:rsid w:val="12FC3082"/>
    <w:rsid w:val="130628D8"/>
    <w:rsid w:val="13085B4B"/>
    <w:rsid w:val="13147343"/>
    <w:rsid w:val="132227B1"/>
    <w:rsid w:val="13222DD7"/>
    <w:rsid w:val="13264329"/>
    <w:rsid w:val="13294F44"/>
    <w:rsid w:val="132C67E2"/>
    <w:rsid w:val="132E255A"/>
    <w:rsid w:val="1334601B"/>
    <w:rsid w:val="13355035"/>
    <w:rsid w:val="133E2072"/>
    <w:rsid w:val="13405DEA"/>
    <w:rsid w:val="134358DA"/>
    <w:rsid w:val="13491142"/>
    <w:rsid w:val="1352499F"/>
    <w:rsid w:val="135950FD"/>
    <w:rsid w:val="136046DE"/>
    <w:rsid w:val="13631E88"/>
    <w:rsid w:val="136917E4"/>
    <w:rsid w:val="136A10B9"/>
    <w:rsid w:val="137331E2"/>
    <w:rsid w:val="1373354D"/>
    <w:rsid w:val="137A4593"/>
    <w:rsid w:val="1381624B"/>
    <w:rsid w:val="13840E20"/>
    <w:rsid w:val="138418D3"/>
    <w:rsid w:val="13857CA0"/>
    <w:rsid w:val="13873A19"/>
    <w:rsid w:val="138A175B"/>
    <w:rsid w:val="138C7281"/>
    <w:rsid w:val="1393060F"/>
    <w:rsid w:val="13940F4D"/>
    <w:rsid w:val="139B3968"/>
    <w:rsid w:val="139F5206"/>
    <w:rsid w:val="139F6FB4"/>
    <w:rsid w:val="13A26AA4"/>
    <w:rsid w:val="13AB3BAB"/>
    <w:rsid w:val="13AC59E2"/>
    <w:rsid w:val="13B13348"/>
    <w:rsid w:val="13B3480E"/>
    <w:rsid w:val="13BB14CF"/>
    <w:rsid w:val="13C22CA3"/>
    <w:rsid w:val="13C945DF"/>
    <w:rsid w:val="13CB7DA9"/>
    <w:rsid w:val="13D12B93"/>
    <w:rsid w:val="13D6674E"/>
    <w:rsid w:val="13DA0C71"/>
    <w:rsid w:val="13DC1FB6"/>
    <w:rsid w:val="13E40E6B"/>
    <w:rsid w:val="13EB21F9"/>
    <w:rsid w:val="13EE7251"/>
    <w:rsid w:val="13F41F7E"/>
    <w:rsid w:val="13FA442B"/>
    <w:rsid w:val="1411004B"/>
    <w:rsid w:val="141334FE"/>
    <w:rsid w:val="141A488D"/>
    <w:rsid w:val="142034CA"/>
    <w:rsid w:val="14213FC1"/>
    <w:rsid w:val="14223F99"/>
    <w:rsid w:val="142567FF"/>
    <w:rsid w:val="14277D4D"/>
    <w:rsid w:val="143771ED"/>
    <w:rsid w:val="143C2C5E"/>
    <w:rsid w:val="143F2545"/>
    <w:rsid w:val="143F260B"/>
    <w:rsid w:val="144B79B4"/>
    <w:rsid w:val="144B7BE1"/>
    <w:rsid w:val="144C7873"/>
    <w:rsid w:val="144E4536"/>
    <w:rsid w:val="145F6B34"/>
    <w:rsid w:val="14662FC4"/>
    <w:rsid w:val="147847F2"/>
    <w:rsid w:val="147B5C7B"/>
    <w:rsid w:val="14814434"/>
    <w:rsid w:val="14935EB8"/>
    <w:rsid w:val="149503B7"/>
    <w:rsid w:val="14952165"/>
    <w:rsid w:val="14965B7F"/>
    <w:rsid w:val="149A59CD"/>
    <w:rsid w:val="14A35840"/>
    <w:rsid w:val="14A64372"/>
    <w:rsid w:val="14A979BF"/>
    <w:rsid w:val="14AB7E8B"/>
    <w:rsid w:val="14BA1BCC"/>
    <w:rsid w:val="14C33176"/>
    <w:rsid w:val="14C376F9"/>
    <w:rsid w:val="14C447F8"/>
    <w:rsid w:val="14CA0061"/>
    <w:rsid w:val="14CB3DD9"/>
    <w:rsid w:val="14CE4563"/>
    <w:rsid w:val="14D507B4"/>
    <w:rsid w:val="14D54096"/>
    <w:rsid w:val="14DD234F"/>
    <w:rsid w:val="14E1184E"/>
    <w:rsid w:val="14E37374"/>
    <w:rsid w:val="14EC103A"/>
    <w:rsid w:val="14F551C4"/>
    <w:rsid w:val="14F670A8"/>
    <w:rsid w:val="14FB646C"/>
    <w:rsid w:val="1505553D"/>
    <w:rsid w:val="150A448F"/>
    <w:rsid w:val="15107A3E"/>
    <w:rsid w:val="151237B6"/>
    <w:rsid w:val="151874F8"/>
    <w:rsid w:val="151C54CF"/>
    <w:rsid w:val="15275242"/>
    <w:rsid w:val="152A7A45"/>
    <w:rsid w:val="1534197E"/>
    <w:rsid w:val="1537146E"/>
    <w:rsid w:val="1538020A"/>
    <w:rsid w:val="153B2D0D"/>
    <w:rsid w:val="154371B0"/>
    <w:rsid w:val="1546721C"/>
    <w:rsid w:val="154A2F50"/>
    <w:rsid w:val="15543DCE"/>
    <w:rsid w:val="15557480"/>
    <w:rsid w:val="1557566D"/>
    <w:rsid w:val="155B33AF"/>
    <w:rsid w:val="156009C5"/>
    <w:rsid w:val="156102B8"/>
    <w:rsid w:val="15612E9D"/>
    <w:rsid w:val="15671D54"/>
    <w:rsid w:val="156A35F2"/>
    <w:rsid w:val="156C2EC6"/>
    <w:rsid w:val="156C55BC"/>
    <w:rsid w:val="156C71D8"/>
    <w:rsid w:val="156C736A"/>
    <w:rsid w:val="156D10F1"/>
    <w:rsid w:val="15724B6E"/>
    <w:rsid w:val="15747FCD"/>
    <w:rsid w:val="15763AC2"/>
    <w:rsid w:val="15895A18"/>
    <w:rsid w:val="158B3BF8"/>
    <w:rsid w:val="15913D5E"/>
    <w:rsid w:val="15981F0D"/>
    <w:rsid w:val="159C346D"/>
    <w:rsid w:val="159F14ED"/>
    <w:rsid w:val="15A56CCB"/>
    <w:rsid w:val="15AA63A9"/>
    <w:rsid w:val="15AC6364"/>
    <w:rsid w:val="15B36D47"/>
    <w:rsid w:val="15BF393E"/>
    <w:rsid w:val="15C471A6"/>
    <w:rsid w:val="15C6067E"/>
    <w:rsid w:val="15CC7E09"/>
    <w:rsid w:val="15CE3245"/>
    <w:rsid w:val="15CE3B81"/>
    <w:rsid w:val="15D05B4B"/>
    <w:rsid w:val="15DB44F0"/>
    <w:rsid w:val="15E25DAA"/>
    <w:rsid w:val="15E60D74"/>
    <w:rsid w:val="15EE5FD1"/>
    <w:rsid w:val="15EF58A5"/>
    <w:rsid w:val="15F31839"/>
    <w:rsid w:val="15F35395"/>
    <w:rsid w:val="15F555B1"/>
    <w:rsid w:val="15FA6724"/>
    <w:rsid w:val="15FC2208"/>
    <w:rsid w:val="15FD7FC2"/>
    <w:rsid w:val="15FE58AF"/>
    <w:rsid w:val="16027CCE"/>
    <w:rsid w:val="160B0931"/>
    <w:rsid w:val="160E21CF"/>
    <w:rsid w:val="160E6673"/>
    <w:rsid w:val="16105F47"/>
    <w:rsid w:val="16111B25"/>
    <w:rsid w:val="16133262"/>
    <w:rsid w:val="161A6DC6"/>
    <w:rsid w:val="161C28E0"/>
    <w:rsid w:val="16201F02"/>
    <w:rsid w:val="162B33C4"/>
    <w:rsid w:val="163836F0"/>
    <w:rsid w:val="163A1216"/>
    <w:rsid w:val="163D0008"/>
    <w:rsid w:val="16414353"/>
    <w:rsid w:val="164271E9"/>
    <w:rsid w:val="16445BF1"/>
    <w:rsid w:val="16472E5A"/>
    <w:rsid w:val="16504596"/>
    <w:rsid w:val="16526560"/>
    <w:rsid w:val="16534DCB"/>
    <w:rsid w:val="165F2A2B"/>
    <w:rsid w:val="1662463C"/>
    <w:rsid w:val="16640041"/>
    <w:rsid w:val="1666200B"/>
    <w:rsid w:val="166E6F63"/>
    <w:rsid w:val="16707AF8"/>
    <w:rsid w:val="16783AEC"/>
    <w:rsid w:val="16805733"/>
    <w:rsid w:val="16853AEA"/>
    <w:rsid w:val="168D7A89"/>
    <w:rsid w:val="16922E00"/>
    <w:rsid w:val="169721C5"/>
    <w:rsid w:val="169C77DB"/>
    <w:rsid w:val="169D3553"/>
    <w:rsid w:val="169F376F"/>
    <w:rsid w:val="169F551D"/>
    <w:rsid w:val="16A06EBD"/>
    <w:rsid w:val="16A448E1"/>
    <w:rsid w:val="16AE11E8"/>
    <w:rsid w:val="16B56AEF"/>
    <w:rsid w:val="16B8213B"/>
    <w:rsid w:val="16BE3BF5"/>
    <w:rsid w:val="16BF1197"/>
    <w:rsid w:val="16C3120C"/>
    <w:rsid w:val="16C77949"/>
    <w:rsid w:val="16C953B9"/>
    <w:rsid w:val="16CC28AA"/>
    <w:rsid w:val="16D9191F"/>
    <w:rsid w:val="16DA045E"/>
    <w:rsid w:val="16E42F30"/>
    <w:rsid w:val="170610F8"/>
    <w:rsid w:val="170756A0"/>
    <w:rsid w:val="17081314"/>
    <w:rsid w:val="17125CEF"/>
    <w:rsid w:val="17237EFC"/>
    <w:rsid w:val="172F4AF3"/>
    <w:rsid w:val="17481711"/>
    <w:rsid w:val="174A116E"/>
    <w:rsid w:val="1758293B"/>
    <w:rsid w:val="17636F37"/>
    <w:rsid w:val="17641D15"/>
    <w:rsid w:val="17667DE9"/>
    <w:rsid w:val="176D616F"/>
    <w:rsid w:val="17766305"/>
    <w:rsid w:val="17824C23"/>
    <w:rsid w:val="1783099B"/>
    <w:rsid w:val="17854713"/>
    <w:rsid w:val="17887D5F"/>
    <w:rsid w:val="17892EE2"/>
    <w:rsid w:val="17915AA3"/>
    <w:rsid w:val="17924D93"/>
    <w:rsid w:val="179354B6"/>
    <w:rsid w:val="17992095"/>
    <w:rsid w:val="179A1849"/>
    <w:rsid w:val="17A27073"/>
    <w:rsid w:val="17AA23CB"/>
    <w:rsid w:val="17AA588C"/>
    <w:rsid w:val="17AF79E2"/>
    <w:rsid w:val="17B56640"/>
    <w:rsid w:val="17B60D70"/>
    <w:rsid w:val="17B62B1E"/>
    <w:rsid w:val="17BC3DDA"/>
    <w:rsid w:val="17BF5E77"/>
    <w:rsid w:val="17C67534"/>
    <w:rsid w:val="17CA2D47"/>
    <w:rsid w:val="17CF38A5"/>
    <w:rsid w:val="17D26762"/>
    <w:rsid w:val="17D631C0"/>
    <w:rsid w:val="17D7775C"/>
    <w:rsid w:val="17D9680D"/>
    <w:rsid w:val="17DD454F"/>
    <w:rsid w:val="17DD62FD"/>
    <w:rsid w:val="17E7717C"/>
    <w:rsid w:val="17EC02EE"/>
    <w:rsid w:val="17EE0DF9"/>
    <w:rsid w:val="181124EE"/>
    <w:rsid w:val="1824217E"/>
    <w:rsid w:val="182932F0"/>
    <w:rsid w:val="182C49BB"/>
    <w:rsid w:val="18365A0D"/>
    <w:rsid w:val="18381785"/>
    <w:rsid w:val="183B1D36"/>
    <w:rsid w:val="183F2B14"/>
    <w:rsid w:val="18452D21"/>
    <w:rsid w:val="18521EF4"/>
    <w:rsid w:val="18585984"/>
    <w:rsid w:val="185A5BA0"/>
    <w:rsid w:val="18601BAE"/>
    <w:rsid w:val="1867206B"/>
    <w:rsid w:val="186C142F"/>
    <w:rsid w:val="186E52CB"/>
    <w:rsid w:val="18716A45"/>
    <w:rsid w:val="18842C1C"/>
    <w:rsid w:val="18866995"/>
    <w:rsid w:val="18870B44"/>
    <w:rsid w:val="18876269"/>
    <w:rsid w:val="18893D8F"/>
    <w:rsid w:val="188E3A9B"/>
    <w:rsid w:val="189A21C0"/>
    <w:rsid w:val="189A2440"/>
    <w:rsid w:val="189D02AC"/>
    <w:rsid w:val="189D5A8C"/>
    <w:rsid w:val="18A24E51"/>
    <w:rsid w:val="18A26E83"/>
    <w:rsid w:val="18A46E1B"/>
    <w:rsid w:val="18B21538"/>
    <w:rsid w:val="18B32A58"/>
    <w:rsid w:val="18B43502"/>
    <w:rsid w:val="18B66808"/>
    <w:rsid w:val="18B7099F"/>
    <w:rsid w:val="18B84674"/>
    <w:rsid w:val="18BD7EDC"/>
    <w:rsid w:val="18C70B28"/>
    <w:rsid w:val="18D72D4C"/>
    <w:rsid w:val="18D83457"/>
    <w:rsid w:val="18DC0363"/>
    <w:rsid w:val="18DD0A0A"/>
    <w:rsid w:val="18DF7E53"/>
    <w:rsid w:val="18E15979"/>
    <w:rsid w:val="18F12DF8"/>
    <w:rsid w:val="18F2531A"/>
    <w:rsid w:val="18F330AC"/>
    <w:rsid w:val="18F51424"/>
    <w:rsid w:val="18F558C8"/>
    <w:rsid w:val="18F643B3"/>
    <w:rsid w:val="18F97167"/>
    <w:rsid w:val="18FA784A"/>
    <w:rsid w:val="18FE1B0A"/>
    <w:rsid w:val="18FF22A3"/>
    <w:rsid w:val="19006747"/>
    <w:rsid w:val="1902112B"/>
    <w:rsid w:val="19045B0B"/>
    <w:rsid w:val="19065D22"/>
    <w:rsid w:val="190B2632"/>
    <w:rsid w:val="190B3D41"/>
    <w:rsid w:val="190D676E"/>
    <w:rsid w:val="191775ED"/>
    <w:rsid w:val="191B4526"/>
    <w:rsid w:val="191C10A7"/>
    <w:rsid w:val="19222CF7"/>
    <w:rsid w:val="1926044D"/>
    <w:rsid w:val="192F4936"/>
    <w:rsid w:val="193208CA"/>
    <w:rsid w:val="19351C0F"/>
    <w:rsid w:val="193C7053"/>
    <w:rsid w:val="193D7B2F"/>
    <w:rsid w:val="193E101D"/>
    <w:rsid w:val="193E7D91"/>
    <w:rsid w:val="194A42FE"/>
    <w:rsid w:val="194B491A"/>
    <w:rsid w:val="194D300E"/>
    <w:rsid w:val="194E3170"/>
    <w:rsid w:val="19520625"/>
    <w:rsid w:val="1956132A"/>
    <w:rsid w:val="195645B9"/>
    <w:rsid w:val="195B19B9"/>
    <w:rsid w:val="19632832"/>
    <w:rsid w:val="196A427F"/>
    <w:rsid w:val="196A785A"/>
    <w:rsid w:val="19774D0B"/>
    <w:rsid w:val="197762DD"/>
    <w:rsid w:val="197D26D6"/>
    <w:rsid w:val="197E58BE"/>
    <w:rsid w:val="19832B7B"/>
    <w:rsid w:val="198509FA"/>
    <w:rsid w:val="198D5B01"/>
    <w:rsid w:val="19925ACB"/>
    <w:rsid w:val="199904D9"/>
    <w:rsid w:val="199B1FCC"/>
    <w:rsid w:val="19A978C6"/>
    <w:rsid w:val="19AA2B4E"/>
    <w:rsid w:val="19B4308D"/>
    <w:rsid w:val="19B644F0"/>
    <w:rsid w:val="19BB266E"/>
    <w:rsid w:val="19BD0D56"/>
    <w:rsid w:val="19BD63E6"/>
    <w:rsid w:val="19C06268"/>
    <w:rsid w:val="19C07C84"/>
    <w:rsid w:val="19C257AA"/>
    <w:rsid w:val="19CA465F"/>
    <w:rsid w:val="19CF7EC7"/>
    <w:rsid w:val="19D21766"/>
    <w:rsid w:val="19D35C0A"/>
    <w:rsid w:val="19D71D79"/>
    <w:rsid w:val="19D76D7C"/>
    <w:rsid w:val="19EC54DE"/>
    <w:rsid w:val="19EE7B83"/>
    <w:rsid w:val="19EF2318"/>
    <w:rsid w:val="19F45B80"/>
    <w:rsid w:val="19F733EB"/>
    <w:rsid w:val="19FF69FF"/>
    <w:rsid w:val="1A02204B"/>
    <w:rsid w:val="1A044015"/>
    <w:rsid w:val="1A09162B"/>
    <w:rsid w:val="1A0933D9"/>
    <w:rsid w:val="1A0A0FF5"/>
    <w:rsid w:val="1A142AF7"/>
    <w:rsid w:val="1A1A55E6"/>
    <w:rsid w:val="1A1C6E7F"/>
    <w:rsid w:val="1A246465"/>
    <w:rsid w:val="1A2C356C"/>
    <w:rsid w:val="1A2C70C8"/>
    <w:rsid w:val="1A3366A8"/>
    <w:rsid w:val="1A357F21"/>
    <w:rsid w:val="1A362752"/>
    <w:rsid w:val="1A3F3875"/>
    <w:rsid w:val="1A404921"/>
    <w:rsid w:val="1A4C059F"/>
    <w:rsid w:val="1A5A0CCB"/>
    <w:rsid w:val="1A635396"/>
    <w:rsid w:val="1A644AB4"/>
    <w:rsid w:val="1A694281"/>
    <w:rsid w:val="1A792C7C"/>
    <w:rsid w:val="1A7C6706"/>
    <w:rsid w:val="1A7D3DC7"/>
    <w:rsid w:val="1A846F04"/>
    <w:rsid w:val="1A8A3DEE"/>
    <w:rsid w:val="1A8B71BA"/>
    <w:rsid w:val="1A8C7B66"/>
    <w:rsid w:val="1A9A2283"/>
    <w:rsid w:val="1A9B0880"/>
    <w:rsid w:val="1A9C424D"/>
    <w:rsid w:val="1A9C6AA0"/>
    <w:rsid w:val="1AA55149"/>
    <w:rsid w:val="1AAB4490"/>
    <w:rsid w:val="1AB86BAD"/>
    <w:rsid w:val="1ABE6893"/>
    <w:rsid w:val="1ABF61E9"/>
    <w:rsid w:val="1AC94917"/>
    <w:rsid w:val="1ACA3608"/>
    <w:rsid w:val="1ACB4B33"/>
    <w:rsid w:val="1ACC4407"/>
    <w:rsid w:val="1AD125C1"/>
    <w:rsid w:val="1AD722FD"/>
    <w:rsid w:val="1AD734D7"/>
    <w:rsid w:val="1AD80FFE"/>
    <w:rsid w:val="1AD85D67"/>
    <w:rsid w:val="1ADB4C22"/>
    <w:rsid w:val="1ADE1DAD"/>
    <w:rsid w:val="1AE1108A"/>
    <w:rsid w:val="1AE45BF4"/>
    <w:rsid w:val="1AF729CD"/>
    <w:rsid w:val="1B034424"/>
    <w:rsid w:val="1B063DBD"/>
    <w:rsid w:val="1B067919"/>
    <w:rsid w:val="1B083691"/>
    <w:rsid w:val="1B0E4768"/>
    <w:rsid w:val="1B157B5C"/>
    <w:rsid w:val="1B184F4E"/>
    <w:rsid w:val="1B193ED6"/>
    <w:rsid w:val="1B1B2E9B"/>
    <w:rsid w:val="1B1C7F43"/>
    <w:rsid w:val="1B1D5FE3"/>
    <w:rsid w:val="1B1E4D15"/>
    <w:rsid w:val="1B1F6C2C"/>
    <w:rsid w:val="1B210BF7"/>
    <w:rsid w:val="1B23671D"/>
    <w:rsid w:val="1B3501FE"/>
    <w:rsid w:val="1B351FAC"/>
    <w:rsid w:val="1B3C1FFE"/>
    <w:rsid w:val="1B3C77DE"/>
    <w:rsid w:val="1B407738"/>
    <w:rsid w:val="1B440441"/>
    <w:rsid w:val="1B522B5E"/>
    <w:rsid w:val="1B5B5A5C"/>
    <w:rsid w:val="1B5D7B73"/>
    <w:rsid w:val="1B6612B1"/>
    <w:rsid w:val="1B666609"/>
    <w:rsid w:val="1B6F1962"/>
    <w:rsid w:val="1B7C7BDB"/>
    <w:rsid w:val="1B7F06C9"/>
    <w:rsid w:val="1B801559"/>
    <w:rsid w:val="1B8276EF"/>
    <w:rsid w:val="1B866036"/>
    <w:rsid w:val="1B950C9D"/>
    <w:rsid w:val="1B965141"/>
    <w:rsid w:val="1BA94E4D"/>
    <w:rsid w:val="1BAB3772"/>
    <w:rsid w:val="1BAB4AC5"/>
    <w:rsid w:val="1BAC6712"/>
    <w:rsid w:val="1BAF4798"/>
    <w:rsid w:val="1BBE683C"/>
    <w:rsid w:val="1BC007FC"/>
    <w:rsid w:val="1BC51582"/>
    <w:rsid w:val="1BC752FA"/>
    <w:rsid w:val="1BC755CA"/>
    <w:rsid w:val="1BC81072"/>
    <w:rsid w:val="1BCE085E"/>
    <w:rsid w:val="1BCF4B7B"/>
    <w:rsid w:val="1BD75F2F"/>
    <w:rsid w:val="1BE560E6"/>
    <w:rsid w:val="1BEC2FB3"/>
    <w:rsid w:val="1BF15DCA"/>
    <w:rsid w:val="1BF956CF"/>
    <w:rsid w:val="1BFC4701"/>
    <w:rsid w:val="1C00080C"/>
    <w:rsid w:val="1C0876C1"/>
    <w:rsid w:val="1C092615"/>
    <w:rsid w:val="1C0A3439"/>
    <w:rsid w:val="1C0C5A11"/>
    <w:rsid w:val="1C0D1768"/>
    <w:rsid w:val="1C0F7089"/>
    <w:rsid w:val="1C0F765E"/>
    <w:rsid w:val="1C224C26"/>
    <w:rsid w:val="1C2E1030"/>
    <w:rsid w:val="1C3749B1"/>
    <w:rsid w:val="1C4467E2"/>
    <w:rsid w:val="1C4A05F8"/>
    <w:rsid w:val="1C4E6E53"/>
    <w:rsid w:val="1C4F0B8B"/>
    <w:rsid w:val="1C565D7C"/>
    <w:rsid w:val="1C5D17BA"/>
    <w:rsid w:val="1C6061C5"/>
    <w:rsid w:val="1C620885"/>
    <w:rsid w:val="1C671021"/>
    <w:rsid w:val="1C694603"/>
    <w:rsid w:val="1C6A3ED7"/>
    <w:rsid w:val="1C6C7952"/>
    <w:rsid w:val="1C6F7740"/>
    <w:rsid w:val="1C705992"/>
    <w:rsid w:val="1C765C9F"/>
    <w:rsid w:val="1C8036FB"/>
    <w:rsid w:val="1C8256C5"/>
    <w:rsid w:val="1C8404AC"/>
    <w:rsid w:val="1C88126A"/>
    <w:rsid w:val="1C8925AF"/>
    <w:rsid w:val="1C8C6AE3"/>
    <w:rsid w:val="1C986C96"/>
    <w:rsid w:val="1C9B0535"/>
    <w:rsid w:val="1CA4563B"/>
    <w:rsid w:val="1CA473E9"/>
    <w:rsid w:val="1CB601A3"/>
    <w:rsid w:val="1CB6536F"/>
    <w:rsid w:val="1CB735C0"/>
    <w:rsid w:val="1CC161ED"/>
    <w:rsid w:val="1CC253C7"/>
    <w:rsid w:val="1CC43874"/>
    <w:rsid w:val="1CC96E50"/>
    <w:rsid w:val="1CCE090A"/>
    <w:rsid w:val="1CD04E42"/>
    <w:rsid w:val="1CD203FA"/>
    <w:rsid w:val="1CD45FA7"/>
    <w:rsid w:val="1CE01F37"/>
    <w:rsid w:val="1CEC2B3E"/>
    <w:rsid w:val="1CEE1A16"/>
    <w:rsid w:val="1CF30371"/>
    <w:rsid w:val="1CF540E9"/>
    <w:rsid w:val="1CF91359"/>
    <w:rsid w:val="1CFA4F26"/>
    <w:rsid w:val="1CFC7225"/>
    <w:rsid w:val="1CFD70E6"/>
    <w:rsid w:val="1D0D10AD"/>
    <w:rsid w:val="1D117948"/>
    <w:rsid w:val="1D1502E7"/>
    <w:rsid w:val="1D226D19"/>
    <w:rsid w:val="1D295A04"/>
    <w:rsid w:val="1D2F75FB"/>
    <w:rsid w:val="1D320E99"/>
    <w:rsid w:val="1D331864"/>
    <w:rsid w:val="1D362567"/>
    <w:rsid w:val="1D3764AF"/>
    <w:rsid w:val="1D3C5874"/>
    <w:rsid w:val="1D3D657C"/>
    <w:rsid w:val="1D4110DC"/>
    <w:rsid w:val="1D444728"/>
    <w:rsid w:val="1D464944"/>
    <w:rsid w:val="1D4F1A4B"/>
    <w:rsid w:val="1D525097"/>
    <w:rsid w:val="1D532BBD"/>
    <w:rsid w:val="1D55133D"/>
    <w:rsid w:val="1D556936"/>
    <w:rsid w:val="1D557C9F"/>
    <w:rsid w:val="1D583653"/>
    <w:rsid w:val="1D5927EE"/>
    <w:rsid w:val="1D6E17A5"/>
    <w:rsid w:val="1D6F3E9B"/>
    <w:rsid w:val="1D743260"/>
    <w:rsid w:val="1D77006C"/>
    <w:rsid w:val="1D796AC8"/>
    <w:rsid w:val="1D7A639C"/>
    <w:rsid w:val="1D807436"/>
    <w:rsid w:val="1D816F16"/>
    <w:rsid w:val="1D823B84"/>
    <w:rsid w:val="1D833C3B"/>
    <w:rsid w:val="1D927673"/>
    <w:rsid w:val="1D934A44"/>
    <w:rsid w:val="1D952165"/>
    <w:rsid w:val="1D9C08F7"/>
    <w:rsid w:val="1DA016FB"/>
    <w:rsid w:val="1DA376A1"/>
    <w:rsid w:val="1DA578BD"/>
    <w:rsid w:val="1DA6457A"/>
    <w:rsid w:val="1DA767F2"/>
    <w:rsid w:val="1DAA504A"/>
    <w:rsid w:val="1DB55626"/>
    <w:rsid w:val="1DBE10C0"/>
    <w:rsid w:val="1DBE272D"/>
    <w:rsid w:val="1DC15D79"/>
    <w:rsid w:val="1DC31AF1"/>
    <w:rsid w:val="1DD1215E"/>
    <w:rsid w:val="1DD618BD"/>
    <w:rsid w:val="1DD81A08"/>
    <w:rsid w:val="1DDE692B"/>
    <w:rsid w:val="1DE63A32"/>
    <w:rsid w:val="1DE81558"/>
    <w:rsid w:val="1DE859FC"/>
    <w:rsid w:val="1DEA038E"/>
    <w:rsid w:val="1DED3012"/>
    <w:rsid w:val="1DF441D1"/>
    <w:rsid w:val="1DFD5237"/>
    <w:rsid w:val="1E075E82"/>
    <w:rsid w:val="1E0B4AD2"/>
    <w:rsid w:val="1E1171C1"/>
    <w:rsid w:val="1E206F43"/>
    <w:rsid w:val="1E23669C"/>
    <w:rsid w:val="1E2A1B70"/>
    <w:rsid w:val="1E2D340E"/>
    <w:rsid w:val="1E3173A3"/>
    <w:rsid w:val="1E3E386E"/>
    <w:rsid w:val="1E4D267F"/>
    <w:rsid w:val="1E5866DD"/>
    <w:rsid w:val="1E5D72AA"/>
    <w:rsid w:val="1E62130A"/>
    <w:rsid w:val="1E636E30"/>
    <w:rsid w:val="1E637854"/>
    <w:rsid w:val="1E641DBE"/>
    <w:rsid w:val="1E674B72"/>
    <w:rsid w:val="1E6A6411"/>
    <w:rsid w:val="1E733517"/>
    <w:rsid w:val="1E764DB5"/>
    <w:rsid w:val="1E803E86"/>
    <w:rsid w:val="1E8A47A7"/>
    <w:rsid w:val="1EAC4784"/>
    <w:rsid w:val="1EAF2075"/>
    <w:rsid w:val="1EAF6853"/>
    <w:rsid w:val="1EC3611C"/>
    <w:rsid w:val="1EC41FC5"/>
    <w:rsid w:val="1ED02718"/>
    <w:rsid w:val="1ED16490"/>
    <w:rsid w:val="1EDB183D"/>
    <w:rsid w:val="1EDF2698"/>
    <w:rsid w:val="1EF04B68"/>
    <w:rsid w:val="1EF36D64"/>
    <w:rsid w:val="1EF59947"/>
    <w:rsid w:val="1F040613"/>
    <w:rsid w:val="1F127752"/>
    <w:rsid w:val="1F15438D"/>
    <w:rsid w:val="1F1545CE"/>
    <w:rsid w:val="1F1C18F0"/>
    <w:rsid w:val="1F1C6EBE"/>
    <w:rsid w:val="1F2411E5"/>
    <w:rsid w:val="1F257CB7"/>
    <w:rsid w:val="1F26058A"/>
    <w:rsid w:val="1F2B4A85"/>
    <w:rsid w:val="1F3031B6"/>
    <w:rsid w:val="1F3233D2"/>
    <w:rsid w:val="1F3548F1"/>
    <w:rsid w:val="1F3C3740"/>
    <w:rsid w:val="1F3D58D3"/>
    <w:rsid w:val="1F4103AA"/>
    <w:rsid w:val="1F420A72"/>
    <w:rsid w:val="1F604CFF"/>
    <w:rsid w:val="1F6669AD"/>
    <w:rsid w:val="1F666BD8"/>
    <w:rsid w:val="1F682BB5"/>
    <w:rsid w:val="1F70574E"/>
    <w:rsid w:val="1F784B5D"/>
    <w:rsid w:val="1F7F7C9A"/>
    <w:rsid w:val="1F8A4FBC"/>
    <w:rsid w:val="1F911087"/>
    <w:rsid w:val="1F9279CD"/>
    <w:rsid w:val="1F930BDA"/>
    <w:rsid w:val="1F9574BD"/>
    <w:rsid w:val="1FA3607E"/>
    <w:rsid w:val="1FA40E26"/>
    <w:rsid w:val="1FB0010B"/>
    <w:rsid w:val="1FB060A5"/>
    <w:rsid w:val="1FB44D03"/>
    <w:rsid w:val="1FB5190D"/>
    <w:rsid w:val="1FB561E9"/>
    <w:rsid w:val="1FB62FB7"/>
    <w:rsid w:val="1FB817C9"/>
    <w:rsid w:val="1FB922B6"/>
    <w:rsid w:val="1FC63C3B"/>
    <w:rsid w:val="1FCC6EAA"/>
    <w:rsid w:val="1FCD30FB"/>
    <w:rsid w:val="1FCF29CF"/>
    <w:rsid w:val="1FD13429"/>
    <w:rsid w:val="1FDE0E64"/>
    <w:rsid w:val="1FE3647B"/>
    <w:rsid w:val="1FE47C93"/>
    <w:rsid w:val="1FED554B"/>
    <w:rsid w:val="1FEF6DD6"/>
    <w:rsid w:val="1FF50CC5"/>
    <w:rsid w:val="1FFE32B4"/>
    <w:rsid w:val="200061D2"/>
    <w:rsid w:val="20014FB8"/>
    <w:rsid w:val="20016901"/>
    <w:rsid w:val="20041C8A"/>
    <w:rsid w:val="200848DB"/>
    <w:rsid w:val="200B1B5D"/>
    <w:rsid w:val="20106D53"/>
    <w:rsid w:val="20136B65"/>
    <w:rsid w:val="201A430D"/>
    <w:rsid w:val="201A79B7"/>
    <w:rsid w:val="201A79C2"/>
    <w:rsid w:val="201E6DFF"/>
    <w:rsid w:val="2020322B"/>
    <w:rsid w:val="202F346E"/>
    <w:rsid w:val="20344F28"/>
    <w:rsid w:val="203A3325"/>
    <w:rsid w:val="203B6958"/>
    <w:rsid w:val="204213F3"/>
    <w:rsid w:val="204824B6"/>
    <w:rsid w:val="204A00D1"/>
    <w:rsid w:val="205729C5"/>
    <w:rsid w:val="20605D1D"/>
    <w:rsid w:val="206155F1"/>
    <w:rsid w:val="206375BB"/>
    <w:rsid w:val="20653161"/>
    <w:rsid w:val="20653333"/>
    <w:rsid w:val="206658AB"/>
    <w:rsid w:val="206C6470"/>
    <w:rsid w:val="207209AB"/>
    <w:rsid w:val="20793458"/>
    <w:rsid w:val="207B4905"/>
    <w:rsid w:val="207D067D"/>
    <w:rsid w:val="20817AC0"/>
    <w:rsid w:val="208322F8"/>
    <w:rsid w:val="20855784"/>
    <w:rsid w:val="20860445"/>
    <w:rsid w:val="208D664A"/>
    <w:rsid w:val="20941C31"/>
    <w:rsid w:val="20956C07"/>
    <w:rsid w:val="2099122F"/>
    <w:rsid w:val="2099235F"/>
    <w:rsid w:val="209A67D6"/>
    <w:rsid w:val="20A253E4"/>
    <w:rsid w:val="20A420AE"/>
    <w:rsid w:val="20A53730"/>
    <w:rsid w:val="20A62337"/>
    <w:rsid w:val="20B35E4D"/>
    <w:rsid w:val="20B816B5"/>
    <w:rsid w:val="20BC49FB"/>
    <w:rsid w:val="20C04A0E"/>
    <w:rsid w:val="20C91F87"/>
    <w:rsid w:val="20CA763A"/>
    <w:rsid w:val="20D30D23"/>
    <w:rsid w:val="20D41538"/>
    <w:rsid w:val="20D63F6F"/>
    <w:rsid w:val="20D766AE"/>
    <w:rsid w:val="20DD55C0"/>
    <w:rsid w:val="20E71F9A"/>
    <w:rsid w:val="20E83BDD"/>
    <w:rsid w:val="20ED20DF"/>
    <w:rsid w:val="20EE157B"/>
    <w:rsid w:val="20F05E8F"/>
    <w:rsid w:val="20F070A1"/>
    <w:rsid w:val="20F61D01"/>
    <w:rsid w:val="20F667B9"/>
    <w:rsid w:val="20FA7F20"/>
    <w:rsid w:val="20FF5536"/>
    <w:rsid w:val="210668C5"/>
    <w:rsid w:val="210F0963"/>
    <w:rsid w:val="2112446B"/>
    <w:rsid w:val="21166835"/>
    <w:rsid w:val="211C7E96"/>
    <w:rsid w:val="21246D4B"/>
    <w:rsid w:val="21254871"/>
    <w:rsid w:val="2126121F"/>
    <w:rsid w:val="2126769F"/>
    <w:rsid w:val="212B632B"/>
    <w:rsid w:val="21354AB4"/>
    <w:rsid w:val="213C22E6"/>
    <w:rsid w:val="213F18D2"/>
    <w:rsid w:val="213F3A2E"/>
    <w:rsid w:val="214116AB"/>
    <w:rsid w:val="2144119B"/>
    <w:rsid w:val="214747E7"/>
    <w:rsid w:val="21486EDD"/>
    <w:rsid w:val="214B077B"/>
    <w:rsid w:val="214B42D7"/>
    <w:rsid w:val="214C086F"/>
    <w:rsid w:val="215B0293"/>
    <w:rsid w:val="216058A9"/>
    <w:rsid w:val="21642211"/>
    <w:rsid w:val="21645EA0"/>
    <w:rsid w:val="216929AF"/>
    <w:rsid w:val="216B497A"/>
    <w:rsid w:val="216E7FC6"/>
    <w:rsid w:val="217557F8"/>
    <w:rsid w:val="217602DD"/>
    <w:rsid w:val="21771570"/>
    <w:rsid w:val="217A4BBD"/>
    <w:rsid w:val="21843C8D"/>
    <w:rsid w:val="21894E00"/>
    <w:rsid w:val="218B501C"/>
    <w:rsid w:val="218B6DCA"/>
    <w:rsid w:val="21900776"/>
    <w:rsid w:val="219E4C9A"/>
    <w:rsid w:val="219F63D1"/>
    <w:rsid w:val="21A2432F"/>
    <w:rsid w:val="21A25EC1"/>
    <w:rsid w:val="21A6582E"/>
    <w:rsid w:val="21A9264A"/>
    <w:rsid w:val="21B53E47"/>
    <w:rsid w:val="21C01D18"/>
    <w:rsid w:val="21C02D6D"/>
    <w:rsid w:val="21C2179D"/>
    <w:rsid w:val="21C36564"/>
    <w:rsid w:val="21C42F0E"/>
    <w:rsid w:val="21C5052E"/>
    <w:rsid w:val="21C55B49"/>
    <w:rsid w:val="21C67E02"/>
    <w:rsid w:val="21C824E2"/>
    <w:rsid w:val="21C916A0"/>
    <w:rsid w:val="21D70261"/>
    <w:rsid w:val="21D818E3"/>
    <w:rsid w:val="21E464DA"/>
    <w:rsid w:val="21F7445F"/>
    <w:rsid w:val="21FA7AAB"/>
    <w:rsid w:val="22032E04"/>
    <w:rsid w:val="220A5F40"/>
    <w:rsid w:val="220B7F0B"/>
    <w:rsid w:val="220D77DF"/>
    <w:rsid w:val="22160D89"/>
    <w:rsid w:val="221A46B5"/>
    <w:rsid w:val="221C3EC6"/>
    <w:rsid w:val="221E6F5A"/>
    <w:rsid w:val="222A326B"/>
    <w:rsid w:val="2234120F"/>
    <w:rsid w:val="223631D9"/>
    <w:rsid w:val="2237485C"/>
    <w:rsid w:val="223B07F0"/>
    <w:rsid w:val="223B69ED"/>
    <w:rsid w:val="223E5625"/>
    <w:rsid w:val="22400EBD"/>
    <w:rsid w:val="22421B7E"/>
    <w:rsid w:val="22494FF3"/>
    <w:rsid w:val="224C6559"/>
    <w:rsid w:val="22515385"/>
    <w:rsid w:val="2254540E"/>
    <w:rsid w:val="22551E62"/>
    <w:rsid w:val="2257425F"/>
    <w:rsid w:val="22590C76"/>
    <w:rsid w:val="2263692C"/>
    <w:rsid w:val="2265586D"/>
    <w:rsid w:val="2265761B"/>
    <w:rsid w:val="226F5814"/>
    <w:rsid w:val="22754C04"/>
    <w:rsid w:val="227801E0"/>
    <w:rsid w:val="22785C4E"/>
    <w:rsid w:val="22803E07"/>
    <w:rsid w:val="228757E3"/>
    <w:rsid w:val="228A52D3"/>
    <w:rsid w:val="228E4DC3"/>
    <w:rsid w:val="22917F09"/>
    <w:rsid w:val="22963C78"/>
    <w:rsid w:val="2299657C"/>
    <w:rsid w:val="229E7EE0"/>
    <w:rsid w:val="22A30143"/>
    <w:rsid w:val="22AA1C58"/>
    <w:rsid w:val="22AA7723"/>
    <w:rsid w:val="22AD1241"/>
    <w:rsid w:val="22B3482A"/>
    <w:rsid w:val="22B96452"/>
    <w:rsid w:val="22C0740A"/>
    <w:rsid w:val="22CA6542"/>
    <w:rsid w:val="22CB3A79"/>
    <w:rsid w:val="22CF2CE6"/>
    <w:rsid w:val="22D16A5E"/>
    <w:rsid w:val="22D30A28"/>
    <w:rsid w:val="22E06CA1"/>
    <w:rsid w:val="22E42C35"/>
    <w:rsid w:val="22E5075C"/>
    <w:rsid w:val="22E5491B"/>
    <w:rsid w:val="22F17100"/>
    <w:rsid w:val="22F424B7"/>
    <w:rsid w:val="22F90E2B"/>
    <w:rsid w:val="22FF097D"/>
    <w:rsid w:val="230010F2"/>
    <w:rsid w:val="23001EE3"/>
    <w:rsid w:val="2302564C"/>
    <w:rsid w:val="23151041"/>
    <w:rsid w:val="23152DEF"/>
    <w:rsid w:val="2318643B"/>
    <w:rsid w:val="232272BA"/>
    <w:rsid w:val="232442AC"/>
    <w:rsid w:val="23250B58"/>
    <w:rsid w:val="23264FFC"/>
    <w:rsid w:val="232B2612"/>
    <w:rsid w:val="232C638A"/>
    <w:rsid w:val="232E062B"/>
    <w:rsid w:val="23333275"/>
    <w:rsid w:val="233E4DFB"/>
    <w:rsid w:val="23405992"/>
    <w:rsid w:val="2342795C"/>
    <w:rsid w:val="23470BA1"/>
    <w:rsid w:val="23474F72"/>
    <w:rsid w:val="23492A98"/>
    <w:rsid w:val="234C3FAD"/>
    <w:rsid w:val="234E00AF"/>
    <w:rsid w:val="23503C9D"/>
    <w:rsid w:val="23566F63"/>
    <w:rsid w:val="235A7FBB"/>
    <w:rsid w:val="23672234"/>
    <w:rsid w:val="23751ADF"/>
    <w:rsid w:val="237733D9"/>
    <w:rsid w:val="23841D23"/>
    <w:rsid w:val="23874C53"/>
    <w:rsid w:val="238E0DF3"/>
    <w:rsid w:val="23A45F21"/>
    <w:rsid w:val="23AB3753"/>
    <w:rsid w:val="23AC3027"/>
    <w:rsid w:val="23B24AE2"/>
    <w:rsid w:val="23B32608"/>
    <w:rsid w:val="23B720F8"/>
    <w:rsid w:val="23B73EA6"/>
    <w:rsid w:val="23B80D9E"/>
    <w:rsid w:val="23BA1190"/>
    <w:rsid w:val="23BC326A"/>
    <w:rsid w:val="23C2284B"/>
    <w:rsid w:val="23D04AF7"/>
    <w:rsid w:val="23EC53EA"/>
    <w:rsid w:val="23EC5C89"/>
    <w:rsid w:val="23ED1676"/>
    <w:rsid w:val="23F21382"/>
    <w:rsid w:val="23F2607F"/>
    <w:rsid w:val="23FA3D93"/>
    <w:rsid w:val="23FC1C2B"/>
    <w:rsid w:val="23FE1AD5"/>
    <w:rsid w:val="23FE7D27"/>
    <w:rsid w:val="240115C5"/>
    <w:rsid w:val="240F0226"/>
    <w:rsid w:val="24105E4A"/>
    <w:rsid w:val="24125580"/>
    <w:rsid w:val="24150BCD"/>
    <w:rsid w:val="24174D49"/>
    <w:rsid w:val="241A4435"/>
    <w:rsid w:val="24285418"/>
    <w:rsid w:val="24291700"/>
    <w:rsid w:val="242F51F8"/>
    <w:rsid w:val="243323DA"/>
    <w:rsid w:val="24376D95"/>
    <w:rsid w:val="243B4AD7"/>
    <w:rsid w:val="24415E2E"/>
    <w:rsid w:val="24422B2D"/>
    <w:rsid w:val="24462058"/>
    <w:rsid w:val="24482D50"/>
    <w:rsid w:val="244F40DF"/>
    <w:rsid w:val="2452492F"/>
    <w:rsid w:val="245C4A4D"/>
    <w:rsid w:val="24635DDC"/>
    <w:rsid w:val="2471674B"/>
    <w:rsid w:val="24831FDA"/>
    <w:rsid w:val="24853FA4"/>
    <w:rsid w:val="249944D1"/>
    <w:rsid w:val="24A33C6C"/>
    <w:rsid w:val="24A72B53"/>
    <w:rsid w:val="24AF7273"/>
    <w:rsid w:val="24B44889"/>
    <w:rsid w:val="24B91EA0"/>
    <w:rsid w:val="24C24B6D"/>
    <w:rsid w:val="24C7636B"/>
    <w:rsid w:val="24D942F0"/>
    <w:rsid w:val="24DB4137"/>
    <w:rsid w:val="24E16D01"/>
    <w:rsid w:val="24E567F1"/>
    <w:rsid w:val="24E66D03"/>
    <w:rsid w:val="24EE1B49"/>
    <w:rsid w:val="24EF24A1"/>
    <w:rsid w:val="24EF58C2"/>
    <w:rsid w:val="24FF2C56"/>
    <w:rsid w:val="25180974"/>
    <w:rsid w:val="252F5CBE"/>
    <w:rsid w:val="253634F0"/>
    <w:rsid w:val="25381017"/>
    <w:rsid w:val="253F4153"/>
    <w:rsid w:val="25473008"/>
    <w:rsid w:val="254E083A"/>
    <w:rsid w:val="255461AE"/>
    <w:rsid w:val="25552E8F"/>
    <w:rsid w:val="25577E75"/>
    <w:rsid w:val="255C6646"/>
    <w:rsid w:val="255D282B"/>
    <w:rsid w:val="25602A1C"/>
    <w:rsid w:val="256516E0"/>
    <w:rsid w:val="25657932"/>
    <w:rsid w:val="2572277A"/>
    <w:rsid w:val="257302A1"/>
    <w:rsid w:val="25733DFD"/>
    <w:rsid w:val="257C2079"/>
    <w:rsid w:val="258204E4"/>
    <w:rsid w:val="25895B7B"/>
    <w:rsid w:val="25897AC4"/>
    <w:rsid w:val="259661B2"/>
    <w:rsid w:val="25983863"/>
    <w:rsid w:val="259D4DEC"/>
    <w:rsid w:val="25B95E84"/>
    <w:rsid w:val="25C1725E"/>
    <w:rsid w:val="25C52B13"/>
    <w:rsid w:val="25CB1E8B"/>
    <w:rsid w:val="25CE3729"/>
    <w:rsid w:val="25D105C8"/>
    <w:rsid w:val="25D34833"/>
    <w:rsid w:val="25D61154"/>
    <w:rsid w:val="25DE670F"/>
    <w:rsid w:val="25DF1492"/>
    <w:rsid w:val="25E25630"/>
    <w:rsid w:val="25E371D4"/>
    <w:rsid w:val="25E44CFA"/>
    <w:rsid w:val="25ED0053"/>
    <w:rsid w:val="25F25669"/>
    <w:rsid w:val="25F46675"/>
    <w:rsid w:val="25FC0296"/>
    <w:rsid w:val="26045C60"/>
    <w:rsid w:val="2609642C"/>
    <w:rsid w:val="261A071C"/>
    <w:rsid w:val="262065B5"/>
    <w:rsid w:val="26263565"/>
    <w:rsid w:val="26317A35"/>
    <w:rsid w:val="263A1EA7"/>
    <w:rsid w:val="26421B0D"/>
    <w:rsid w:val="26434D40"/>
    <w:rsid w:val="26435EC5"/>
    <w:rsid w:val="264439EB"/>
    <w:rsid w:val="26467763"/>
    <w:rsid w:val="265359DC"/>
    <w:rsid w:val="26561C3E"/>
    <w:rsid w:val="267267AA"/>
    <w:rsid w:val="267A740D"/>
    <w:rsid w:val="267B53F0"/>
    <w:rsid w:val="267B565F"/>
    <w:rsid w:val="267E061F"/>
    <w:rsid w:val="268169ED"/>
    <w:rsid w:val="2684318F"/>
    <w:rsid w:val="26866228"/>
    <w:rsid w:val="26876DE5"/>
    <w:rsid w:val="268900EE"/>
    <w:rsid w:val="26926505"/>
    <w:rsid w:val="26940BB8"/>
    <w:rsid w:val="26995AE5"/>
    <w:rsid w:val="269D57A4"/>
    <w:rsid w:val="26A10E3D"/>
    <w:rsid w:val="26A30EAA"/>
    <w:rsid w:val="26A6309F"/>
    <w:rsid w:val="26AA1AA0"/>
    <w:rsid w:val="26AA4985"/>
    <w:rsid w:val="26AA5E49"/>
    <w:rsid w:val="26B02E2F"/>
    <w:rsid w:val="26B446CD"/>
    <w:rsid w:val="26B648E9"/>
    <w:rsid w:val="26C1158E"/>
    <w:rsid w:val="26C37006"/>
    <w:rsid w:val="26CA0394"/>
    <w:rsid w:val="26CF203B"/>
    <w:rsid w:val="26D07ECF"/>
    <w:rsid w:val="26D11723"/>
    <w:rsid w:val="26D57B6E"/>
    <w:rsid w:val="26EA4592"/>
    <w:rsid w:val="26EF7DFB"/>
    <w:rsid w:val="26F15921"/>
    <w:rsid w:val="26F60889"/>
    <w:rsid w:val="27070CA1"/>
    <w:rsid w:val="270F26C2"/>
    <w:rsid w:val="27174C5C"/>
    <w:rsid w:val="271909D4"/>
    <w:rsid w:val="27194E78"/>
    <w:rsid w:val="27196C26"/>
    <w:rsid w:val="271B299E"/>
    <w:rsid w:val="271D2DE6"/>
    <w:rsid w:val="27221F7E"/>
    <w:rsid w:val="2725351F"/>
    <w:rsid w:val="2734560A"/>
    <w:rsid w:val="27345B41"/>
    <w:rsid w:val="273932D9"/>
    <w:rsid w:val="27393A05"/>
    <w:rsid w:val="273B094A"/>
    <w:rsid w:val="273B4DEE"/>
    <w:rsid w:val="27475E22"/>
    <w:rsid w:val="274C7976"/>
    <w:rsid w:val="275D2FB6"/>
    <w:rsid w:val="275E3638"/>
    <w:rsid w:val="27624129"/>
    <w:rsid w:val="27630472"/>
    <w:rsid w:val="276460F3"/>
    <w:rsid w:val="276E6F72"/>
    <w:rsid w:val="27743E5C"/>
    <w:rsid w:val="277C54FE"/>
    <w:rsid w:val="27826579"/>
    <w:rsid w:val="27854EE0"/>
    <w:rsid w:val="27871DE1"/>
    <w:rsid w:val="278B636C"/>
    <w:rsid w:val="279B001D"/>
    <w:rsid w:val="279B3ADF"/>
    <w:rsid w:val="279E3717"/>
    <w:rsid w:val="279E3A83"/>
    <w:rsid w:val="279F712B"/>
    <w:rsid w:val="27A148E8"/>
    <w:rsid w:val="27A449B4"/>
    <w:rsid w:val="27A6670B"/>
    <w:rsid w:val="27A91D58"/>
    <w:rsid w:val="27B12732"/>
    <w:rsid w:val="27B8643F"/>
    <w:rsid w:val="27BC61DE"/>
    <w:rsid w:val="27BF3329"/>
    <w:rsid w:val="27C546B8"/>
    <w:rsid w:val="27C923FA"/>
    <w:rsid w:val="27D03788"/>
    <w:rsid w:val="27DD5EA5"/>
    <w:rsid w:val="27E7598C"/>
    <w:rsid w:val="27F324C2"/>
    <w:rsid w:val="27F82CDF"/>
    <w:rsid w:val="27F8683B"/>
    <w:rsid w:val="27FD20A3"/>
    <w:rsid w:val="27FE6547"/>
    <w:rsid w:val="28030A65"/>
    <w:rsid w:val="2804422C"/>
    <w:rsid w:val="28045EEE"/>
    <w:rsid w:val="280C63CB"/>
    <w:rsid w:val="281012B4"/>
    <w:rsid w:val="28102054"/>
    <w:rsid w:val="28130904"/>
    <w:rsid w:val="28135739"/>
    <w:rsid w:val="28212236"/>
    <w:rsid w:val="28237C98"/>
    <w:rsid w:val="282825E9"/>
    <w:rsid w:val="282D2989"/>
    <w:rsid w:val="283006CB"/>
    <w:rsid w:val="28313892"/>
    <w:rsid w:val="283D5E35"/>
    <w:rsid w:val="283E2079"/>
    <w:rsid w:val="28447CD2"/>
    <w:rsid w:val="28463A4A"/>
    <w:rsid w:val="28481571"/>
    <w:rsid w:val="284B70D8"/>
    <w:rsid w:val="284F6C88"/>
    <w:rsid w:val="28500425"/>
    <w:rsid w:val="28520495"/>
    <w:rsid w:val="28535734"/>
    <w:rsid w:val="285C14C0"/>
    <w:rsid w:val="285C6DCA"/>
    <w:rsid w:val="285E1492"/>
    <w:rsid w:val="286435B5"/>
    <w:rsid w:val="286E1B88"/>
    <w:rsid w:val="286F11F3"/>
    <w:rsid w:val="28771E56"/>
    <w:rsid w:val="28793E20"/>
    <w:rsid w:val="28893937"/>
    <w:rsid w:val="288D3427"/>
    <w:rsid w:val="28904CC6"/>
    <w:rsid w:val="289447B6"/>
    <w:rsid w:val="28973522"/>
    <w:rsid w:val="289A297D"/>
    <w:rsid w:val="289A78F2"/>
    <w:rsid w:val="28AF0EAE"/>
    <w:rsid w:val="28AF15F0"/>
    <w:rsid w:val="28B01ED3"/>
    <w:rsid w:val="28B05368"/>
    <w:rsid w:val="28B419F1"/>
    <w:rsid w:val="28B739F8"/>
    <w:rsid w:val="28BC374C"/>
    <w:rsid w:val="28BF3E24"/>
    <w:rsid w:val="28C3509B"/>
    <w:rsid w:val="28CA467C"/>
    <w:rsid w:val="28CE392E"/>
    <w:rsid w:val="28CE69F4"/>
    <w:rsid w:val="28D70C28"/>
    <w:rsid w:val="28D92B11"/>
    <w:rsid w:val="28DC43AF"/>
    <w:rsid w:val="28E31299"/>
    <w:rsid w:val="28EA2628"/>
    <w:rsid w:val="28EA3250"/>
    <w:rsid w:val="28ED0E6B"/>
    <w:rsid w:val="28ED3D5F"/>
    <w:rsid w:val="28EF40E2"/>
    <w:rsid w:val="28F142A7"/>
    <w:rsid w:val="29003BF9"/>
    <w:rsid w:val="290336EA"/>
    <w:rsid w:val="29086D8B"/>
    <w:rsid w:val="290B64C5"/>
    <w:rsid w:val="290D4568"/>
    <w:rsid w:val="290D6316"/>
    <w:rsid w:val="29115E06"/>
    <w:rsid w:val="29117CAE"/>
    <w:rsid w:val="2912392D"/>
    <w:rsid w:val="29151E78"/>
    <w:rsid w:val="291A38BD"/>
    <w:rsid w:val="29272709"/>
    <w:rsid w:val="29310257"/>
    <w:rsid w:val="293C3C55"/>
    <w:rsid w:val="2940493E"/>
    <w:rsid w:val="29430470"/>
    <w:rsid w:val="29514455"/>
    <w:rsid w:val="295403E9"/>
    <w:rsid w:val="295A28B5"/>
    <w:rsid w:val="29650277"/>
    <w:rsid w:val="29763EBB"/>
    <w:rsid w:val="29787C34"/>
    <w:rsid w:val="2981534E"/>
    <w:rsid w:val="29851F68"/>
    <w:rsid w:val="2987431B"/>
    <w:rsid w:val="298B3C5F"/>
    <w:rsid w:val="29930F11"/>
    <w:rsid w:val="299407E6"/>
    <w:rsid w:val="29954099"/>
    <w:rsid w:val="299B2660"/>
    <w:rsid w:val="299D58EC"/>
    <w:rsid w:val="299F2DF9"/>
    <w:rsid w:val="29A50C45"/>
    <w:rsid w:val="29A857CC"/>
    <w:rsid w:val="29AD6A6D"/>
    <w:rsid w:val="29CE5AA6"/>
    <w:rsid w:val="29D124F9"/>
    <w:rsid w:val="29D62BAC"/>
    <w:rsid w:val="29E277A3"/>
    <w:rsid w:val="29E4351B"/>
    <w:rsid w:val="29E450B2"/>
    <w:rsid w:val="29F179E6"/>
    <w:rsid w:val="29F714A0"/>
    <w:rsid w:val="29F95074"/>
    <w:rsid w:val="29FF2103"/>
    <w:rsid w:val="2A064AA7"/>
    <w:rsid w:val="2A0A052A"/>
    <w:rsid w:val="2A0F0515"/>
    <w:rsid w:val="2A13795C"/>
    <w:rsid w:val="2A1831C5"/>
    <w:rsid w:val="2A197236"/>
    <w:rsid w:val="2A1A6F3D"/>
    <w:rsid w:val="2A1B1FD5"/>
    <w:rsid w:val="2A261D85"/>
    <w:rsid w:val="2A3049B2"/>
    <w:rsid w:val="2A3505EE"/>
    <w:rsid w:val="2A355B25"/>
    <w:rsid w:val="2A377AEF"/>
    <w:rsid w:val="2A383867"/>
    <w:rsid w:val="2A390B59"/>
    <w:rsid w:val="2A3E74D4"/>
    <w:rsid w:val="2A3F5497"/>
    <w:rsid w:val="2A475858"/>
    <w:rsid w:val="2A4B2B94"/>
    <w:rsid w:val="2A4D31D6"/>
    <w:rsid w:val="2A5561C7"/>
    <w:rsid w:val="2A685EFA"/>
    <w:rsid w:val="2A756A5F"/>
    <w:rsid w:val="2A7B4DFE"/>
    <w:rsid w:val="2A7B715C"/>
    <w:rsid w:val="2A7F4FF2"/>
    <w:rsid w:val="2A845692"/>
    <w:rsid w:val="2A86141D"/>
    <w:rsid w:val="2A904037"/>
    <w:rsid w:val="2A9154ED"/>
    <w:rsid w:val="2A930A9D"/>
    <w:rsid w:val="2A97233B"/>
    <w:rsid w:val="2A9943B2"/>
    <w:rsid w:val="2A9A44EF"/>
    <w:rsid w:val="2A9A5B9B"/>
    <w:rsid w:val="2A9F1C41"/>
    <w:rsid w:val="2AA34A80"/>
    <w:rsid w:val="2AA54BF9"/>
    <w:rsid w:val="2AA64C74"/>
    <w:rsid w:val="2AA950F9"/>
    <w:rsid w:val="2ABC6246"/>
    <w:rsid w:val="2ABC7FF4"/>
    <w:rsid w:val="2ABF7AE4"/>
    <w:rsid w:val="2AC375D4"/>
    <w:rsid w:val="2AC627B8"/>
    <w:rsid w:val="2AC90530"/>
    <w:rsid w:val="2AC944BF"/>
    <w:rsid w:val="2ACF7D27"/>
    <w:rsid w:val="2AE27D26"/>
    <w:rsid w:val="2AE35581"/>
    <w:rsid w:val="2AE61515"/>
    <w:rsid w:val="2AE77EC9"/>
    <w:rsid w:val="2AF21C68"/>
    <w:rsid w:val="2AF23A16"/>
    <w:rsid w:val="2AF515E8"/>
    <w:rsid w:val="2AF86FFB"/>
    <w:rsid w:val="2AFA1AAC"/>
    <w:rsid w:val="2AFA5A36"/>
    <w:rsid w:val="2AFB6D6E"/>
    <w:rsid w:val="2AFC231F"/>
    <w:rsid w:val="2B057BED"/>
    <w:rsid w:val="2B0B1B03"/>
    <w:rsid w:val="2B105472"/>
    <w:rsid w:val="2B136D58"/>
    <w:rsid w:val="2B1A46C4"/>
    <w:rsid w:val="2B1E6D95"/>
    <w:rsid w:val="2B200583"/>
    <w:rsid w:val="2B261911"/>
    <w:rsid w:val="2B2D7144"/>
    <w:rsid w:val="2B3130AC"/>
    <w:rsid w:val="2B391645"/>
    <w:rsid w:val="2B3E30FF"/>
    <w:rsid w:val="2B465B0F"/>
    <w:rsid w:val="2B473D61"/>
    <w:rsid w:val="2B4E6E2C"/>
    <w:rsid w:val="2B504399"/>
    <w:rsid w:val="2B58197D"/>
    <w:rsid w:val="2B5D3F7C"/>
    <w:rsid w:val="2B5E10AB"/>
    <w:rsid w:val="2B6D185F"/>
    <w:rsid w:val="2B6D5165"/>
    <w:rsid w:val="2B6F150A"/>
    <w:rsid w:val="2B701DBA"/>
    <w:rsid w:val="2B764647"/>
    <w:rsid w:val="2B770F05"/>
    <w:rsid w:val="2B7A3CA4"/>
    <w:rsid w:val="2B894909"/>
    <w:rsid w:val="2B8F395A"/>
    <w:rsid w:val="2B96071F"/>
    <w:rsid w:val="2B964CE9"/>
    <w:rsid w:val="2B976F30"/>
    <w:rsid w:val="2B9866A5"/>
    <w:rsid w:val="2BB313F7"/>
    <w:rsid w:val="2BB53E2C"/>
    <w:rsid w:val="2BB62C95"/>
    <w:rsid w:val="2BC25ADE"/>
    <w:rsid w:val="2BCA217D"/>
    <w:rsid w:val="2BD4136D"/>
    <w:rsid w:val="2BD57D58"/>
    <w:rsid w:val="2BDF3BA3"/>
    <w:rsid w:val="2BE041B6"/>
    <w:rsid w:val="2BE40904"/>
    <w:rsid w:val="2BE5357A"/>
    <w:rsid w:val="2BEE0681"/>
    <w:rsid w:val="2BFA5278"/>
    <w:rsid w:val="2BFB3C42"/>
    <w:rsid w:val="2C0B1233"/>
    <w:rsid w:val="2C0B2AAE"/>
    <w:rsid w:val="2C2440A3"/>
    <w:rsid w:val="2C293467"/>
    <w:rsid w:val="2C2E4F21"/>
    <w:rsid w:val="2C380015"/>
    <w:rsid w:val="2C385DA0"/>
    <w:rsid w:val="2C3A6091"/>
    <w:rsid w:val="2C412EA7"/>
    <w:rsid w:val="2C4402A1"/>
    <w:rsid w:val="2C4464F3"/>
    <w:rsid w:val="2C45036F"/>
    <w:rsid w:val="2C491D5B"/>
    <w:rsid w:val="2C576B80"/>
    <w:rsid w:val="2C66290D"/>
    <w:rsid w:val="2C6721E1"/>
    <w:rsid w:val="2C73502A"/>
    <w:rsid w:val="2C7843EE"/>
    <w:rsid w:val="2C7A00C8"/>
    <w:rsid w:val="2C7A1F15"/>
    <w:rsid w:val="2C7A714B"/>
    <w:rsid w:val="2C8B0824"/>
    <w:rsid w:val="2C8B3FEE"/>
    <w:rsid w:val="2C8D1C48"/>
    <w:rsid w:val="2C956D4E"/>
    <w:rsid w:val="2C956EB1"/>
    <w:rsid w:val="2C9764D6"/>
    <w:rsid w:val="2C992537"/>
    <w:rsid w:val="2C9E7D7D"/>
    <w:rsid w:val="2CA174A1"/>
    <w:rsid w:val="2CAB0320"/>
    <w:rsid w:val="2CAB3672"/>
    <w:rsid w:val="2CAF475D"/>
    <w:rsid w:val="2CB35427"/>
    <w:rsid w:val="2CB82A3D"/>
    <w:rsid w:val="2CBD0053"/>
    <w:rsid w:val="2CBF793A"/>
    <w:rsid w:val="2CC47634"/>
    <w:rsid w:val="2CDA29B3"/>
    <w:rsid w:val="2CDC3998"/>
    <w:rsid w:val="2CDD77DB"/>
    <w:rsid w:val="2CE43832"/>
    <w:rsid w:val="2CE455E0"/>
    <w:rsid w:val="2CE63FAE"/>
    <w:rsid w:val="2CE825B5"/>
    <w:rsid w:val="2CE90E48"/>
    <w:rsid w:val="2CEB4BC0"/>
    <w:rsid w:val="2CF2794B"/>
    <w:rsid w:val="2CFF066C"/>
    <w:rsid w:val="2D07409C"/>
    <w:rsid w:val="2D0839C4"/>
    <w:rsid w:val="2D1A7254"/>
    <w:rsid w:val="2D256324"/>
    <w:rsid w:val="2D285E15"/>
    <w:rsid w:val="2D297497"/>
    <w:rsid w:val="2D2A56E9"/>
    <w:rsid w:val="2D2F6A36"/>
    <w:rsid w:val="2D3259F3"/>
    <w:rsid w:val="2D460049"/>
    <w:rsid w:val="2D5337AB"/>
    <w:rsid w:val="2D546CDF"/>
    <w:rsid w:val="2D55028C"/>
    <w:rsid w:val="2D5774A8"/>
    <w:rsid w:val="2D582913"/>
    <w:rsid w:val="2D665296"/>
    <w:rsid w:val="2D722E96"/>
    <w:rsid w:val="2D746964"/>
    <w:rsid w:val="2D7D6B19"/>
    <w:rsid w:val="2D800601"/>
    <w:rsid w:val="2D8C63A3"/>
    <w:rsid w:val="2D8F379E"/>
    <w:rsid w:val="2D9E7E85"/>
    <w:rsid w:val="2DA97D95"/>
    <w:rsid w:val="2DB15CAD"/>
    <w:rsid w:val="2DBF07F5"/>
    <w:rsid w:val="2DC07DFB"/>
    <w:rsid w:val="2DC16C9C"/>
    <w:rsid w:val="2DCC49F2"/>
    <w:rsid w:val="2DCD739D"/>
    <w:rsid w:val="2DD218DC"/>
    <w:rsid w:val="2DD85145"/>
    <w:rsid w:val="2DD92C6B"/>
    <w:rsid w:val="2DDC2106"/>
    <w:rsid w:val="2DDF416D"/>
    <w:rsid w:val="2DE0494E"/>
    <w:rsid w:val="2DE122EF"/>
    <w:rsid w:val="2DE53D06"/>
    <w:rsid w:val="2DED62B2"/>
    <w:rsid w:val="2DEE172B"/>
    <w:rsid w:val="2DF66D0F"/>
    <w:rsid w:val="2DF67CC1"/>
    <w:rsid w:val="2DFB296F"/>
    <w:rsid w:val="2E0F67ED"/>
    <w:rsid w:val="2E114AFB"/>
    <w:rsid w:val="2E150147"/>
    <w:rsid w:val="2E15634F"/>
    <w:rsid w:val="2E160B95"/>
    <w:rsid w:val="2E175F35"/>
    <w:rsid w:val="2E1C7879"/>
    <w:rsid w:val="2E1D6FFC"/>
    <w:rsid w:val="2E224612"/>
    <w:rsid w:val="2E232138"/>
    <w:rsid w:val="2E316482"/>
    <w:rsid w:val="2E3A195C"/>
    <w:rsid w:val="2E4028AD"/>
    <w:rsid w:val="2E426A62"/>
    <w:rsid w:val="2E457C35"/>
    <w:rsid w:val="2E503DA4"/>
    <w:rsid w:val="2E5A3DAC"/>
    <w:rsid w:val="2E620EB2"/>
    <w:rsid w:val="2E666BF4"/>
    <w:rsid w:val="2E692241"/>
    <w:rsid w:val="2E6C3ADF"/>
    <w:rsid w:val="2E6F255D"/>
    <w:rsid w:val="2E7D3F3E"/>
    <w:rsid w:val="2E8121D3"/>
    <w:rsid w:val="2E871EC5"/>
    <w:rsid w:val="2E933762"/>
    <w:rsid w:val="2E941547"/>
    <w:rsid w:val="2E964C51"/>
    <w:rsid w:val="2E9B17D4"/>
    <w:rsid w:val="2EA43279"/>
    <w:rsid w:val="2EA66FF1"/>
    <w:rsid w:val="2EA76158"/>
    <w:rsid w:val="2EA8527E"/>
    <w:rsid w:val="2EB57234"/>
    <w:rsid w:val="2EB86D24"/>
    <w:rsid w:val="2EC036AA"/>
    <w:rsid w:val="2EC447A8"/>
    <w:rsid w:val="2EC61441"/>
    <w:rsid w:val="2EC658E5"/>
    <w:rsid w:val="2ED04C56"/>
    <w:rsid w:val="2ED52B51"/>
    <w:rsid w:val="2ED84BF3"/>
    <w:rsid w:val="2EDB5647"/>
    <w:rsid w:val="2EDE198D"/>
    <w:rsid w:val="2EE07091"/>
    <w:rsid w:val="2EE23DA1"/>
    <w:rsid w:val="2EE8124D"/>
    <w:rsid w:val="2EEB3364"/>
    <w:rsid w:val="2EF44200"/>
    <w:rsid w:val="2EF57F78"/>
    <w:rsid w:val="2F045487"/>
    <w:rsid w:val="2F097580"/>
    <w:rsid w:val="2F141477"/>
    <w:rsid w:val="2F193C67"/>
    <w:rsid w:val="2F1A178D"/>
    <w:rsid w:val="2F230642"/>
    <w:rsid w:val="2F266384"/>
    <w:rsid w:val="2F2E6FE6"/>
    <w:rsid w:val="2F365D7C"/>
    <w:rsid w:val="2F3A598B"/>
    <w:rsid w:val="2F407445"/>
    <w:rsid w:val="2F440E1F"/>
    <w:rsid w:val="2F463E9F"/>
    <w:rsid w:val="2F4F4B8D"/>
    <w:rsid w:val="2F4F58DB"/>
    <w:rsid w:val="2F5527C5"/>
    <w:rsid w:val="2F5E1BE0"/>
    <w:rsid w:val="2F70493F"/>
    <w:rsid w:val="2F733BEC"/>
    <w:rsid w:val="2F740A64"/>
    <w:rsid w:val="2F745341"/>
    <w:rsid w:val="2F7610B9"/>
    <w:rsid w:val="2F793865"/>
    <w:rsid w:val="2F7B047E"/>
    <w:rsid w:val="2F7C41F6"/>
    <w:rsid w:val="2F7C5BD1"/>
    <w:rsid w:val="2F7C5FA4"/>
    <w:rsid w:val="2F7E7F6E"/>
    <w:rsid w:val="2F860BD0"/>
    <w:rsid w:val="2F91569A"/>
    <w:rsid w:val="2F917CA1"/>
    <w:rsid w:val="2F9718C9"/>
    <w:rsid w:val="2F9A2A9B"/>
    <w:rsid w:val="2FA32702"/>
    <w:rsid w:val="2FAD2601"/>
    <w:rsid w:val="2FB026FE"/>
    <w:rsid w:val="2FB4325C"/>
    <w:rsid w:val="2FB475A5"/>
    <w:rsid w:val="2FB550E0"/>
    <w:rsid w:val="2FB716BC"/>
    <w:rsid w:val="2FBE7AFB"/>
    <w:rsid w:val="2FC105A1"/>
    <w:rsid w:val="2FC326B9"/>
    <w:rsid w:val="2FC55B9D"/>
    <w:rsid w:val="2FC837DA"/>
    <w:rsid w:val="2FCD67FF"/>
    <w:rsid w:val="2FD577C1"/>
    <w:rsid w:val="2FD70E5E"/>
    <w:rsid w:val="2FD933F6"/>
    <w:rsid w:val="2FDE6441"/>
    <w:rsid w:val="2FEA5603"/>
    <w:rsid w:val="2FEC2B4C"/>
    <w:rsid w:val="2FF7387C"/>
    <w:rsid w:val="2FFA3281"/>
    <w:rsid w:val="2FFD64DA"/>
    <w:rsid w:val="2FFF4E76"/>
    <w:rsid w:val="30085A89"/>
    <w:rsid w:val="300D4298"/>
    <w:rsid w:val="300E12F2"/>
    <w:rsid w:val="301C40BE"/>
    <w:rsid w:val="301D32E3"/>
    <w:rsid w:val="301E2414"/>
    <w:rsid w:val="30201025"/>
    <w:rsid w:val="30231051"/>
    <w:rsid w:val="30243DF7"/>
    <w:rsid w:val="30281C88"/>
    <w:rsid w:val="3031382E"/>
    <w:rsid w:val="30343D36"/>
    <w:rsid w:val="30390D84"/>
    <w:rsid w:val="30442F65"/>
    <w:rsid w:val="30556F21"/>
    <w:rsid w:val="30562C99"/>
    <w:rsid w:val="3059657D"/>
    <w:rsid w:val="305C2C5A"/>
    <w:rsid w:val="30637A5C"/>
    <w:rsid w:val="306A22A0"/>
    <w:rsid w:val="306A4DF7"/>
    <w:rsid w:val="306C59E5"/>
    <w:rsid w:val="306E7FE2"/>
    <w:rsid w:val="306F78B6"/>
    <w:rsid w:val="3072236C"/>
    <w:rsid w:val="307D0225"/>
    <w:rsid w:val="307D6477"/>
    <w:rsid w:val="308415B4"/>
    <w:rsid w:val="30847806"/>
    <w:rsid w:val="30894052"/>
    <w:rsid w:val="30913CD1"/>
    <w:rsid w:val="309317F7"/>
    <w:rsid w:val="30983075"/>
    <w:rsid w:val="30A43A04"/>
    <w:rsid w:val="30A56B20"/>
    <w:rsid w:val="30A65A08"/>
    <w:rsid w:val="30AF64B9"/>
    <w:rsid w:val="30B47E7A"/>
    <w:rsid w:val="30B8580E"/>
    <w:rsid w:val="30BD0622"/>
    <w:rsid w:val="30C16364"/>
    <w:rsid w:val="30C4049D"/>
    <w:rsid w:val="30C45E54"/>
    <w:rsid w:val="30D05D96"/>
    <w:rsid w:val="30D20571"/>
    <w:rsid w:val="30D2475E"/>
    <w:rsid w:val="30D836AE"/>
    <w:rsid w:val="30D8545C"/>
    <w:rsid w:val="30E92094"/>
    <w:rsid w:val="30EE2ED1"/>
    <w:rsid w:val="30FD4EC2"/>
    <w:rsid w:val="30FF2EAD"/>
    <w:rsid w:val="3106646D"/>
    <w:rsid w:val="310A77EA"/>
    <w:rsid w:val="310D15A9"/>
    <w:rsid w:val="310F17F5"/>
    <w:rsid w:val="31140B8A"/>
    <w:rsid w:val="31207AE6"/>
    <w:rsid w:val="312245A1"/>
    <w:rsid w:val="312406A1"/>
    <w:rsid w:val="312730F3"/>
    <w:rsid w:val="3143321D"/>
    <w:rsid w:val="314C5AA4"/>
    <w:rsid w:val="31501496"/>
    <w:rsid w:val="31520047"/>
    <w:rsid w:val="31527E83"/>
    <w:rsid w:val="3159659D"/>
    <w:rsid w:val="31682C84"/>
    <w:rsid w:val="316A69FC"/>
    <w:rsid w:val="316E3BAC"/>
    <w:rsid w:val="31736083"/>
    <w:rsid w:val="31772AF1"/>
    <w:rsid w:val="31790274"/>
    <w:rsid w:val="317909ED"/>
    <w:rsid w:val="317A6513"/>
    <w:rsid w:val="317F1D2F"/>
    <w:rsid w:val="318C4BC4"/>
    <w:rsid w:val="319B6BB5"/>
    <w:rsid w:val="319C292D"/>
    <w:rsid w:val="31A0546B"/>
    <w:rsid w:val="31A33CBC"/>
    <w:rsid w:val="31A35A6A"/>
    <w:rsid w:val="31A517E2"/>
    <w:rsid w:val="31A812D2"/>
    <w:rsid w:val="31A94281"/>
    <w:rsid w:val="31B47C77"/>
    <w:rsid w:val="31BB1005"/>
    <w:rsid w:val="31BB7257"/>
    <w:rsid w:val="31C0486E"/>
    <w:rsid w:val="31C2383F"/>
    <w:rsid w:val="31C84771"/>
    <w:rsid w:val="31CA56EC"/>
    <w:rsid w:val="31D65E3F"/>
    <w:rsid w:val="31DC2E9C"/>
    <w:rsid w:val="31DF4330"/>
    <w:rsid w:val="31E30C4B"/>
    <w:rsid w:val="31E5789F"/>
    <w:rsid w:val="31E63BA8"/>
    <w:rsid w:val="31EA3699"/>
    <w:rsid w:val="31EC7411"/>
    <w:rsid w:val="32116E77"/>
    <w:rsid w:val="3220530C"/>
    <w:rsid w:val="322070BA"/>
    <w:rsid w:val="3227669B"/>
    <w:rsid w:val="32285F6F"/>
    <w:rsid w:val="32291158"/>
    <w:rsid w:val="3239017C"/>
    <w:rsid w:val="323F1C36"/>
    <w:rsid w:val="32476D3D"/>
    <w:rsid w:val="324803BF"/>
    <w:rsid w:val="32492D79"/>
    <w:rsid w:val="32496611"/>
    <w:rsid w:val="324D000F"/>
    <w:rsid w:val="32505363"/>
    <w:rsid w:val="32523D98"/>
    <w:rsid w:val="32546C1E"/>
    <w:rsid w:val="32553A33"/>
    <w:rsid w:val="32580F24"/>
    <w:rsid w:val="325B00F2"/>
    <w:rsid w:val="325B27ED"/>
    <w:rsid w:val="325F4087"/>
    <w:rsid w:val="32681EA9"/>
    <w:rsid w:val="326A2775"/>
    <w:rsid w:val="3277050E"/>
    <w:rsid w:val="327F6CA0"/>
    <w:rsid w:val="32803FFD"/>
    <w:rsid w:val="32851B1A"/>
    <w:rsid w:val="32867865"/>
    <w:rsid w:val="32877139"/>
    <w:rsid w:val="328C4750"/>
    <w:rsid w:val="328C5E3C"/>
    <w:rsid w:val="32945358"/>
    <w:rsid w:val="3294550E"/>
    <w:rsid w:val="32963820"/>
    <w:rsid w:val="32A23F73"/>
    <w:rsid w:val="32B048E2"/>
    <w:rsid w:val="32B11A86"/>
    <w:rsid w:val="32B40DBF"/>
    <w:rsid w:val="32C57C62"/>
    <w:rsid w:val="32CE4D68"/>
    <w:rsid w:val="32CF5ADE"/>
    <w:rsid w:val="32D3237F"/>
    <w:rsid w:val="32D4481C"/>
    <w:rsid w:val="32DA195F"/>
    <w:rsid w:val="32E93950"/>
    <w:rsid w:val="32F30808"/>
    <w:rsid w:val="32F756F3"/>
    <w:rsid w:val="32FF15C5"/>
    <w:rsid w:val="32FF2A4A"/>
    <w:rsid w:val="33072028"/>
    <w:rsid w:val="33131776"/>
    <w:rsid w:val="331623E5"/>
    <w:rsid w:val="331A7FAD"/>
    <w:rsid w:val="33244988"/>
    <w:rsid w:val="3324727F"/>
    <w:rsid w:val="3328091C"/>
    <w:rsid w:val="333A23FE"/>
    <w:rsid w:val="333C7F24"/>
    <w:rsid w:val="33420F85"/>
    <w:rsid w:val="33492641"/>
    <w:rsid w:val="33572FB0"/>
    <w:rsid w:val="335A65FC"/>
    <w:rsid w:val="335C05C6"/>
    <w:rsid w:val="335D48E6"/>
    <w:rsid w:val="335F00B6"/>
    <w:rsid w:val="33601347"/>
    <w:rsid w:val="3361798A"/>
    <w:rsid w:val="336D1AD6"/>
    <w:rsid w:val="33723946"/>
    <w:rsid w:val="33743B62"/>
    <w:rsid w:val="337E22EA"/>
    <w:rsid w:val="33803935"/>
    <w:rsid w:val="33833DA5"/>
    <w:rsid w:val="33843679"/>
    <w:rsid w:val="338A6981"/>
    <w:rsid w:val="338B4A07"/>
    <w:rsid w:val="33912B1A"/>
    <w:rsid w:val="339D7617"/>
    <w:rsid w:val="33A02192"/>
    <w:rsid w:val="33A77124"/>
    <w:rsid w:val="33B43F5E"/>
    <w:rsid w:val="33B73835"/>
    <w:rsid w:val="33B835ED"/>
    <w:rsid w:val="33CA3782"/>
    <w:rsid w:val="33CC044C"/>
    <w:rsid w:val="33CF6FEA"/>
    <w:rsid w:val="33D60378"/>
    <w:rsid w:val="33D95773"/>
    <w:rsid w:val="33DC5263"/>
    <w:rsid w:val="33E24718"/>
    <w:rsid w:val="33ED56C2"/>
    <w:rsid w:val="33ED5C9D"/>
    <w:rsid w:val="33ED63F9"/>
    <w:rsid w:val="33F627C9"/>
    <w:rsid w:val="33F9704D"/>
    <w:rsid w:val="33FB393B"/>
    <w:rsid w:val="340160C2"/>
    <w:rsid w:val="34017DC6"/>
    <w:rsid w:val="34031313"/>
    <w:rsid w:val="3409704A"/>
    <w:rsid w:val="340D7B12"/>
    <w:rsid w:val="341C4A20"/>
    <w:rsid w:val="341E587B"/>
    <w:rsid w:val="34216716"/>
    <w:rsid w:val="34272982"/>
    <w:rsid w:val="342A6CDC"/>
    <w:rsid w:val="342B073F"/>
    <w:rsid w:val="342B1D46"/>
    <w:rsid w:val="342D3D10"/>
    <w:rsid w:val="34311A53"/>
    <w:rsid w:val="343152AF"/>
    <w:rsid w:val="34391824"/>
    <w:rsid w:val="3443119F"/>
    <w:rsid w:val="344931C5"/>
    <w:rsid w:val="344D3EC0"/>
    <w:rsid w:val="344E1C6F"/>
    <w:rsid w:val="34526D71"/>
    <w:rsid w:val="345352E6"/>
    <w:rsid w:val="345E163C"/>
    <w:rsid w:val="3468501E"/>
    <w:rsid w:val="34750606"/>
    <w:rsid w:val="347656B7"/>
    <w:rsid w:val="34781430"/>
    <w:rsid w:val="34824EE6"/>
    <w:rsid w:val="34841945"/>
    <w:rsid w:val="3488219A"/>
    <w:rsid w:val="34897199"/>
    <w:rsid w:val="348D6F5D"/>
    <w:rsid w:val="34930017"/>
    <w:rsid w:val="34936269"/>
    <w:rsid w:val="3494763A"/>
    <w:rsid w:val="34951FE2"/>
    <w:rsid w:val="34967B08"/>
    <w:rsid w:val="349C431A"/>
    <w:rsid w:val="34B44B59"/>
    <w:rsid w:val="34B90A7B"/>
    <w:rsid w:val="34BD4F0D"/>
    <w:rsid w:val="34C5335C"/>
    <w:rsid w:val="34C71A6F"/>
    <w:rsid w:val="34CA77B1"/>
    <w:rsid w:val="34D00307"/>
    <w:rsid w:val="34D3493A"/>
    <w:rsid w:val="34D66156"/>
    <w:rsid w:val="34DC1F18"/>
    <w:rsid w:val="34E44283"/>
    <w:rsid w:val="34E72111"/>
    <w:rsid w:val="34E93DD1"/>
    <w:rsid w:val="34E95E89"/>
    <w:rsid w:val="34E96C65"/>
    <w:rsid w:val="34EB1C02"/>
    <w:rsid w:val="34F854DE"/>
    <w:rsid w:val="34F85A73"/>
    <w:rsid w:val="35067E71"/>
    <w:rsid w:val="35074561"/>
    <w:rsid w:val="350F73DF"/>
    <w:rsid w:val="35134CB4"/>
    <w:rsid w:val="35156C7E"/>
    <w:rsid w:val="352D1338"/>
    <w:rsid w:val="353266A5"/>
    <w:rsid w:val="35357321"/>
    <w:rsid w:val="35377ED2"/>
    <w:rsid w:val="353F2671"/>
    <w:rsid w:val="35421855"/>
    <w:rsid w:val="35466E38"/>
    <w:rsid w:val="354D56DA"/>
    <w:rsid w:val="355552CD"/>
    <w:rsid w:val="355D0CEA"/>
    <w:rsid w:val="355E5C87"/>
    <w:rsid w:val="35645510"/>
    <w:rsid w:val="356A1E08"/>
    <w:rsid w:val="356A2694"/>
    <w:rsid w:val="356A4AAD"/>
    <w:rsid w:val="357A2F85"/>
    <w:rsid w:val="357E2A76"/>
    <w:rsid w:val="357F2005"/>
    <w:rsid w:val="35815A13"/>
    <w:rsid w:val="358677AD"/>
    <w:rsid w:val="358B0CEF"/>
    <w:rsid w:val="35904557"/>
    <w:rsid w:val="35973B37"/>
    <w:rsid w:val="35A3428A"/>
    <w:rsid w:val="35A468E8"/>
    <w:rsid w:val="35A85D44"/>
    <w:rsid w:val="35A90AF7"/>
    <w:rsid w:val="35C30488"/>
    <w:rsid w:val="35C366DA"/>
    <w:rsid w:val="35C44201"/>
    <w:rsid w:val="35C80866"/>
    <w:rsid w:val="35CD1307"/>
    <w:rsid w:val="35D00DF7"/>
    <w:rsid w:val="35D02BA5"/>
    <w:rsid w:val="35E30B2B"/>
    <w:rsid w:val="35E623C9"/>
    <w:rsid w:val="35EA010B"/>
    <w:rsid w:val="35EB1FD3"/>
    <w:rsid w:val="35ED756B"/>
    <w:rsid w:val="35F02628"/>
    <w:rsid w:val="35FA0B23"/>
    <w:rsid w:val="360A4309"/>
    <w:rsid w:val="360D204B"/>
    <w:rsid w:val="360F1018"/>
    <w:rsid w:val="36115850"/>
    <w:rsid w:val="36140CE4"/>
    <w:rsid w:val="361A4FF4"/>
    <w:rsid w:val="361C403D"/>
    <w:rsid w:val="361F1C11"/>
    <w:rsid w:val="362353CB"/>
    <w:rsid w:val="3638029F"/>
    <w:rsid w:val="3639699D"/>
    <w:rsid w:val="363B2715"/>
    <w:rsid w:val="364315C9"/>
    <w:rsid w:val="364542F2"/>
    <w:rsid w:val="364610BA"/>
    <w:rsid w:val="36462E68"/>
    <w:rsid w:val="36483084"/>
    <w:rsid w:val="36486BE0"/>
    <w:rsid w:val="36552860"/>
    <w:rsid w:val="365E2A58"/>
    <w:rsid w:val="36637EBD"/>
    <w:rsid w:val="36687282"/>
    <w:rsid w:val="366A2C1E"/>
    <w:rsid w:val="366A2FFA"/>
    <w:rsid w:val="366D6646"/>
    <w:rsid w:val="366F0610"/>
    <w:rsid w:val="36734038"/>
    <w:rsid w:val="36864425"/>
    <w:rsid w:val="368E48BF"/>
    <w:rsid w:val="368F6941"/>
    <w:rsid w:val="369462C9"/>
    <w:rsid w:val="36987B67"/>
    <w:rsid w:val="369B4B43"/>
    <w:rsid w:val="369D33CF"/>
    <w:rsid w:val="369E0F69"/>
    <w:rsid w:val="36A31332"/>
    <w:rsid w:val="36A84910"/>
    <w:rsid w:val="36A93B22"/>
    <w:rsid w:val="36AA5AEC"/>
    <w:rsid w:val="36AB0F97"/>
    <w:rsid w:val="36AC3225"/>
    <w:rsid w:val="36AE0FE6"/>
    <w:rsid w:val="36B0509B"/>
    <w:rsid w:val="36B10CBA"/>
    <w:rsid w:val="36B9188B"/>
    <w:rsid w:val="36BE24FF"/>
    <w:rsid w:val="36C16C05"/>
    <w:rsid w:val="36D32EE9"/>
    <w:rsid w:val="36E302E1"/>
    <w:rsid w:val="36E36908"/>
    <w:rsid w:val="36EA5EE9"/>
    <w:rsid w:val="36F40B16"/>
    <w:rsid w:val="36F668C1"/>
    <w:rsid w:val="36FB349D"/>
    <w:rsid w:val="37076A9B"/>
    <w:rsid w:val="37084165"/>
    <w:rsid w:val="370A20E7"/>
    <w:rsid w:val="37164F30"/>
    <w:rsid w:val="37176A6D"/>
    <w:rsid w:val="37182A56"/>
    <w:rsid w:val="37191D4D"/>
    <w:rsid w:val="371A67E9"/>
    <w:rsid w:val="371F65FA"/>
    <w:rsid w:val="37237D07"/>
    <w:rsid w:val="372633C5"/>
    <w:rsid w:val="372C02AF"/>
    <w:rsid w:val="37335AE2"/>
    <w:rsid w:val="37355240"/>
    <w:rsid w:val="37362EDC"/>
    <w:rsid w:val="37375E56"/>
    <w:rsid w:val="373A6628"/>
    <w:rsid w:val="373E204D"/>
    <w:rsid w:val="37464019"/>
    <w:rsid w:val="374D297B"/>
    <w:rsid w:val="375060A8"/>
    <w:rsid w:val="37553E76"/>
    <w:rsid w:val="375A7A49"/>
    <w:rsid w:val="375C6DE7"/>
    <w:rsid w:val="375D490D"/>
    <w:rsid w:val="37660D8E"/>
    <w:rsid w:val="376A7951"/>
    <w:rsid w:val="376E6B1A"/>
    <w:rsid w:val="377063EE"/>
    <w:rsid w:val="377558C0"/>
    <w:rsid w:val="37773C20"/>
    <w:rsid w:val="37806095"/>
    <w:rsid w:val="378B76CC"/>
    <w:rsid w:val="3793032E"/>
    <w:rsid w:val="37971BCD"/>
    <w:rsid w:val="379A790F"/>
    <w:rsid w:val="379C3687"/>
    <w:rsid w:val="379E4A13"/>
    <w:rsid w:val="379F6CD3"/>
    <w:rsid w:val="37B22EAA"/>
    <w:rsid w:val="37B24C58"/>
    <w:rsid w:val="37B409D1"/>
    <w:rsid w:val="37B94697"/>
    <w:rsid w:val="37BF30E5"/>
    <w:rsid w:val="37C170DA"/>
    <w:rsid w:val="37C52C4B"/>
    <w:rsid w:val="37C57671"/>
    <w:rsid w:val="37C60704"/>
    <w:rsid w:val="37CB2F5F"/>
    <w:rsid w:val="37CD7CA5"/>
    <w:rsid w:val="37CE75B8"/>
    <w:rsid w:val="37D67EF7"/>
    <w:rsid w:val="37DA443D"/>
    <w:rsid w:val="37E24D33"/>
    <w:rsid w:val="37E312B6"/>
    <w:rsid w:val="37E42938"/>
    <w:rsid w:val="37E776C2"/>
    <w:rsid w:val="37E87464"/>
    <w:rsid w:val="37F012DD"/>
    <w:rsid w:val="37F02623"/>
    <w:rsid w:val="37F039D3"/>
    <w:rsid w:val="37F37919"/>
    <w:rsid w:val="37F6B81F"/>
    <w:rsid w:val="37F9484D"/>
    <w:rsid w:val="37FA1204"/>
    <w:rsid w:val="37FA28CA"/>
    <w:rsid w:val="37FD7F7E"/>
    <w:rsid w:val="37FE7E9E"/>
    <w:rsid w:val="3809239F"/>
    <w:rsid w:val="3810372D"/>
    <w:rsid w:val="3814603E"/>
    <w:rsid w:val="381579AD"/>
    <w:rsid w:val="381C20D2"/>
    <w:rsid w:val="381D4B68"/>
    <w:rsid w:val="382014AF"/>
    <w:rsid w:val="382F040D"/>
    <w:rsid w:val="383264BD"/>
    <w:rsid w:val="38343179"/>
    <w:rsid w:val="383438BF"/>
    <w:rsid w:val="38394C49"/>
    <w:rsid w:val="38415FDC"/>
    <w:rsid w:val="38417D8A"/>
    <w:rsid w:val="384356DD"/>
    <w:rsid w:val="38482EC7"/>
    <w:rsid w:val="3851592F"/>
    <w:rsid w:val="3852678F"/>
    <w:rsid w:val="385C3B92"/>
    <w:rsid w:val="385C5F52"/>
    <w:rsid w:val="385D4C77"/>
    <w:rsid w:val="385E6B8E"/>
    <w:rsid w:val="385F2C7B"/>
    <w:rsid w:val="3862667F"/>
    <w:rsid w:val="388008B3"/>
    <w:rsid w:val="38815E1A"/>
    <w:rsid w:val="3885236D"/>
    <w:rsid w:val="388A34DF"/>
    <w:rsid w:val="388D4D7E"/>
    <w:rsid w:val="389A08FE"/>
    <w:rsid w:val="38A26A7B"/>
    <w:rsid w:val="38A74DA6"/>
    <w:rsid w:val="38AB040C"/>
    <w:rsid w:val="38AC5B4C"/>
    <w:rsid w:val="38B22A36"/>
    <w:rsid w:val="38BA31C2"/>
    <w:rsid w:val="38BD5663"/>
    <w:rsid w:val="38BE13DB"/>
    <w:rsid w:val="38BF3599"/>
    <w:rsid w:val="38C712F0"/>
    <w:rsid w:val="38C866DA"/>
    <w:rsid w:val="38C904AC"/>
    <w:rsid w:val="38CA4224"/>
    <w:rsid w:val="38CA5FD2"/>
    <w:rsid w:val="38D33CF5"/>
    <w:rsid w:val="38D4477E"/>
    <w:rsid w:val="38E3497C"/>
    <w:rsid w:val="38E77351"/>
    <w:rsid w:val="38E91E85"/>
    <w:rsid w:val="38EA0422"/>
    <w:rsid w:val="38F202B5"/>
    <w:rsid w:val="38F27F4A"/>
    <w:rsid w:val="38F66DC7"/>
    <w:rsid w:val="38FE5C7B"/>
    <w:rsid w:val="39006C13"/>
    <w:rsid w:val="390A1070"/>
    <w:rsid w:val="391060DB"/>
    <w:rsid w:val="39162FC5"/>
    <w:rsid w:val="3917707D"/>
    <w:rsid w:val="391E2A42"/>
    <w:rsid w:val="3942200C"/>
    <w:rsid w:val="394878BA"/>
    <w:rsid w:val="39496958"/>
    <w:rsid w:val="395064D7"/>
    <w:rsid w:val="39554A52"/>
    <w:rsid w:val="395D0BF4"/>
    <w:rsid w:val="395F496C"/>
    <w:rsid w:val="396401D4"/>
    <w:rsid w:val="39653912"/>
    <w:rsid w:val="396F26D5"/>
    <w:rsid w:val="3971644D"/>
    <w:rsid w:val="39761CB6"/>
    <w:rsid w:val="39777E72"/>
    <w:rsid w:val="39783EF9"/>
    <w:rsid w:val="398B18E3"/>
    <w:rsid w:val="39900922"/>
    <w:rsid w:val="399132C6"/>
    <w:rsid w:val="399E1130"/>
    <w:rsid w:val="39A36EB5"/>
    <w:rsid w:val="39AC56D7"/>
    <w:rsid w:val="39AD3929"/>
    <w:rsid w:val="39B527DE"/>
    <w:rsid w:val="39BD78E5"/>
    <w:rsid w:val="39C11183"/>
    <w:rsid w:val="39C3314D"/>
    <w:rsid w:val="39C47CF3"/>
    <w:rsid w:val="39CB1875"/>
    <w:rsid w:val="39CB5732"/>
    <w:rsid w:val="39D23390"/>
    <w:rsid w:val="39D52E80"/>
    <w:rsid w:val="39D92C3F"/>
    <w:rsid w:val="39E66E3B"/>
    <w:rsid w:val="39EB26A4"/>
    <w:rsid w:val="39ED1F78"/>
    <w:rsid w:val="39F2758E"/>
    <w:rsid w:val="39F33306"/>
    <w:rsid w:val="39F63B7A"/>
    <w:rsid w:val="39FB6819"/>
    <w:rsid w:val="3A04598C"/>
    <w:rsid w:val="3A0722B3"/>
    <w:rsid w:val="3A0B74D8"/>
    <w:rsid w:val="3A156792"/>
    <w:rsid w:val="3A157DA2"/>
    <w:rsid w:val="3A1945F5"/>
    <w:rsid w:val="3A1C0AAF"/>
    <w:rsid w:val="3A1C285D"/>
    <w:rsid w:val="3A1C460B"/>
    <w:rsid w:val="3A231E3E"/>
    <w:rsid w:val="3A2644FB"/>
    <w:rsid w:val="3A2B6835"/>
    <w:rsid w:val="3A2C4FAA"/>
    <w:rsid w:val="3A311CDB"/>
    <w:rsid w:val="3A322081"/>
    <w:rsid w:val="3A325A3D"/>
    <w:rsid w:val="3A325BDD"/>
    <w:rsid w:val="3A3C2EFF"/>
    <w:rsid w:val="3A45454A"/>
    <w:rsid w:val="3A4B6C9E"/>
    <w:rsid w:val="3A4D1D3F"/>
    <w:rsid w:val="3A4F49E1"/>
    <w:rsid w:val="3A52002D"/>
    <w:rsid w:val="3A5B15D7"/>
    <w:rsid w:val="3A5B3385"/>
    <w:rsid w:val="3A5E4C24"/>
    <w:rsid w:val="3A5F274A"/>
    <w:rsid w:val="3A613F9D"/>
    <w:rsid w:val="3A654204"/>
    <w:rsid w:val="3A673743"/>
    <w:rsid w:val="3A704957"/>
    <w:rsid w:val="3A707DE1"/>
    <w:rsid w:val="3A816B64"/>
    <w:rsid w:val="3A823F42"/>
    <w:rsid w:val="3A825DDE"/>
    <w:rsid w:val="3A87079F"/>
    <w:rsid w:val="3A872B9C"/>
    <w:rsid w:val="3A8C165E"/>
    <w:rsid w:val="3A8F7ACF"/>
    <w:rsid w:val="3A9050A0"/>
    <w:rsid w:val="3A9E7716"/>
    <w:rsid w:val="3AA47D0C"/>
    <w:rsid w:val="3AA765CB"/>
    <w:rsid w:val="3AB22765"/>
    <w:rsid w:val="3AB24DAC"/>
    <w:rsid w:val="3AB40CE8"/>
    <w:rsid w:val="3ABA0EF7"/>
    <w:rsid w:val="3ABC3410"/>
    <w:rsid w:val="3ABD274E"/>
    <w:rsid w:val="3ABD5DEE"/>
    <w:rsid w:val="3AC0143A"/>
    <w:rsid w:val="3AC058DE"/>
    <w:rsid w:val="3AC4220A"/>
    <w:rsid w:val="3AC52EF5"/>
    <w:rsid w:val="3AC76C6D"/>
    <w:rsid w:val="3AC802EF"/>
    <w:rsid w:val="3ACC0BF2"/>
    <w:rsid w:val="3ACC330C"/>
    <w:rsid w:val="3AD76784"/>
    <w:rsid w:val="3ADA04E1"/>
    <w:rsid w:val="3ADB429B"/>
    <w:rsid w:val="3AE27603"/>
    <w:rsid w:val="3AEF1D20"/>
    <w:rsid w:val="3B063EA2"/>
    <w:rsid w:val="3B084B8F"/>
    <w:rsid w:val="3B0E5B13"/>
    <w:rsid w:val="3B141786"/>
    <w:rsid w:val="3B181276"/>
    <w:rsid w:val="3B183024"/>
    <w:rsid w:val="3B1B651A"/>
    <w:rsid w:val="3B1F2605"/>
    <w:rsid w:val="3B286FE0"/>
    <w:rsid w:val="3B2F1886"/>
    <w:rsid w:val="3B3360B0"/>
    <w:rsid w:val="3B375D87"/>
    <w:rsid w:val="3B45377E"/>
    <w:rsid w:val="3B471B5C"/>
    <w:rsid w:val="3B576FDB"/>
    <w:rsid w:val="3B5B73B5"/>
    <w:rsid w:val="3B6049CB"/>
    <w:rsid w:val="3B6224F2"/>
    <w:rsid w:val="3B6538F7"/>
    <w:rsid w:val="3B653D90"/>
    <w:rsid w:val="3B6C15C2"/>
    <w:rsid w:val="3B6E533A"/>
    <w:rsid w:val="3B6E70E8"/>
    <w:rsid w:val="3B7E2F1A"/>
    <w:rsid w:val="3B866FF0"/>
    <w:rsid w:val="3B892174"/>
    <w:rsid w:val="3B8A781E"/>
    <w:rsid w:val="3B8D51D7"/>
    <w:rsid w:val="3B8E4274"/>
    <w:rsid w:val="3B911029"/>
    <w:rsid w:val="3B9A1CAA"/>
    <w:rsid w:val="3B9C6F72"/>
    <w:rsid w:val="3BBE32F5"/>
    <w:rsid w:val="3BC15BBF"/>
    <w:rsid w:val="3BC27434"/>
    <w:rsid w:val="3BD038FF"/>
    <w:rsid w:val="3BD827B4"/>
    <w:rsid w:val="3BDA477E"/>
    <w:rsid w:val="3BDF3B42"/>
    <w:rsid w:val="3BE1671C"/>
    <w:rsid w:val="3BE64ED1"/>
    <w:rsid w:val="3BE80153"/>
    <w:rsid w:val="3BE9676F"/>
    <w:rsid w:val="3BF03FA1"/>
    <w:rsid w:val="3BFA097C"/>
    <w:rsid w:val="3BFD221A"/>
    <w:rsid w:val="3C0435A9"/>
    <w:rsid w:val="3C0B2B89"/>
    <w:rsid w:val="3C2422A7"/>
    <w:rsid w:val="3C2E51A3"/>
    <w:rsid w:val="3C2F4ACA"/>
    <w:rsid w:val="3C342025"/>
    <w:rsid w:val="3C360F52"/>
    <w:rsid w:val="3C37572C"/>
    <w:rsid w:val="3C3A521C"/>
    <w:rsid w:val="3C3D70F4"/>
    <w:rsid w:val="3C3E66B3"/>
    <w:rsid w:val="3C460065"/>
    <w:rsid w:val="3C4A0F5F"/>
    <w:rsid w:val="3C4A2B9F"/>
    <w:rsid w:val="3C4B567C"/>
    <w:rsid w:val="3C4B757E"/>
    <w:rsid w:val="3C553E04"/>
    <w:rsid w:val="3C574020"/>
    <w:rsid w:val="3C601127"/>
    <w:rsid w:val="3C677D0F"/>
    <w:rsid w:val="3C681D8A"/>
    <w:rsid w:val="3C6C2C0E"/>
    <w:rsid w:val="3C772EA8"/>
    <w:rsid w:val="3C7B1541"/>
    <w:rsid w:val="3C81292C"/>
    <w:rsid w:val="3C830972"/>
    <w:rsid w:val="3C920BB5"/>
    <w:rsid w:val="3C9506A5"/>
    <w:rsid w:val="3CA01523"/>
    <w:rsid w:val="3CA1529C"/>
    <w:rsid w:val="3CAB1C76"/>
    <w:rsid w:val="3CAC271B"/>
    <w:rsid w:val="3CAC611A"/>
    <w:rsid w:val="3CAF38D1"/>
    <w:rsid w:val="3CB20AF7"/>
    <w:rsid w:val="3CB21257"/>
    <w:rsid w:val="3CB2745A"/>
    <w:rsid w:val="3CBB481E"/>
    <w:rsid w:val="3CBE7DA9"/>
    <w:rsid w:val="3CBF5299"/>
    <w:rsid w:val="3CC1149A"/>
    <w:rsid w:val="3CC226D6"/>
    <w:rsid w:val="3CC35212"/>
    <w:rsid w:val="3CC43E13"/>
    <w:rsid w:val="3CCA65A0"/>
    <w:rsid w:val="3CCC1252"/>
    <w:rsid w:val="3CD502DC"/>
    <w:rsid w:val="3CE21B3C"/>
    <w:rsid w:val="3CE8111C"/>
    <w:rsid w:val="3CEB33F8"/>
    <w:rsid w:val="3CEB41A5"/>
    <w:rsid w:val="3CEE75C9"/>
    <w:rsid w:val="3CEF4259"/>
    <w:rsid w:val="3CFD3E4E"/>
    <w:rsid w:val="3D0A1093"/>
    <w:rsid w:val="3D0A2E41"/>
    <w:rsid w:val="3D0F0457"/>
    <w:rsid w:val="3D254E4B"/>
    <w:rsid w:val="3D255ECD"/>
    <w:rsid w:val="3D265EFE"/>
    <w:rsid w:val="3D285CC9"/>
    <w:rsid w:val="3D2B38FA"/>
    <w:rsid w:val="3D2C1009"/>
    <w:rsid w:val="3D2E2080"/>
    <w:rsid w:val="3D393726"/>
    <w:rsid w:val="3D3A6003"/>
    <w:rsid w:val="3D4A76E1"/>
    <w:rsid w:val="3D4E29E8"/>
    <w:rsid w:val="3D54230E"/>
    <w:rsid w:val="3D5A3DC8"/>
    <w:rsid w:val="3D5B18EE"/>
    <w:rsid w:val="3D5B233F"/>
    <w:rsid w:val="3D671E86"/>
    <w:rsid w:val="3D6C7D39"/>
    <w:rsid w:val="3D6E0B5B"/>
    <w:rsid w:val="3D714641"/>
    <w:rsid w:val="3D785FFC"/>
    <w:rsid w:val="3D7B5AED"/>
    <w:rsid w:val="3D8175A7"/>
    <w:rsid w:val="3D850719"/>
    <w:rsid w:val="3D89645B"/>
    <w:rsid w:val="3DA07301"/>
    <w:rsid w:val="3DA7335C"/>
    <w:rsid w:val="3DAA497A"/>
    <w:rsid w:val="3DAB463F"/>
    <w:rsid w:val="3DAB70D5"/>
    <w:rsid w:val="3DB1150E"/>
    <w:rsid w:val="3DB11AD4"/>
    <w:rsid w:val="3DB73FDF"/>
    <w:rsid w:val="3DB86D41"/>
    <w:rsid w:val="3DBA6A6E"/>
    <w:rsid w:val="3DBF00CF"/>
    <w:rsid w:val="3DDF607B"/>
    <w:rsid w:val="3DE23DBE"/>
    <w:rsid w:val="3DE47B36"/>
    <w:rsid w:val="3DE73182"/>
    <w:rsid w:val="3DE970A0"/>
    <w:rsid w:val="3DEC564C"/>
    <w:rsid w:val="3DED69EA"/>
    <w:rsid w:val="3DF902CA"/>
    <w:rsid w:val="3DFD29A6"/>
    <w:rsid w:val="3E0B26DF"/>
    <w:rsid w:val="3E0C0151"/>
    <w:rsid w:val="3E0E4BB3"/>
    <w:rsid w:val="3E114195"/>
    <w:rsid w:val="3E126451"/>
    <w:rsid w:val="3E163908"/>
    <w:rsid w:val="3E1F09A9"/>
    <w:rsid w:val="3E216694"/>
    <w:rsid w:val="3E225321"/>
    <w:rsid w:val="3E261EFC"/>
    <w:rsid w:val="3E294607"/>
    <w:rsid w:val="3E2B306F"/>
    <w:rsid w:val="3E2E615A"/>
    <w:rsid w:val="3E371A14"/>
    <w:rsid w:val="3E382E3D"/>
    <w:rsid w:val="3E3A0996"/>
    <w:rsid w:val="3E3B010A"/>
    <w:rsid w:val="3E3B10B2"/>
    <w:rsid w:val="3E46434D"/>
    <w:rsid w:val="3E4E6111"/>
    <w:rsid w:val="3E5C591E"/>
    <w:rsid w:val="3E611186"/>
    <w:rsid w:val="3E611D98"/>
    <w:rsid w:val="3E6246F2"/>
    <w:rsid w:val="3E6447D3"/>
    <w:rsid w:val="3E680921"/>
    <w:rsid w:val="3E707EA5"/>
    <w:rsid w:val="3E7A5DA4"/>
    <w:rsid w:val="3E823B07"/>
    <w:rsid w:val="3E832EAB"/>
    <w:rsid w:val="3E895FE7"/>
    <w:rsid w:val="3E8A0FA4"/>
    <w:rsid w:val="3E8A248B"/>
    <w:rsid w:val="3E921FA7"/>
    <w:rsid w:val="3E934993"/>
    <w:rsid w:val="3E944B7B"/>
    <w:rsid w:val="3E952BDE"/>
    <w:rsid w:val="3E973828"/>
    <w:rsid w:val="3E9A1FA2"/>
    <w:rsid w:val="3EA42E21"/>
    <w:rsid w:val="3EA64DEB"/>
    <w:rsid w:val="3EA82911"/>
    <w:rsid w:val="3EA87EB5"/>
    <w:rsid w:val="3EAF3CA0"/>
    <w:rsid w:val="3EB07A18"/>
    <w:rsid w:val="3EB37CE9"/>
    <w:rsid w:val="3EBA2645"/>
    <w:rsid w:val="3EBC6B3B"/>
    <w:rsid w:val="3EC7360C"/>
    <w:rsid w:val="3ECD0615"/>
    <w:rsid w:val="3ED71449"/>
    <w:rsid w:val="3ED92ACB"/>
    <w:rsid w:val="3EDA2672"/>
    <w:rsid w:val="3EE31B9B"/>
    <w:rsid w:val="3EE65ED1"/>
    <w:rsid w:val="3EE7449C"/>
    <w:rsid w:val="3EF6006E"/>
    <w:rsid w:val="3F0070A1"/>
    <w:rsid w:val="3F007EA1"/>
    <w:rsid w:val="3F022634"/>
    <w:rsid w:val="3F0C10F2"/>
    <w:rsid w:val="3F0D7CC2"/>
    <w:rsid w:val="3F15023A"/>
    <w:rsid w:val="3F154D9E"/>
    <w:rsid w:val="3F1744E3"/>
    <w:rsid w:val="3F1E31CF"/>
    <w:rsid w:val="3F221B50"/>
    <w:rsid w:val="3F2301EA"/>
    <w:rsid w:val="3F2521B4"/>
    <w:rsid w:val="3F2D72BA"/>
    <w:rsid w:val="3F3423F7"/>
    <w:rsid w:val="3F3C4DFA"/>
    <w:rsid w:val="3F4028FA"/>
    <w:rsid w:val="3F442F49"/>
    <w:rsid w:val="3F45253D"/>
    <w:rsid w:val="3F473ED8"/>
    <w:rsid w:val="3F4A5777"/>
    <w:rsid w:val="3F4F492A"/>
    <w:rsid w:val="3F510A67"/>
    <w:rsid w:val="3F5420A2"/>
    <w:rsid w:val="3F5B0B82"/>
    <w:rsid w:val="3F5B7984"/>
    <w:rsid w:val="3F5D71DE"/>
    <w:rsid w:val="3F5F459D"/>
    <w:rsid w:val="3F604F9A"/>
    <w:rsid w:val="3F656A54"/>
    <w:rsid w:val="3F6E5909"/>
    <w:rsid w:val="3F744EE9"/>
    <w:rsid w:val="3F7B1193"/>
    <w:rsid w:val="3F7D5B4C"/>
    <w:rsid w:val="3F850EA5"/>
    <w:rsid w:val="3F8630B0"/>
    <w:rsid w:val="3F8A0269"/>
    <w:rsid w:val="3F8C3FE1"/>
    <w:rsid w:val="3F8E1B07"/>
    <w:rsid w:val="3F9F1F66"/>
    <w:rsid w:val="3FA27361"/>
    <w:rsid w:val="3FA56E51"/>
    <w:rsid w:val="3FAF7CCF"/>
    <w:rsid w:val="3FB35BEC"/>
    <w:rsid w:val="3FB73A58"/>
    <w:rsid w:val="3FBA6DA0"/>
    <w:rsid w:val="3FBBF325"/>
    <w:rsid w:val="3FC03C8B"/>
    <w:rsid w:val="3FC96FE3"/>
    <w:rsid w:val="3FD414E4"/>
    <w:rsid w:val="3FD55988"/>
    <w:rsid w:val="3FD61700"/>
    <w:rsid w:val="3FD634AE"/>
    <w:rsid w:val="3FDC2527"/>
    <w:rsid w:val="3FDF08E5"/>
    <w:rsid w:val="3FE21E53"/>
    <w:rsid w:val="3FE47979"/>
    <w:rsid w:val="3FE6756A"/>
    <w:rsid w:val="3FEF0F2D"/>
    <w:rsid w:val="3FEF631E"/>
    <w:rsid w:val="3FF257A0"/>
    <w:rsid w:val="3FF35E0E"/>
    <w:rsid w:val="3FFAC349"/>
    <w:rsid w:val="3FFD8286"/>
    <w:rsid w:val="3FFE2B1F"/>
    <w:rsid w:val="3FFF47B3"/>
    <w:rsid w:val="400022D9"/>
    <w:rsid w:val="400370E7"/>
    <w:rsid w:val="4012098A"/>
    <w:rsid w:val="4013200C"/>
    <w:rsid w:val="40152228"/>
    <w:rsid w:val="40175FA1"/>
    <w:rsid w:val="40215B26"/>
    <w:rsid w:val="40356427"/>
    <w:rsid w:val="40414F3F"/>
    <w:rsid w:val="404F3FFC"/>
    <w:rsid w:val="40503261"/>
    <w:rsid w:val="4058120B"/>
    <w:rsid w:val="405D597D"/>
    <w:rsid w:val="4069269E"/>
    <w:rsid w:val="408178BE"/>
    <w:rsid w:val="40833636"/>
    <w:rsid w:val="4084115C"/>
    <w:rsid w:val="40842F0A"/>
    <w:rsid w:val="40862C43"/>
    <w:rsid w:val="408D0011"/>
    <w:rsid w:val="408F1FDB"/>
    <w:rsid w:val="4091073C"/>
    <w:rsid w:val="40955117"/>
    <w:rsid w:val="409C64A6"/>
    <w:rsid w:val="40A01882"/>
    <w:rsid w:val="40A13ABC"/>
    <w:rsid w:val="40A315E2"/>
    <w:rsid w:val="40A37834"/>
    <w:rsid w:val="40A44243"/>
    <w:rsid w:val="40A73B9C"/>
    <w:rsid w:val="40A86BF9"/>
    <w:rsid w:val="40A95F50"/>
    <w:rsid w:val="40AA0BC3"/>
    <w:rsid w:val="40AB0497"/>
    <w:rsid w:val="40AF442B"/>
    <w:rsid w:val="40B03CFF"/>
    <w:rsid w:val="40BA692C"/>
    <w:rsid w:val="40BD6BD6"/>
    <w:rsid w:val="40D55514"/>
    <w:rsid w:val="40D811E7"/>
    <w:rsid w:val="40E02836"/>
    <w:rsid w:val="40EB11DB"/>
    <w:rsid w:val="40ED4FBD"/>
    <w:rsid w:val="40EF2A79"/>
    <w:rsid w:val="40F57964"/>
    <w:rsid w:val="40F94489"/>
    <w:rsid w:val="40FE0F0E"/>
    <w:rsid w:val="40FF3796"/>
    <w:rsid w:val="41021214"/>
    <w:rsid w:val="41083B3B"/>
    <w:rsid w:val="410F68C9"/>
    <w:rsid w:val="411918A4"/>
    <w:rsid w:val="411E6EBB"/>
    <w:rsid w:val="41201061"/>
    <w:rsid w:val="41265D6F"/>
    <w:rsid w:val="412A3AB2"/>
    <w:rsid w:val="412D25B4"/>
    <w:rsid w:val="412F08A6"/>
    <w:rsid w:val="413E755D"/>
    <w:rsid w:val="41485AB3"/>
    <w:rsid w:val="414B62A2"/>
    <w:rsid w:val="41504943"/>
    <w:rsid w:val="41540B2E"/>
    <w:rsid w:val="415723CD"/>
    <w:rsid w:val="4159263F"/>
    <w:rsid w:val="41597EF3"/>
    <w:rsid w:val="41614FF9"/>
    <w:rsid w:val="41654AEA"/>
    <w:rsid w:val="41717932"/>
    <w:rsid w:val="41734B6A"/>
    <w:rsid w:val="4182569C"/>
    <w:rsid w:val="418A27A2"/>
    <w:rsid w:val="419D0727"/>
    <w:rsid w:val="41AA1E67"/>
    <w:rsid w:val="41AD1C97"/>
    <w:rsid w:val="41AF045B"/>
    <w:rsid w:val="41B66E26"/>
    <w:rsid w:val="41B810BD"/>
    <w:rsid w:val="41BC0943"/>
    <w:rsid w:val="41BC167D"/>
    <w:rsid w:val="41BC3913"/>
    <w:rsid w:val="41C05B83"/>
    <w:rsid w:val="41C23CEA"/>
    <w:rsid w:val="41C51F3F"/>
    <w:rsid w:val="41C71300"/>
    <w:rsid w:val="41CC6917"/>
    <w:rsid w:val="41CF2AA3"/>
    <w:rsid w:val="41D20C59"/>
    <w:rsid w:val="41D91034"/>
    <w:rsid w:val="41F66AB4"/>
    <w:rsid w:val="41FF6CEC"/>
    <w:rsid w:val="420B38E3"/>
    <w:rsid w:val="420C765B"/>
    <w:rsid w:val="42116B6C"/>
    <w:rsid w:val="421345E4"/>
    <w:rsid w:val="42150157"/>
    <w:rsid w:val="421554D0"/>
    <w:rsid w:val="42187DAE"/>
    <w:rsid w:val="421B09D2"/>
    <w:rsid w:val="421D10B7"/>
    <w:rsid w:val="421F738E"/>
    <w:rsid w:val="42205ACD"/>
    <w:rsid w:val="42347335"/>
    <w:rsid w:val="42347740"/>
    <w:rsid w:val="423A5F76"/>
    <w:rsid w:val="423D7815"/>
    <w:rsid w:val="42426BD9"/>
    <w:rsid w:val="42447A1F"/>
    <w:rsid w:val="424A47ED"/>
    <w:rsid w:val="42553EE8"/>
    <w:rsid w:val="42566C19"/>
    <w:rsid w:val="425D3A13"/>
    <w:rsid w:val="425F3C2F"/>
    <w:rsid w:val="426113AB"/>
    <w:rsid w:val="426D56E2"/>
    <w:rsid w:val="426E09AF"/>
    <w:rsid w:val="427C7633"/>
    <w:rsid w:val="427F607F"/>
    <w:rsid w:val="42834F1E"/>
    <w:rsid w:val="42851552"/>
    <w:rsid w:val="428D254A"/>
    <w:rsid w:val="429513FF"/>
    <w:rsid w:val="42A17DA3"/>
    <w:rsid w:val="42A94972"/>
    <w:rsid w:val="42AB3B75"/>
    <w:rsid w:val="42B07FE6"/>
    <w:rsid w:val="42B5384F"/>
    <w:rsid w:val="42B55273"/>
    <w:rsid w:val="42BC2E2F"/>
    <w:rsid w:val="42C817D4"/>
    <w:rsid w:val="42CF5E08"/>
    <w:rsid w:val="42D52BD6"/>
    <w:rsid w:val="42D812EB"/>
    <w:rsid w:val="42E309D3"/>
    <w:rsid w:val="42E75CBD"/>
    <w:rsid w:val="42EA174A"/>
    <w:rsid w:val="42EA3629"/>
    <w:rsid w:val="42F26851"/>
    <w:rsid w:val="43030902"/>
    <w:rsid w:val="430622FC"/>
    <w:rsid w:val="43080135"/>
    <w:rsid w:val="430A3B9B"/>
    <w:rsid w:val="430B346F"/>
    <w:rsid w:val="430F7403"/>
    <w:rsid w:val="4326474D"/>
    <w:rsid w:val="432A3CA1"/>
    <w:rsid w:val="432B281E"/>
    <w:rsid w:val="43305C4F"/>
    <w:rsid w:val="4335673E"/>
    <w:rsid w:val="43394480"/>
    <w:rsid w:val="434500D6"/>
    <w:rsid w:val="43482915"/>
    <w:rsid w:val="434846C3"/>
    <w:rsid w:val="434A3F97"/>
    <w:rsid w:val="434F5A51"/>
    <w:rsid w:val="435B7631"/>
    <w:rsid w:val="43670FED"/>
    <w:rsid w:val="43721740"/>
    <w:rsid w:val="43747266"/>
    <w:rsid w:val="437E1E93"/>
    <w:rsid w:val="4380199C"/>
    <w:rsid w:val="43860D47"/>
    <w:rsid w:val="43994F1E"/>
    <w:rsid w:val="43A23DD3"/>
    <w:rsid w:val="43BE0F70"/>
    <w:rsid w:val="43CC33E2"/>
    <w:rsid w:val="43D23F8D"/>
    <w:rsid w:val="43D517B9"/>
    <w:rsid w:val="43D85A47"/>
    <w:rsid w:val="43E066A9"/>
    <w:rsid w:val="43E6713E"/>
    <w:rsid w:val="43E72937"/>
    <w:rsid w:val="43E97C54"/>
    <w:rsid w:val="43F263DD"/>
    <w:rsid w:val="43F32EA9"/>
    <w:rsid w:val="43F839F3"/>
    <w:rsid w:val="43F959BD"/>
    <w:rsid w:val="43FC6FC6"/>
    <w:rsid w:val="44054362"/>
    <w:rsid w:val="44073946"/>
    <w:rsid w:val="44093E52"/>
    <w:rsid w:val="440B25C0"/>
    <w:rsid w:val="440D52E0"/>
    <w:rsid w:val="440E76BA"/>
    <w:rsid w:val="44187FD3"/>
    <w:rsid w:val="441A6054"/>
    <w:rsid w:val="442548A8"/>
    <w:rsid w:val="442A5B77"/>
    <w:rsid w:val="443620B8"/>
    <w:rsid w:val="443864E5"/>
    <w:rsid w:val="443F1157"/>
    <w:rsid w:val="4440539A"/>
    <w:rsid w:val="4441183E"/>
    <w:rsid w:val="444D3B62"/>
    <w:rsid w:val="4450382F"/>
    <w:rsid w:val="445157F9"/>
    <w:rsid w:val="445636D6"/>
    <w:rsid w:val="445826E4"/>
    <w:rsid w:val="446077EA"/>
    <w:rsid w:val="44664712"/>
    <w:rsid w:val="44686F7B"/>
    <w:rsid w:val="446B66F7"/>
    <w:rsid w:val="446C5B48"/>
    <w:rsid w:val="446E0159"/>
    <w:rsid w:val="44705C7F"/>
    <w:rsid w:val="4475773A"/>
    <w:rsid w:val="447815AA"/>
    <w:rsid w:val="447913F5"/>
    <w:rsid w:val="447F2366"/>
    <w:rsid w:val="44833F45"/>
    <w:rsid w:val="4484797D"/>
    <w:rsid w:val="4485753A"/>
    <w:rsid w:val="44891EC3"/>
    <w:rsid w:val="44957B12"/>
    <w:rsid w:val="449A71A0"/>
    <w:rsid w:val="449F0313"/>
    <w:rsid w:val="44A122DD"/>
    <w:rsid w:val="44A45929"/>
    <w:rsid w:val="44B10046"/>
    <w:rsid w:val="44C47D79"/>
    <w:rsid w:val="44D35BEC"/>
    <w:rsid w:val="44DA759D"/>
    <w:rsid w:val="44DE04F2"/>
    <w:rsid w:val="44DF4BB3"/>
    <w:rsid w:val="44E4666D"/>
    <w:rsid w:val="44E67CEF"/>
    <w:rsid w:val="44E7409E"/>
    <w:rsid w:val="44EC5E74"/>
    <w:rsid w:val="44F05012"/>
    <w:rsid w:val="44F543D6"/>
    <w:rsid w:val="44F7014F"/>
    <w:rsid w:val="44FF6A10"/>
    <w:rsid w:val="45010FCD"/>
    <w:rsid w:val="45036AF3"/>
    <w:rsid w:val="45062140"/>
    <w:rsid w:val="450B7626"/>
    <w:rsid w:val="45102FBE"/>
    <w:rsid w:val="451505D5"/>
    <w:rsid w:val="45154A79"/>
    <w:rsid w:val="45156827"/>
    <w:rsid w:val="4517434D"/>
    <w:rsid w:val="45183708"/>
    <w:rsid w:val="451A172D"/>
    <w:rsid w:val="451B0980"/>
    <w:rsid w:val="451E0AE6"/>
    <w:rsid w:val="45266135"/>
    <w:rsid w:val="452758AE"/>
    <w:rsid w:val="452934C8"/>
    <w:rsid w:val="452A22D2"/>
    <w:rsid w:val="452B1BA6"/>
    <w:rsid w:val="452B429C"/>
    <w:rsid w:val="4530540F"/>
    <w:rsid w:val="45321D4D"/>
    <w:rsid w:val="453273D9"/>
    <w:rsid w:val="453329B6"/>
    <w:rsid w:val="453B2421"/>
    <w:rsid w:val="453C1E2A"/>
    <w:rsid w:val="453E5D7D"/>
    <w:rsid w:val="454052D3"/>
    <w:rsid w:val="454424FD"/>
    <w:rsid w:val="45482758"/>
    <w:rsid w:val="4554098B"/>
    <w:rsid w:val="4554734F"/>
    <w:rsid w:val="45575091"/>
    <w:rsid w:val="455F6E02"/>
    <w:rsid w:val="45717C1A"/>
    <w:rsid w:val="45757E85"/>
    <w:rsid w:val="45796DB6"/>
    <w:rsid w:val="457C4AF8"/>
    <w:rsid w:val="457E2FEE"/>
    <w:rsid w:val="457F1EF2"/>
    <w:rsid w:val="45800144"/>
    <w:rsid w:val="458037D1"/>
    <w:rsid w:val="458A4B1F"/>
    <w:rsid w:val="458C1BD9"/>
    <w:rsid w:val="458F3751"/>
    <w:rsid w:val="45905EAD"/>
    <w:rsid w:val="459534C4"/>
    <w:rsid w:val="45984431"/>
    <w:rsid w:val="45A007E6"/>
    <w:rsid w:val="45AD2F03"/>
    <w:rsid w:val="45B63B66"/>
    <w:rsid w:val="45BF33C7"/>
    <w:rsid w:val="45C049E4"/>
    <w:rsid w:val="45C2075D"/>
    <w:rsid w:val="45C3661E"/>
    <w:rsid w:val="45C94FEF"/>
    <w:rsid w:val="45CA7611"/>
    <w:rsid w:val="45CD7101"/>
    <w:rsid w:val="45D466E2"/>
    <w:rsid w:val="45D72DF6"/>
    <w:rsid w:val="45E054B5"/>
    <w:rsid w:val="45E701C3"/>
    <w:rsid w:val="45E85CE9"/>
    <w:rsid w:val="45E958C2"/>
    <w:rsid w:val="45EA140C"/>
    <w:rsid w:val="45EA380F"/>
    <w:rsid w:val="45EC57D9"/>
    <w:rsid w:val="45EF4088"/>
    <w:rsid w:val="45F214B1"/>
    <w:rsid w:val="45FD1795"/>
    <w:rsid w:val="45FE550D"/>
    <w:rsid w:val="460D6B51"/>
    <w:rsid w:val="46162856"/>
    <w:rsid w:val="461B60BF"/>
    <w:rsid w:val="461D2299"/>
    <w:rsid w:val="461E170B"/>
    <w:rsid w:val="461E76FB"/>
    <w:rsid w:val="462036D5"/>
    <w:rsid w:val="4627370E"/>
    <w:rsid w:val="462A4554"/>
    <w:rsid w:val="462C5BD6"/>
    <w:rsid w:val="462E7BA0"/>
    <w:rsid w:val="4631143E"/>
    <w:rsid w:val="46333408"/>
    <w:rsid w:val="46386C71"/>
    <w:rsid w:val="46431172"/>
    <w:rsid w:val="464A2500"/>
    <w:rsid w:val="464E1FF0"/>
    <w:rsid w:val="46595606"/>
    <w:rsid w:val="466808A0"/>
    <w:rsid w:val="466B16B2"/>
    <w:rsid w:val="466E0F71"/>
    <w:rsid w:val="466E2692"/>
    <w:rsid w:val="46707E09"/>
    <w:rsid w:val="46767799"/>
    <w:rsid w:val="4681455F"/>
    <w:rsid w:val="46923461"/>
    <w:rsid w:val="46A14816"/>
    <w:rsid w:val="46A377BC"/>
    <w:rsid w:val="46A37B27"/>
    <w:rsid w:val="46A45F32"/>
    <w:rsid w:val="46B109C6"/>
    <w:rsid w:val="46B207D1"/>
    <w:rsid w:val="46B42276"/>
    <w:rsid w:val="46B651A1"/>
    <w:rsid w:val="46BA60E8"/>
    <w:rsid w:val="46BB0831"/>
    <w:rsid w:val="46C24BC0"/>
    <w:rsid w:val="46CC2201"/>
    <w:rsid w:val="46DA7D28"/>
    <w:rsid w:val="46DC2172"/>
    <w:rsid w:val="46DF70EC"/>
    <w:rsid w:val="46E14BDC"/>
    <w:rsid w:val="46E22739"/>
    <w:rsid w:val="46E251D0"/>
    <w:rsid w:val="46EC34CC"/>
    <w:rsid w:val="46EE37D3"/>
    <w:rsid w:val="46F30DEA"/>
    <w:rsid w:val="46F506BE"/>
    <w:rsid w:val="46F74436"/>
    <w:rsid w:val="46FC37FA"/>
    <w:rsid w:val="46FE338C"/>
    <w:rsid w:val="47024B89"/>
    <w:rsid w:val="47060224"/>
    <w:rsid w:val="470628CB"/>
    <w:rsid w:val="47080716"/>
    <w:rsid w:val="470D3C59"/>
    <w:rsid w:val="470E5B90"/>
    <w:rsid w:val="470F4311"/>
    <w:rsid w:val="47170634"/>
    <w:rsid w:val="471F580B"/>
    <w:rsid w:val="47222197"/>
    <w:rsid w:val="472B40E0"/>
    <w:rsid w:val="472D60AA"/>
    <w:rsid w:val="472D789A"/>
    <w:rsid w:val="47421D71"/>
    <w:rsid w:val="47462CC7"/>
    <w:rsid w:val="47474760"/>
    <w:rsid w:val="47495932"/>
    <w:rsid w:val="475353E4"/>
    <w:rsid w:val="47585578"/>
    <w:rsid w:val="475C698F"/>
    <w:rsid w:val="475E6263"/>
    <w:rsid w:val="475F022D"/>
    <w:rsid w:val="47632BB2"/>
    <w:rsid w:val="47833F1C"/>
    <w:rsid w:val="478657BA"/>
    <w:rsid w:val="478A52AA"/>
    <w:rsid w:val="47A0687C"/>
    <w:rsid w:val="47A91C41"/>
    <w:rsid w:val="47AD2D46"/>
    <w:rsid w:val="47BE4F54"/>
    <w:rsid w:val="47C00CCC"/>
    <w:rsid w:val="47C63ADE"/>
    <w:rsid w:val="47C84024"/>
    <w:rsid w:val="47CD33E9"/>
    <w:rsid w:val="47D40EB8"/>
    <w:rsid w:val="47D567FA"/>
    <w:rsid w:val="47D71DD0"/>
    <w:rsid w:val="47DA45FF"/>
    <w:rsid w:val="47DC3AFC"/>
    <w:rsid w:val="47DF0FED"/>
    <w:rsid w:val="47EB386F"/>
    <w:rsid w:val="47EC7D13"/>
    <w:rsid w:val="47ED5839"/>
    <w:rsid w:val="47F15E72"/>
    <w:rsid w:val="47F40975"/>
    <w:rsid w:val="47FB0FB3"/>
    <w:rsid w:val="47FBB6C5"/>
    <w:rsid w:val="48085452"/>
    <w:rsid w:val="480F155C"/>
    <w:rsid w:val="4812530C"/>
    <w:rsid w:val="48147269"/>
    <w:rsid w:val="48157C28"/>
    <w:rsid w:val="48166B3E"/>
    <w:rsid w:val="4819662E"/>
    <w:rsid w:val="481E0602"/>
    <w:rsid w:val="481E3C44"/>
    <w:rsid w:val="482254E2"/>
    <w:rsid w:val="482374AD"/>
    <w:rsid w:val="48296208"/>
    <w:rsid w:val="483C0192"/>
    <w:rsid w:val="484A2C8B"/>
    <w:rsid w:val="485358E3"/>
    <w:rsid w:val="48575181"/>
    <w:rsid w:val="485F64E4"/>
    <w:rsid w:val="486503B6"/>
    <w:rsid w:val="486D24D6"/>
    <w:rsid w:val="486D3EFD"/>
    <w:rsid w:val="48735358"/>
    <w:rsid w:val="48756DCE"/>
    <w:rsid w:val="487A3570"/>
    <w:rsid w:val="4880045B"/>
    <w:rsid w:val="4882187E"/>
    <w:rsid w:val="48861F15"/>
    <w:rsid w:val="4886248F"/>
    <w:rsid w:val="48873598"/>
    <w:rsid w:val="488A3088"/>
    <w:rsid w:val="488F069E"/>
    <w:rsid w:val="48900745"/>
    <w:rsid w:val="48900C98"/>
    <w:rsid w:val="48912668"/>
    <w:rsid w:val="489363E0"/>
    <w:rsid w:val="48961A2D"/>
    <w:rsid w:val="48986930"/>
    <w:rsid w:val="48A4239B"/>
    <w:rsid w:val="48A516A1"/>
    <w:rsid w:val="48A56114"/>
    <w:rsid w:val="48A905A4"/>
    <w:rsid w:val="48AE4FC8"/>
    <w:rsid w:val="48AF2AEE"/>
    <w:rsid w:val="48AF383A"/>
    <w:rsid w:val="48B55270"/>
    <w:rsid w:val="48B620CF"/>
    <w:rsid w:val="48BF5787"/>
    <w:rsid w:val="48C45315"/>
    <w:rsid w:val="48C540C0"/>
    <w:rsid w:val="48C94CC0"/>
    <w:rsid w:val="48CA1C78"/>
    <w:rsid w:val="48CC18F2"/>
    <w:rsid w:val="48CC544E"/>
    <w:rsid w:val="48CE566A"/>
    <w:rsid w:val="48CF0379"/>
    <w:rsid w:val="48D16F09"/>
    <w:rsid w:val="48D4476D"/>
    <w:rsid w:val="48DC7D87"/>
    <w:rsid w:val="48E239EA"/>
    <w:rsid w:val="48E44E8E"/>
    <w:rsid w:val="48E46C3C"/>
    <w:rsid w:val="48E704DA"/>
    <w:rsid w:val="48FD7CFE"/>
    <w:rsid w:val="48FE07EA"/>
    <w:rsid w:val="49060989"/>
    <w:rsid w:val="491004AC"/>
    <w:rsid w:val="49153299"/>
    <w:rsid w:val="49156DF5"/>
    <w:rsid w:val="491A265E"/>
    <w:rsid w:val="49235A14"/>
    <w:rsid w:val="4925762B"/>
    <w:rsid w:val="493D129C"/>
    <w:rsid w:val="494122F8"/>
    <w:rsid w:val="4948541D"/>
    <w:rsid w:val="496438D9"/>
    <w:rsid w:val="496D09DF"/>
    <w:rsid w:val="496E64F5"/>
    <w:rsid w:val="497C2D21"/>
    <w:rsid w:val="4984096B"/>
    <w:rsid w:val="498E506C"/>
    <w:rsid w:val="498E746C"/>
    <w:rsid w:val="49900B72"/>
    <w:rsid w:val="49935F6C"/>
    <w:rsid w:val="499917D4"/>
    <w:rsid w:val="499C7517"/>
    <w:rsid w:val="499F48B0"/>
    <w:rsid w:val="49A21DA1"/>
    <w:rsid w:val="49A62E0C"/>
    <w:rsid w:val="49AD34D2"/>
    <w:rsid w:val="49BC3715"/>
    <w:rsid w:val="49BE123B"/>
    <w:rsid w:val="49C202E7"/>
    <w:rsid w:val="49C37385"/>
    <w:rsid w:val="49C600F0"/>
    <w:rsid w:val="49C820BA"/>
    <w:rsid w:val="49CD5C25"/>
    <w:rsid w:val="49CE4453"/>
    <w:rsid w:val="49D036BB"/>
    <w:rsid w:val="49D72121"/>
    <w:rsid w:val="49D722FD"/>
    <w:rsid w:val="49D96075"/>
    <w:rsid w:val="49DF1D43"/>
    <w:rsid w:val="49E031D3"/>
    <w:rsid w:val="49ED38CE"/>
    <w:rsid w:val="49F64E79"/>
    <w:rsid w:val="49FB2514"/>
    <w:rsid w:val="49FB31BE"/>
    <w:rsid w:val="49FC1D63"/>
    <w:rsid w:val="4A031344"/>
    <w:rsid w:val="4A062BE2"/>
    <w:rsid w:val="4A08695A"/>
    <w:rsid w:val="4A0B01F8"/>
    <w:rsid w:val="4A130E9A"/>
    <w:rsid w:val="4A196469"/>
    <w:rsid w:val="4A1D73F6"/>
    <w:rsid w:val="4A246FE7"/>
    <w:rsid w:val="4A275032"/>
    <w:rsid w:val="4A2B21CF"/>
    <w:rsid w:val="4A332BFD"/>
    <w:rsid w:val="4A407E68"/>
    <w:rsid w:val="4A4759DF"/>
    <w:rsid w:val="4A4A2ACF"/>
    <w:rsid w:val="4A5971B6"/>
    <w:rsid w:val="4A5D796A"/>
    <w:rsid w:val="4A5E3F5D"/>
    <w:rsid w:val="4A630034"/>
    <w:rsid w:val="4A6E0EB3"/>
    <w:rsid w:val="4A705CE9"/>
    <w:rsid w:val="4A7144FF"/>
    <w:rsid w:val="4A755C14"/>
    <w:rsid w:val="4A761B16"/>
    <w:rsid w:val="4A851F88"/>
    <w:rsid w:val="4A8D237C"/>
    <w:rsid w:val="4A8D4B15"/>
    <w:rsid w:val="4A8F0E29"/>
    <w:rsid w:val="4A966F56"/>
    <w:rsid w:val="4A9E2E1A"/>
    <w:rsid w:val="4AA126D1"/>
    <w:rsid w:val="4AA50B31"/>
    <w:rsid w:val="4AAA6299"/>
    <w:rsid w:val="4AB024C8"/>
    <w:rsid w:val="4ABD5996"/>
    <w:rsid w:val="4ACE3438"/>
    <w:rsid w:val="4ACE3700"/>
    <w:rsid w:val="4AD4683C"/>
    <w:rsid w:val="4AD905E6"/>
    <w:rsid w:val="4AE41175"/>
    <w:rsid w:val="4AE50D33"/>
    <w:rsid w:val="4AE515FF"/>
    <w:rsid w:val="4AE66C9B"/>
    <w:rsid w:val="4AF56EDE"/>
    <w:rsid w:val="4AF60EA8"/>
    <w:rsid w:val="4AFE3E0E"/>
    <w:rsid w:val="4B1530DD"/>
    <w:rsid w:val="4B153FB7"/>
    <w:rsid w:val="4B166E55"/>
    <w:rsid w:val="4B1D6435"/>
    <w:rsid w:val="4B223A4B"/>
    <w:rsid w:val="4B2C3B0D"/>
    <w:rsid w:val="4B2C48CA"/>
    <w:rsid w:val="4B375749"/>
    <w:rsid w:val="4B396E76"/>
    <w:rsid w:val="4B3F0159"/>
    <w:rsid w:val="4B460B4B"/>
    <w:rsid w:val="4B517E8D"/>
    <w:rsid w:val="4B5B06A4"/>
    <w:rsid w:val="4B5B2952"/>
    <w:rsid w:val="4B5C0D0B"/>
    <w:rsid w:val="4B6252AD"/>
    <w:rsid w:val="4B661B8A"/>
    <w:rsid w:val="4B6C24F0"/>
    <w:rsid w:val="4B72052F"/>
    <w:rsid w:val="4B7342A7"/>
    <w:rsid w:val="4B736055"/>
    <w:rsid w:val="4B7F49FA"/>
    <w:rsid w:val="4B8A32E1"/>
    <w:rsid w:val="4B8C0974"/>
    <w:rsid w:val="4B9C1A50"/>
    <w:rsid w:val="4BA821A3"/>
    <w:rsid w:val="4BA91A77"/>
    <w:rsid w:val="4BAB57EF"/>
    <w:rsid w:val="4BAF0B9A"/>
    <w:rsid w:val="4BAF1783"/>
    <w:rsid w:val="4BB40B47"/>
    <w:rsid w:val="4BB943B0"/>
    <w:rsid w:val="4BBA4541"/>
    <w:rsid w:val="4BC114B6"/>
    <w:rsid w:val="4BC8004E"/>
    <w:rsid w:val="4BD42F98"/>
    <w:rsid w:val="4BD765E4"/>
    <w:rsid w:val="4BD9235C"/>
    <w:rsid w:val="4BDD7181"/>
    <w:rsid w:val="4BE11211"/>
    <w:rsid w:val="4BE34F89"/>
    <w:rsid w:val="4BE504E7"/>
    <w:rsid w:val="4BE62CCB"/>
    <w:rsid w:val="4BE96317"/>
    <w:rsid w:val="4BEF1B80"/>
    <w:rsid w:val="4BF947AC"/>
    <w:rsid w:val="4BFA0524"/>
    <w:rsid w:val="4BFC429C"/>
    <w:rsid w:val="4BFE6267"/>
    <w:rsid w:val="4C0849EF"/>
    <w:rsid w:val="4C085898"/>
    <w:rsid w:val="4C0A69B9"/>
    <w:rsid w:val="4C0D2006"/>
    <w:rsid w:val="4C101AF6"/>
    <w:rsid w:val="4C107D48"/>
    <w:rsid w:val="4C121D12"/>
    <w:rsid w:val="4C1635B0"/>
    <w:rsid w:val="4C1C40A9"/>
    <w:rsid w:val="4C1C66ED"/>
    <w:rsid w:val="4C20442F"/>
    <w:rsid w:val="4C347834"/>
    <w:rsid w:val="4C373527"/>
    <w:rsid w:val="4C43601E"/>
    <w:rsid w:val="4C4F3A72"/>
    <w:rsid w:val="4C652457"/>
    <w:rsid w:val="4C653BF0"/>
    <w:rsid w:val="4C673E0C"/>
    <w:rsid w:val="4C6836E0"/>
    <w:rsid w:val="4C72455F"/>
    <w:rsid w:val="4C76404F"/>
    <w:rsid w:val="4C7818BA"/>
    <w:rsid w:val="4C8049A8"/>
    <w:rsid w:val="4C806C7C"/>
    <w:rsid w:val="4C8F5111"/>
    <w:rsid w:val="4C9345C9"/>
    <w:rsid w:val="4C9646F1"/>
    <w:rsid w:val="4C9D15DC"/>
    <w:rsid w:val="4CA24E44"/>
    <w:rsid w:val="4CA46E0E"/>
    <w:rsid w:val="4CA86612"/>
    <w:rsid w:val="4CA961D2"/>
    <w:rsid w:val="4CB22BAD"/>
    <w:rsid w:val="4CB70475"/>
    <w:rsid w:val="4CB86415"/>
    <w:rsid w:val="4CBA41B0"/>
    <w:rsid w:val="4CBB18EA"/>
    <w:rsid w:val="4CC052CA"/>
    <w:rsid w:val="4CC90623"/>
    <w:rsid w:val="4CC93E90"/>
    <w:rsid w:val="4CCA437D"/>
    <w:rsid w:val="4CCA5279"/>
    <w:rsid w:val="4CCB6F4E"/>
    <w:rsid w:val="4CCC3C6F"/>
    <w:rsid w:val="4CD07C03"/>
    <w:rsid w:val="4CD314A1"/>
    <w:rsid w:val="4CDD7C2A"/>
    <w:rsid w:val="4CE0596C"/>
    <w:rsid w:val="4CE537BD"/>
    <w:rsid w:val="4CFB48EC"/>
    <w:rsid w:val="4CFE47D7"/>
    <w:rsid w:val="4D005781"/>
    <w:rsid w:val="4D021D86"/>
    <w:rsid w:val="4D0413E0"/>
    <w:rsid w:val="4D0C6761"/>
    <w:rsid w:val="4D163C3E"/>
    <w:rsid w:val="4D1675E0"/>
    <w:rsid w:val="4D183358"/>
    <w:rsid w:val="4D1B26B0"/>
    <w:rsid w:val="4D2515D1"/>
    <w:rsid w:val="4D27359B"/>
    <w:rsid w:val="4D2B317E"/>
    <w:rsid w:val="4D2C2C5D"/>
    <w:rsid w:val="4D2C2E13"/>
    <w:rsid w:val="4D3006A2"/>
    <w:rsid w:val="4D331F40"/>
    <w:rsid w:val="4D332641"/>
    <w:rsid w:val="4D341EAC"/>
    <w:rsid w:val="4D36558C"/>
    <w:rsid w:val="4D405137"/>
    <w:rsid w:val="4D4B7289"/>
    <w:rsid w:val="4D5059EF"/>
    <w:rsid w:val="4D5123C6"/>
    <w:rsid w:val="4D527B0F"/>
    <w:rsid w:val="4D571D1E"/>
    <w:rsid w:val="4D602609"/>
    <w:rsid w:val="4D6D5452"/>
    <w:rsid w:val="4D7604DD"/>
    <w:rsid w:val="4D77007F"/>
    <w:rsid w:val="4D785BA5"/>
    <w:rsid w:val="4D830553"/>
    <w:rsid w:val="4D8B1D7C"/>
    <w:rsid w:val="4D936F6B"/>
    <w:rsid w:val="4D952989"/>
    <w:rsid w:val="4D970721"/>
    <w:rsid w:val="4DA2003D"/>
    <w:rsid w:val="4DB74893"/>
    <w:rsid w:val="4DC4528E"/>
    <w:rsid w:val="4DC66910"/>
    <w:rsid w:val="4DC70F72"/>
    <w:rsid w:val="4DC85818"/>
    <w:rsid w:val="4DD3168B"/>
    <w:rsid w:val="4DD52FF7"/>
    <w:rsid w:val="4DD92AE7"/>
    <w:rsid w:val="4DD97D0D"/>
    <w:rsid w:val="4DDC4386"/>
    <w:rsid w:val="4DDF3E76"/>
    <w:rsid w:val="4DEB443A"/>
    <w:rsid w:val="4DED6593"/>
    <w:rsid w:val="4DF94F37"/>
    <w:rsid w:val="4DFA480C"/>
    <w:rsid w:val="4DFF6D5A"/>
    <w:rsid w:val="4E000887"/>
    <w:rsid w:val="4E002DD8"/>
    <w:rsid w:val="4E0631B0"/>
    <w:rsid w:val="4E0F475B"/>
    <w:rsid w:val="4E0F6509"/>
    <w:rsid w:val="4E105DDD"/>
    <w:rsid w:val="4E117365"/>
    <w:rsid w:val="4E151645"/>
    <w:rsid w:val="4E1C29D4"/>
    <w:rsid w:val="4E1C4782"/>
    <w:rsid w:val="4E1F24C4"/>
    <w:rsid w:val="4E235B10"/>
    <w:rsid w:val="4E240F03"/>
    <w:rsid w:val="4E272381"/>
    <w:rsid w:val="4E2F2707"/>
    <w:rsid w:val="4E380268"/>
    <w:rsid w:val="4E45017D"/>
    <w:rsid w:val="4E451F2B"/>
    <w:rsid w:val="4E4D0DDF"/>
    <w:rsid w:val="4E516B22"/>
    <w:rsid w:val="4E557C94"/>
    <w:rsid w:val="4E573A0C"/>
    <w:rsid w:val="4E5A2BFD"/>
    <w:rsid w:val="4E5C54C6"/>
    <w:rsid w:val="4E600B13"/>
    <w:rsid w:val="4E61035C"/>
    <w:rsid w:val="4E675DBB"/>
    <w:rsid w:val="4E6A7BE3"/>
    <w:rsid w:val="4E6F0D56"/>
    <w:rsid w:val="4E766EAA"/>
    <w:rsid w:val="4E7B594C"/>
    <w:rsid w:val="4E834801"/>
    <w:rsid w:val="4E83512E"/>
    <w:rsid w:val="4E850579"/>
    <w:rsid w:val="4E875F15"/>
    <w:rsid w:val="4E8C7B5A"/>
    <w:rsid w:val="4E946A0E"/>
    <w:rsid w:val="4E9702AC"/>
    <w:rsid w:val="4E974C94"/>
    <w:rsid w:val="4E992277"/>
    <w:rsid w:val="4E9D1D67"/>
    <w:rsid w:val="4EA31857"/>
    <w:rsid w:val="4EA57EB3"/>
    <w:rsid w:val="4EA67627"/>
    <w:rsid w:val="4EAA4484"/>
    <w:rsid w:val="4EB578C5"/>
    <w:rsid w:val="4EBA5CCF"/>
    <w:rsid w:val="4EBD5F65"/>
    <w:rsid w:val="4EBE1C41"/>
    <w:rsid w:val="4EC05A55"/>
    <w:rsid w:val="4EC062F0"/>
    <w:rsid w:val="4EC24E6D"/>
    <w:rsid w:val="4EC63BC9"/>
    <w:rsid w:val="4EC96A44"/>
    <w:rsid w:val="4ECF0DD2"/>
    <w:rsid w:val="4ED67027"/>
    <w:rsid w:val="4ED77988"/>
    <w:rsid w:val="4ED96276"/>
    <w:rsid w:val="4EDB288F"/>
    <w:rsid w:val="4EDD03B5"/>
    <w:rsid w:val="4EE33CFA"/>
    <w:rsid w:val="4EE51018"/>
    <w:rsid w:val="4EE79C82"/>
    <w:rsid w:val="4EEF633A"/>
    <w:rsid w:val="4EF179BD"/>
    <w:rsid w:val="4F0B3174"/>
    <w:rsid w:val="4F22226C"/>
    <w:rsid w:val="4F2C30EB"/>
    <w:rsid w:val="4F31425D"/>
    <w:rsid w:val="4F3F4760"/>
    <w:rsid w:val="4F47559E"/>
    <w:rsid w:val="4F512177"/>
    <w:rsid w:val="4F5166AD"/>
    <w:rsid w:val="4F552FBB"/>
    <w:rsid w:val="4F5B0BF5"/>
    <w:rsid w:val="4F5C46DB"/>
    <w:rsid w:val="4F605720"/>
    <w:rsid w:val="4F626B0C"/>
    <w:rsid w:val="4F674123"/>
    <w:rsid w:val="4F692F81"/>
    <w:rsid w:val="4F7B05C2"/>
    <w:rsid w:val="4F8016F7"/>
    <w:rsid w:val="4F801C3F"/>
    <w:rsid w:val="4F811208"/>
    <w:rsid w:val="4F8E5B53"/>
    <w:rsid w:val="4F936CC6"/>
    <w:rsid w:val="4F9547EC"/>
    <w:rsid w:val="4F9B5B7A"/>
    <w:rsid w:val="4F9D18F3"/>
    <w:rsid w:val="4FA61921"/>
    <w:rsid w:val="4FA9473B"/>
    <w:rsid w:val="4FB21842"/>
    <w:rsid w:val="4FBD3D43"/>
    <w:rsid w:val="4FC03091"/>
    <w:rsid w:val="4FCB2904"/>
    <w:rsid w:val="4FD73056"/>
    <w:rsid w:val="4FDA2B47"/>
    <w:rsid w:val="4FDA66A3"/>
    <w:rsid w:val="4FE17A31"/>
    <w:rsid w:val="4FE64355"/>
    <w:rsid w:val="4FE71AF7"/>
    <w:rsid w:val="4FF621C9"/>
    <w:rsid w:val="4FF64FB8"/>
    <w:rsid w:val="4FF80594"/>
    <w:rsid w:val="4FFF5549"/>
    <w:rsid w:val="50020304"/>
    <w:rsid w:val="500371EC"/>
    <w:rsid w:val="501005FF"/>
    <w:rsid w:val="50175B49"/>
    <w:rsid w:val="501A63B7"/>
    <w:rsid w:val="501B018E"/>
    <w:rsid w:val="501F0559"/>
    <w:rsid w:val="501F49FD"/>
    <w:rsid w:val="50262E0E"/>
    <w:rsid w:val="502D7064"/>
    <w:rsid w:val="5038161B"/>
    <w:rsid w:val="503B25E4"/>
    <w:rsid w:val="50416722"/>
    <w:rsid w:val="50446212"/>
    <w:rsid w:val="50463D38"/>
    <w:rsid w:val="50526B81"/>
    <w:rsid w:val="505439F5"/>
    <w:rsid w:val="505521CD"/>
    <w:rsid w:val="505A536E"/>
    <w:rsid w:val="505E04E8"/>
    <w:rsid w:val="50610B72"/>
    <w:rsid w:val="506643DA"/>
    <w:rsid w:val="5080549C"/>
    <w:rsid w:val="50836D3A"/>
    <w:rsid w:val="50850D04"/>
    <w:rsid w:val="508946E6"/>
    <w:rsid w:val="508A58C1"/>
    <w:rsid w:val="508A631B"/>
    <w:rsid w:val="50903205"/>
    <w:rsid w:val="509176A9"/>
    <w:rsid w:val="50923421"/>
    <w:rsid w:val="50964CC0"/>
    <w:rsid w:val="50967685"/>
    <w:rsid w:val="50970A38"/>
    <w:rsid w:val="50972446"/>
    <w:rsid w:val="509E1DC6"/>
    <w:rsid w:val="509F2BD7"/>
    <w:rsid w:val="50A0169A"/>
    <w:rsid w:val="50A078EC"/>
    <w:rsid w:val="50A20D13"/>
    <w:rsid w:val="50A60D78"/>
    <w:rsid w:val="50AF7B2F"/>
    <w:rsid w:val="50B27620"/>
    <w:rsid w:val="50B415EA"/>
    <w:rsid w:val="50B60D34"/>
    <w:rsid w:val="50B74101"/>
    <w:rsid w:val="50BD049E"/>
    <w:rsid w:val="50BE7D72"/>
    <w:rsid w:val="50D37CC2"/>
    <w:rsid w:val="50D94BAC"/>
    <w:rsid w:val="50DB7A39"/>
    <w:rsid w:val="50E30778"/>
    <w:rsid w:val="50E42FD1"/>
    <w:rsid w:val="50E517A3"/>
    <w:rsid w:val="50E53B70"/>
    <w:rsid w:val="50E80A0F"/>
    <w:rsid w:val="50EF1D4C"/>
    <w:rsid w:val="50F25C6E"/>
    <w:rsid w:val="50F61B65"/>
    <w:rsid w:val="50F639B0"/>
    <w:rsid w:val="50F97DF7"/>
    <w:rsid w:val="50FB2D75"/>
    <w:rsid w:val="50FB4B23"/>
    <w:rsid w:val="510161A8"/>
    <w:rsid w:val="51022355"/>
    <w:rsid w:val="51024103"/>
    <w:rsid w:val="510460CD"/>
    <w:rsid w:val="51053BF3"/>
    <w:rsid w:val="510D4856"/>
    <w:rsid w:val="5118442F"/>
    <w:rsid w:val="5125564A"/>
    <w:rsid w:val="513308E8"/>
    <w:rsid w:val="51396EF1"/>
    <w:rsid w:val="513C38D8"/>
    <w:rsid w:val="513F08D4"/>
    <w:rsid w:val="51422751"/>
    <w:rsid w:val="51484635"/>
    <w:rsid w:val="51521A69"/>
    <w:rsid w:val="515406D7"/>
    <w:rsid w:val="51595CED"/>
    <w:rsid w:val="51750D79"/>
    <w:rsid w:val="517C0CBD"/>
    <w:rsid w:val="517D214D"/>
    <w:rsid w:val="51840539"/>
    <w:rsid w:val="518577DE"/>
    <w:rsid w:val="51874608"/>
    <w:rsid w:val="51897B82"/>
    <w:rsid w:val="518B234A"/>
    <w:rsid w:val="518D5BFE"/>
    <w:rsid w:val="51937451"/>
    <w:rsid w:val="51954F77"/>
    <w:rsid w:val="519B78A3"/>
    <w:rsid w:val="519D5BDA"/>
    <w:rsid w:val="51A11B6E"/>
    <w:rsid w:val="51A4340C"/>
    <w:rsid w:val="51A57185"/>
    <w:rsid w:val="51A60F32"/>
    <w:rsid w:val="51AC22C1"/>
    <w:rsid w:val="51AE6039"/>
    <w:rsid w:val="51B1254B"/>
    <w:rsid w:val="51B15B29"/>
    <w:rsid w:val="51B178D7"/>
    <w:rsid w:val="51B709A9"/>
    <w:rsid w:val="51BB5909"/>
    <w:rsid w:val="51C27D36"/>
    <w:rsid w:val="51C94D42"/>
    <w:rsid w:val="51D35A9F"/>
    <w:rsid w:val="51D435BC"/>
    <w:rsid w:val="51D5415B"/>
    <w:rsid w:val="51D65A93"/>
    <w:rsid w:val="51D6733E"/>
    <w:rsid w:val="51DD247A"/>
    <w:rsid w:val="51E01249"/>
    <w:rsid w:val="51E46FDF"/>
    <w:rsid w:val="51EE4687"/>
    <w:rsid w:val="51EE6435"/>
    <w:rsid w:val="51F53C68"/>
    <w:rsid w:val="52086FB4"/>
    <w:rsid w:val="521536EF"/>
    <w:rsid w:val="52186AA9"/>
    <w:rsid w:val="52195BA8"/>
    <w:rsid w:val="521A22B5"/>
    <w:rsid w:val="521A36CE"/>
    <w:rsid w:val="52224331"/>
    <w:rsid w:val="522E601B"/>
    <w:rsid w:val="52326C6A"/>
    <w:rsid w:val="52343346"/>
    <w:rsid w:val="52352B08"/>
    <w:rsid w:val="52354064"/>
    <w:rsid w:val="52391DA6"/>
    <w:rsid w:val="523A0EB5"/>
    <w:rsid w:val="523F1387"/>
    <w:rsid w:val="524B21DC"/>
    <w:rsid w:val="5264494A"/>
    <w:rsid w:val="5271069D"/>
    <w:rsid w:val="5272350A"/>
    <w:rsid w:val="52743188"/>
    <w:rsid w:val="52765707"/>
    <w:rsid w:val="527A5569"/>
    <w:rsid w:val="528079D5"/>
    <w:rsid w:val="528E138B"/>
    <w:rsid w:val="52911BE2"/>
    <w:rsid w:val="52917F8D"/>
    <w:rsid w:val="529C2335"/>
    <w:rsid w:val="529C2CCE"/>
    <w:rsid w:val="529E60AD"/>
    <w:rsid w:val="52A03BD4"/>
    <w:rsid w:val="52A511EA"/>
    <w:rsid w:val="52A82A88"/>
    <w:rsid w:val="52AE4D36"/>
    <w:rsid w:val="52B07B8F"/>
    <w:rsid w:val="52B227BF"/>
    <w:rsid w:val="52B96A43"/>
    <w:rsid w:val="52BB031B"/>
    <w:rsid w:val="52BB0A0D"/>
    <w:rsid w:val="52BC704D"/>
    <w:rsid w:val="52CE19E6"/>
    <w:rsid w:val="52CF270B"/>
    <w:rsid w:val="52D63A99"/>
    <w:rsid w:val="52E02222"/>
    <w:rsid w:val="52E635B0"/>
    <w:rsid w:val="52EF4B5B"/>
    <w:rsid w:val="52F3346A"/>
    <w:rsid w:val="52F51698"/>
    <w:rsid w:val="52F703CB"/>
    <w:rsid w:val="52F97788"/>
    <w:rsid w:val="530028C4"/>
    <w:rsid w:val="53040A7C"/>
    <w:rsid w:val="530E74B7"/>
    <w:rsid w:val="531445C2"/>
    <w:rsid w:val="53163C4B"/>
    <w:rsid w:val="531A3B9B"/>
    <w:rsid w:val="531D551D"/>
    <w:rsid w:val="531F6EC4"/>
    <w:rsid w:val="532F32A1"/>
    <w:rsid w:val="533D6F95"/>
    <w:rsid w:val="53487DC7"/>
    <w:rsid w:val="534A720B"/>
    <w:rsid w:val="53591FD4"/>
    <w:rsid w:val="5362532D"/>
    <w:rsid w:val="53630D86"/>
    <w:rsid w:val="5368023C"/>
    <w:rsid w:val="53690469"/>
    <w:rsid w:val="536D5A76"/>
    <w:rsid w:val="536E6363"/>
    <w:rsid w:val="53740BBC"/>
    <w:rsid w:val="537E4CD3"/>
    <w:rsid w:val="538057B3"/>
    <w:rsid w:val="53812D19"/>
    <w:rsid w:val="53874D93"/>
    <w:rsid w:val="538B4016"/>
    <w:rsid w:val="538E1C7E"/>
    <w:rsid w:val="53964FD7"/>
    <w:rsid w:val="539B2198"/>
    <w:rsid w:val="539D6365"/>
    <w:rsid w:val="53A72D40"/>
    <w:rsid w:val="53AA2830"/>
    <w:rsid w:val="53AC0356"/>
    <w:rsid w:val="53AE40CE"/>
    <w:rsid w:val="53B10000"/>
    <w:rsid w:val="53BA0CC5"/>
    <w:rsid w:val="53BB19D7"/>
    <w:rsid w:val="53C30570"/>
    <w:rsid w:val="53CE7B91"/>
    <w:rsid w:val="53D45DA0"/>
    <w:rsid w:val="53D665BC"/>
    <w:rsid w:val="53E42357"/>
    <w:rsid w:val="53E63D46"/>
    <w:rsid w:val="53F00B8B"/>
    <w:rsid w:val="53F34AF5"/>
    <w:rsid w:val="53F35F85"/>
    <w:rsid w:val="53F71190"/>
    <w:rsid w:val="53F90F7D"/>
    <w:rsid w:val="53FB308C"/>
    <w:rsid w:val="53FC2850"/>
    <w:rsid w:val="540939FA"/>
    <w:rsid w:val="541D1254"/>
    <w:rsid w:val="5426635A"/>
    <w:rsid w:val="54302D35"/>
    <w:rsid w:val="54307C7C"/>
    <w:rsid w:val="54336CC9"/>
    <w:rsid w:val="543A1709"/>
    <w:rsid w:val="54414F42"/>
    <w:rsid w:val="54444A33"/>
    <w:rsid w:val="54482775"/>
    <w:rsid w:val="544A26E7"/>
    <w:rsid w:val="544D7D8B"/>
    <w:rsid w:val="5451401D"/>
    <w:rsid w:val="545253A1"/>
    <w:rsid w:val="54557A52"/>
    <w:rsid w:val="54685A05"/>
    <w:rsid w:val="546D79FE"/>
    <w:rsid w:val="54703A7A"/>
    <w:rsid w:val="54722583"/>
    <w:rsid w:val="547B176D"/>
    <w:rsid w:val="54843312"/>
    <w:rsid w:val="548459B6"/>
    <w:rsid w:val="54857525"/>
    <w:rsid w:val="54877ACD"/>
    <w:rsid w:val="548B08B3"/>
    <w:rsid w:val="548D462B"/>
    <w:rsid w:val="54907C78"/>
    <w:rsid w:val="549A5644"/>
    <w:rsid w:val="549C377F"/>
    <w:rsid w:val="549C486F"/>
    <w:rsid w:val="549C75E7"/>
    <w:rsid w:val="549E2395"/>
    <w:rsid w:val="54A03833"/>
    <w:rsid w:val="54A11E85"/>
    <w:rsid w:val="54A159E1"/>
    <w:rsid w:val="54A379AB"/>
    <w:rsid w:val="54A43723"/>
    <w:rsid w:val="54A46AA0"/>
    <w:rsid w:val="54A6749B"/>
    <w:rsid w:val="54AF6350"/>
    <w:rsid w:val="54B25E40"/>
    <w:rsid w:val="54BE28F8"/>
    <w:rsid w:val="54C60C53"/>
    <w:rsid w:val="54CB0CB0"/>
    <w:rsid w:val="54D20290"/>
    <w:rsid w:val="54D620C6"/>
    <w:rsid w:val="54D9517B"/>
    <w:rsid w:val="54DE6C35"/>
    <w:rsid w:val="54E21DAA"/>
    <w:rsid w:val="54E51D72"/>
    <w:rsid w:val="54EE2F1E"/>
    <w:rsid w:val="54EF0E42"/>
    <w:rsid w:val="54F57C61"/>
    <w:rsid w:val="54FF095A"/>
    <w:rsid w:val="55006BAB"/>
    <w:rsid w:val="55035F6A"/>
    <w:rsid w:val="5503669C"/>
    <w:rsid w:val="55061CE8"/>
    <w:rsid w:val="55067A64"/>
    <w:rsid w:val="55085A60"/>
    <w:rsid w:val="550F6DEF"/>
    <w:rsid w:val="55142657"/>
    <w:rsid w:val="55144405"/>
    <w:rsid w:val="55167559"/>
    <w:rsid w:val="551E5284"/>
    <w:rsid w:val="552D54C7"/>
    <w:rsid w:val="552F123F"/>
    <w:rsid w:val="55376345"/>
    <w:rsid w:val="55425416"/>
    <w:rsid w:val="55431E8C"/>
    <w:rsid w:val="55480552"/>
    <w:rsid w:val="554D5B69"/>
    <w:rsid w:val="555313D1"/>
    <w:rsid w:val="55564A1D"/>
    <w:rsid w:val="55570796"/>
    <w:rsid w:val="555946E3"/>
    <w:rsid w:val="555A57A5"/>
    <w:rsid w:val="555D66B2"/>
    <w:rsid w:val="55636F7C"/>
    <w:rsid w:val="556752C9"/>
    <w:rsid w:val="556C2493"/>
    <w:rsid w:val="55717AA9"/>
    <w:rsid w:val="55752B46"/>
    <w:rsid w:val="557C1FAA"/>
    <w:rsid w:val="557E272F"/>
    <w:rsid w:val="5583158B"/>
    <w:rsid w:val="558452D9"/>
    <w:rsid w:val="55853555"/>
    <w:rsid w:val="558D118A"/>
    <w:rsid w:val="558D41B7"/>
    <w:rsid w:val="559519EA"/>
    <w:rsid w:val="5596306C"/>
    <w:rsid w:val="55985036"/>
    <w:rsid w:val="55A61F25"/>
    <w:rsid w:val="55AE2AAB"/>
    <w:rsid w:val="55B17EA6"/>
    <w:rsid w:val="55B77D28"/>
    <w:rsid w:val="55B81234"/>
    <w:rsid w:val="55BA1450"/>
    <w:rsid w:val="55BD4092"/>
    <w:rsid w:val="55D61B13"/>
    <w:rsid w:val="55D65B5E"/>
    <w:rsid w:val="55D6790C"/>
    <w:rsid w:val="55D911AB"/>
    <w:rsid w:val="55DB3175"/>
    <w:rsid w:val="55DB7D2E"/>
    <w:rsid w:val="55E0078B"/>
    <w:rsid w:val="55E37A2E"/>
    <w:rsid w:val="55E97640"/>
    <w:rsid w:val="55ED323B"/>
    <w:rsid w:val="55ED7906"/>
    <w:rsid w:val="55F06C20"/>
    <w:rsid w:val="55F22707"/>
    <w:rsid w:val="55F81F79"/>
    <w:rsid w:val="560768CE"/>
    <w:rsid w:val="56085B13"/>
    <w:rsid w:val="56095F34"/>
    <w:rsid w:val="560C332E"/>
    <w:rsid w:val="561609D8"/>
    <w:rsid w:val="561A1EEF"/>
    <w:rsid w:val="561B0A11"/>
    <w:rsid w:val="561F290A"/>
    <w:rsid w:val="561F7505"/>
    <w:rsid w:val="5621502B"/>
    <w:rsid w:val="56226FF5"/>
    <w:rsid w:val="562A14DA"/>
    <w:rsid w:val="562B4FB5"/>
    <w:rsid w:val="563665FD"/>
    <w:rsid w:val="56372AA1"/>
    <w:rsid w:val="564F1095"/>
    <w:rsid w:val="5651167C"/>
    <w:rsid w:val="56710779"/>
    <w:rsid w:val="56781FDD"/>
    <w:rsid w:val="56785C3A"/>
    <w:rsid w:val="567D15B1"/>
    <w:rsid w:val="56836E03"/>
    <w:rsid w:val="56847368"/>
    <w:rsid w:val="568602D2"/>
    <w:rsid w:val="56870D83"/>
    <w:rsid w:val="568C3447"/>
    <w:rsid w:val="568E01E7"/>
    <w:rsid w:val="569577C7"/>
    <w:rsid w:val="56985339"/>
    <w:rsid w:val="569864A3"/>
    <w:rsid w:val="5699266D"/>
    <w:rsid w:val="569E48CE"/>
    <w:rsid w:val="56A02AE1"/>
    <w:rsid w:val="56A60E36"/>
    <w:rsid w:val="56B60923"/>
    <w:rsid w:val="56B709A2"/>
    <w:rsid w:val="56B718CD"/>
    <w:rsid w:val="56B93BA9"/>
    <w:rsid w:val="56BC0DE5"/>
    <w:rsid w:val="56BD4BCA"/>
    <w:rsid w:val="56CE4866"/>
    <w:rsid w:val="56CE4A87"/>
    <w:rsid w:val="56CE6835"/>
    <w:rsid w:val="56D106EB"/>
    <w:rsid w:val="56D46542"/>
    <w:rsid w:val="56D72E1C"/>
    <w:rsid w:val="56E55706"/>
    <w:rsid w:val="56E61481"/>
    <w:rsid w:val="56EE0C86"/>
    <w:rsid w:val="56EE6ECE"/>
    <w:rsid w:val="56F40992"/>
    <w:rsid w:val="56F57B5E"/>
    <w:rsid w:val="56F62932"/>
    <w:rsid w:val="56F73FDE"/>
    <w:rsid w:val="56FC15F5"/>
    <w:rsid w:val="57007337"/>
    <w:rsid w:val="570B5CA3"/>
    <w:rsid w:val="570F1328"/>
    <w:rsid w:val="571701DC"/>
    <w:rsid w:val="57184310"/>
    <w:rsid w:val="571F1612"/>
    <w:rsid w:val="572851EA"/>
    <w:rsid w:val="572A7F10"/>
    <w:rsid w:val="572F5526"/>
    <w:rsid w:val="57315742"/>
    <w:rsid w:val="57364B06"/>
    <w:rsid w:val="57471F1B"/>
    <w:rsid w:val="57476D14"/>
    <w:rsid w:val="574A6A03"/>
    <w:rsid w:val="574F5DA4"/>
    <w:rsid w:val="575431DF"/>
    <w:rsid w:val="57560D05"/>
    <w:rsid w:val="575925A3"/>
    <w:rsid w:val="575A2AD2"/>
    <w:rsid w:val="57670B54"/>
    <w:rsid w:val="57671164"/>
    <w:rsid w:val="576A0C54"/>
    <w:rsid w:val="577218B7"/>
    <w:rsid w:val="57772233"/>
    <w:rsid w:val="57783371"/>
    <w:rsid w:val="57784BC6"/>
    <w:rsid w:val="57796469"/>
    <w:rsid w:val="577B1853"/>
    <w:rsid w:val="577E46FF"/>
    <w:rsid w:val="57803FD4"/>
    <w:rsid w:val="578F2469"/>
    <w:rsid w:val="57913BB1"/>
    <w:rsid w:val="5791443C"/>
    <w:rsid w:val="57917F8F"/>
    <w:rsid w:val="57961A49"/>
    <w:rsid w:val="5799298C"/>
    <w:rsid w:val="579D6934"/>
    <w:rsid w:val="579E26AC"/>
    <w:rsid w:val="57A35F14"/>
    <w:rsid w:val="57A43D49"/>
    <w:rsid w:val="57AF2B0B"/>
    <w:rsid w:val="57AF48B9"/>
    <w:rsid w:val="57B10631"/>
    <w:rsid w:val="57BB5619"/>
    <w:rsid w:val="57C270F8"/>
    <w:rsid w:val="57C75BB9"/>
    <w:rsid w:val="57CF0AB7"/>
    <w:rsid w:val="57D32355"/>
    <w:rsid w:val="57D4431F"/>
    <w:rsid w:val="57DA6C3F"/>
    <w:rsid w:val="57DD1426"/>
    <w:rsid w:val="57E1353D"/>
    <w:rsid w:val="57EF5700"/>
    <w:rsid w:val="57F16C7F"/>
    <w:rsid w:val="57F64296"/>
    <w:rsid w:val="57F65106"/>
    <w:rsid w:val="57FC0A59"/>
    <w:rsid w:val="57FC328C"/>
    <w:rsid w:val="57FD334C"/>
    <w:rsid w:val="57FF139C"/>
    <w:rsid w:val="580D5C0C"/>
    <w:rsid w:val="580F5357"/>
    <w:rsid w:val="58133B49"/>
    <w:rsid w:val="58140C3E"/>
    <w:rsid w:val="581B5AAA"/>
    <w:rsid w:val="58207565"/>
    <w:rsid w:val="58256F2B"/>
    <w:rsid w:val="582E6826"/>
    <w:rsid w:val="583027D8"/>
    <w:rsid w:val="58311772"/>
    <w:rsid w:val="583C2193"/>
    <w:rsid w:val="583F5C3D"/>
    <w:rsid w:val="58507E4A"/>
    <w:rsid w:val="585267EB"/>
    <w:rsid w:val="58554656"/>
    <w:rsid w:val="58613E05"/>
    <w:rsid w:val="586B6538"/>
    <w:rsid w:val="586E6522"/>
    <w:rsid w:val="58710F7D"/>
    <w:rsid w:val="58727DC0"/>
    <w:rsid w:val="58737694"/>
    <w:rsid w:val="58771716"/>
    <w:rsid w:val="58792246"/>
    <w:rsid w:val="587A0D10"/>
    <w:rsid w:val="587C7F35"/>
    <w:rsid w:val="587F072F"/>
    <w:rsid w:val="58875A85"/>
    <w:rsid w:val="588B2C30"/>
    <w:rsid w:val="588D58A4"/>
    <w:rsid w:val="588F4693"/>
    <w:rsid w:val="5895714E"/>
    <w:rsid w:val="589715D5"/>
    <w:rsid w:val="58977919"/>
    <w:rsid w:val="589A2E73"/>
    <w:rsid w:val="589D1393"/>
    <w:rsid w:val="58A92BAE"/>
    <w:rsid w:val="58AC2BA6"/>
    <w:rsid w:val="58B30533"/>
    <w:rsid w:val="58B63D67"/>
    <w:rsid w:val="58BE7513"/>
    <w:rsid w:val="58C24BD6"/>
    <w:rsid w:val="58CD4CD7"/>
    <w:rsid w:val="58D00160"/>
    <w:rsid w:val="58D740C7"/>
    <w:rsid w:val="58DE31C9"/>
    <w:rsid w:val="58E10AA2"/>
    <w:rsid w:val="58E24ED3"/>
    <w:rsid w:val="58EC3478"/>
    <w:rsid w:val="58ED5699"/>
    <w:rsid w:val="58F577E5"/>
    <w:rsid w:val="58FD3402"/>
    <w:rsid w:val="59044790"/>
    <w:rsid w:val="59097FF9"/>
    <w:rsid w:val="590B2426"/>
    <w:rsid w:val="5919648E"/>
    <w:rsid w:val="591C41D0"/>
    <w:rsid w:val="59282B75"/>
    <w:rsid w:val="592A4F45"/>
    <w:rsid w:val="593E5EF4"/>
    <w:rsid w:val="594A6647"/>
    <w:rsid w:val="594E53E5"/>
    <w:rsid w:val="594F0101"/>
    <w:rsid w:val="595079D6"/>
    <w:rsid w:val="59536686"/>
    <w:rsid w:val="59613991"/>
    <w:rsid w:val="59653945"/>
    <w:rsid w:val="596D0588"/>
    <w:rsid w:val="597A4A53"/>
    <w:rsid w:val="59822285"/>
    <w:rsid w:val="5982373F"/>
    <w:rsid w:val="598C4EB2"/>
    <w:rsid w:val="59984BED"/>
    <w:rsid w:val="599B141D"/>
    <w:rsid w:val="599C2C1B"/>
    <w:rsid w:val="599E2585"/>
    <w:rsid w:val="59A321FB"/>
    <w:rsid w:val="59A33FA9"/>
    <w:rsid w:val="59A541C5"/>
    <w:rsid w:val="59A54345"/>
    <w:rsid w:val="59AB03BC"/>
    <w:rsid w:val="59B70BE5"/>
    <w:rsid w:val="59B85CA7"/>
    <w:rsid w:val="59BA66BC"/>
    <w:rsid w:val="59C15FD0"/>
    <w:rsid w:val="59C80C74"/>
    <w:rsid w:val="59CA7788"/>
    <w:rsid w:val="59D10B16"/>
    <w:rsid w:val="59D9224D"/>
    <w:rsid w:val="59DE4FE1"/>
    <w:rsid w:val="59E06FAB"/>
    <w:rsid w:val="59E15073"/>
    <w:rsid w:val="59E22D24"/>
    <w:rsid w:val="59E41F31"/>
    <w:rsid w:val="59E545C2"/>
    <w:rsid w:val="59E7658C"/>
    <w:rsid w:val="59EA607C"/>
    <w:rsid w:val="59F24396"/>
    <w:rsid w:val="59F81164"/>
    <w:rsid w:val="59FB3DE5"/>
    <w:rsid w:val="59FF38D6"/>
    <w:rsid w:val="59FF5F31"/>
    <w:rsid w:val="5A02402A"/>
    <w:rsid w:val="5A0A5DD6"/>
    <w:rsid w:val="5A10004D"/>
    <w:rsid w:val="5A1153B7"/>
    <w:rsid w:val="5A1530F9"/>
    <w:rsid w:val="5A2055FA"/>
    <w:rsid w:val="5A3103E4"/>
    <w:rsid w:val="5A33357F"/>
    <w:rsid w:val="5A350349"/>
    <w:rsid w:val="5A3819B2"/>
    <w:rsid w:val="5A386DE8"/>
    <w:rsid w:val="5A3B0686"/>
    <w:rsid w:val="5A4124BE"/>
    <w:rsid w:val="5A427C66"/>
    <w:rsid w:val="5A470CAA"/>
    <w:rsid w:val="5A4C6CD9"/>
    <w:rsid w:val="5A4E03B9"/>
    <w:rsid w:val="5A4F0DF0"/>
    <w:rsid w:val="5A526AD6"/>
    <w:rsid w:val="5A55470F"/>
    <w:rsid w:val="5A696FA1"/>
    <w:rsid w:val="5A6B5717"/>
    <w:rsid w:val="5A81078E"/>
    <w:rsid w:val="5A837388"/>
    <w:rsid w:val="5A854F44"/>
    <w:rsid w:val="5A8F71D0"/>
    <w:rsid w:val="5A971D60"/>
    <w:rsid w:val="5A995821"/>
    <w:rsid w:val="5AAA1B1D"/>
    <w:rsid w:val="5AB13643"/>
    <w:rsid w:val="5ABC17C7"/>
    <w:rsid w:val="5AC661A1"/>
    <w:rsid w:val="5AC97A40"/>
    <w:rsid w:val="5AD346BB"/>
    <w:rsid w:val="5ADB1DB8"/>
    <w:rsid w:val="5AE41E0A"/>
    <w:rsid w:val="5AE72237"/>
    <w:rsid w:val="5AE74887"/>
    <w:rsid w:val="5AE96334"/>
    <w:rsid w:val="5AEC6705"/>
    <w:rsid w:val="5AF02F48"/>
    <w:rsid w:val="5AF0321E"/>
    <w:rsid w:val="5AF54CD9"/>
    <w:rsid w:val="5AFD30B5"/>
    <w:rsid w:val="5B0332AA"/>
    <w:rsid w:val="5B04316E"/>
    <w:rsid w:val="5B152C85"/>
    <w:rsid w:val="5B154FF4"/>
    <w:rsid w:val="5B16746E"/>
    <w:rsid w:val="5B1D08E4"/>
    <w:rsid w:val="5B321A89"/>
    <w:rsid w:val="5B386973"/>
    <w:rsid w:val="5B4A6DD2"/>
    <w:rsid w:val="5B597015"/>
    <w:rsid w:val="5B5A4B3C"/>
    <w:rsid w:val="5B5C6B06"/>
    <w:rsid w:val="5B6360E6"/>
    <w:rsid w:val="5B6634E0"/>
    <w:rsid w:val="5B690C52"/>
    <w:rsid w:val="5B6E019A"/>
    <w:rsid w:val="5B71325A"/>
    <w:rsid w:val="5B81656C"/>
    <w:rsid w:val="5B86538B"/>
    <w:rsid w:val="5B8A3673"/>
    <w:rsid w:val="5BA02EDF"/>
    <w:rsid w:val="5BAE5B11"/>
    <w:rsid w:val="5BAE68A6"/>
    <w:rsid w:val="5BAFD919"/>
    <w:rsid w:val="5BB36F08"/>
    <w:rsid w:val="5BB62BF4"/>
    <w:rsid w:val="5BBA3B11"/>
    <w:rsid w:val="5BC00E23"/>
    <w:rsid w:val="5BC50070"/>
    <w:rsid w:val="5BC67D97"/>
    <w:rsid w:val="5BC86C25"/>
    <w:rsid w:val="5BCA7F13"/>
    <w:rsid w:val="5BD3262B"/>
    <w:rsid w:val="5BD3501A"/>
    <w:rsid w:val="5BD42B40"/>
    <w:rsid w:val="5BD70683"/>
    <w:rsid w:val="5BDB5C7C"/>
    <w:rsid w:val="5BE80399"/>
    <w:rsid w:val="5BEA2363"/>
    <w:rsid w:val="5BF63C0C"/>
    <w:rsid w:val="5BFD3E45"/>
    <w:rsid w:val="5C000D17"/>
    <w:rsid w:val="5C036F81"/>
    <w:rsid w:val="5C0A6D7F"/>
    <w:rsid w:val="5C0E1A99"/>
    <w:rsid w:val="5C0E6052"/>
    <w:rsid w:val="5C164F06"/>
    <w:rsid w:val="5C171BF3"/>
    <w:rsid w:val="5C1D5966"/>
    <w:rsid w:val="5C1E200D"/>
    <w:rsid w:val="5C210521"/>
    <w:rsid w:val="5C245875"/>
    <w:rsid w:val="5C273ACF"/>
    <w:rsid w:val="5C277114"/>
    <w:rsid w:val="5C2E31EE"/>
    <w:rsid w:val="5C390BF5"/>
    <w:rsid w:val="5C391356"/>
    <w:rsid w:val="5C397A1F"/>
    <w:rsid w:val="5C3D06E5"/>
    <w:rsid w:val="5C45759A"/>
    <w:rsid w:val="5C4750C0"/>
    <w:rsid w:val="5C4A4BB0"/>
    <w:rsid w:val="5C4B5585"/>
    <w:rsid w:val="5C514191"/>
    <w:rsid w:val="5C537F09"/>
    <w:rsid w:val="5C577204"/>
    <w:rsid w:val="5C5D0D87"/>
    <w:rsid w:val="5C5D2B35"/>
    <w:rsid w:val="5C675762"/>
    <w:rsid w:val="5C6770A6"/>
    <w:rsid w:val="5C6C2699"/>
    <w:rsid w:val="5C78171D"/>
    <w:rsid w:val="5C806824"/>
    <w:rsid w:val="5C8267E6"/>
    <w:rsid w:val="5C871960"/>
    <w:rsid w:val="5C8956D8"/>
    <w:rsid w:val="5C8F25FB"/>
    <w:rsid w:val="5C97586A"/>
    <w:rsid w:val="5C9A1694"/>
    <w:rsid w:val="5C9F30C9"/>
    <w:rsid w:val="5C9F7056"/>
    <w:rsid w:val="5CA5018C"/>
    <w:rsid w:val="5CAA564F"/>
    <w:rsid w:val="5CAB38A1"/>
    <w:rsid w:val="5CAB5675"/>
    <w:rsid w:val="5CAF45D9"/>
    <w:rsid w:val="5CB12E81"/>
    <w:rsid w:val="5CB309A7"/>
    <w:rsid w:val="5CB56119"/>
    <w:rsid w:val="5CB62246"/>
    <w:rsid w:val="5CBD0CC6"/>
    <w:rsid w:val="5CC20BEA"/>
    <w:rsid w:val="5CC826A5"/>
    <w:rsid w:val="5CC93B2E"/>
    <w:rsid w:val="5CCB3F43"/>
    <w:rsid w:val="5CCC3817"/>
    <w:rsid w:val="5CCD7CBB"/>
    <w:rsid w:val="5CD31049"/>
    <w:rsid w:val="5CD821BC"/>
    <w:rsid w:val="5CD845E5"/>
    <w:rsid w:val="5CDD3C76"/>
    <w:rsid w:val="5CEB0141"/>
    <w:rsid w:val="5CF000D6"/>
    <w:rsid w:val="5CFA0384"/>
    <w:rsid w:val="5D017965"/>
    <w:rsid w:val="5D0336DD"/>
    <w:rsid w:val="5D064F7B"/>
    <w:rsid w:val="5D086F45"/>
    <w:rsid w:val="5D1A3F40"/>
    <w:rsid w:val="5D2418A5"/>
    <w:rsid w:val="5D26561D"/>
    <w:rsid w:val="5D2E5553"/>
    <w:rsid w:val="5D310315"/>
    <w:rsid w:val="5D343135"/>
    <w:rsid w:val="5D3715D8"/>
    <w:rsid w:val="5D373386"/>
    <w:rsid w:val="5D3B2A03"/>
    <w:rsid w:val="5D3D6D9F"/>
    <w:rsid w:val="5D3F223B"/>
    <w:rsid w:val="5D3F39A6"/>
    <w:rsid w:val="5D401C99"/>
    <w:rsid w:val="5D410AF8"/>
    <w:rsid w:val="5D411CBC"/>
    <w:rsid w:val="5D435270"/>
    <w:rsid w:val="5D485594"/>
    <w:rsid w:val="5D537A94"/>
    <w:rsid w:val="5D551191"/>
    <w:rsid w:val="5D5E6B65"/>
    <w:rsid w:val="5D622BD8"/>
    <w:rsid w:val="5D6808B8"/>
    <w:rsid w:val="5D6B3AFB"/>
    <w:rsid w:val="5D740137"/>
    <w:rsid w:val="5D752454"/>
    <w:rsid w:val="5D753EAF"/>
    <w:rsid w:val="5D7B00ED"/>
    <w:rsid w:val="5D7C348F"/>
    <w:rsid w:val="5D7F1D13"/>
    <w:rsid w:val="5D7F6ADB"/>
    <w:rsid w:val="5D810AA5"/>
    <w:rsid w:val="5D850596"/>
    <w:rsid w:val="5D8774BB"/>
    <w:rsid w:val="5D9302F4"/>
    <w:rsid w:val="5D9500AD"/>
    <w:rsid w:val="5D9B6DC4"/>
    <w:rsid w:val="5D9E3405"/>
    <w:rsid w:val="5DA31E5C"/>
    <w:rsid w:val="5DA547A2"/>
    <w:rsid w:val="5DAA1F8C"/>
    <w:rsid w:val="5DAC243C"/>
    <w:rsid w:val="5DB16193"/>
    <w:rsid w:val="5DB9023F"/>
    <w:rsid w:val="5DCB08EB"/>
    <w:rsid w:val="5DDB01B6"/>
    <w:rsid w:val="5DDB6F0D"/>
    <w:rsid w:val="5DE057CC"/>
    <w:rsid w:val="5DE52703"/>
    <w:rsid w:val="5DEC4171"/>
    <w:rsid w:val="5DEE4387"/>
    <w:rsid w:val="5DF94AE0"/>
    <w:rsid w:val="5DFB3B0C"/>
    <w:rsid w:val="5DFDD72F"/>
    <w:rsid w:val="5E001B6F"/>
    <w:rsid w:val="5E055233"/>
    <w:rsid w:val="5E062D59"/>
    <w:rsid w:val="5E084D23"/>
    <w:rsid w:val="5E0969BF"/>
    <w:rsid w:val="5E1436C8"/>
    <w:rsid w:val="5E146C58"/>
    <w:rsid w:val="5E196F30"/>
    <w:rsid w:val="5E197DFF"/>
    <w:rsid w:val="5E1B6804"/>
    <w:rsid w:val="5E1C432A"/>
    <w:rsid w:val="5E391380"/>
    <w:rsid w:val="5E3E3E27"/>
    <w:rsid w:val="5E435D5B"/>
    <w:rsid w:val="5E457D25"/>
    <w:rsid w:val="5E4A70E9"/>
    <w:rsid w:val="5E5461ED"/>
    <w:rsid w:val="5E56783C"/>
    <w:rsid w:val="5E5D0BCB"/>
    <w:rsid w:val="5E5D71A3"/>
    <w:rsid w:val="5E5E2B95"/>
    <w:rsid w:val="5E60643B"/>
    <w:rsid w:val="5E652175"/>
    <w:rsid w:val="5E6B75A3"/>
    <w:rsid w:val="5E743B33"/>
    <w:rsid w:val="5E744166"/>
    <w:rsid w:val="5E7D740E"/>
    <w:rsid w:val="5E81495D"/>
    <w:rsid w:val="5E843D53"/>
    <w:rsid w:val="5E8C14B0"/>
    <w:rsid w:val="5E912514"/>
    <w:rsid w:val="5E94498A"/>
    <w:rsid w:val="5E960581"/>
    <w:rsid w:val="5E9D3D74"/>
    <w:rsid w:val="5EA51C4A"/>
    <w:rsid w:val="5EA834B9"/>
    <w:rsid w:val="5EAA7B88"/>
    <w:rsid w:val="5EAC0136"/>
    <w:rsid w:val="5EAC1B52"/>
    <w:rsid w:val="5EC62C14"/>
    <w:rsid w:val="5ECA1FD8"/>
    <w:rsid w:val="5ECB541F"/>
    <w:rsid w:val="5ECC7F7A"/>
    <w:rsid w:val="5ECF7B51"/>
    <w:rsid w:val="5ED846F5"/>
    <w:rsid w:val="5EDA28E3"/>
    <w:rsid w:val="5EDF597C"/>
    <w:rsid w:val="5EE664D7"/>
    <w:rsid w:val="5EE74938"/>
    <w:rsid w:val="5EEC63F2"/>
    <w:rsid w:val="5EF013E5"/>
    <w:rsid w:val="5EF01A3F"/>
    <w:rsid w:val="5EF7101F"/>
    <w:rsid w:val="5EFA0B0F"/>
    <w:rsid w:val="5F001680"/>
    <w:rsid w:val="5F011E9E"/>
    <w:rsid w:val="5F04373C"/>
    <w:rsid w:val="5F047298"/>
    <w:rsid w:val="5F0A6E4B"/>
    <w:rsid w:val="5F0F0853"/>
    <w:rsid w:val="5F1115F5"/>
    <w:rsid w:val="5F141327"/>
    <w:rsid w:val="5F186EC6"/>
    <w:rsid w:val="5F19745A"/>
    <w:rsid w:val="5F1C2834"/>
    <w:rsid w:val="5F200575"/>
    <w:rsid w:val="5F2B57AF"/>
    <w:rsid w:val="5F2D2C93"/>
    <w:rsid w:val="5F301D5E"/>
    <w:rsid w:val="5F304531"/>
    <w:rsid w:val="5F311A8C"/>
    <w:rsid w:val="5F3804CF"/>
    <w:rsid w:val="5F3A0F0C"/>
    <w:rsid w:val="5F434264"/>
    <w:rsid w:val="5F593740"/>
    <w:rsid w:val="5F5C70D4"/>
    <w:rsid w:val="5F6441DB"/>
    <w:rsid w:val="5F65716A"/>
    <w:rsid w:val="5F666820"/>
    <w:rsid w:val="5F691E20"/>
    <w:rsid w:val="5F6B47EE"/>
    <w:rsid w:val="5F7268F8"/>
    <w:rsid w:val="5F7E529D"/>
    <w:rsid w:val="5F833103"/>
    <w:rsid w:val="5F8B5C0B"/>
    <w:rsid w:val="5F8D10FC"/>
    <w:rsid w:val="5F8E9808"/>
    <w:rsid w:val="5F906D7E"/>
    <w:rsid w:val="5F920D48"/>
    <w:rsid w:val="5F925800"/>
    <w:rsid w:val="5F9E593F"/>
    <w:rsid w:val="5F9F3465"/>
    <w:rsid w:val="5FA328DA"/>
    <w:rsid w:val="5FA34D03"/>
    <w:rsid w:val="5FA357B7"/>
    <w:rsid w:val="5FAF1CA3"/>
    <w:rsid w:val="5FB54A36"/>
    <w:rsid w:val="5FBB767E"/>
    <w:rsid w:val="5FBC5DC5"/>
    <w:rsid w:val="5FBF2C92"/>
    <w:rsid w:val="5FBF7663"/>
    <w:rsid w:val="5FC15189"/>
    <w:rsid w:val="5FD276B3"/>
    <w:rsid w:val="5FD44EBD"/>
    <w:rsid w:val="5FD759B2"/>
    <w:rsid w:val="5FD865D1"/>
    <w:rsid w:val="5FDF6FC8"/>
    <w:rsid w:val="5FE175D9"/>
    <w:rsid w:val="5FEA4053"/>
    <w:rsid w:val="5FEA46E0"/>
    <w:rsid w:val="5FF13CC0"/>
    <w:rsid w:val="5FFA35CE"/>
    <w:rsid w:val="5FFE462F"/>
    <w:rsid w:val="60025ECE"/>
    <w:rsid w:val="60114D3D"/>
    <w:rsid w:val="601856F1"/>
    <w:rsid w:val="601C4AB5"/>
    <w:rsid w:val="601D2D07"/>
    <w:rsid w:val="60220673"/>
    <w:rsid w:val="60261BC5"/>
    <w:rsid w:val="60285C26"/>
    <w:rsid w:val="602C2F4B"/>
    <w:rsid w:val="602F47E9"/>
    <w:rsid w:val="60326087"/>
    <w:rsid w:val="60327E35"/>
    <w:rsid w:val="603A39FC"/>
    <w:rsid w:val="60400411"/>
    <w:rsid w:val="604C539B"/>
    <w:rsid w:val="60511E26"/>
    <w:rsid w:val="60561D75"/>
    <w:rsid w:val="606267B5"/>
    <w:rsid w:val="6062696C"/>
    <w:rsid w:val="60695F4D"/>
    <w:rsid w:val="606F5004"/>
    <w:rsid w:val="60762418"/>
    <w:rsid w:val="607C7302"/>
    <w:rsid w:val="607E12CC"/>
    <w:rsid w:val="608179A3"/>
    <w:rsid w:val="60824919"/>
    <w:rsid w:val="608277AE"/>
    <w:rsid w:val="60831C82"/>
    <w:rsid w:val="608F7035"/>
    <w:rsid w:val="609144B8"/>
    <w:rsid w:val="60956CE9"/>
    <w:rsid w:val="6098238E"/>
    <w:rsid w:val="609D1752"/>
    <w:rsid w:val="60A33183"/>
    <w:rsid w:val="60A800F7"/>
    <w:rsid w:val="60A947DF"/>
    <w:rsid w:val="60AB1FDD"/>
    <w:rsid w:val="60AD1DFC"/>
    <w:rsid w:val="60B371C8"/>
    <w:rsid w:val="60BD0294"/>
    <w:rsid w:val="60CA0891"/>
    <w:rsid w:val="60CE4002"/>
    <w:rsid w:val="60CE7B5E"/>
    <w:rsid w:val="60D46B48"/>
    <w:rsid w:val="60E03D35"/>
    <w:rsid w:val="60E2185B"/>
    <w:rsid w:val="60E5134B"/>
    <w:rsid w:val="60E76E71"/>
    <w:rsid w:val="60E92BEA"/>
    <w:rsid w:val="60EE1FAE"/>
    <w:rsid w:val="60EE6214"/>
    <w:rsid w:val="60EF5D26"/>
    <w:rsid w:val="60F375C4"/>
    <w:rsid w:val="60F577E0"/>
    <w:rsid w:val="60FB46CB"/>
    <w:rsid w:val="6106716E"/>
    <w:rsid w:val="610712C2"/>
    <w:rsid w:val="610954AF"/>
    <w:rsid w:val="610B5D8F"/>
    <w:rsid w:val="610C14FE"/>
    <w:rsid w:val="61151C31"/>
    <w:rsid w:val="611761ED"/>
    <w:rsid w:val="611C241C"/>
    <w:rsid w:val="611D0AE5"/>
    <w:rsid w:val="61271964"/>
    <w:rsid w:val="612A51EA"/>
    <w:rsid w:val="612F1F0B"/>
    <w:rsid w:val="61377E0E"/>
    <w:rsid w:val="613876CD"/>
    <w:rsid w:val="613C1835"/>
    <w:rsid w:val="613F2044"/>
    <w:rsid w:val="614442C4"/>
    <w:rsid w:val="6147235A"/>
    <w:rsid w:val="614C4F26"/>
    <w:rsid w:val="614C5017"/>
    <w:rsid w:val="614D1FBB"/>
    <w:rsid w:val="61501D05"/>
    <w:rsid w:val="61504A17"/>
    <w:rsid w:val="615A7643"/>
    <w:rsid w:val="615F4C5A"/>
    <w:rsid w:val="61677FB2"/>
    <w:rsid w:val="61691F7C"/>
    <w:rsid w:val="61693D2A"/>
    <w:rsid w:val="616A3388"/>
    <w:rsid w:val="616E7E64"/>
    <w:rsid w:val="61740303"/>
    <w:rsid w:val="61797EDB"/>
    <w:rsid w:val="61856F4B"/>
    <w:rsid w:val="618741B1"/>
    <w:rsid w:val="618F1D6E"/>
    <w:rsid w:val="61932B55"/>
    <w:rsid w:val="6198016C"/>
    <w:rsid w:val="619D39D4"/>
    <w:rsid w:val="61A134C4"/>
    <w:rsid w:val="61A42FB4"/>
    <w:rsid w:val="61AA5DD6"/>
    <w:rsid w:val="61AE798F"/>
    <w:rsid w:val="61B256D1"/>
    <w:rsid w:val="61B41449"/>
    <w:rsid w:val="61BF22B1"/>
    <w:rsid w:val="61C15914"/>
    <w:rsid w:val="61C379F2"/>
    <w:rsid w:val="61CA7231"/>
    <w:rsid w:val="61D27EB7"/>
    <w:rsid w:val="61DB05FA"/>
    <w:rsid w:val="61DB1D99"/>
    <w:rsid w:val="61E0242D"/>
    <w:rsid w:val="61ED04B8"/>
    <w:rsid w:val="61F53810"/>
    <w:rsid w:val="61FA2BD4"/>
    <w:rsid w:val="61FC06FB"/>
    <w:rsid w:val="61FD5D7B"/>
    <w:rsid w:val="62030E3A"/>
    <w:rsid w:val="62090AAA"/>
    <w:rsid w:val="620D2908"/>
    <w:rsid w:val="620F042E"/>
    <w:rsid w:val="62205443"/>
    <w:rsid w:val="62214E92"/>
    <w:rsid w:val="623139CC"/>
    <w:rsid w:val="623600B0"/>
    <w:rsid w:val="62373E29"/>
    <w:rsid w:val="623C3EC5"/>
    <w:rsid w:val="623D3AD2"/>
    <w:rsid w:val="623E2101"/>
    <w:rsid w:val="623E7861"/>
    <w:rsid w:val="62403196"/>
    <w:rsid w:val="62447F17"/>
    <w:rsid w:val="624F2F20"/>
    <w:rsid w:val="62516C98"/>
    <w:rsid w:val="625255ED"/>
    <w:rsid w:val="62544508"/>
    <w:rsid w:val="625E14F2"/>
    <w:rsid w:val="62620EA5"/>
    <w:rsid w:val="62685D90"/>
    <w:rsid w:val="626A1B08"/>
    <w:rsid w:val="626A672E"/>
    <w:rsid w:val="626C2DFB"/>
    <w:rsid w:val="62747926"/>
    <w:rsid w:val="627916FC"/>
    <w:rsid w:val="627B5AC3"/>
    <w:rsid w:val="627E3805"/>
    <w:rsid w:val="6280132C"/>
    <w:rsid w:val="6280757E"/>
    <w:rsid w:val="628218E8"/>
    <w:rsid w:val="628C0638"/>
    <w:rsid w:val="6299063F"/>
    <w:rsid w:val="629C2F58"/>
    <w:rsid w:val="629D5835"/>
    <w:rsid w:val="62B9483E"/>
    <w:rsid w:val="62CD2097"/>
    <w:rsid w:val="62D41677"/>
    <w:rsid w:val="62D653F0"/>
    <w:rsid w:val="62E278F0"/>
    <w:rsid w:val="62FD472A"/>
    <w:rsid w:val="6300421A"/>
    <w:rsid w:val="63027F93"/>
    <w:rsid w:val="630352C8"/>
    <w:rsid w:val="63096CAD"/>
    <w:rsid w:val="630A0456"/>
    <w:rsid w:val="630A5099"/>
    <w:rsid w:val="630C0E11"/>
    <w:rsid w:val="630D5FB7"/>
    <w:rsid w:val="630E2DDB"/>
    <w:rsid w:val="6311162E"/>
    <w:rsid w:val="63182962"/>
    <w:rsid w:val="63185211"/>
    <w:rsid w:val="631877B6"/>
    <w:rsid w:val="631A1780"/>
    <w:rsid w:val="631F0B45"/>
    <w:rsid w:val="63251941"/>
    <w:rsid w:val="63343EC4"/>
    <w:rsid w:val="633873AA"/>
    <w:rsid w:val="633F2F95"/>
    <w:rsid w:val="63486485"/>
    <w:rsid w:val="634E31D8"/>
    <w:rsid w:val="63500CFE"/>
    <w:rsid w:val="63556314"/>
    <w:rsid w:val="635B58F5"/>
    <w:rsid w:val="635C4F2B"/>
    <w:rsid w:val="63636F83"/>
    <w:rsid w:val="636831B2"/>
    <w:rsid w:val="6370301B"/>
    <w:rsid w:val="63730E90"/>
    <w:rsid w:val="63765254"/>
    <w:rsid w:val="637864A7"/>
    <w:rsid w:val="637A715D"/>
    <w:rsid w:val="637C15CE"/>
    <w:rsid w:val="63822E81"/>
    <w:rsid w:val="6388493C"/>
    <w:rsid w:val="638E3205"/>
    <w:rsid w:val="63921CC6"/>
    <w:rsid w:val="639554A5"/>
    <w:rsid w:val="639A093F"/>
    <w:rsid w:val="639F1C85"/>
    <w:rsid w:val="63A6046B"/>
    <w:rsid w:val="63A728E8"/>
    <w:rsid w:val="63A92B04"/>
    <w:rsid w:val="63AB23D8"/>
    <w:rsid w:val="63AB687C"/>
    <w:rsid w:val="63B53257"/>
    <w:rsid w:val="63BA086D"/>
    <w:rsid w:val="63C86DC4"/>
    <w:rsid w:val="63C94F54"/>
    <w:rsid w:val="63CC03F0"/>
    <w:rsid w:val="63CC234F"/>
    <w:rsid w:val="63D25BB7"/>
    <w:rsid w:val="63D3192F"/>
    <w:rsid w:val="63D52A24"/>
    <w:rsid w:val="63D52F45"/>
    <w:rsid w:val="63D538F9"/>
    <w:rsid w:val="63D82DCE"/>
    <w:rsid w:val="63DA4A6C"/>
    <w:rsid w:val="63DD1A3B"/>
    <w:rsid w:val="63E458EA"/>
    <w:rsid w:val="63EE0517"/>
    <w:rsid w:val="63EF49BB"/>
    <w:rsid w:val="63F23295"/>
    <w:rsid w:val="63F773CC"/>
    <w:rsid w:val="63FB781E"/>
    <w:rsid w:val="63FE4BFE"/>
    <w:rsid w:val="64055F8C"/>
    <w:rsid w:val="640744AE"/>
    <w:rsid w:val="640D4784"/>
    <w:rsid w:val="64155AA4"/>
    <w:rsid w:val="6416019A"/>
    <w:rsid w:val="642207D6"/>
    <w:rsid w:val="6425410B"/>
    <w:rsid w:val="642A77A1"/>
    <w:rsid w:val="642B7E31"/>
    <w:rsid w:val="64370110"/>
    <w:rsid w:val="64373C6C"/>
    <w:rsid w:val="643D4204"/>
    <w:rsid w:val="6445282D"/>
    <w:rsid w:val="644C3036"/>
    <w:rsid w:val="64502F80"/>
    <w:rsid w:val="64504D2E"/>
    <w:rsid w:val="645962D8"/>
    <w:rsid w:val="645A795A"/>
    <w:rsid w:val="645E7808"/>
    <w:rsid w:val="646A0640"/>
    <w:rsid w:val="646D58E0"/>
    <w:rsid w:val="64721148"/>
    <w:rsid w:val="64744EC0"/>
    <w:rsid w:val="647C1FC7"/>
    <w:rsid w:val="647F1903"/>
    <w:rsid w:val="64807237"/>
    <w:rsid w:val="648B6A6E"/>
    <w:rsid w:val="648D5F82"/>
    <w:rsid w:val="648E0A50"/>
    <w:rsid w:val="649C61C5"/>
    <w:rsid w:val="64A21A2D"/>
    <w:rsid w:val="64A5151D"/>
    <w:rsid w:val="64AA08E2"/>
    <w:rsid w:val="64AC28AC"/>
    <w:rsid w:val="64AD03D2"/>
    <w:rsid w:val="64B33C3A"/>
    <w:rsid w:val="64B715AC"/>
    <w:rsid w:val="64B80F38"/>
    <w:rsid w:val="64C86FBA"/>
    <w:rsid w:val="64CA4AE0"/>
    <w:rsid w:val="64D322CD"/>
    <w:rsid w:val="64D32DDD"/>
    <w:rsid w:val="64D67929"/>
    <w:rsid w:val="64DB6CED"/>
    <w:rsid w:val="64E21E2A"/>
    <w:rsid w:val="64E42046"/>
    <w:rsid w:val="64E744B3"/>
    <w:rsid w:val="64EA6F30"/>
    <w:rsid w:val="64F102BF"/>
    <w:rsid w:val="64FA7A7E"/>
    <w:rsid w:val="650224CC"/>
    <w:rsid w:val="65043BE9"/>
    <w:rsid w:val="65071890"/>
    <w:rsid w:val="650A1380"/>
    <w:rsid w:val="650E7EF7"/>
    <w:rsid w:val="6530528B"/>
    <w:rsid w:val="65420B1A"/>
    <w:rsid w:val="65442AE4"/>
    <w:rsid w:val="654504A6"/>
    <w:rsid w:val="6554684A"/>
    <w:rsid w:val="65556AA0"/>
    <w:rsid w:val="655645C6"/>
    <w:rsid w:val="655C3B7E"/>
    <w:rsid w:val="655C540A"/>
    <w:rsid w:val="655F1E1A"/>
    <w:rsid w:val="656129C2"/>
    <w:rsid w:val="65670581"/>
    <w:rsid w:val="656971DE"/>
    <w:rsid w:val="656B62C3"/>
    <w:rsid w:val="656E232E"/>
    <w:rsid w:val="657C227E"/>
    <w:rsid w:val="658A7D29"/>
    <w:rsid w:val="658B0713"/>
    <w:rsid w:val="658B4EE7"/>
    <w:rsid w:val="658B6F7C"/>
    <w:rsid w:val="65960E66"/>
    <w:rsid w:val="6598698C"/>
    <w:rsid w:val="65A13A93"/>
    <w:rsid w:val="65A2479E"/>
    <w:rsid w:val="65A26A4F"/>
    <w:rsid w:val="65A73073"/>
    <w:rsid w:val="65A743B6"/>
    <w:rsid w:val="65A842A2"/>
    <w:rsid w:val="65AD68DC"/>
    <w:rsid w:val="65AE7F5E"/>
    <w:rsid w:val="65B0017A"/>
    <w:rsid w:val="65B31A21"/>
    <w:rsid w:val="65B732B6"/>
    <w:rsid w:val="65B75967"/>
    <w:rsid w:val="65BA4B55"/>
    <w:rsid w:val="65BD759B"/>
    <w:rsid w:val="65BF216B"/>
    <w:rsid w:val="65C77BFA"/>
    <w:rsid w:val="65D0781C"/>
    <w:rsid w:val="65D617E5"/>
    <w:rsid w:val="65DB7500"/>
    <w:rsid w:val="65E71644"/>
    <w:rsid w:val="65E971E8"/>
    <w:rsid w:val="65EE670F"/>
    <w:rsid w:val="65F00576"/>
    <w:rsid w:val="65F0083E"/>
    <w:rsid w:val="65F067C8"/>
    <w:rsid w:val="65F933C3"/>
    <w:rsid w:val="65FF4C5D"/>
    <w:rsid w:val="66091638"/>
    <w:rsid w:val="660A5ADC"/>
    <w:rsid w:val="660B3602"/>
    <w:rsid w:val="660F30F2"/>
    <w:rsid w:val="66124991"/>
    <w:rsid w:val="661324B7"/>
    <w:rsid w:val="6623094C"/>
    <w:rsid w:val="66281E6E"/>
    <w:rsid w:val="663366B5"/>
    <w:rsid w:val="6639016F"/>
    <w:rsid w:val="663F505A"/>
    <w:rsid w:val="66434B4A"/>
    <w:rsid w:val="66442670"/>
    <w:rsid w:val="66476133"/>
    <w:rsid w:val="665F57E5"/>
    <w:rsid w:val="666E2F65"/>
    <w:rsid w:val="6675128B"/>
    <w:rsid w:val="66794A10"/>
    <w:rsid w:val="667B50FD"/>
    <w:rsid w:val="667C62AE"/>
    <w:rsid w:val="667D115E"/>
    <w:rsid w:val="667F664F"/>
    <w:rsid w:val="6680077E"/>
    <w:rsid w:val="66805D9E"/>
    <w:rsid w:val="668261BC"/>
    <w:rsid w:val="66877A2A"/>
    <w:rsid w:val="66887883"/>
    <w:rsid w:val="66894914"/>
    <w:rsid w:val="668A17FD"/>
    <w:rsid w:val="668B64F1"/>
    <w:rsid w:val="668D04BB"/>
    <w:rsid w:val="669E446B"/>
    <w:rsid w:val="669E7FD2"/>
    <w:rsid w:val="66A23F66"/>
    <w:rsid w:val="66A31A8D"/>
    <w:rsid w:val="66A45BDC"/>
    <w:rsid w:val="66A852F5"/>
    <w:rsid w:val="66AF0810"/>
    <w:rsid w:val="66B26F08"/>
    <w:rsid w:val="66B41F6F"/>
    <w:rsid w:val="66B75538"/>
    <w:rsid w:val="66BE68C6"/>
    <w:rsid w:val="66C61A82"/>
    <w:rsid w:val="66C94644"/>
    <w:rsid w:val="66CA0DC7"/>
    <w:rsid w:val="66DB2FD4"/>
    <w:rsid w:val="66DB4D83"/>
    <w:rsid w:val="66E66C8D"/>
    <w:rsid w:val="66E83943"/>
    <w:rsid w:val="66E8749F"/>
    <w:rsid w:val="66EC1888"/>
    <w:rsid w:val="66EC51E2"/>
    <w:rsid w:val="66F422E8"/>
    <w:rsid w:val="66F75934"/>
    <w:rsid w:val="66FB35D6"/>
    <w:rsid w:val="66FB3677"/>
    <w:rsid w:val="66FE6CC3"/>
    <w:rsid w:val="6703383A"/>
    <w:rsid w:val="67050051"/>
    <w:rsid w:val="670818F0"/>
    <w:rsid w:val="670A1B0C"/>
    <w:rsid w:val="670F2FB6"/>
    <w:rsid w:val="670F7122"/>
    <w:rsid w:val="671009C9"/>
    <w:rsid w:val="67144738"/>
    <w:rsid w:val="671604B0"/>
    <w:rsid w:val="671B5305"/>
    <w:rsid w:val="671C0AE6"/>
    <w:rsid w:val="671E7365"/>
    <w:rsid w:val="672203E0"/>
    <w:rsid w:val="67220BBC"/>
    <w:rsid w:val="672C7CD4"/>
    <w:rsid w:val="672F6913"/>
    <w:rsid w:val="67317098"/>
    <w:rsid w:val="67395F4D"/>
    <w:rsid w:val="673A6416"/>
    <w:rsid w:val="67424E02"/>
    <w:rsid w:val="674974BA"/>
    <w:rsid w:val="674A63AC"/>
    <w:rsid w:val="674C3ED2"/>
    <w:rsid w:val="674C5C80"/>
    <w:rsid w:val="674D79C1"/>
    <w:rsid w:val="674E6A5F"/>
    <w:rsid w:val="675B29A9"/>
    <w:rsid w:val="675C1E33"/>
    <w:rsid w:val="6760172C"/>
    <w:rsid w:val="676034DA"/>
    <w:rsid w:val="676236F6"/>
    <w:rsid w:val="676C1E7F"/>
    <w:rsid w:val="676C6322"/>
    <w:rsid w:val="676F1B28"/>
    <w:rsid w:val="676F7BC1"/>
    <w:rsid w:val="67776250"/>
    <w:rsid w:val="677FD2FF"/>
    <w:rsid w:val="6780592A"/>
    <w:rsid w:val="67851192"/>
    <w:rsid w:val="6786745C"/>
    <w:rsid w:val="678C6E29"/>
    <w:rsid w:val="679D028A"/>
    <w:rsid w:val="67A374E7"/>
    <w:rsid w:val="67A5598E"/>
    <w:rsid w:val="67B21005"/>
    <w:rsid w:val="67B36A0A"/>
    <w:rsid w:val="67B556A9"/>
    <w:rsid w:val="67BA0E3C"/>
    <w:rsid w:val="67BC2E06"/>
    <w:rsid w:val="67CB3049"/>
    <w:rsid w:val="67CB72D1"/>
    <w:rsid w:val="67CC0761"/>
    <w:rsid w:val="67D82F25"/>
    <w:rsid w:val="67D839B8"/>
    <w:rsid w:val="67DD7FA5"/>
    <w:rsid w:val="67E20393"/>
    <w:rsid w:val="67E534E3"/>
    <w:rsid w:val="67F2247B"/>
    <w:rsid w:val="67F87BB6"/>
    <w:rsid w:val="67FFFF70"/>
    <w:rsid w:val="68064081"/>
    <w:rsid w:val="68081863"/>
    <w:rsid w:val="6809591F"/>
    <w:rsid w:val="68150768"/>
    <w:rsid w:val="681A3FD0"/>
    <w:rsid w:val="681C56E8"/>
    <w:rsid w:val="68213B22"/>
    <w:rsid w:val="682A2E18"/>
    <w:rsid w:val="682E182A"/>
    <w:rsid w:val="683464C5"/>
    <w:rsid w:val="6836628F"/>
    <w:rsid w:val="683A1FD5"/>
    <w:rsid w:val="683C0540"/>
    <w:rsid w:val="683C5CF5"/>
    <w:rsid w:val="684014B1"/>
    <w:rsid w:val="68422696"/>
    <w:rsid w:val="68466B73"/>
    <w:rsid w:val="684921C0"/>
    <w:rsid w:val="68531ADB"/>
    <w:rsid w:val="6853303E"/>
    <w:rsid w:val="68594AF9"/>
    <w:rsid w:val="68643168"/>
    <w:rsid w:val="686616DB"/>
    <w:rsid w:val="686D4100"/>
    <w:rsid w:val="6873723D"/>
    <w:rsid w:val="687436E1"/>
    <w:rsid w:val="687731D1"/>
    <w:rsid w:val="687C4343"/>
    <w:rsid w:val="687E1273"/>
    <w:rsid w:val="687E455F"/>
    <w:rsid w:val="687F3E33"/>
    <w:rsid w:val="68833565"/>
    <w:rsid w:val="68835D26"/>
    <w:rsid w:val="68880F3A"/>
    <w:rsid w:val="6888718C"/>
    <w:rsid w:val="688D47A2"/>
    <w:rsid w:val="6894168D"/>
    <w:rsid w:val="68996CA3"/>
    <w:rsid w:val="68A22F22"/>
    <w:rsid w:val="68A64CF8"/>
    <w:rsid w:val="68A67612"/>
    <w:rsid w:val="68AB2E7A"/>
    <w:rsid w:val="68AB69D7"/>
    <w:rsid w:val="68AB7066"/>
    <w:rsid w:val="68B00491"/>
    <w:rsid w:val="68B10DA4"/>
    <w:rsid w:val="68B43ADD"/>
    <w:rsid w:val="68B83318"/>
    <w:rsid w:val="68B91843"/>
    <w:rsid w:val="68BB130F"/>
    <w:rsid w:val="68BF7FE7"/>
    <w:rsid w:val="68C83A2C"/>
    <w:rsid w:val="68CF4DBB"/>
    <w:rsid w:val="68D370A0"/>
    <w:rsid w:val="68DD679C"/>
    <w:rsid w:val="68E65C61"/>
    <w:rsid w:val="68E85E7D"/>
    <w:rsid w:val="68EB0ED6"/>
    <w:rsid w:val="68EC23C5"/>
    <w:rsid w:val="68F154E4"/>
    <w:rsid w:val="68F424EA"/>
    <w:rsid w:val="68F47BF7"/>
    <w:rsid w:val="68F9709D"/>
    <w:rsid w:val="68FC2FEB"/>
    <w:rsid w:val="68FE11FC"/>
    <w:rsid w:val="68FE744E"/>
    <w:rsid w:val="69054339"/>
    <w:rsid w:val="69132EFA"/>
    <w:rsid w:val="69166546"/>
    <w:rsid w:val="691A3C19"/>
    <w:rsid w:val="691B1DAE"/>
    <w:rsid w:val="691D5B26"/>
    <w:rsid w:val="691E364C"/>
    <w:rsid w:val="69232124"/>
    <w:rsid w:val="692C6117"/>
    <w:rsid w:val="692C7B17"/>
    <w:rsid w:val="692F13B6"/>
    <w:rsid w:val="69390486"/>
    <w:rsid w:val="693966D8"/>
    <w:rsid w:val="693E5EAC"/>
    <w:rsid w:val="69431305"/>
    <w:rsid w:val="694E3F32"/>
    <w:rsid w:val="695232F6"/>
    <w:rsid w:val="69561384"/>
    <w:rsid w:val="6957322D"/>
    <w:rsid w:val="69586508"/>
    <w:rsid w:val="695B03FD"/>
    <w:rsid w:val="69607960"/>
    <w:rsid w:val="69623539"/>
    <w:rsid w:val="696309CB"/>
    <w:rsid w:val="69733973"/>
    <w:rsid w:val="697360D5"/>
    <w:rsid w:val="697E114B"/>
    <w:rsid w:val="69855479"/>
    <w:rsid w:val="698752F7"/>
    <w:rsid w:val="698C7FFA"/>
    <w:rsid w:val="69935128"/>
    <w:rsid w:val="69954593"/>
    <w:rsid w:val="69990F25"/>
    <w:rsid w:val="69A41DA4"/>
    <w:rsid w:val="69AA3132"/>
    <w:rsid w:val="69AA4EE0"/>
    <w:rsid w:val="69AB4B40"/>
    <w:rsid w:val="69AE1AF0"/>
    <w:rsid w:val="69CE52E6"/>
    <w:rsid w:val="69D106BF"/>
    <w:rsid w:val="69DA7573"/>
    <w:rsid w:val="69DF2DDC"/>
    <w:rsid w:val="69ED65A9"/>
    <w:rsid w:val="69ED756A"/>
    <w:rsid w:val="69EE1271"/>
    <w:rsid w:val="69F525FF"/>
    <w:rsid w:val="69FC1BE0"/>
    <w:rsid w:val="69FC398E"/>
    <w:rsid w:val="6A026ACA"/>
    <w:rsid w:val="6A143118"/>
    <w:rsid w:val="6A1707C7"/>
    <w:rsid w:val="6A1E618D"/>
    <w:rsid w:val="6A21493F"/>
    <w:rsid w:val="6A252A0D"/>
    <w:rsid w:val="6A3A5966"/>
    <w:rsid w:val="6A42336B"/>
    <w:rsid w:val="6A527A52"/>
    <w:rsid w:val="6A5410DE"/>
    <w:rsid w:val="6A576E16"/>
    <w:rsid w:val="6A5B5DEC"/>
    <w:rsid w:val="6A5C1CD5"/>
    <w:rsid w:val="6A5D1F52"/>
    <w:rsid w:val="6A615EE7"/>
    <w:rsid w:val="6A621FA1"/>
    <w:rsid w:val="6A6432E1"/>
    <w:rsid w:val="6A6C0BC3"/>
    <w:rsid w:val="6A6D1708"/>
    <w:rsid w:val="6A6E4160"/>
    <w:rsid w:val="6A6E6EB4"/>
    <w:rsid w:val="6A717D4B"/>
    <w:rsid w:val="6A731776"/>
    <w:rsid w:val="6A732DB2"/>
    <w:rsid w:val="6A7774B8"/>
    <w:rsid w:val="6A7829D1"/>
    <w:rsid w:val="6A7B7F20"/>
    <w:rsid w:val="6A7C1326"/>
    <w:rsid w:val="6A7F011B"/>
    <w:rsid w:val="6A8120E5"/>
    <w:rsid w:val="6A815C41"/>
    <w:rsid w:val="6A8B2F63"/>
    <w:rsid w:val="6A8B4D12"/>
    <w:rsid w:val="6A95793E"/>
    <w:rsid w:val="6A957A01"/>
    <w:rsid w:val="6A957FE4"/>
    <w:rsid w:val="6A9C7232"/>
    <w:rsid w:val="6A9F07BD"/>
    <w:rsid w:val="6A9F256B"/>
    <w:rsid w:val="6AA162E3"/>
    <w:rsid w:val="6AA27434"/>
    <w:rsid w:val="6AA40BD1"/>
    <w:rsid w:val="6AA502AE"/>
    <w:rsid w:val="6AA87672"/>
    <w:rsid w:val="6AAB2CE4"/>
    <w:rsid w:val="6AB029CA"/>
    <w:rsid w:val="6AB204F0"/>
    <w:rsid w:val="6AD2040A"/>
    <w:rsid w:val="6AD320DD"/>
    <w:rsid w:val="6AD430AF"/>
    <w:rsid w:val="6AD536A5"/>
    <w:rsid w:val="6AD541DF"/>
    <w:rsid w:val="6AD93CCF"/>
    <w:rsid w:val="6ADA35A3"/>
    <w:rsid w:val="6AE03108"/>
    <w:rsid w:val="6AE0505D"/>
    <w:rsid w:val="6AE126C6"/>
    <w:rsid w:val="6AE50CB3"/>
    <w:rsid w:val="6AEA5C29"/>
    <w:rsid w:val="6AEB3A02"/>
    <w:rsid w:val="6AEB755E"/>
    <w:rsid w:val="6AED05D1"/>
    <w:rsid w:val="6AED1AF4"/>
    <w:rsid w:val="6AED777A"/>
    <w:rsid w:val="6AEE05C5"/>
    <w:rsid w:val="6AEE4391"/>
    <w:rsid w:val="6AF0035A"/>
    <w:rsid w:val="6AF40B09"/>
    <w:rsid w:val="6AF6743A"/>
    <w:rsid w:val="6AF830B1"/>
    <w:rsid w:val="6AFE1987"/>
    <w:rsid w:val="6AFF68D3"/>
    <w:rsid w:val="6B0074AE"/>
    <w:rsid w:val="6B032AFA"/>
    <w:rsid w:val="6B100986"/>
    <w:rsid w:val="6B161AF0"/>
    <w:rsid w:val="6B1C3BBC"/>
    <w:rsid w:val="6B1E6020"/>
    <w:rsid w:val="6B217424"/>
    <w:rsid w:val="6B2525D8"/>
    <w:rsid w:val="6B2528E6"/>
    <w:rsid w:val="6B2D0D27"/>
    <w:rsid w:val="6B364C7D"/>
    <w:rsid w:val="6B3709F5"/>
    <w:rsid w:val="6B381BF4"/>
    <w:rsid w:val="6B3B3DB4"/>
    <w:rsid w:val="6B3F7DEE"/>
    <w:rsid w:val="6B451364"/>
    <w:rsid w:val="6B476E8A"/>
    <w:rsid w:val="6B486135"/>
    <w:rsid w:val="6B52582F"/>
    <w:rsid w:val="6B54608E"/>
    <w:rsid w:val="6B570EC0"/>
    <w:rsid w:val="6B573AF3"/>
    <w:rsid w:val="6B574014"/>
    <w:rsid w:val="6B5C045C"/>
    <w:rsid w:val="6B6C68F1"/>
    <w:rsid w:val="6B7457A6"/>
    <w:rsid w:val="6B7E7B69"/>
    <w:rsid w:val="6B8005EE"/>
    <w:rsid w:val="6B87197D"/>
    <w:rsid w:val="6B8A321B"/>
    <w:rsid w:val="6B9115FC"/>
    <w:rsid w:val="6B914E70"/>
    <w:rsid w:val="6B92775B"/>
    <w:rsid w:val="6B99520C"/>
    <w:rsid w:val="6B9D4CFC"/>
    <w:rsid w:val="6B9F679B"/>
    <w:rsid w:val="6BAA7419"/>
    <w:rsid w:val="6BAD5364"/>
    <w:rsid w:val="6BB12556"/>
    <w:rsid w:val="6BB77A32"/>
    <w:rsid w:val="6BBD1287"/>
    <w:rsid w:val="6BC77FCB"/>
    <w:rsid w:val="6BC8789F"/>
    <w:rsid w:val="6BC95474"/>
    <w:rsid w:val="6BC95AF1"/>
    <w:rsid w:val="6BCB4D1B"/>
    <w:rsid w:val="6BCB63A3"/>
    <w:rsid w:val="6BCC7390"/>
    <w:rsid w:val="6BD66460"/>
    <w:rsid w:val="6BD9385B"/>
    <w:rsid w:val="6BDD699C"/>
    <w:rsid w:val="6BDF3567"/>
    <w:rsid w:val="6BE309E6"/>
    <w:rsid w:val="6BEA2D94"/>
    <w:rsid w:val="6BF70910"/>
    <w:rsid w:val="6BF84629"/>
    <w:rsid w:val="6BF863D7"/>
    <w:rsid w:val="6BFC1305"/>
    <w:rsid w:val="6C0129BF"/>
    <w:rsid w:val="6C0409BA"/>
    <w:rsid w:val="6C092392"/>
    <w:rsid w:val="6C0A7EB8"/>
    <w:rsid w:val="6C0B1942"/>
    <w:rsid w:val="6C102A65"/>
    <w:rsid w:val="6C123A56"/>
    <w:rsid w:val="6C136A98"/>
    <w:rsid w:val="6C164AAF"/>
    <w:rsid w:val="6C184383"/>
    <w:rsid w:val="6C2076DB"/>
    <w:rsid w:val="6C225202"/>
    <w:rsid w:val="6C262F44"/>
    <w:rsid w:val="6C2941AA"/>
    <w:rsid w:val="6C2E549C"/>
    <w:rsid w:val="6C3066F8"/>
    <w:rsid w:val="6C3513D9"/>
    <w:rsid w:val="6C356731"/>
    <w:rsid w:val="6C377D3B"/>
    <w:rsid w:val="6C3D028D"/>
    <w:rsid w:val="6C45090D"/>
    <w:rsid w:val="6C46319C"/>
    <w:rsid w:val="6C517FC1"/>
    <w:rsid w:val="6C5E2742"/>
    <w:rsid w:val="6C613F7C"/>
    <w:rsid w:val="6C6C35D2"/>
    <w:rsid w:val="6C7052FA"/>
    <w:rsid w:val="6C7A503E"/>
    <w:rsid w:val="6C7E24CF"/>
    <w:rsid w:val="6C845EBC"/>
    <w:rsid w:val="6C8851EE"/>
    <w:rsid w:val="6C8915E8"/>
    <w:rsid w:val="6C891725"/>
    <w:rsid w:val="6C8E0AE9"/>
    <w:rsid w:val="6C9C1458"/>
    <w:rsid w:val="6CA513FC"/>
    <w:rsid w:val="6CA572BA"/>
    <w:rsid w:val="6CA75A03"/>
    <w:rsid w:val="6CA92973"/>
    <w:rsid w:val="6CAB72F8"/>
    <w:rsid w:val="6CAC3773"/>
    <w:rsid w:val="6CB107A0"/>
    <w:rsid w:val="6CB70040"/>
    <w:rsid w:val="6CBD1F6A"/>
    <w:rsid w:val="6CBD4D91"/>
    <w:rsid w:val="6CC87B57"/>
    <w:rsid w:val="6CCA7D73"/>
    <w:rsid w:val="6CCD1470"/>
    <w:rsid w:val="6CD27268"/>
    <w:rsid w:val="6CD44759"/>
    <w:rsid w:val="6CDA3DB7"/>
    <w:rsid w:val="6CFC0D94"/>
    <w:rsid w:val="6CFF29C7"/>
    <w:rsid w:val="6D0019E7"/>
    <w:rsid w:val="6D0B1F10"/>
    <w:rsid w:val="6D0B213A"/>
    <w:rsid w:val="6D0B3EE8"/>
    <w:rsid w:val="6D0C2BFA"/>
    <w:rsid w:val="6D0F39D8"/>
    <w:rsid w:val="6D132E29"/>
    <w:rsid w:val="6D1504AB"/>
    <w:rsid w:val="6D154D66"/>
    <w:rsid w:val="6D170ADE"/>
    <w:rsid w:val="6D192AA9"/>
    <w:rsid w:val="6D196605"/>
    <w:rsid w:val="6D1D180E"/>
    <w:rsid w:val="6D1E49F0"/>
    <w:rsid w:val="6D242448"/>
    <w:rsid w:val="6D3050B3"/>
    <w:rsid w:val="6D321474"/>
    <w:rsid w:val="6D360F25"/>
    <w:rsid w:val="6D365409"/>
    <w:rsid w:val="6D374CDD"/>
    <w:rsid w:val="6D3A657B"/>
    <w:rsid w:val="6D3B2A1F"/>
    <w:rsid w:val="6D3E250F"/>
    <w:rsid w:val="6D3F3B91"/>
    <w:rsid w:val="6D43738A"/>
    <w:rsid w:val="6D452BB7"/>
    <w:rsid w:val="6D50469D"/>
    <w:rsid w:val="6D5B6C1D"/>
    <w:rsid w:val="6D5E79DC"/>
    <w:rsid w:val="6D602485"/>
    <w:rsid w:val="6D6A6E60"/>
    <w:rsid w:val="6D6D6950"/>
    <w:rsid w:val="6D6E57FF"/>
    <w:rsid w:val="6D6F091A"/>
    <w:rsid w:val="6D742357"/>
    <w:rsid w:val="6D7F6FE9"/>
    <w:rsid w:val="6D811CAA"/>
    <w:rsid w:val="6D8D463F"/>
    <w:rsid w:val="6D8F4B19"/>
    <w:rsid w:val="6D965EA7"/>
    <w:rsid w:val="6DA106DD"/>
    <w:rsid w:val="6DA57E98"/>
    <w:rsid w:val="6DA85BDA"/>
    <w:rsid w:val="6DA91FE1"/>
    <w:rsid w:val="6DAD69A0"/>
    <w:rsid w:val="6DB30807"/>
    <w:rsid w:val="6DB91B96"/>
    <w:rsid w:val="6DC01176"/>
    <w:rsid w:val="6DC72505"/>
    <w:rsid w:val="6DC9002B"/>
    <w:rsid w:val="6DCC0CFF"/>
    <w:rsid w:val="6DCC7B1B"/>
    <w:rsid w:val="6DCE1692"/>
    <w:rsid w:val="6DCF4F15"/>
    <w:rsid w:val="6DD4077E"/>
    <w:rsid w:val="6DDC6AC5"/>
    <w:rsid w:val="6DE45D16"/>
    <w:rsid w:val="6DE465E8"/>
    <w:rsid w:val="6DE72678"/>
    <w:rsid w:val="6DEF0D1B"/>
    <w:rsid w:val="6DEF55B7"/>
    <w:rsid w:val="6DF350A8"/>
    <w:rsid w:val="6DF40E20"/>
    <w:rsid w:val="6DF64B98"/>
    <w:rsid w:val="6DFA4688"/>
    <w:rsid w:val="6DFD59B9"/>
    <w:rsid w:val="6E080427"/>
    <w:rsid w:val="6E0E1EE1"/>
    <w:rsid w:val="6E113954"/>
    <w:rsid w:val="6E126217"/>
    <w:rsid w:val="6E1663CE"/>
    <w:rsid w:val="6E1F6131"/>
    <w:rsid w:val="6E241705"/>
    <w:rsid w:val="6E290090"/>
    <w:rsid w:val="6E2C6AC6"/>
    <w:rsid w:val="6E2E60E0"/>
    <w:rsid w:val="6E331948"/>
    <w:rsid w:val="6E386F5E"/>
    <w:rsid w:val="6E3B07FD"/>
    <w:rsid w:val="6E405E13"/>
    <w:rsid w:val="6E4E2A48"/>
    <w:rsid w:val="6E4F0B95"/>
    <w:rsid w:val="6E5024FA"/>
    <w:rsid w:val="6E512D78"/>
    <w:rsid w:val="6E5165D2"/>
    <w:rsid w:val="6E58315D"/>
    <w:rsid w:val="6E695935"/>
    <w:rsid w:val="6E6E2980"/>
    <w:rsid w:val="6E745C57"/>
    <w:rsid w:val="6E7C509D"/>
    <w:rsid w:val="6E7E2EFE"/>
    <w:rsid w:val="6E8749F1"/>
    <w:rsid w:val="6E885A18"/>
    <w:rsid w:val="6E906D9A"/>
    <w:rsid w:val="6E9339FE"/>
    <w:rsid w:val="6E957F0D"/>
    <w:rsid w:val="6E963C85"/>
    <w:rsid w:val="6E9D3265"/>
    <w:rsid w:val="6EA12D56"/>
    <w:rsid w:val="6EA36ACE"/>
    <w:rsid w:val="6EAB3BD4"/>
    <w:rsid w:val="6EAD55EF"/>
    <w:rsid w:val="6EAE014C"/>
    <w:rsid w:val="6EB26D11"/>
    <w:rsid w:val="6EB5096A"/>
    <w:rsid w:val="6EB760D5"/>
    <w:rsid w:val="6EB85AB8"/>
    <w:rsid w:val="6EBD7464"/>
    <w:rsid w:val="6EBE3E8A"/>
    <w:rsid w:val="6EC66318"/>
    <w:rsid w:val="6ECA28F1"/>
    <w:rsid w:val="6ECD3B4B"/>
    <w:rsid w:val="6ED362C2"/>
    <w:rsid w:val="6ED44ED9"/>
    <w:rsid w:val="6EE26A42"/>
    <w:rsid w:val="6EE80984"/>
    <w:rsid w:val="6EEA6D18"/>
    <w:rsid w:val="6EF2535F"/>
    <w:rsid w:val="6EF2710D"/>
    <w:rsid w:val="6EF415C9"/>
    <w:rsid w:val="6EFF7A7C"/>
    <w:rsid w:val="6F0230C8"/>
    <w:rsid w:val="6F045092"/>
    <w:rsid w:val="6F0B2D5D"/>
    <w:rsid w:val="6F0D2199"/>
    <w:rsid w:val="6F152DFC"/>
    <w:rsid w:val="6F174DC6"/>
    <w:rsid w:val="6F280D81"/>
    <w:rsid w:val="6F297B42"/>
    <w:rsid w:val="6F2A57D4"/>
    <w:rsid w:val="6F2B261F"/>
    <w:rsid w:val="6F377216"/>
    <w:rsid w:val="6F3F1180"/>
    <w:rsid w:val="6F3F36AB"/>
    <w:rsid w:val="6F407D0F"/>
    <w:rsid w:val="6F461D72"/>
    <w:rsid w:val="6F467459"/>
    <w:rsid w:val="6F4F630E"/>
    <w:rsid w:val="6F5079E2"/>
    <w:rsid w:val="6F59718C"/>
    <w:rsid w:val="6F5A2F04"/>
    <w:rsid w:val="6F5B10D8"/>
    <w:rsid w:val="6F5C3995"/>
    <w:rsid w:val="6F614293"/>
    <w:rsid w:val="6F6618A9"/>
    <w:rsid w:val="6F67449E"/>
    <w:rsid w:val="6F6A217F"/>
    <w:rsid w:val="6F7264A0"/>
    <w:rsid w:val="6F760992"/>
    <w:rsid w:val="6F7834E2"/>
    <w:rsid w:val="6F7A7A05"/>
    <w:rsid w:val="6F7DDA00"/>
    <w:rsid w:val="6F83374D"/>
    <w:rsid w:val="6F943C5A"/>
    <w:rsid w:val="6F943F8D"/>
    <w:rsid w:val="6F960E0D"/>
    <w:rsid w:val="6F9D39F9"/>
    <w:rsid w:val="6F9E1043"/>
    <w:rsid w:val="6F9E27BD"/>
    <w:rsid w:val="6F9E7295"/>
    <w:rsid w:val="6FA06B69"/>
    <w:rsid w:val="6FA26D85"/>
    <w:rsid w:val="6FA3261F"/>
    <w:rsid w:val="6FA665A6"/>
    <w:rsid w:val="6FA81ECB"/>
    <w:rsid w:val="6FA84376"/>
    <w:rsid w:val="6FA84DB7"/>
    <w:rsid w:val="6FAD74D8"/>
    <w:rsid w:val="6FB10D76"/>
    <w:rsid w:val="6FB203BD"/>
    <w:rsid w:val="6FB346BA"/>
    <w:rsid w:val="6FB70357"/>
    <w:rsid w:val="6FB95E7D"/>
    <w:rsid w:val="6FB97C2B"/>
    <w:rsid w:val="6FB97EEE"/>
    <w:rsid w:val="6FBC4132"/>
    <w:rsid w:val="6FC21BFD"/>
    <w:rsid w:val="6FC41F27"/>
    <w:rsid w:val="6FC54822"/>
    <w:rsid w:val="6FC559FC"/>
    <w:rsid w:val="6FC84312"/>
    <w:rsid w:val="6FD9207B"/>
    <w:rsid w:val="6FDE3B35"/>
    <w:rsid w:val="6FDE6524"/>
    <w:rsid w:val="6FE07FF9"/>
    <w:rsid w:val="6FE3114C"/>
    <w:rsid w:val="6FE95DE3"/>
    <w:rsid w:val="6FF02FF0"/>
    <w:rsid w:val="6FF46241"/>
    <w:rsid w:val="6FF61A33"/>
    <w:rsid w:val="6FF62C2D"/>
    <w:rsid w:val="6FFB46E7"/>
    <w:rsid w:val="6FFE1AE2"/>
    <w:rsid w:val="6FFF449F"/>
    <w:rsid w:val="70090835"/>
    <w:rsid w:val="700C2451"/>
    <w:rsid w:val="700F0193"/>
    <w:rsid w:val="701461F9"/>
    <w:rsid w:val="701632CF"/>
    <w:rsid w:val="701C6F91"/>
    <w:rsid w:val="70221C74"/>
    <w:rsid w:val="70235E7F"/>
    <w:rsid w:val="70281CF1"/>
    <w:rsid w:val="70294DB1"/>
    <w:rsid w:val="703B4AE4"/>
    <w:rsid w:val="70483DB6"/>
    <w:rsid w:val="705A3032"/>
    <w:rsid w:val="70643282"/>
    <w:rsid w:val="70645DE9"/>
    <w:rsid w:val="706C7393"/>
    <w:rsid w:val="706E0425"/>
    <w:rsid w:val="7075449A"/>
    <w:rsid w:val="707E3A8B"/>
    <w:rsid w:val="708B3388"/>
    <w:rsid w:val="708C3591"/>
    <w:rsid w:val="70902438"/>
    <w:rsid w:val="70943633"/>
    <w:rsid w:val="709A3F00"/>
    <w:rsid w:val="70AC7790"/>
    <w:rsid w:val="70BC0C6D"/>
    <w:rsid w:val="70BF74C3"/>
    <w:rsid w:val="70C1148D"/>
    <w:rsid w:val="70C1323B"/>
    <w:rsid w:val="70C8281B"/>
    <w:rsid w:val="70C920F0"/>
    <w:rsid w:val="70C96594"/>
    <w:rsid w:val="70CC0E40"/>
    <w:rsid w:val="70CE7706"/>
    <w:rsid w:val="70D50A94"/>
    <w:rsid w:val="70DC62C7"/>
    <w:rsid w:val="70E61366"/>
    <w:rsid w:val="70E62CA2"/>
    <w:rsid w:val="70E76A1A"/>
    <w:rsid w:val="70E92792"/>
    <w:rsid w:val="70EB02B8"/>
    <w:rsid w:val="70EC5DDE"/>
    <w:rsid w:val="70ED2282"/>
    <w:rsid w:val="70EE5FFA"/>
    <w:rsid w:val="70EE7DA8"/>
    <w:rsid w:val="70F5346D"/>
    <w:rsid w:val="70FD0E77"/>
    <w:rsid w:val="7101188A"/>
    <w:rsid w:val="7104137A"/>
    <w:rsid w:val="71053D85"/>
    <w:rsid w:val="710650F2"/>
    <w:rsid w:val="71072C18"/>
    <w:rsid w:val="711041C2"/>
    <w:rsid w:val="711C4915"/>
    <w:rsid w:val="712573E8"/>
    <w:rsid w:val="71265794"/>
    <w:rsid w:val="7128150C"/>
    <w:rsid w:val="712D08D1"/>
    <w:rsid w:val="71302AFD"/>
    <w:rsid w:val="713774ED"/>
    <w:rsid w:val="713855A1"/>
    <w:rsid w:val="71397275"/>
    <w:rsid w:val="713D717D"/>
    <w:rsid w:val="71436346"/>
    <w:rsid w:val="71445BB4"/>
    <w:rsid w:val="7147344C"/>
    <w:rsid w:val="71520337"/>
    <w:rsid w:val="71535E5D"/>
    <w:rsid w:val="715C0099"/>
    <w:rsid w:val="716D33C3"/>
    <w:rsid w:val="716F542B"/>
    <w:rsid w:val="716F713B"/>
    <w:rsid w:val="71704C61"/>
    <w:rsid w:val="71725D69"/>
    <w:rsid w:val="71740208"/>
    <w:rsid w:val="71777E63"/>
    <w:rsid w:val="71791D68"/>
    <w:rsid w:val="717C2696"/>
    <w:rsid w:val="71810F15"/>
    <w:rsid w:val="71892224"/>
    <w:rsid w:val="71922E29"/>
    <w:rsid w:val="71970DBF"/>
    <w:rsid w:val="71983564"/>
    <w:rsid w:val="71A074C8"/>
    <w:rsid w:val="71A60683"/>
    <w:rsid w:val="71AB7A47"/>
    <w:rsid w:val="71B27028"/>
    <w:rsid w:val="71BC1C54"/>
    <w:rsid w:val="71BE777B"/>
    <w:rsid w:val="71C22345"/>
    <w:rsid w:val="71C64881"/>
    <w:rsid w:val="71CA7BA9"/>
    <w:rsid w:val="71E01DE7"/>
    <w:rsid w:val="71E03B95"/>
    <w:rsid w:val="71E0425E"/>
    <w:rsid w:val="71E05943"/>
    <w:rsid w:val="71E11004"/>
    <w:rsid w:val="71E33685"/>
    <w:rsid w:val="71E573FD"/>
    <w:rsid w:val="71E60A7F"/>
    <w:rsid w:val="71E81645"/>
    <w:rsid w:val="71E867AC"/>
    <w:rsid w:val="71EC253A"/>
    <w:rsid w:val="71EE1250"/>
    <w:rsid w:val="71F879F0"/>
    <w:rsid w:val="71FB4B45"/>
    <w:rsid w:val="72005FE5"/>
    <w:rsid w:val="72007778"/>
    <w:rsid w:val="72032D13"/>
    <w:rsid w:val="72046C38"/>
    <w:rsid w:val="720C762B"/>
    <w:rsid w:val="72135D18"/>
    <w:rsid w:val="7214383E"/>
    <w:rsid w:val="721455EC"/>
    <w:rsid w:val="7219586D"/>
    <w:rsid w:val="72252C36"/>
    <w:rsid w:val="72273572"/>
    <w:rsid w:val="722A3ED7"/>
    <w:rsid w:val="722D434E"/>
    <w:rsid w:val="723808C3"/>
    <w:rsid w:val="723914F7"/>
    <w:rsid w:val="72396764"/>
    <w:rsid w:val="723A2BE4"/>
    <w:rsid w:val="72431602"/>
    <w:rsid w:val="72442376"/>
    <w:rsid w:val="724C4EAF"/>
    <w:rsid w:val="72516841"/>
    <w:rsid w:val="725231E8"/>
    <w:rsid w:val="725C51B7"/>
    <w:rsid w:val="726A7902"/>
    <w:rsid w:val="726C53CA"/>
    <w:rsid w:val="72760055"/>
    <w:rsid w:val="727644F9"/>
    <w:rsid w:val="72785B7B"/>
    <w:rsid w:val="727918F3"/>
    <w:rsid w:val="727D3192"/>
    <w:rsid w:val="727E6F0A"/>
    <w:rsid w:val="72806075"/>
    <w:rsid w:val="72816D82"/>
    <w:rsid w:val="72883B4F"/>
    <w:rsid w:val="728C5E44"/>
    <w:rsid w:val="72911240"/>
    <w:rsid w:val="72914E8F"/>
    <w:rsid w:val="729C5033"/>
    <w:rsid w:val="729C5709"/>
    <w:rsid w:val="72A35063"/>
    <w:rsid w:val="72AA278E"/>
    <w:rsid w:val="72AB5F51"/>
    <w:rsid w:val="72AD0CF5"/>
    <w:rsid w:val="72AF5315"/>
    <w:rsid w:val="72BA2638"/>
    <w:rsid w:val="72BB015E"/>
    <w:rsid w:val="72C07522"/>
    <w:rsid w:val="72C54833"/>
    <w:rsid w:val="72C658E2"/>
    <w:rsid w:val="72C65C4D"/>
    <w:rsid w:val="72C9287B"/>
    <w:rsid w:val="72C963D7"/>
    <w:rsid w:val="72D05428"/>
    <w:rsid w:val="72D336FA"/>
    <w:rsid w:val="72E01973"/>
    <w:rsid w:val="72EE24A7"/>
    <w:rsid w:val="72EF4F30"/>
    <w:rsid w:val="72FC167C"/>
    <w:rsid w:val="72FD72E6"/>
    <w:rsid w:val="73013DC3"/>
    <w:rsid w:val="7306587D"/>
    <w:rsid w:val="730833A3"/>
    <w:rsid w:val="730A041E"/>
    <w:rsid w:val="730E2034"/>
    <w:rsid w:val="730E533D"/>
    <w:rsid w:val="73163E8B"/>
    <w:rsid w:val="731D31B5"/>
    <w:rsid w:val="731E2BC7"/>
    <w:rsid w:val="732142C7"/>
    <w:rsid w:val="73236401"/>
    <w:rsid w:val="7324648C"/>
    <w:rsid w:val="7325797A"/>
    <w:rsid w:val="73263829"/>
    <w:rsid w:val="732E6B82"/>
    <w:rsid w:val="733221CE"/>
    <w:rsid w:val="73344DA5"/>
    <w:rsid w:val="733777E5"/>
    <w:rsid w:val="734277EC"/>
    <w:rsid w:val="73440153"/>
    <w:rsid w:val="734D7008"/>
    <w:rsid w:val="73522870"/>
    <w:rsid w:val="7358775B"/>
    <w:rsid w:val="7361512A"/>
    <w:rsid w:val="736305DA"/>
    <w:rsid w:val="736B1B84"/>
    <w:rsid w:val="73727918"/>
    <w:rsid w:val="73727D47"/>
    <w:rsid w:val="737D2D95"/>
    <w:rsid w:val="73841CD2"/>
    <w:rsid w:val="738A025C"/>
    <w:rsid w:val="738D1AFA"/>
    <w:rsid w:val="738E7B26"/>
    <w:rsid w:val="73905147"/>
    <w:rsid w:val="73986E2C"/>
    <w:rsid w:val="7399049F"/>
    <w:rsid w:val="739C3AEB"/>
    <w:rsid w:val="739C7F8F"/>
    <w:rsid w:val="73A34E7A"/>
    <w:rsid w:val="73A40BF2"/>
    <w:rsid w:val="73A429A0"/>
    <w:rsid w:val="73A87BE1"/>
    <w:rsid w:val="73AB1F81"/>
    <w:rsid w:val="73B40E35"/>
    <w:rsid w:val="73B726D3"/>
    <w:rsid w:val="73C31078"/>
    <w:rsid w:val="73C53A84"/>
    <w:rsid w:val="73CD6579"/>
    <w:rsid w:val="73D03795"/>
    <w:rsid w:val="73D05340"/>
    <w:rsid w:val="73E84F83"/>
    <w:rsid w:val="73EC4A73"/>
    <w:rsid w:val="73F36B81"/>
    <w:rsid w:val="74123DAE"/>
    <w:rsid w:val="74193F58"/>
    <w:rsid w:val="741B2C62"/>
    <w:rsid w:val="74235FBB"/>
    <w:rsid w:val="742C784E"/>
    <w:rsid w:val="743836FA"/>
    <w:rsid w:val="74392A0E"/>
    <w:rsid w:val="743E1047"/>
    <w:rsid w:val="743F6B64"/>
    <w:rsid w:val="744321B9"/>
    <w:rsid w:val="745443C6"/>
    <w:rsid w:val="745B3729"/>
    <w:rsid w:val="745D6EFB"/>
    <w:rsid w:val="746D009F"/>
    <w:rsid w:val="747131CA"/>
    <w:rsid w:val="74713C5C"/>
    <w:rsid w:val="74746816"/>
    <w:rsid w:val="747A2B0E"/>
    <w:rsid w:val="747A3995"/>
    <w:rsid w:val="747B2F53"/>
    <w:rsid w:val="74833E5E"/>
    <w:rsid w:val="74844CAB"/>
    <w:rsid w:val="74892BB4"/>
    <w:rsid w:val="748C1DB2"/>
    <w:rsid w:val="74901886"/>
    <w:rsid w:val="74932A0C"/>
    <w:rsid w:val="74963463"/>
    <w:rsid w:val="74A23383"/>
    <w:rsid w:val="74AA048A"/>
    <w:rsid w:val="74AB65E8"/>
    <w:rsid w:val="74AE1D28"/>
    <w:rsid w:val="74AE3AD6"/>
    <w:rsid w:val="74AF5AA0"/>
    <w:rsid w:val="74B15375"/>
    <w:rsid w:val="74B81FE2"/>
    <w:rsid w:val="74BB4445"/>
    <w:rsid w:val="74C3785A"/>
    <w:rsid w:val="74C72DEA"/>
    <w:rsid w:val="74C74B98"/>
    <w:rsid w:val="74CA6436"/>
    <w:rsid w:val="74CE70BD"/>
    <w:rsid w:val="74CF1091"/>
    <w:rsid w:val="74CF1C9F"/>
    <w:rsid w:val="74D15A17"/>
    <w:rsid w:val="74D37C52"/>
    <w:rsid w:val="74DB6DAB"/>
    <w:rsid w:val="74DC3FAB"/>
    <w:rsid w:val="74DF0134"/>
    <w:rsid w:val="74E3763D"/>
    <w:rsid w:val="74E53270"/>
    <w:rsid w:val="74E90FB2"/>
    <w:rsid w:val="74FD612D"/>
    <w:rsid w:val="750162FC"/>
    <w:rsid w:val="75050D66"/>
    <w:rsid w:val="75061B64"/>
    <w:rsid w:val="75093403"/>
    <w:rsid w:val="751029A9"/>
    <w:rsid w:val="75153B55"/>
    <w:rsid w:val="75250343"/>
    <w:rsid w:val="75267276"/>
    <w:rsid w:val="752823AF"/>
    <w:rsid w:val="75297557"/>
    <w:rsid w:val="752A69CA"/>
    <w:rsid w:val="752E64C5"/>
    <w:rsid w:val="752F2843"/>
    <w:rsid w:val="75324707"/>
    <w:rsid w:val="75355FA6"/>
    <w:rsid w:val="753922F4"/>
    <w:rsid w:val="753A180E"/>
    <w:rsid w:val="753A2EE2"/>
    <w:rsid w:val="75451168"/>
    <w:rsid w:val="754A6F36"/>
    <w:rsid w:val="754D1541"/>
    <w:rsid w:val="755156F9"/>
    <w:rsid w:val="75554DCC"/>
    <w:rsid w:val="75564988"/>
    <w:rsid w:val="75587EE6"/>
    <w:rsid w:val="7560310C"/>
    <w:rsid w:val="75630D65"/>
    <w:rsid w:val="756352E9"/>
    <w:rsid w:val="75720FA8"/>
    <w:rsid w:val="757212AF"/>
    <w:rsid w:val="757A1C0A"/>
    <w:rsid w:val="757A596F"/>
    <w:rsid w:val="757D16FB"/>
    <w:rsid w:val="757E170D"/>
    <w:rsid w:val="7589009F"/>
    <w:rsid w:val="758962F1"/>
    <w:rsid w:val="758B25E9"/>
    <w:rsid w:val="758C5D3D"/>
    <w:rsid w:val="758E028C"/>
    <w:rsid w:val="75926786"/>
    <w:rsid w:val="759354F2"/>
    <w:rsid w:val="75947170"/>
    <w:rsid w:val="75952EE8"/>
    <w:rsid w:val="759B1284"/>
    <w:rsid w:val="75AB6268"/>
    <w:rsid w:val="75B25848"/>
    <w:rsid w:val="75B415C0"/>
    <w:rsid w:val="75BA6C76"/>
    <w:rsid w:val="75BC4BFC"/>
    <w:rsid w:val="75BE7BA9"/>
    <w:rsid w:val="75C0032F"/>
    <w:rsid w:val="75C37A55"/>
    <w:rsid w:val="75CB06B8"/>
    <w:rsid w:val="75CF516A"/>
    <w:rsid w:val="75D77DE1"/>
    <w:rsid w:val="75DE03EB"/>
    <w:rsid w:val="75E652F5"/>
    <w:rsid w:val="75EB1A91"/>
    <w:rsid w:val="75EF084A"/>
    <w:rsid w:val="75F145C2"/>
    <w:rsid w:val="75F23E97"/>
    <w:rsid w:val="7604186E"/>
    <w:rsid w:val="760A7538"/>
    <w:rsid w:val="760E255E"/>
    <w:rsid w:val="761262E7"/>
    <w:rsid w:val="76172CE4"/>
    <w:rsid w:val="761756AB"/>
    <w:rsid w:val="76197675"/>
    <w:rsid w:val="761E4C8C"/>
    <w:rsid w:val="76224A60"/>
    <w:rsid w:val="7625426C"/>
    <w:rsid w:val="762542AB"/>
    <w:rsid w:val="7625601A"/>
    <w:rsid w:val="76353BFF"/>
    <w:rsid w:val="76360227"/>
    <w:rsid w:val="763B3A90"/>
    <w:rsid w:val="763C15B6"/>
    <w:rsid w:val="763E70DC"/>
    <w:rsid w:val="76405288"/>
    <w:rsid w:val="764616F2"/>
    <w:rsid w:val="7647594D"/>
    <w:rsid w:val="764F753B"/>
    <w:rsid w:val="76516E0F"/>
    <w:rsid w:val="765468FF"/>
    <w:rsid w:val="76562678"/>
    <w:rsid w:val="76571F4C"/>
    <w:rsid w:val="765B1A3C"/>
    <w:rsid w:val="7662101C"/>
    <w:rsid w:val="766B04BA"/>
    <w:rsid w:val="766E79D6"/>
    <w:rsid w:val="76715A2E"/>
    <w:rsid w:val="76724FD8"/>
    <w:rsid w:val="76725C62"/>
    <w:rsid w:val="76740F1A"/>
    <w:rsid w:val="76760624"/>
    <w:rsid w:val="76816FC9"/>
    <w:rsid w:val="76880357"/>
    <w:rsid w:val="768947FB"/>
    <w:rsid w:val="76910CDB"/>
    <w:rsid w:val="769312F7"/>
    <w:rsid w:val="7693567A"/>
    <w:rsid w:val="76997987"/>
    <w:rsid w:val="769A2AE8"/>
    <w:rsid w:val="76A43029"/>
    <w:rsid w:val="76AE4A27"/>
    <w:rsid w:val="76AF4F82"/>
    <w:rsid w:val="76BB072D"/>
    <w:rsid w:val="76BB75CB"/>
    <w:rsid w:val="76C174E4"/>
    <w:rsid w:val="76C469A0"/>
    <w:rsid w:val="76C530C2"/>
    <w:rsid w:val="76CB7891"/>
    <w:rsid w:val="76D0242A"/>
    <w:rsid w:val="76D50943"/>
    <w:rsid w:val="76DC4CCE"/>
    <w:rsid w:val="76E75814"/>
    <w:rsid w:val="76EA2651"/>
    <w:rsid w:val="76EF03D6"/>
    <w:rsid w:val="76FD6F97"/>
    <w:rsid w:val="77073972"/>
    <w:rsid w:val="77082F48"/>
    <w:rsid w:val="77177AAE"/>
    <w:rsid w:val="771E56D2"/>
    <w:rsid w:val="77260942"/>
    <w:rsid w:val="77297D8C"/>
    <w:rsid w:val="772E0EFE"/>
    <w:rsid w:val="773724A9"/>
    <w:rsid w:val="77377B75"/>
    <w:rsid w:val="773A78A3"/>
    <w:rsid w:val="77413779"/>
    <w:rsid w:val="77456018"/>
    <w:rsid w:val="77493F8A"/>
    <w:rsid w:val="77521091"/>
    <w:rsid w:val="77540B9C"/>
    <w:rsid w:val="775B5A6C"/>
    <w:rsid w:val="775C58E2"/>
    <w:rsid w:val="775D17E4"/>
    <w:rsid w:val="77626DFA"/>
    <w:rsid w:val="776B2153"/>
    <w:rsid w:val="77701517"/>
    <w:rsid w:val="77756AFD"/>
    <w:rsid w:val="777D59E2"/>
    <w:rsid w:val="777F5BFE"/>
    <w:rsid w:val="7785286B"/>
    <w:rsid w:val="7785787E"/>
    <w:rsid w:val="77882D05"/>
    <w:rsid w:val="778D653F"/>
    <w:rsid w:val="779D14EF"/>
    <w:rsid w:val="779E42D6"/>
    <w:rsid w:val="77A04E42"/>
    <w:rsid w:val="77A45E59"/>
    <w:rsid w:val="77A56AD2"/>
    <w:rsid w:val="77A85155"/>
    <w:rsid w:val="77A94A29"/>
    <w:rsid w:val="77BF1311"/>
    <w:rsid w:val="77BF424C"/>
    <w:rsid w:val="77C61DA6"/>
    <w:rsid w:val="77C803EE"/>
    <w:rsid w:val="77C96E79"/>
    <w:rsid w:val="77CA50CB"/>
    <w:rsid w:val="77DC4DFE"/>
    <w:rsid w:val="77E553A8"/>
    <w:rsid w:val="77E5736C"/>
    <w:rsid w:val="77E85551"/>
    <w:rsid w:val="77EC39D3"/>
    <w:rsid w:val="77F11895"/>
    <w:rsid w:val="77FE4D75"/>
    <w:rsid w:val="77FE622B"/>
    <w:rsid w:val="78000AED"/>
    <w:rsid w:val="78047EB1"/>
    <w:rsid w:val="78061E7B"/>
    <w:rsid w:val="780D4FB8"/>
    <w:rsid w:val="78146FC1"/>
    <w:rsid w:val="78192D77"/>
    <w:rsid w:val="781A5362"/>
    <w:rsid w:val="781C392B"/>
    <w:rsid w:val="78201875"/>
    <w:rsid w:val="78212811"/>
    <w:rsid w:val="7826607A"/>
    <w:rsid w:val="78286882"/>
    <w:rsid w:val="78342545"/>
    <w:rsid w:val="78397B5B"/>
    <w:rsid w:val="783C3A4B"/>
    <w:rsid w:val="783D222D"/>
    <w:rsid w:val="78421C2B"/>
    <w:rsid w:val="784529A4"/>
    <w:rsid w:val="78465777"/>
    <w:rsid w:val="78472812"/>
    <w:rsid w:val="78484242"/>
    <w:rsid w:val="784A1D68"/>
    <w:rsid w:val="784B788E"/>
    <w:rsid w:val="784D7AAA"/>
    <w:rsid w:val="78511348"/>
    <w:rsid w:val="785B7EC2"/>
    <w:rsid w:val="7860333A"/>
    <w:rsid w:val="786F24EB"/>
    <w:rsid w:val="787E7C64"/>
    <w:rsid w:val="788334CC"/>
    <w:rsid w:val="788A485A"/>
    <w:rsid w:val="78915BE9"/>
    <w:rsid w:val="789B25C4"/>
    <w:rsid w:val="78A05E2C"/>
    <w:rsid w:val="78A70F68"/>
    <w:rsid w:val="78A96196"/>
    <w:rsid w:val="78B6167E"/>
    <w:rsid w:val="78BA6E21"/>
    <w:rsid w:val="78BE1519"/>
    <w:rsid w:val="78CA4C57"/>
    <w:rsid w:val="78CF226D"/>
    <w:rsid w:val="78D41F79"/>
    <w:rsid w:val="78D83818"/>
    <w:rsid w:val="78DC5F5E"/>
    <w:rsid w:val="78E201F2"/>
    <w:rsid w:val="78E35D19"/>
    <w:rsid w:val="78FD6DDA"/>
    <w:rsid w:val="79022643"/>
    <w:rsid w:val="790463BB"/>
    <w:rsid w:val="79064EBE"/>
    <w:rsid w:val="790A7749"/>
    <w:rsid w:val="79147F3A"/>
    <w:rsid w:val="79156236"/>
    <w:rsid w:val="791A0265"/>
    <w:rsid w:val="791B3704"/>
    <w:rsid w:val="79286258"/>
    <w:rsid w:val="792B7DEB"/>
    <w:rsid w:val="79311193"/>
    <w:rsid w:val="793279E4"/>
    <w:rsid w:val="79404F19"/>
    <w:rsid w:val="794A1646"/>
    <w:rsid w:val="794E17C5"/>
    <w:rsid w:val="795F169C"/>
    <w:rsid w:val="79625F3A"/>
    <w:rsid w:val="79627585"/>
    <w:rsid w:val="79646E59"/>
    <w:rsid w:val="79654980"/>
    <w:rsid w:val="79660E24"/>
    <w:rsid w:val="796920D3"/>
    <w:rsid w:val="7970626C"/>
    <w:rsid w:val="79725A1A"/>
    <w:rsid w:val="797A7C24"/>
    <w:rsid w:val="798017B9"/>
    <w:rsid w:val="79835D1A"/>
    <w:rsid w:val="798412AA"/>
    <w:rsid w:val="79886E4E"/>
    <w:rsid w:val="798968C0"/>
    <w:rsid w:val="799153A5"/>
    <w:rsid w:val="79925F38"/>
    <w:rsid w:val="79936006"/>
    <w:rsid w:val="799D236B"/>
    <w:rsid w:val="799F4335"/>
    <w:rsid w:val="79AB4A88"/>
    <w:rsid w:val="79B31B8F"/>
    <w:rsid w:val="79BD4C47"/>
    <w:rsid w:val="79C046BE"/>
    <w:rsid w:val="79CB0C87"/>
    <w:rsid w:val="79CE69C9"/>
    <w:rsid w:val="79D166F6"/>
    <w:rsid w:val="79D264B9"/>
    <w:rsid w:val="79DA14C9"/>
    <w:rsid w:val="79DA711C"/>
    <w:rsid w:val="79E65AC0"/>
    <w:rsid w:val="79ED4D77"/>
    <w:rsid w:val="79EE2BC7"/>
    <w:rsid w:val="79EF2032"/>
    <w:rsid w:val="79F747D4"/>
    <w:rsid w:val="7A051E28"/>
    <w:rsid w:val="7A065B5D"/>
    <w:rsid w:val="7A067F11"/>
    <w:rsid w:val="7A0832B2"/>
    <w:rsid w:val="7A0B76F8"/>
    <w:rsid w:val="7A17211E"/>
    <w:rsid w:val="7A195E96"/>
    <w:rsid w:val="7A1C5986"/>
    <w:rsid w:val="7A2111EE"/>
    <w:rsid w:val="7A33053A"/>
    <w:rsid w:val="7A344A7E"/>
    <w:rsid w:val="7A3A5144"/>
    <w:rsid w:val="7A3F3423"/>
    <w:rsid w:val="7A41014F"/>
    <w:rsid w:val="7A513882"/>
    <w:rsid w:val="7A530E81"/>
    <w:rsid w:val="7A566BBE"/>
    <w:rsid w:val="7A583B82"/>
    <w:rsid w:val="7A5E5F9F"/>
    <w:rsid w:val="7A613399"/>
    <w:rsid w:val="7A682979"/>
    <w:rsid w:val="7A6A4943"/>
    <w:rsid w:val="7A6A5F24"/>
    <w:rsid w:val="7A6B2829"/>
    <w:rsid w:val="7A7255A6"/>
    <w:rsid w:val="7A750E83"/>
    <w:rsid w:val="7A794341"/>
    <w:rsid w:val="7A802D36"/>
    <w:rsid w:val="7A810770"/>
    <w:rsid w:val="7A811C8D"/>
    <w:rsid w:val="7A8802F9"/>
    <w:rsid w:val="7A8F6158"/>
    <w:rsid w:val="7A925C48"/>
    <w:rsid w:val="7A97325F"/>
    <w:rsid w:val="7A977F80"/>
    <w:rsid w:val="7A98181F"/>
    <w:rsid w:val="7A9D6D63"/>
    <w:rsid w:val="7A9E283F"/>
    <w:rsid w:val="7AA162AF"/>
    <w:rsid w:val="7AA54D02"/>
    <w:rsid w:val="7AA86067"/>
    <w:rsid w:val="7AAB7433"/>
    <w:rsid w:val="7AAC0428"/>
    <w:rsid w:val="7AAC26DC"/>
    <w:rsid w:val="7AAD74C6"/>
    <w:rsid w:val="7AB27306"/>
    <w:rsid w:val="7ABC15CC"/>
    <w:rsid w:val="7AC2652D"/>
    <w:rsid w:val="7ACA5EB4"/>
    <w:rsid w:val="7AD24297"/>
    <w:rsid w:val="7AD4727F"/>
    <w:rsid w:val="7AD77D75"/>
    <w:rsid w:val="7AD92199"/>
    <w:rsid w:val="7ADC79A2"/>
    <w:rsid w:val="7ADD3367"/>
    <w:rsid w:val="7ADE0E8D"/>
    <w:rsid w:val="7ADE3752"/>
    <w:rsid w:val="7AE27AD2"/>
    <w:rsid w:val="7AE9619A"/>
    <w:rsid w:val="7AF8440D"/>
    <w:rsid w:val="7B05466C"/>
    <w:rsid w:val="7B0F7299"/>
    <w:rsid w:val="7B120866"/>
    <w:rsid w:val="7B160627"/>
    <w:rsid w:val="7B164183"/>
    <w:rsid w:val="7B173FF9"/>
    <w:rsid w:val="7B1948B1"/>
    <w:rsid w:val="7B2A7C2F"/>
    <w:rsid w:val="7B2F16E9"/>
    <w:rsid w:val="7B3700EA"/>
    <w:rsid w:val="7B3E709B"/>
    <w:rsid w:val="7B474C85"/>
    <w:rsid w:val="7B4E7DC1"/>
    <w:rsid w:val="7B503B39"/>
    <w:rsid w:val="7B512E8E"/>
    <w:rsid w:val="7B5829EE"/>
    <w:rsid w:val="7B62386D"/>
    <w:rsid w:val="7B65510B"/>
    <w:rsid w:val="7B6969A9"/>
    <w:rsid w:val="7B735A7A"/>
    <w:rsid w:val="7B7470FC"/>
    <w:rsid w:val="7B754B27"/>
    <w:rsid w:val="7B765937"/>
    <w:rsid w:val="7B777C9C"/>
    <w:rsid w:val="7B79045A"/>
    <w:rsid w:val="7B797EF7"/>
    <w:rsid w:val="7B7A4D2C"/>
    <w:rsid w:val="7B7E3D6C"/>
    <w:rsid w:val="7B825CBD"/>
    <w:rsid w:val="7B957614"/>
    <w:rsid w:val="7B9A4C2A"/>
    <w:rsid w:val="7B9D3C77"/>
    <w:rsid w:val="7B9F061D"/>
    <w:rsid w:val="7BA24A39"/>
    <w:rsid w:val="7BA9149B"/>
    <w:rsid w:val="7BAE0860"/>
    <w:rsid w:val="7BB57E40"/>
    <w:rsid w:val="7BB8348D"/>
    <w:rsid w:val="7BC63DFB"/>
    <w:rsid w:val="7BCD4E50"/>
    <w:rsid w:val="7BD04C7A"/>
    <w:rsid w:val="7BDD1145"/>
    <w:rsid w:val="7BDE77D6"/>
    <w:rsid w:val="7BDF0A19"/>
    <w:rsid w:val="7BDF6C6B"/>
    <w:rsid w:val="7BE40725"/>
    <w:rsid w:val="7BEC3136"/>
    <w:rsid w:val="7BF02D83"/>
    <w:rsid w:val="7BF22E42"/>
    <w:rsid w:val="7BFA24EA"/>
    <w:rsid w:val="7C022E63"/>
    <w:rsid w:val="7C07571D"/>
    <w:rsid w:val="7C1E59E5"/>
    <w:rsid w:val="7C1E5D9C"/>
    <w:rsid w:val="7C2154D6"/>
    <w:rsid w:val="7C2C3AD5"/>
    <w:rsid w:val="7C2C5863"/>
    <w:rsid w:val="7C2E19A1"/>
    <w:rsid w:val="7C330D65"/>
    <w:rsid w:val="7C374CF9"/>
    <w:rsid w:val="7C3D7C78"/>
    <w:rsid w:val="7C3E1448"/>
    <w:rsid w:val="7C4116D4"/>
    <w:rsid w:val="7C45009D"/>
    <w:rsid w:val="7C4E50D2"/>
    <w:rsid w:val="7C5807CC"/>
    <w:rsid w:val="7C5A39C6"/>
    <w:rsid w:val="7C5E4034"/>
    <w:rsid w:val="7C66113B"/>
    <w:rsid w:val="7C741AA9"/>
    <w:rsid w:val="7C751A11"/>
    <w:rsid w:val="7C75312C"/>
    <w:rsid w:val="7C765821"/>
    <w:rsid w:val="7C7B6A55"/>
    <w:rsid w:val="7C7C270C"/>
    <w:rsid w:val="7C89387A"/>
    <w:rsid w:val="7C9329A5"/>
    <w:rsid w:val="7C94044F"/>
    <w:rsid w:val="7C990C61"/>
    <w:rsid w:val="7CA0289E"/>
    <w:rsid w:val="7CA0464C"/>
    <w:rsid w:val="7CA57EB5"/>
    <w:rsid w:val="7CAD2AA8"/>
    <w:rsid w:val="7CB963F3"/>
    <w:rsid w:val="7CBA4FE2"/>
    <w:rsid w:val="7CBE4AD3"/>
    <w:rsid w:val="7CC320E9"/>
    <w:rsid w:val="7CC83BA3"/>
    <w:rsid w:val="7CCD4D16"/>
    <w:rsid w:val="7CD04D2E"/>
    <w:rsid w:val="7CD24A22"/>
    <w:rsid w:val="7CD75B94"/>
    <w:rsid w:val="7CDE6F23"/>
    <w:rsid w:val="7CE85FF3"/>
    <w:rsid w:val="7CEC5AE4"/>
    <w:rsid w:val="7CF03860"/>
    <w:rsid w:val="7CF87E5B"/>
    <w:rsid w:val="7D1110A6"/>
    <w:rsid w:val="7D132B4A"/>
    <w:rsid w:val="7D144827"/>
    <w:rsid w:val="7D156AD2"/>
    <w:rsid w:val="7D21078B"/>
    <w:rsid w:val="7D2420E5"/>
    <w:rsid w:val="7D24527D"/>
    <w:rsid w:val="7D250FF6"/>
    <w:rsid w:val="7D2F777E"/>
    <w:rsid w:val="7D34214E"/>
    <w:rsid w:val="7D344D95"/>
    <w:rsid w:val="7D39610E"/>
    <w:rsid w:val="7D3B05D1"/>
    <w:rsid w:val="7D494CE4"/>
    <w:rsid w:val="7D515947"/>
    <w:rsid w:val="7D567A86"/>
    <w:rsid w:val="7D592A4D"/>
    <w:rsid w:val="7D5B4A17"/>
    <w:rsid w:val="7D5B7F2D"/>
    <w:rsid w:val="7D5C1858"/>
    <w:rsid w:val="7D5F6DCD"/>
    <w:rsid w:val="7D625DA6"/>
    <w:rsid w:val="7D641E37"/>
    <w:rsid w:val="7D654F9B"/>
    <w:rsid w:val="7D6F401F"/>
    <w:rsid w:val="7D751799"/>
    <w:rsid w:val="7D752545"/>
    <w:rsid w:val="7D75D0A9"/>
    <w:rsid w:val="7D781125"/>
    <w:rsid w:val="7D7D498E"/>
    <w:rsid w:val="7D852CA8"/>
    <w:rsid w:val="7D913864"/>
    <w:rsid w:val="7D9F66B2"/>
    <w:rsid w:val="7DA55F02"/>
    <w:rsid w:val="7DAB14FB"/>
    <w:rsid w:val="7DAC0DCF"/>
    <w:rsid w:val="7DBC4EC9"/>
    <w:rsid w:val="7DBF4025"/>
    <w:rsid w:val="7DCB0BE8"/>
    <w:rsid w:val="7DD16A88"/>
    <w:rsid w:val="7DD86068"/>
    <w:rsid w:val="7DDD367E"/>
    <w:rsid w:val="7DE93453"/>
    <w:rsid w:val="7DEB18F7"/>
    <w:rsid w:val="7DEE3196"/>
    <w:rsid w:val="7DFE3170"/>
    <w:rsid w:val="7E064983"/>
    <w:rsid w:val="7E066731"/>
    <w:rsid w:val="7E074257"/>
    <w:rsid w:val="7E0B01EB"/>
    <w:rsid w:val="7E176B90"/>
    <w:rsid w:val="7E186A13"/>
    <w:rsid w:val="7E2412AD"/>
    <w:rsid w:val="7E257814"/>
    <w:rsid w:val="7E3B0025"/>
    <w:rsid w:val="7E3E411D"/>
    <w:rsid w:val="7E406C79"/>
    <w:rsid w:val="7E434EF6"/>
    <w:rsid w:val="7E4668AB"/>
    <w:rsid w:val="7E4D5E76"/>
    <w:rsid w:val="7E4E5E2B"/>
    <w:rsid w:val="7E4F5233"/>
    <w:rsid w:val="7E553E43"/>
    <w:rsid w:val="7E5B4207"/>
    <w:rsid w:val="7E633B84"/>
    <w:rsid w:val="7E6416AA"/>
    <w:rsid w:val="7E6727AA"/>
    <w:rsid w:val="7E6D5B36"/>
    <w:rsid w:val="7E7062A0"/>
    <w:rsid w:val="7E7A4815"/>
    <w:rsid w:val="7E7C2E97"/>
    <w:rsid w:val="7E867872"/>
    <w:rsid w:val="7E891395"/>
    <w:rsid w:val="7E9712AE"/>
    <w:rsid w:val="7E9842E4"/>
    <w:rsid w:val="7E991353"/>
    <w:rsid w:val="7E9E4BBC"/>
    <w:rsid w:val="7E9F29B6"/>
    <w:rsid w:val="7EA30424"/>
    <w:rsid w:val="7EBC63B3"/>
    <w:rsid w:val="7EC37AE3"/>
    <w:rsid w:val="7EC505F5"/>
    <w:rsid w:val="7EC7253A"/>
    <w:rsid w:val="7ECA3C03"/>
    <w:rsid w:val="7ED00AED"/>
    <w:rsid w:val="7ED22BF9"/>
    <w:rsid w:val="7ED24865"/>
    <w:rsid w:val="7ED350D7"/>
    <w:rsid w:val="7ED56104"/>
    <w:rsid w:val="7ED76320"/>
    <w:rsid w:val="7ED92098"/>
    <w:rsid w:val="7EDD7E5A"/>
    <w:rsid w:val="7EE0457D"/>
    <w:rsid w:val="7EE76641"/>
    <w:rsid w:val="7EEB3B79"/>
    <w:rsid w:val="7EEB654A"/>
    <w:rsid w:val="7EEE14CF"/>
    <w:rsid w:val="7EF36219"/>
    <w:rsid w:val="7F097D94"/>
    <w:rsid w:val="7F1D01D6"/>
    <w:rsid w:val="7F1E7AAB"/>
    <w:rsid w:val="7F201A75"/>
    <w:rsid w:val="7F2A28F3"/>
    <w:rsid w:val="7F2A4C1F"/>
    <w:rsid w:val="7F2C0C33"/>
    <w:rsid w:val="7F2C1559"/>
    <w:rsid w:val="7F34107C"/>
    <w:rsid w:val="7F381B8B"/>
    <w:rsid w:val="7F3B065C"/>
    <w:rsid w:val="7F4D0390"/>
    <w:rsid w:val="7F4DF32D"/>
    <w:rsid w:val="7F4F44E6"/>
    <w:rsid w:val="7F5434CC"/>
    <w:rsid w:val="7F564BFC"/>
    <w:rsid w:val="7F6F0306"/>
    <w:rsid w:val="7F6F6558"/>
    <w:rsid w:val="7F6F856A"/>
    <w:rsid w:val="7F740020"/>
    <w:rsid w:val="7F7B314F"/>
    <w:rsid w:val="7F7F2C3F"/>
    <w:rsid w:val="7F7F41A0"/>
    <w:rsid w:val="7F840255"/>
    <w:rsid w:val="7F8952AA"/>
    <w:rsid w:val="7F8D36F1"/>
    <w:rsid w:val="7F8F6BFA"/>
    <w:rsid w:val="7F930498"/>
    <w:rsid w:val="7F983D01"/>
    <w:rsid w:val="7F9B3D14"/>
    <w:rsid w:val="7F9F16D7"/>
    <w:rsid w:val="7F9F59A2"/>
    <w:rsid w:val="7FAC4FAE"/>
    <w:rsid w:val="7FAF1655"/>
    <w:rsid w:val="7FB16B71"/>
    <w:rsid w:val="7FBA3CCE"/>
    <w:rsid w:val="7FCA05C5"/>
    <w:rsid w:val="7FCB7E07"/>
    <w:rsid w:val="7FCF6FF7"/>
    <w:rsid w:val="7FD5285F"/>
    <w:rsid w:val="7FD60385"/>
    <w:rsid w:val="7FD71881"/>
    <w:rsid w:val="7FDA60C7"/>
    <w:rsid w:val="7FDA7EE4"/>
    <w:rsid w:val="7FDF0FB8"/>
    <w:rsid w:val="7FE24F7C"/>
    <w:rsid w:val="7FE64A6C"/>
    <w:rsid w:val="7FEA3E31"/>
    <w:rsid w:val="7FEE3921"/>
    <w:rsid w:val="7FF058EB"/>
    <w:rsid w:val="7FF372AF"/>
    <w:rsid w:val="7FF52F01"/>
    <w:rsid w:val="7FF9365D"/>
    <w:rsid w:val="7FFA0518"/>
    <w:rsid w:val="7FFE6AC6"/>
    <w:rsid w:val="7FFFEAE0"/>
    <w:rsid w:val="8D4F294D"/>
    <w:rsid w:val="9AAF0ACB"/>
    <w:rsid w:val="A6FF4CEE"/>
    <w:rsid w:val="A7DB8AEC"/>
    <w:rsid w:val="AEF7A9D4"/>
    <w:rsid w:val="B7B78711"/>
    <w:rsid w:val="B7FB69F6"/>
    <w:rsid w:val="BD4FB661"/>
    <w:rsid w:val="BFFB8173"/>
    <w:rsid w:val="CECF8695"/>
    <w:rsid w:val="CFF78457"/>
    <w:rsid w:val="D3FAB2BD"/>
    <w:rsid w:val="D7BD0CC6"/>
    <w:rsid w:val="DAFB7DDE"/>
    <w:rsid w:val="DBFC8679"/>
    <w:rsid w:val="DCFFFFC1"/>
    <w:rsid w:val="DD7CC823"/>
    <w:rsid w:val="DEAFDD77"/>
    <w:rsid w:val="DEFFDA8E"/>
    <w:rsid w:val="DFBB1ED7"/>
    <w:rsid w:val="F5DB988B"/>
    <w:rsid w:val="F5DE4C76"/>
    <w:rsid w:val="F5FEF0BE"/>
    <w:rsid w:val="F70FEF59"/>
    <w:rsid w:val="F77F76C2"/>
    <w:rsid w:val="F9D359A3"/>
    <w:rsid w:val="FB78BB88"/>
    <w:rsid w:val="FBFEDA21"/>
    <w:rsid w:val="FBFFF45F"/>
    <w:rsid w:val="FD9F101D"/>
    <w:rsid w:val="FDB97E93"/>
    <w:rsid w:val="FDCC2965"/>
    <w:rsid w:val="FF7CADF0"/>
    <w:rsid w:val="FFFF9F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semiHidden="0" w:name="heading 2"/>
    <w:lsdException w:qFormat="1" w:uiPriority="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name="index heading"/>
    <w:lsdException w:qFormat="1" w:uiPriority="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line="360" w:lineRule="auto"/>
    </w:pPr>
    <w:rPr>
      <w:rFonts w:ascii="Times New Roman" w:hAnsi="Times New Roman" w:eastAsia="宋体" w:cs="宋体"/>
      <w:sz w:val="24"/>
      <w:szCs w:val="24"/>
      <w:lang w:val="zh-CN" w:eastAsia="zh-CN" w:bidi="zh-CN"/>
    </w:rPr>
  </w:style>
  <w:style w:type="paragraph" w:styleId="2">
    <w:name w:val="heading 1"/>
    <w:basedOn w:val="1"/>
    <w:next w:val="1"/>
    <w:qFormat/>
    <w:uiPriority w:val="1"/>
    <w:pPr>
      <w:jc w:val="center"/>
      <w:outlineLvl w:val="0"/>
    </w:pPr>
    <w:rPr>
      <w:rFonts w:cstheme="minorBidi"/>
      <w:b/>
      <w:color w:val="000000" w:themeColor="text1"/>
      <w:sz w:val="30"/>
      <w:szCs w:val="30"/>
      <w14:textFill>
        <w14:solidFill>
          <w14:schemeClr w14:val="tx1"/>
        </w14:solidFill>
      </w14:textFill>
    </w:rPr>
  </w:style>
  <w:style w:type="paragraph" w:styleId="3">
    <w:name w:val="heading 2"/>
    <w:basedOn w:val="1"/>
    <w:next w:val="1"/>
    <w:unhideWhenUsed/>
    <w:qFormat/>
    <w:uiPriority w:val="0"/>
    <w:pPr>
      <w:keepNext/>
      <w:keepLines/>
      <w:spacing w:line="360" w:lineRule="auto"/>
      <w:ind w:firstLine="1124" w:firstLineChars="200"/>
      <w:outlineLvl w:val="1"/>
    </w:pPr>
    <w:rPr>
      <w:rFonts w:ascii="Times New Roman" w:hAnsi="Times New Roman" w:eastAsia="宋体" w:cstheme="minorBidi"/>
      <w:b/>
      <w:bCs/>
      <w:sz w:val="24"/>
      <w:szCs w:val="24"/>
      <w:lang w:val="en-US" w:eastAsia="zh-CN" w:bidi="ar-SA"/>
    </w:rPr>
  </w:style>
  <w:style w:type="paragraph" w:styleId="4">
    <w:name w:val="heading 3"/>
    <w:basedOn w:val="1"/>
    <w:next w:val="1"/>
    <w:semiHidden/>
    <w:unhideWhenUsed/>
    <w:qFormat/>
    <w:uiPriority w:val="0"/>
    <w:pPr>
      <w:spacing w:beforeAutospacing="1" w:afterAutospacing="1"/>
      <w:outlineLvl w:val="2"/>
    </w:pPr>
    <w:rPr>
      <w:rFonts w:hint="eastAsia" w:ascii="宋体" w:hAnsi="宋体" w:cs="Times New Roman"/>
      <w:b/>
      <w:bCs/>
      <w:sz w:val="27"/>
      <w:szCs w:val="27"/>
      <w:lang w:val="en-US" w:bidi="ar-SA"/>
    </w:rPr>
  </w:style>
  <w:style w:type="paragraph" w:styleId="5">
    <w:name w:val="heading 4"/>
    <w:basedOn w:val="4"/>
    <w:next w:val="1"/>
    <w:qFormat/>
    <w:uiPriority w:val="0"/>
    <w:pPr>
      <w:outlineLvl w:val="3"/>
    </w:pPr>
    <w:rPr>
      <w:szCs w:val="20"/>
    </w:rPr>
  </w:style>
  <w:style w:type="paragraph" w:styleId="6">
    <w:name w:val="heading 5"/>
    <w:basedOn w:val="1"/>
    <w:next w:val="1"/>
    <w:qFormat/>
    <w:uiPriority w:val="0"/>
    <w:pPr>
      <w:tabs>
        <w:tab w:val="left" w:pos="448"/>
      </w:tabs>
      <w:spacing w:line="360" w:lineRule="auto"/>
      <w:outlineLvl w:val="4"/>
    </w:pPr>
    <w:rPr>
      <w:rFonts w:ascii="Times New Roman" w:hAnsi="Times New Roman" w:eastAsia="宋体" w:cs="Times New Roman"/>
      <w:sz w:val="28"/>
      <w:szCs w:val="20"/>
    </w:rPr>
  </w:style>
  <w:style w:type="character" w:default="1" w:styleId="36">
    <w:name w:val="Default Paragraph Font"/>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7">
    <w:name w:val="table of authorities"/>
    <w:basedOn w:val="1"/>
    <w:next w:val="1"/>
    <w:qFormat/>
    <w:uiPriority w:val="0"/>
    <w:pPr>
      <w:spacing w:line="240" w:lineRule="auto"/>
      <w:ind w:left="0" w:leftChars="0" w:firstLine="0" w:firstLineChars="0"/>
    </w:pPr>
    <w:rPr>
      <w:rFonts w:ascii="Times New Roman" w:hAnsi="Times New Roman"/>
    </w:rPr>
  </w:style>
  <w:style w:type="paragraph" w:styleId="8">
    <w:name w:val="Note Heading"/>
    <w:basedOn w:val="1"/>
    <w:next w:val="1"/>
    <w:qFormat/>
    <w:uiPriority w:val="0"/>
    <w:pPr>
      <w:autoSpaceDE/>
      <w:autoSpaceDN/>
      <w:jc w:val="center"/>
    </w:pPr>
    <w:rPr>
      <w:rFonts w:ascii="Calibri" w:hAnsi="Calibri"/>
      <w:kern w:val="2"/>
      <w:sz w:val="21"/>
    </w:rPr>
  </w:style>
  <w:style w:type="paragraph" w:styleId="9">
    <w:name w:val="Normal Indent"/>
    <w:basedOn w:val="1"/>
    <w:next w:val="1"/>
    <w:qFormat/>
    <w:uiPriority w:val="0"/>
    <w:pPr>
      <w:spacing w:line="240" w:lineRule="auto"/>
      <w:ind w:firstLine="420" w:firstLineChars="200"/>
    </w:pPr>
    <w:rPr>
      <w:rFonts w:ascii="宋体" w:hAnsi="宋体"/>
      <w:sz w:val="22"/>
      <w:szCs w:val="22"/>
    </w:rPr>
  </w:style>
  <w:style w:type="paragraph" w:styleId="10">
    <w:name w:val="caption"/>
    <w:basedOn w:val="11"/>
    <w:next w:val="1"/>
    <w:semiHidden/>
    <w:unhideWhenUsed/>
    <w:qFormat/>
    <w:uiPriority w:val="0"/>
    <w:rPr>
      <w:sz w:val="24"/>
      <w:szCs w:val="24"/>
    </w:rPr>
  </w:style>
  <w:style w:type="paragraph" w:customStyle="1" w:styleId="11">
    <w:name w:val="表头排序"/>
    <w:qFormat/>
    <w:uiPriority w:val="0"/>
    <w:pPr>
      <w:keepNext/>
      <w:keepLines/>
      <w:adjustRightInd w:val="0"/>
      <w:snapToGrid w:val="0"/>
      <w:spacing w:line="360" w:lineRule="auto"/>
      <w:jc w:val="center"/>
    </w:pPr>
    <w:rPr>
      <w:rFonts w:hint="eastAsia" w:ascii="Times New Roman" w:hAnsi="Times New Roman" w:eastAsia="宋体" w:cs="Times New Roman"/>
      <w:b/>
      <w:bCs/>
      <w:sz w:val="21"/>
      <w:szCs w:val="21"/>
      <w:lang w:val="en-US" w:eastAsia="zh-CN" w:bidi="ar-SA"/>
    </w:rPr>
  </w:style>
  <w:style w:type="paragraph" w:styleId="12">
    <w:name w:val="annotation text"/>
    <w:basedOn w:val="1"/>
    <w:link w:val="74"/>
    <w:qFormat/>
    <w:uiPriority w:val="0"/>
  </w:style>
  <w:style w:type="paragraph" w:styleId="13">
    <w:name w:val="Body Text"/>
    <w:basedOn w:val="1"/>
    <w:next w:val="1"/>
    <w:link w:val="46"/>
    <w:qFormat/>
    <w:uiPriority w:val="1"/>
    <w:rPr>
      <w:rFonts w:ascii="宋体" w:hAnsi="宋体"/>
    </w:rPr>
  </w:style>
  <w:style w:type="paragraph" w:styleId="14">
    <w:name w:val="Body Text Indent"/>
    <w:basedOn w:val="1"/>
    <w:link w:val="76"/>
    <w:qFormat/>
    <w:uiPriority w:val="0"/>
    <w:pPr>
      <w:ind w:left="720"/>
    </w:pPr>
    <w:rPr>
      <w:sz w:val="28"/>
      <w:szCs w:val="28"/>
    </w:rPr>
  </w:style>
  <w:style w:type="paragraph" w:styleId="15">
    <w:name w:val="Block Text"/>
    <w:basedOn w:val="1"/>
    <w:qFormat/>
    <w:uiPriority w:val="0"/>
    <w:pPr>
      <w:adjustRightInd w:val="0"/>
      <w:snapToGrid w:val="0"/>
      <w:spacing w:line="500" w:lineRule="exact"/>
      <w:ind w:left="147" w:leftChars="70" w:right="160" w:rightChars="76" w:firstLine="480" w:firstLineChars="200"/>
    </w:pPr>
    <w:rPr>
      <w:rFonts w:ascii="宋体" w:hAnsi="宋体"/>
    </w:rPr>
  </w:style>
  <w:style w:type="paragraph" w:styleId="16">
    <w:name w:val="Plain Text"/>
    <w:basedOn w:val="1"/>
    <w:next w:val="17"/>
    <w:qFormat/>
    <w:uiPriority w:val="99"/>
    <w:pPr>
      <w:adjustRightInd w:val="0"/>
      <w:spacing w:before="120" w:line="400" w:lineRule="exact"/>
    </w:pPr>
    <w:rPr>
      <w:rFonts w:ascii="宋体" w:hAnsi="Courier New"/>
      <w:spacing w:val="-2"/>
      <w:kern w:val="28"/>
      <w:szCs w:val="20"/>
    </w:rPr>
  </w:style>
  <w:style w:type="paragraph" w:customStyle="1" w:styleId="17">
    <w:name w:val="正本"/>
    <w:basedOn w:val="1"/>
    <w:qFormat/>
    <w:uiPriority w:val="0"/>
    <w:pPr>
      <w:adjustRightInd w:val="0"/>
      <w:snapToGrid w:val="0"/>
      <w:spacing w:line="360" w:lineRule="auto"/>
      <w:ind w:firstLine="200" w:firstLineChars="200"/>
    </w:pPr>
    <w:rPr>
      <w:rFonts w:ascii="宋体" w:eastAsia="宋体"/>
      <w:kern w:val="2"/>
      <w:sz w:val="24"/>
      <w:szCs w:val="24"/>
      <w:lang w:val="en-US" w:eastAsia="zh-CN" w:bidi="ar-SA"/>
    </w:rPr>
  </w:style>
  <w:style w:type="paragraph" w:styleId="18">
    <w:name w:val="Date"/>
    <w:basedOn w:val="1"/>
    <w:next w:val="1"/>
    <w:link w:val="67"/>
    <w:qFormat/>
    <w:uiPriority w:val="0"/>
    <w:pPr>
      <w:autoSpaceDE/>
      <w:autoSpaceDN/>
      <w:spacing w:line="240" w:lineRule="auto"/>
      <w:ind w:left="100" w:leftChars="2500"/>
      <w:jc w:val="both"/>
    </w:pPr>
    <w:rPr>
      <w:rFonts w:ascii="仿宋" w:hAnsi="仿宋" w:eastAsia="仿宋_GB2312" w:cs="Times New Roman"/>
      <w:szCs w:val="20"/>
      <w:lang w:val="en-US" w:bidi="ar-SA"/>
    </w:rPr>
  </w:style>
  <w:style w:type="paragraph" w:styleId="19">
    <w:name w:val="Body Text Indent 2"/>
    <w:basedOn w:val="1"/>
    <w:next w:val="1"/>
    <w:qFormat/>
    <w:uiPriority w:val="0"/>
    <w:pPr>
      <w:spacing w:after="120" w:line="480" w:lineRule="auto"/>
      <w:ind w:left="200" w:leftChars="200"/>
    </w:pPr>
  </w:style>
  <w:style w:type="paragraph" w:styleId="20">
    <w:name w:val="footer"/>
    <w:basedOn w:val="1"/>
    <w:qFormat/>
    <w:uiPriority w:val="0"/>
    <w:pPr>
      <w:tabs>
        <w:tab w:val="center" w:pos="4153"/>
        <w:tab w:val="right" w:pos="8306"/>
      </w:tabs>
      <w:snapToGrid w:val="0"/>
    </w:pPr>
    <w:rPr>
      <w:sz w:val="18"/>
      <w:szCs w:val="18"/>
    </w:rPr>
  </w:style>
  <w:style w:type="paragraph" w:styleId="2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22">
    <w:name w:val="toc 1"/>
    <w:basedOn w:val="1"/>
    <w:next w:val="1"/>
    <w:qFormat/>
    <w:uiPriority w:val="39"/>
  </w:style>
  <w:style w:type="paragraph" w:styleId="23">
    <w:name w:val="index heading"/>
    <w:basedOn w:val="1"/>
    <w:next w:val="24"/>
    <w:semiHidden/>
    <w:qFormat/>
    <w:uiPriority w:val="0"/>
    <w:rPr>
      <w:rFonts w:ascii="Arial" w:hAnsi="Arial" w:cs="Arial"/>
      <w:b/>
      <w:bCs/>
    </w:rPr>
  </w:style>
  <w:style w:type="paragraph" w:styleId="24">
    <w:name w:val="index 1"/>
    <w:basedOn w:val="1"/>
    <w:next w:val="1"/>
    <w:qFormat/>
    <w:uiPriority w:val="0"/>
    <w:pPr>
      <w:spacing w:line="240" w:lineRule="exact"/>
      <w:jc w:val="center"/>
    </w:pPr>
    <w:rPr>
      <w:sz w:val="21"/>
    </w:rPr>
  </w:style>
  <w:style w:type="paragraph" w:styleId="25">
    <w:name w:val="List"/>
    <w:basedOn w:val="1"/>
    <w:qFormat/>
    <w:uiPriority w:val="0"/>
    <w:pPr>
      <w:ind w:left="200" w:hanging="200" w:hangingChars="200"/>
      <w:contextualSpacing/>
    </w:pPr>
  </w:style>
  <w:style w:type="paragraph" w:styleId="26">
    <w:name w:val="Body Text Indent 3"/>
    <w:basedOn w:val="1"/>
    <w:qFormat/>
    <w:uiPriority w:val="0"/>
    <w:pPr>
      <w:spacing w:after="120" w:afterLines="0"/>
      <w:ind w:left="420" w:leftChars="200"/>
    </w:pPr>
    <w:rPr>
      <w:sz w:val="16"/>
      <w:szCs w:val="16"/>
    </w:rPr>
  </w:style>
  <w:style w:type="paragraph" w:styleId="27">
    <w:name w:val="table of figures"/>
    <w:basedOn w:val="1"/>
    <w:next w:val="1"/>
    <w:unhideWhenUsed/>
    <w:qFormat/>
    <w:uiPriority w:val="99"/>
  </w:style>
  <w:style w:type="paragraph" w:styleId="28">
    <w:name w:val="toc 2"/>
    <w:basedOn w:val="1"/>
    <w:next w:val="1"/>
    <w:qFormat/>
    <w:uiPriority w:val="0"/>
    <w:pPr>
      <w:ind w:left="420" w:leftChars="200"/>
    </w:pPr>
  </w:style>
  <w:style w:type="paragraph" w:styleId="29">
    <w:name w:val="toc 9"/>
    <w:basedOn w:val="1"/>
    <w:next w:val="1"/>
    <w:qFormat/>
    <w:uiPriority w:val="0"/>
    <w:pPr>
      <w:widowControl/>
      <w:wordWrap w:val="0"/>
      <w:ind w:left="2975"/>
    </w:pPr>
    <w:rPr>
      <w:sz w:val="21"/>
      <w:szCs w:val="22"/>
    </w:rPr>
  </w:style>
  <w:style w:type="paragraph" w:styleId="30">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31">
    <w:name w:val="annotation subject"/>
    <w:basedOn w:val="12"/>
    <w:next w:val="12"/>
    <w:link w:val="75"/>
    <w:qFormat/>
    <w:uiPriority w:val="0"/>
    <w:rPr>
      <w:b/>
      <w:bCs/>
    </w:rPr>
  </w:style>
  <w:style w:type="paragraph" w:styleId="32">
    <w:name w:val="Body Text First Indent"/>
    <w:basedOn w:val="13"/>
    <w:next w:val="1"/>
    <w:link w:val="65"/>
    <w:qFormat/>
    <w:uiPriority w:val="0"/>
    <w:pPr>
      <w:spacing w:after="120"/>
      <w:ind w:firstLine="420" w:firstLineChars="100"/>
    </w:pPr>
    <w:rPr>
      <w:rFonts w:ascii="Times New Roman" w:hAnsi="Times New Roman"/>
    </w:rPr>
  </w:style>
  <w:style w:type="paragraph" w:styleId="33">
    <w:name w:val="Body Text First Indent 2"/>
    <w:basedOn w:val="14"/>
    <w:next w:val="1"/>
    <w:qFormat/>
    <w:uiPriority w:val="0"/>
    <w:pPr>
      <w:ind w:left="0" w:firstLine="420" w:firstLineChars="200"/>
    </w:pPr>
  </w:style>
  <w:style w:type="table" w:styleId="35">
    <w:name w:val="Table Grid"/>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basedOn w:val="36"/>
    <w:qFormat/>
    <w:uiPriority w:val="22"/>
    <w:rPr>
      <w:b/>
      <w:bCs/>
    </w:rPr>
  </w:style>
  <w:style w:type="character" w:styleId="38">
    <w:name w:val="page number"/>
    <w:basedOn w:val="36"/>
    <w:qFormat/>
    <w:uiPriority w:val="0"/>
  </w:style>
  <w:style w:type="character" w:styleId="39">
    <w:name w:val="FollowedHyperlink"/>
    <w:basedOn w:val="36"/>
    <w:qFormat/>
    <w:uiPriority w:val="0"/>
    <w:rPr>
      <w:color w:val="000000"/>
      <w:u w:val="none"/>
    </w:rPr>
  </w:style>
  <w:style w:type="character" w:styleId="40">
    <w:name w:val="Emphasis"/>
    <w:basedOn w:val="36"/>
    <w:qFormat/>
    <w:uiPriority w:val="0"/>
  </w:style>
  <w:style w:type="character" w:styleId="41">
    <w:name w:val="Hyperlink"/>
    <w:basedOn w:val="36"/>
    <w:qFormat/>
    <w:uiPriority w:val="99"/>
    <w:rPr>
      <w:color w:val="0000FF"/>
      <w:u w:val="single"/>
    </w:rPr>
  </w:style>
  <w:style w:type="character" w:styleId="42">
    <w:name w:val="annotation reference"/>
    <w:qFormat/>
    <w:uiPriority w:val="0"/>
    <w:rPr>
      <w:sz w:val="21"/>
    </w:rPr>
  </w:style>
  <w:style w:type="paragraph" w:customStyle="1" w:styleId="43">
    <w:name w:val="xl27"/>
    <w:basedOn w:val="1"/>
    <w:qFormat/>
    <w:uiPriority w:val="0"/>
    <w:pPr>
      <w:widowControl/>
      <w:pBdr>
        <w:bottom w:val="single" w:color="auto" w:sz="12" w:space="0"/>
      </w:pBdr>
      <w:spacing w:before="100" w:after="100"/>
      <w:jc w:val="center"/>
    </w:pPr>
    <w:rPr>
      <w:rFonts w:ascii="宋体" w:hAnsi="宋体"/>
      <w:szCs w:val="20"/>
    </w:rPr>
  </w:style>
  <w:style w:type="paragraph" w:customStyle="1" w:styleId="44">
    <w:name w:val="表格"/>
    <w:basedOn w:val="9"/>
    <w:next w:val="1"/>
    <w:link w:val="72"/>
    <w:qFormat/>
    <w:uiPriority w:val="99"/>
    <w:pPr>
      <w:autoSpaceDE/>
      <w:autoSpaceDN/>
      <w:adjustRightInd w:val="0"/>
      <w:snapToGrid w:val="0"/>
      <w:spacing w:beforeLines="10" w:afterLines="10" w:line="259" w:lineRule="auto"/>
      <w:jc w:val="center"/>
    </w:pPr>
    <w:rPr>
      <w:rFonts w:ascii="TT5A56o00" w:cs="Times New Roman"/>
      <w:sz w:val="21"/>
      <w:szCs w:val="20"/>
      <w:lang w:val="en-US" w:bidi="ar-SA"/>
    </w:rPr>
  </w:style>
  <w:style w:type="paragraph" w:customStyle="1" w:styleId="45">
    <w:name w:val="表格文字"/>
    <w:basedOn w:val="32"/>
    <w:next w:val="1"/>
    <w:qFormat/>
    <w:uiPriority w:val="0"/>
    <w:pPr>
      <w:adjustRightInd w:val="0"/>
      <w:snapToGrid w:val="0"/>
      <w:jc w:val="center"/>
      <w:textAlignment w:val="center"/>
    </w:pPr>
  </w:style>
  <w:style w:type="character" w:customStyle="1" w:styleId="46">
    <w:name w:val="正文文本 字符"/>
    <w:basedOn w:val="36"/>
    <w:link w:val="13"/>
    <w:qFormat/>
    <w:uiPriority w:val="1"/>
    <w:rPr>
      <w:rFonts w:ascii="宋体" w:hAnsi="宋体" w:cs="宋体"/>
      <w:sz w:val="24"/>
      <w:szCs w:val="24"/>
      <w:lang w:val="zh-CN" w:bidi="zh-CN"/>
    </w:rPr>
  </w:style>
  <w:style w:type="paragraph" w:customStyle="1" w:styleId="47">
    <w:name w:val="Default"/>
    <w:basedOn w:val="48"/>
    <w:next w:val="1"/>
    <w:qFormat/>
    <w:uiPriority w:val="0"/>
    <w:rPr>
      <w:rFonts w:hAnsi="宋体"/>
      <w:color w:val="000000"/>
      <w:szCs w:val="24"/>
      <w:lang w:val="en-US" w:bidi="ar-SA"/>
    </w:rPr>
  </w:style>
  <w:style w:type="paragraph" w:customStyle="1" w:styleId="48">
    <w:name w:val="纯文本1"/>
    <w:basedOn w:val="1"/>
    <w:qFormat/>
    <w:uiPriority w:val="0"/>
    <w:pPr>
      <w:adjustRightInd w:val="0"/>
    </w:pPr>
    <w:rPr>
      <w:rFonts w:ascii="宋体" w:hAnsi="Courier New"/>
      <w:szCs w:val="20"/>
    </w:rPr>
  </w:style>
  <w:style w:type="paragraph" w:customStyle="1" w:styleId="49">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0">
    <w:name w:val="toc 84"/>
    <w:next w:val="1"/>
    <w:qFormat/>
    <w:uiPriority w:val="0"/>
    <w:pPr>
      <w:wordWrap w:val="0"/>
      <w:ind w:left="2975"/>
      <w:jc w:val="both"/>
    </w:pPr>
    <w:rPr>
      <w:rFonts w:ascii="宋体" w:hAnsi="宋体" w:eastAsia="Calibri" w:cs="Times New Roman"/>
      <w:sz w:val="21"/>
      <w:szCs w:val="22"/>
      <w:lang w:val="en-US" w:eastAsia="zh-CN" w:bidi="ar-SA"/>
    </w:rPr>
  </w:style>
  <w:style w:type="paragraph" w:customStyle="1" w:styleId="51">
    <w:name w:val="文本"/>
    <w:basedOn w:val="1"/>
    <w:next w:val="1"/>
    <w:qFormat/>
    <w:uiPriority w:val="0"/>
    <w:pPr>
      <w:autoSpaceDE w:val="0"/>
      <w:autoSpaceDN w:val="0"/>
      <w:ind w:firstLine="480"/>
    </w:pPr>
    <w:rPr>
      <w:rFonts w:cs="Times New Roman"/>
      <w:szCs w:val="24"/>
      <w:lang w:val="zh-CN"/>
    </w:rPr>
  </w:style>
  <w:style w:type="paragraph" w:customStyle="1" w:styleId="52">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53">
    <w:name w:val="样式 正文文本缩进 + 行距: 1.5 倍行距"/>
    <w:basedOn w:val="1"/>
    <w:qFormat/>
    <w:uiPriority w:val="0"/>
    <w:pPr>
      <w:spacing w:after="120"/>
      <w:ind w:left="90" w:leftChars="32" w:firstLine="560" w:firstLineChars="200"/>
    </w:pPr>
  </w:style>
  <w:style w:type="paragraph" w:customStyle="1" w:styleId="54">
    <w:name w:val="02表格正文小四"/>
    <w:qFormat/>
    <w:uiPriority w:val="0"/>
    <w:pPr>
      <w:overflowPunct w:val="0"/>
      <w:spacing w:line="360" w:lineRule="auto"/>
      <w:ind w:firstLine="1124" w:firstLineChars="200"/>
      <w:jc w:val="both"/>
      <w:textAlignment w:val="baseline"/>
    </w:pPr>
    <w:rPr>
      <w:rFonts w:ascii="Times New Roman" w:hAnsi="Times New Roman" w:eastAsia="宋体" w:cstheme="minorBidi"/>
      <w:sz w:val="24"/>
      <w:szCs w:val="24"/>
      <w:lang w:val="en-US" w:eastAsia="zh-CN" w:bidi="ar-SA"/>
    </w:rPr>
  </w:style>
  <w:style w:type="paragraph" w:customStyle="1" w:styleId="55">
    <w:name w:val="标题2"/>
    <w:next w:val="3"/>
    <w:qFormat/>
    <w:uiPriority w:val="0"/>
    <w:pPr>
      <w:widowControl w:val="0"/>
      <w:adjustRightInd w:val="0"/>
      <w:snapToGrid w:val="0"/>
      <w:spacing w:line="360" w:lineRule="auto"/>
      <w:ind w:firstLine="200" w:firstLineChars="200"/>
      <w:jc w:val="both"/>
    </w:pPr>
    <w:rPr>
      <w:rFonts w:ascii="宋体" w:hAnsi="宋体" w:eastAsia="宋体" w:cs="Times New Roman"/>
      <w:b/>
      <w:sz w:val="24"/>
      <w:szCs w:val="24"/>
      <w:lang w:val="en-US" w:eastAsia="zh-CN" w:bidi="ar-SA"/>
    </w:rPr>
  </w:style>
  <w:style w:type="paragraph" w:customStyle="1" w:styleId="56">
    <w:name w:val="1正文段落"/>
    <w:basedOn w:val="1"/>
    <w:qFormat/>
    <w:uiPriority w:val="0"/>
    <w:pPr>
      <w:ind w:firstLine="480" w:firstLineChars="200"/>
    </w:pPr>
    <w:rPr>
      <w:szCs w:val="22"/>
    </w:rPr>
  </w:style>
  <w:style w:type="paragraph" w:customStyle="1" w:styleId="57">
    <w:name w:val="样式1"/>
    <w:basedOn w:val="23"/>
    <w:next w:val="1"/>
    <w:qFormat/>
    <w:uiPriority w:val="0"/>
    <w:pPr>
      <w:spacing w:line="288" w:lineRule="auto"/>
      <w:ind w:firstLine="480" w:firstLineChars="200"/>
    </w:pPr>
    <w:rPr>
      <w:rFonts w:ascii="宋体" w:hAnsi="宋体"/>
      <w:szCs w:val="20"/>
    </w:rPr>
  </w:style>
  <w:style w:type="paragraph" w:customStyle="1" w:styleId="58">
    <w:name w:val="01表内居中小四1.0"/>
    <w:qFormat/>
    <w:uiPriority w:val="0"/>
    <w:pPr>
      <w:overflowPunct w:val="0"/>
      <w:autoSpaceDE w:val="0"/>
      <w:autoSpaceDN w:val="0"/>
      <w:jc w:val="center"/>
      <w:textAlignment w:val="baseline"/>
    </w:pPr>
    <w:rPr>
      <w:rFonts w:ascii="Times New Roman" w:hAnsi="Times New Roman" w:eastAsia="宋体" w:cstheme="minorBidi"/>
      <w:sz w:val="24"/>
      <w:szCs w:val="24"/>
      <w:lang w:val="en-US" w:eastAsia="zh-CN" w:bidi="ar-SA"/>
    </w:rPr>
  </w:style>
  <w:style w:type="paragraph" w:customStyle="1" w:styleId="59">
    <w:name w:val="03表内表"/>
    <w:qFormat/>
    <w:uiPriority w:val="0"/>
    <w:pPr>
      <w:adjustRightInd w:val="0"/>
      <w:snapToGrid w:val="0"/>
      <w:spacing w:line="276" w:lineRule="auto"/>
      <w:jc w:val="center"/>
    </w:pPr>
    <w:rPr>
      <w:rFonts w:ascii="Times New Roman" w:hAnsi="Times New Roman" w:eastAsia="宋体" w:cs="Times New Roman"/>
      <w:sz w:val="21"/>
      <w:szCs w:val="21"/>
      <w:lang w:val="en-US" w:eastAsia="zh-CN" w:bidi="ar-SA"/>
    </w:rPr>
  </w:style>
  <w:style w:type="paragraph" w:customStyle="1" w:styleId="60">
    <w:name w:val="7表格内容"/>
    <w:qFormat/>
    <w:uiPriority w:val="0"/>
    <w:pPr>
      <w:widowControl w:val="0"/>
      <w:spacing w:line="400" w:lineRule="exact"/>
      <w:jc w:val="center"/>
    </w:pPr>
    <w:rPr>
      <w:rFonts w:ascii="Times New Roman" w:hAnsi="Times New Roman" w:eastAsia="宋体" w:cs="Times New Roman"/>
      <w:kern w:val="2"/>
      <w:sz w:val="21"/>
      <w:szCs w:val="24"/>
      <w:lang w:val="en-US" w:eastAsia="zh-CN" w:bidi="ar-SA"/>
    </w:rPr>
  </w:style>
  <w:style w:type="paragraph" w:customStyle="1" w:styleId="61">
    <w:name w:val="Table Paragraph"/>
    <w:basedOn w:val="1"/>
    <w:qFormat/>
    <w:uiPriority w:val="1"/>
    <w:rPr>
      <w:rFonts w:ascii="Calibri" w:hAnsi="Calibri"/>
      <w:sz w:val="22"/>
      <w:szCs w:val="22"/>
      <w:lang w:eastAsia="en-US"/>
    </w:rPr>
  </w:style>
  <w:style w:type="paragraph" w:customStyle="1" w:styleId="62">
    <w:name w:val="表格内容自定"/>
    <w:basedOn w:val="1"/>
    <w:qFormat/>
    <w:uiPriority w:val="0"/>
    <w:pPr>
      <w:spacing w:line="280" w:lineRule="exact"/>
      <w:jc w:val="center"/>
    </w:pPr>
    <w:rPr>
      <w:sz w:val="18"/>
      <w:szCs w:val="21"/>
    </w:rPr>
  </w:style>
  <w:style w:type="paragraph" w:customStyle="1" w:styleId="63">
    <w:name w:val="4正文"/>
    <w:basedOn w:val="1"/>
    <w:qFormat/>
    <w:uiPriority w:val="0"/>
    <w:pPr>
      <w:adjustRightInd w:val="0"/>
      <w:snapToGrid w:val="0"/>
      <w:ind w:firstLine="200" w:firstLineChars="200"/>
    </w:pPr>
  </w:style>
  <w:style w:type="paragraph" w:customStyle="1" w:styleId="64">
    <w:name w:val="表格、图表名称"/>
    <w:basedOn w:val="1"/>
    <w:qFormat/>
    <w:uiPriority w:val="0"/>
    <w:pPr>
      <w:jc w:val="center"/>
    </w:pPr>
    <w:rPr>
      <w:b/>
      <w:szCs w:val="22"/>
    </w:rPr>
  </w:style>
  <w:style w:type="character" w:customStyle="1" w:styleId="65">
    <w:name w:val="正文文本首行缩进 字符"/>
    <w:basedOn w:val="46"/>
    <w:link w:val="32"/>
    <w:qFormat/>
    <w:uiPriority w:val="0"/>
    <w:rPr>
      <w:rFonts w:ascii="宋体" w:hAnsi="宋体" w:cs="宋体"/>
      <w:sz w:val="24"/>
      <w:szCs w:val="24"/>
      <w:lang w:val="zh-CN" w:bidi="zh-CN"/>
    </w:rPr>
  </w:style>
  <w:style w:type="paragraph" w:customStyle="1" w:styleId="66">
    <w:name w:val="表内容"/>
    <w:basedOn w:val="1"/>
    <w:qFormat/>
    <w:uiPriority w:val="0"/>
    <w:pPr>
      <w:autoSpaceDE/>
      <w:autoSpaceDN/>
      <w:spacing w:line="360" w:lineRule="exact"/>
      <w:jc w:val="center"/>
    </w:pPr>
    <w:rPr>
      <w:rFonts w:ascii="Verdana" w:hAnsi="Verdana" w:eastAsia="Cambria"/>
      <w:kern w:val="2"/>
      <w:sz w:val="21"/>
      <w:szCs w:val="21"/>
      <w:lang w:val="en-US" w:bidi="ar-SA"/>
    </w:rPr>
  </w:style>
  <w:style w:type="character" w:customStyle="1" w:styleId="67">
    <w:name w:val="日期 字符1"/>
    <w:link w:val="18"/>
    <w:qFormat/>
    <w:locked/>
    <w:uiPriority w:val="0"/>
    <w:rPr>
      <w:rFonts w:ascii="仿宋" w:hAnsi="仿宋" w:eastAsia="仿宋_GB2312"/>
      <w:sz w:val="24"/>
    </w:rPr>
  </w:style>
  <w:style w:type="character" w:customStyle="1" w:styleId="68">
    <w:name w:val="日期 字符"/>
    <w:basedOn w:val="36"/>
    <w:qFormat/>
    <w:uiPriority w:val="0"/>
    <w:rPr>
      <w:rFonts w:cs="宋体"/>
      <w:sz w:val="24"/>
      <w:szCs w:val="24"/>
      <w:lang w:val="zh-CN" w:bidi="zh-CN"/>
    </w:rPr>
  </w:style>
  <w:style w:type="paragraph" w:customStyle="1" w:styleId="69">
    <w:name w:val="正式文本"/>
    <w:basedOn w:val="1"/>
    <w:qFormat/>
    <w:uiPriority w:val="0"/>
    <w:pPr>
      <w:autoSpaceDE/>
      <w:autoSpaceDN/>
      <w:adjustRightInd w:val="0"/>
      <w:snapToGrid w:val="0"/>
      <w:ind w:firstLine="420" w:firstLineChars="200"/>
    </w:pPr>
    <w:rPr>
      <w:rFonts w:cs="Times New Roman"/>
      <w:bCs/>
      <w:kern w:val="2"/>
      <w:sz w:val="21"/>
      <w:szCs w:val="21"/>
      <w:lang w:val="en-US" w:bidi="ar-SA"/>
    </w:rPr>
  </w:style>
  <w:style w:type="paragraph" w:customStyle="1" w:styleId="70">
    <w:name w:val="04表头"/>
    <w:basedOn w:val="54"/>
    <w:next w:val="54"/>
    <w:qFormat/>
    <w:uiPriority w:val="1"/>
    <w:pPr>
      <w:widowControl w:val="0"/>
      <w:ind w:firstLine="0" w:firstLineChars="0"/>
      <w:jc w:val="center"/>
    </w:pPr>
    <w:rPr>
      <w:b/>
      <w:bCs/>
    </w:rPr>
  </w:style>
  <w:style w:type="character" w:customStyle="1" w:styleId="71">
    <w:name w:val="font31"/>
    <w:qFormat/>
    <w:uiPriority w:val="0"/>
    <w:rPr>
      <w:rFonts w:hint="default" w:ascii="Times New Roman" w:hAnsi="Times New Roman" w:cs="Times New Roman"/>
      <w:color w:val="000000"/>
      <w:sz w:val="21"/>
      <w:szCs w:val="21"/>
      <w:u w:val="none"/>
      <w:vertAlign w:val="subscript"/>
    </w:rPr>
  </w:style>
  <w:style w:type="character" w:customStyle="1" w:styleId="72">
    <w:name w:val="表格 Char"/>
    <w:link w:val="44"/>
    <w:qFormat/>
    <w:locked/>
    <w:uiPriority w:val="99"/>
    <w:rPr>
      <w:rFonts w:ascii="TT5A56o00"/>
      <w:sz w:val="21"/>
    </w:rPr>
  </w:style>
  <w:style w:type="paragraph" w:customStyle="1" w:styleId="73">
    <w:name w:val="修订1"/>
    <w:hidden/>
    <w:semiHidden/>
    <w:qFormat/>
    <w:uiPriority w:val="99"/>
    <w:rPr>
      <w:rFonts w:ascii="Times New Roman" w:hAnsi="Times New Roman" w:eastAsia="宋体" w:cs="宋体"/>
      <w:sz w:val="24"/>
      <w:szCs w:val="24"/>
      <w:lang w:val="zh-CN" w:eastAsia="zh-CN" w:bidi="zh-CN"/>
    </w:rPr>
  </w:style>
  <w:style w:type="character" w:customStyle="1" w:styleId="74">
    <w:name w:val="批注文字 字符"/>
    <w:basedOn w:val="36"/>
    <w:link w:val="12"/>
    <w:qFormat/>
    <w:uiPriority w:val="0"/>
    <w:rPr>
      <w:rFonts w:cs="宋体"/>
      <w:sz w:val="24"/>
      <w:szCs w:val="24"/>
      <w:lang w:val="zh-CN" w:bidi="zh-CN"/>
    </w:rPr>
  </w:style>
  <w:style w:type="character" w:customStyle="1" w:styleId="75">
    <w:name w:val="批注主题 字符"/>
    <w:basedOn w:val="74"/>
    <w:link w:val="31"/>
    <w:qFormat/>
    <w:uiPriority w:val="0"/>
    <w:rPr>
      <w:rFonts w:cs="宋体"/>
      <w:b/>
      <w:bCs/>
      <w:sz w:val="24"/>
      <w:szCs w:val="24"/>
      <w:lang w:val="zh-CN" w:bidi="zh-CN"/>
    </w:rPr>
  </w:style>
  <w:style w:type="character" w:customStyle="1" w:styleId="76">
    <w:name w:val="正文文本缩进 字符"/>
    <w:link w:val="14"/>
    <w:qFormat/>
    <w:locked/>
    <w:uiPriority w:val="0"/>
    <w:rPr>
      <w:rFonts w:cs="宋体"/>
      <w:sz w:val="28"/>
      <w:szCs w:val="28"/>
      <w:lang w:val="zh-CN" w:bidi="zh-CN"/>
    </w:rPr>
  </w:style>
  <w:style w:type="paragraph" w:customStyle="1" w:styleId="77">
    <w:name w:val="修订2"/>
    <w:hidden/>
    <w:semiHidden/>
    <w:qFormat/>
    <w:uiPriority w:val="99"/>
    <w:rPr>
      <w:rFonts w:ascii="Times New Roman" w:hAnsi="Times New Roman" w:eastAsia="宋体" w:cs="宋体"/>
      <w:sz w:val="24"/>
      <w:szCs w:val="24"/>
      <w:lang w:val="zh-CN" w:eastAsia="zh-CN" w:bidi="zh-CN"/>
    </w:rPr>
  </w:style>
  <w:style w:type="character" w:styleId="78">
    <w:name w:val="Placeholder Text"/>
    <w:basedOn w:val="36"/>
    <w:semiHidden/>
    <w:qFormat/>
    <w:uiPriority w:val="99"/>
    <w:rPr>
      <w:color w:val="808080"/>
    </w:rPr>
  </w:style>
  <w:style w:type="paragraph" w:customStyle="1" w:styleId="79">
    <w:name w:val="S报告正文"/>
    <w:basedOn w:val="1"/>
    <w:qFormat/>
    <w:uiPriority w:val="0"/>
    <w:pPr>
      <w:adjustRightInd w:val="0"/>
      <w:snapToGrid w:val="0"/>
      <w:spacing w:line="480" w:lineRule="exact"/>
      <w:ind w:firstLine="510"/>
      <w:jc w:val="left"/>
    </w:pPr>
    <w:rPr>
      <w:sz w:val="24"/>
    </w:rPr>
  </w:style>
  <w:style w:type="paragraph" w:customStyle="1" w:styleId="80">
    <w:name w:val="表字体"/>
    <w:basedOn w:val="1"/>
    <w:next w:val="1"/>
    <w:qFormat/>
    <w:uiPriority w:val="0"/>
    <w:pPr>
      <w:jc w:val="center"/>
    </w:pPr>
    <w:rPr>
      <w:kern w:val="0"/>
      <w:sz w:val="20"/>
      <w:szCs w:val="20"/>
    </w:rPr>
  </w:style>
  <w:style w:type="paragraph" w:customStyle="1" w:styleId="81">
    <w:name w:val="aaaaa标题"/>
    <w:basedOn w:val="2"/>
    <w:qFormat/>
    <w:uiPriority w:val="0"/>
    <w:pPr>
      <w:keepLines/>
      <w:spacing w:before="340" w:after="330" w:line="360" w:lineRule="auto"/>
      <w:ind w:firstLine="0" w:firstLineChars="0"/>
      <w:jc w:val="left"/>
    </w:pPr>
    <w:rPr>
      <w:rFonts w:ascii="Times New Roman" w:hAnsi="Times New Roman"/>
      <w:color w:val="000000"/>
      <w:kern w:val="44"/>
      <w:sz w:val="24"/>
      <w:szCs w:val="20"/>
    </w:rPr>
  </w:style>
  <w:style w:type="character" w:customStyle="1" w:styleId="82">
    <w:name w:val="znspantitle"/>
    <w:basedOn w:val="36"/>
    <w:qFormat/>
    <w:uiPriority w:val="0"/>
    <w:rPr>
      <w:b/>
      <w:bCs/>
      <w:color w:val="333333"/>
    </w:rPr>
  </w:style>
  <w:style w:type="character" w:customStyle="1" w:styleId="83">
    <w:name w:val="lable"/>
    <w:basedOn w:val="36"/>
    <w:qFormat/>
    <w:uiPriority w:val="0"/>
    <w:rPr>
      <w:sz w:val="19"/>
      <w:szCs w:val="19"/>
    </w:rPr>
  </w:style>
  <w:style w:type="character" w:customStyle="1" w:styleId="84">
    <w:name w:val="radio-btn"/>
    <w:basedOn w:val="36"/>
    <w:qFormat/>
    <w:uiPriority w:val="0"/>
    <w:rPr>
      <w:sz w:val="16"/>
      <w:szCs w:val="16"/>
    </w:rPr>
  </w:style>
  <w:style w:type="character" w:customStyle="1" w:styleId="85">
    <w:name w:val="radio-btn1"/>
    <w:basedOn w:val="36"/>
    <w:qFormat/>
    <w:uiPriority w:val="0"/>
    <w:rPr>
      <w:sz w:val="19"/>
      <w:szCs w:val="19"/>
    </w:rPr>
  </w:style>
  <w:style w:type="character" w:customStyle="1" w:styleId="86">
    <w:name w:val="radio-btn2"/>
    <w:basedOn w:val="36"/>
    <w:qFormat/>
    <w:uiPriority w:val="0"/>
    <w:rPr>
      <w:sz w:val="19"/>
      <w:szCs w:val="19"/>
    </w:rPr>
  </w:style>
  <w:style w:type="character" w:customStyle="1" w:styleId="87">
    <w:name w:val="lishishuju"/>
    <w:basedOn w:val="36"/>
    <w:qFormat/>
    <w:uiPriority w:val="0"/>
    <w:rPr>
      <w:b/>
      <w:bCs/>
      <w:color w:val="000052"/>
      <w:sz w:val="19"/>
      <w:szCs w:val="19"/>
      <w:bdr w:val="single" w:color="E3E3E3" w:sz="4" w:space="0"/>
    </w:rPr>
  </w:style>
  <w:style w:type="character" w:customStyle="1" w:styleId="88">
    <w:name w:val="cur1"/>
    <w:basedOn w:val="36"/>
    <w:qFormat/>
    <w:uiPriority w:val="0"/>
    <w:rPr>
      <w:color w:val="FFFFFF"/>
      <w:shd w:val="clear" w:fill="2F6B98"/>
    </w:rPr>
  </w:style>
  <w:style w:type="paragraph" w:customStyle="1" w:styleId="89">
    <w:name w:val="报告表正文"/>
    <w:next w:val="1"/>
    <w:qFormat/>
    <w:uiPriority w:val="0"/>
    <w:pPr>
      <w:tabs>
        <w:tab w:val="left" w:pos="7838"/>
      </w:tabs>
      <w:spacing w:line="360" w:lineRule="auto"/>
      <w:ind w:firstLine="480" w:firstLineChars="200"/>
      <w:jc w:val="both"/>
    </w:pPr>
    <w:rPr>
      <w:rFonts w:ascii="Times New Roman" w:hAnsi="Arial" w:eastAsia="宋体" w:cs="Times New Roman"/>
      <w:bCs/>
      <w:sz w:val="24"/>
      <w:szCs w:val="24"/>
      <w:lang w:val="en-US" w:eastAsia="zh-CN" w:bidi="ar-SA"/>
    </w:rPr>
  </w:style>
  <w:style w:type="paragraph" w:customStyle="1" w:styleId="90">
    <w:name w:val=" Char1"/>
    <w:basedOn w:val="1"/>
    <w:qFormat/>
    <w:uiPriority w:val="0"/>
    <w:pPr>
      <w:spacing w:line="360" w:lineRule="auto"/>
      <w:ind w:firstLine="200" w:firstLineChars="200"/>
    </w:pPr>
    <w:rPr>
      <w:rFonts w:ascii="宋体"/>
      <w:kern w:val="0"/>
      <w:sz w:val="24"/>
      <w:szCs w:val="20"/>
    </w:rPr>
  </w:style>
  <w:style w:type="paragraph" w:customStyle="1" w:styleId="91">
    <w:name w:val="333表头"/>
    <w:basedOn w:val="1"/>
    <w:next w:val="1"/>
    <w:qFormat/>
    <w:uiPriority w:val="0"/>
    <w:pPr>
      <w:spacing w:line="240" w:lineRule="auto"/>
      <w:ind w:firstLine="0" w:firstLineChars="0"/>
      <w:jc w:val="center"/>
    </w:pPr>
    <w:rPr>
      <w:rFonts w:cs="Times New Roman"/>
      <w:b/>
      <w:sz w:val="21"/>
      <w:szCs w:val="22"/>
    </w:rPr>
  </w:style>
  <w:style w:type="paragraph" w:customStyle="1" w:styleId="92">
    <w:name w:val="333正文"/>
    <w:basedOn w:val="1"/>
    <w:qFormat/>
    <w:uiPriority w:val="0"/>
    <w:pPr>
      <w:spacing w:line="360" w:lineRule="auto"/>
      <w:ind w:firstLine="1440" w:firstLineChars="200"/>
      <w:jc w:val="left"/>
    </w:pPr>
    <w:rPr>
      <w:rFonts w:ascii="Times New Roman" w:hAnsi="Times New Roman" w:eastAsia="宋体"/>
      <w:sz w:val="24"/>
    </w:rPr>
  </w:style>
  <w:style w:type="table" w:customStyle="1" w:styleId="93">
    <w:name w:val="Table Normal"/>
    <w:semiHidden/>
    <w:unhideWhenUsed/>
    <w:qFormat/>
    <w:uiPriority w:val="0"/>
    <w:tblPr>
      <w:tblCellMar>
        <w:top w:w="0" w:type="dxa"/>
        <w:left w:w="0" w:type="dxa"/>
        <w:bottom w:w="0" w:type="dxa"/>
        <w:right w:w="0" w:type="dxa"/>
      </w:tblCellMar>
    </w:tblPr>
  </w:style>
  <w:style w:type="paragraph" w:styleId="94">
    <w:name w:val="List Paragraph"/>
    <w:basedOn w:val="1"/>
    <w:qFormat/>
    <w:uiPriority w:val="1"/>
    <w:pPr>
      <w:ind w:firstLine="420" w:firstLineChars="200"/>
    </w:pPr>
  </w:style>
  <w:style w:type="paragraph" w:customStyle="1" w:styleId="95">
    <w:name w:val="段落"/>
    <w:basedOn w:val="1"/>
    <w:qFormat/>
    <w:uiPriority w:val="0"/>
    <w:pPr>
      <w:tabs>
        <w:tab w:val="left" w:pos="1021"/>
        <w:tab w:val="left" w:pos="1320"/>
      </w:tabs>
      <w:ind w:firstLine="504" w:firstLineChars="200"/>
      <w:jc w:val="left"/>
    </w:pPr>
    <w:rPr>
      <w:rFonts w:ascii="Times New Roman" w:hAnsi="Times New Roman"/>
      <w:spacing w:val="6"/>
      <w:kern w:val="24"/>
      <w:sz w:val="24"/>
    </w:rPr>
  </w:style>
  <w:style w:type="paragraph" w:customStyle="1" w:styleId="96">
    <w:name w:val="表格内容"/>
    <w:basedOn w:val="1"/>
    <w:next w:val="1"/>
    <w:qFormat/>
    <w:uiPriority w:val="0"/>
    <w:pPr>
      <w:spacing w:line="240" w:lineRule="auto"/>
      <w:ind w:firstLine="0" w:firstLineChars="0"/>
      <w:jc w:val="center"/>
    </w:pPr>
    <w:rPr>
      <w:sz w:val="21"/>
    </w:rPr>
  </w:style>
  <w:style w:type="paragraph" w:customStyle="1" w:styleId="97">
    <w:name w:val="表头"/>
    <w:basedOn w:val="98"/>
    <w:qFormat/>
    <w:uiPriority w:val="0"/>
    <w:pPr>
      <w:ind w:firstLine="0" w:firstLineChars="0"/>
      <w:jc w:val="center"/>
    </w:pPr>
    <w:rPr>
      <w:rFonts w:ascii="Times New Roman" w:hAnsi="Times New Roman" w:eastAsia="宋体"/>
    </w:rPr>
  </w:style>
  <w:style w:type="paragraph" w:customStyle="1" w:styleId="98">
    <w:name w:val="表文字"/>
    <w:basedOn w:val="13"/>
    <w:next w:val="1"/>
    <w:qFormat/>
    <w:uiPriority w:val="0"/>
    <w:pPr>
      <w:overflowPunct w:val="0"/>
      <w:autoSpaceDE w:val="0"/>
      <w:autoSpaceDN w:val="0"/>
      <w:adjustRightInd w:val="0"/>
      <w:snapToGrid w:val="0"/>
      <w:jc w:val="center"/>
      <w:textAlignment w:val="baseline"/>
    </w:pPr>
    <w:rPr>
      <w:kern w:val="0"/>
      <w:szCs w:val="21"/>
    </w:rPr>
  </w:style>
  <w:style w:type="paragraph" w:customStyle="1" w:styleId="99">
    <w:name w:val="样式4"/>
    <w:basedOn w:val="1"/>
    <w:qFormat/>
    <w:uiPriority w:val="0"/>
    <w:pPr>
      <w:adjustRightInd w:val="0"/>
      <w:snapToGrid w:val="0"/>
      <w:jc w:val="center"/>
    </w:pPr>
    <w:rPr>
      <w:sz w:val="24"/>
      <w:szCs w:val="28"/>
    </w:rPr>
  </w:style>
  <w:style w:type="paragraph" w:customStyle="1" w:styleId="100">
    <w:name w:val="Other|1"/>
    <w:basedOn w:val="1"/>
    <w:qFormat/>
    <w:uiPriority w:val="0"/>
    <w:pPr>
      <w:widowControl w:val="0"/>
      <w:shd w:val="clear" w:color="auto" w:fill="auto"/>
      <w:jc w:val="center"/>
    </w:pPr>
    <w:rPr>
      <w:rFonts w:ascii="宋体" w:hAnsi="宋体" w:eastAsia="宋体" w:cs="宋体"/>
      <w:sz w:val="20"/>
      <w:szCs w:val="20"/>
      <w:u w:val="none"/>
      <w:shd w:val="clear" w:color="auto" w:fill="auto"/>
      <w:lang w:val="zh-TW" w:eastAsia="zh-TW" w:bidi="zh-TW"/>
    </w:rPr>
  </w:style>
  <w:style w:type="paragraph" w:customStyle="1" w:styleId="101">
    <w:name w:val="内容"/>
    <w:basedOn w:val="1"/>
    <w:qFormat/>
    <w:uiPriority w:val="0"/>
    <w:pPr>
      <w:spacing w:beforeLines="50" w:afterLines="50"/>
      <w:ind w:firstLine="200" w:firstLineChars="200"/>
    </w:pPr>
    <w:rPr>
      <w:rFonts w:ascii="Times New Roman" w:hAnsi="Times New Roman"/>
      <w:color w:val="000000"/>
      <w:sz w:val="24"/>
    </w:rPr>
  </w:style>
  <w:style w:type="paragraph" w:customStyle="1" w:styleId="102">
    <w:name w:val="样式 (符号) 宋体 小四 行距: 1.5 倍行距"/>
    <w:basedOn w:val="1"/>
    <w:qFormat/>
    <w:uiPriority w:val="0"/>
    <w:pPr>
      <w:widowControl/>
      <w:ind w:firstLine="480"/>
      <w:jc w:val="left"/>
    </w:pPr>
    <w:rPr>
      <w:rFonts w:hAnsi="宋体"/>
    </w:rPr>
  </w:style>
  <w:style w:type="paragraph" w:customStyle="1" w:styleId="103">
    <w:name w:val="环科院正文"/>
    <w:basedOn w:val="1"/>
    <w:qFormat/>
    <w:uiPriority w:val="0"/>
    <w:pPr>
      <w:spacing w:line="360" w:lineRule="auto"/>
      <w:ind w:firstLine="480" w:firstLineChars="200"/>
    </w:pPr>
    <w:rPr>
      <w:rFonts w:ascii="宋体" w:hAnsi="宋体"/>
      <w:color w:val="000000"/>
      <w:kern w:val="0"/>
      <w:sz w:val="24"/>
    </w:rPr>
  </w:style>
  <w:style w:type="paragraph" w:customStyle="1" w:styleId="104">
    <w:name w:val="嵌套表格格式"/>
    <w:basedOn w:val="1"/>
    <w:qFormat/>
    <w:uiPriority w:val="0"/>
    <w:pPr>
      <w:adjustRightInd w:val="0"/>
      <w:snapToGrid w:val="0"/>
      <w:jc w:val="center"/>
    </w:pPr>
    <w:rPr>
      <w:bCs/>
      <w:szCs w:val="21"/>
    </w:rPr>
  </w:style>
  <w:style w:type="paragraph" w:customStyle="1" w:styleId="105">
    <w:name w:val="_Style 1"/>
    <w:qFormat/>
    <w:uiPriority w:val="0"/>
    <w:pPr>
      <w:adjustRightInd w:val="0"/>
      <w:snapToGrid w:val="0"/>
      <w:spacing w:line="480" w:lineRule="exact"/>
      <w:ind w:firstLine="480" w:firstLineChars="200"/>
    </w:pPr>
    <w:rPr>
      <w:rFonts w:ascii="Times New Roman" w:hAnsi="Times New Roman" w:eastAsia="宋体" w:cs="Times New Roman"/>
      <w:sz w:val="24"/>
      <w:szCs w:val="22"/>
      <w:lang w:val="en-US" w:eastAsia="zh-CN" w:bidi="ar-SA"/>
    </w:rPr>
  </w:style>
  <w:style w:type="paragraph" w:customStyle="1" w:styleId="106">
    <w:name w:val="万马"/>
    <w:basedOn w:val="1"/>
    <w:qFormat/>
    <w:uiPriority w:val="0"/>
    <w:pPr>
      <w:adjustRightInd/>
      <w:snapToGrid/>
      <w:spacing w:line="360" w:lineRule="auto"/>
      <w:ind w:firstLine="200" w:firstLineChars="200"/>
      <w:jc w:val="left"/>
    </w:pPr>
    <w:rPr>
      <w:rFonts w:ascii="宋体" w:eastAsia="宋体" w:cs="宋体"/>
      <w:bCs/>
      <w:sz w:val="24"/>
      <w:szCs w:val="21"/>
    </w:rPr>
  </w:style>
  <w:style w:type="paragraph" w:customStyle="1" w:styleId="107">
    <w:name w:val="报告正文"/>
    <w:basedOn w:val="1"/>
    <w:qFormat/>
    <w:uiPriority w:val="0"/>
    <w:pPr>
      <w:adjustRightInd w:val="0"/>
      <w:snapToGrid w:val="0"/>
      <w:spacing w:line="360" w:lineRule="auto"/>
      <w:ind w:firstLine="200" w:firstLineChars="200"/>
    </w:pPr>
    <w:rPr>
      <w:rFonts w:ascii="Times New Roman" w:hAnsi="Times New Roman"/>
      <w:sz w:val="24"/>
    </w:rPr>
  </w:style>
  <w:style w:type="paragraph" w:customStyle="1" w:styleId="108">
    <w:name w:val="报告表头"/>
    <w:basedOn w:val="1"/>
    <w:qFormat/>
    <w:uiPriority w:val="0"/>
    <w:pPr>
      <w:adjustRightInd w:val="0"/>
      <w:spacing w:line="500" w:lineRule="exact"/>
      <w:ind w:firstLine="600"/>
      <w:jc w:val="center"/>
      <w:textAlignment w:val="baseline"/>
    </w:pPr>
    <w:rPr>
      <w:rFonts w:ascii="黑体" w:eastAsia="黑体"/>
      <w:kern w:val="0"/>
      <w:sz w:val="24"/>
    </w:rPr>
  </w:style>
  <w:style w:type="paragraph" w:customStyle="1" w:styleId="109">
    <w:name w:val="报告书正文"/>
    <w:basedOn w:val="1"/>
    <w:qFormat/>
    <w:uiPriority w:val="0"/>
    <w:pPr>
      <w:spacing w:line="360" w:lineRule="auto"/>
      <w:ind w:firstLine="200" w:firstLineChars="200"/>
    </w:pPr>
    <w:rPr>
      <w:rFonts w:ascii="Times New Roman" w:hAnsi="Times New Roman"/>
      <w:kern w:val="0"/>
      <w:sz w:val="24"/>
    </w:rPr>
  </w:style>
  <w:style w:type="paragraph" w:customStyle="1" w:styleId="110">
    <w:name w:val="环评正文文字"/>
    <w:basedOn w:val="1"/>
    <w:qFormat/>
    <w:uiPriority w:val="0"/>
    <w:pPr>
      <w:spacing w:line="360" w:lineRule="auto"/>
      <w:ind w:firstLine="480" w:firstLineChars="200"/>
    </w:pPr>
    <w:rPr>
      <w:kern w:val="0"/>
      <w:sz w:val="24"/>
      <w:szCs w:val="20"/>
    </w:rPr>
  </w:style>
  <w:style w:type="paragraph" w:customStyle="1" w:styleId="111">
    <w:name w:val="acee正文"/>
    <w:basedOn w:val="1"/>
    <w:qFormat/>
    <w:uiPriority w:val="0"/>
    <w:pPr>
      <w:spacing w:line="480" w:lineRule="exact"/>
      <w:ind w:firstLine="640" w:firstLineChars="200"/>
    </w:pPr>
    <w:rPr>
      <w:rFonts w:ascii="仿宋_GB2312" w:hAnsi="宋体" w:eastAsia="仿宋_GB2312"/>
      <w:sz w:val="32"/>
    </w:rPr>
  </w:style>
  <w:style w:type="paragraph" w:customStyle="1" w:styleId="112">
    <w:name w:val="赢湖正文格式"/>
    <w:basedOn w:val="1"/>
    <w:qFormat/>
    <w:uiPriority w:val="0"/>
    <w:pPr>
      <w:autoSpaceDE w:val="0"/>
      <w:autoSpaceDN w:val="0"/>
      <w:adjustRightInd/>
      <w:snapToGrid/>
      <w:spacing w:line="360" w:lineRule="auto"/>
      <w:ind w:firstLine="720" w:firstLineChars="200"/>
    </w:pPr>
    <w:rPr>
      <w:rFonts w:ascii="宋体" w:hAnsi="宋体" w:cs="宋体"/>
      <w:kern w:val="0"/>
      <w:sz w:val="24"/>
      <w:szCs w:val="21"/>
    </w:rPr>
  </w:style>
  <w:style w:type="paragraph" w:customStyle="1" w:styleId="113">
    <w:name w:val="广用正文"/>
    <w:basedOn w:val="1"/>
    <w:qFormat/>
    <w:uiPriority w:val="0"/>
    <w:pPr>
      <w:autoSpaceDE w:val="0"/>
      <w:autoSpaceDN w:val="0"/>
      <w:adjustRightInd/>
      <w:snapToGrid/>
      <w:spacing w:line="360" w:lineRule="auto"/>
      <w:ind w:firstLine="200" w:firstLineChars="200"/>
    </w:pPr>
    <w:rPr>
      <w:rFonts w:ascii="宋体" w:cs="宋体"/>
      <w:kern w:val="0"/>
      <w:sz w:val="24"/>
      <w:szCs w:val="21"/>
    </w:rPr>
  </w:style>
  <w:style w:type="paragraph" w:customStyle="1" w:styleId="114">
    <w:name w:val="资禹"/>
    <w:basedOn w:val="1"/>
    <w:qFormat/>
    <w:uiPriority w:val="0"/>
    <w:pPr>
      <w:autoSpaceDE w:val="0"/>
      <w:autoSpaceDN w:val="0"/>
      <w:adjustRightInd/>
      <w:snapToGrid/>
      <w:spacing w:line="360" w:lineRule="auto"/>
      <w:ind w:firstLine="720" w:firstLineChars="200"/>
    </w:pPr>
    <w:rPr>
      <w:rFonts w:ascii="宋体" w:hAnsi="宋体" w:eastAsia="宋体" w:cs="宋体"/>
      <w:kern w:val="0"/>
      <w:sz w:val="24"/>
      <w:szCs w:val="21"/>
    </w:rPr>
  </w:style>
  <w:style w:type="paragraph" w:customStyle="1" w:styleId="115">
    <w:name w:val="至科正文"/>
    <w:basedOn w:val="1"/>
    <w:qFormat/>
    <w:uiPriority w:val="0"/>
    <w:pPr>
      <w:adjustRightInd/>
      <w:snapToGrid/>
      <w:spacing w:line="360" w:lineRule="auto"/>
      <w:ind w:firstLine="720" w:firstLineChars="200"/>
      <w:jc w:val="left"/>
    </w:pPr>
    <w:rPr>
      <w:rFonts w:ascii="宋体" w:hAnsi="宋体" w:eastAsia="宋体" w:cs="宋体"/>
      <w:bCs/>
      <w:sz w:val="24"/>
      <w:szCs w:val="21"/>
    </w:rPr>
  </w:style>
  <w:style w:type="paragraph" w:customStyle="1" w:styleId="116">
    <w:name w:val="至科表头"/>
    <w:basedOn w:val="1"/>
    <w:qFormat/>
    <w:uiPriority w:val="0"/>
    <w:pPr>
      <w:spacing w:line="240" w:lineRule="auto"/>
      <w:ind w:firstLine="0" w:firstLineChars="0"/>
      <w:jc w:val="center"/>
    </w:pPr>
    <w:rPr>
      <w:rFonts w:ascii="宋体" w:hAnsi="宋体" w:eastAsia="宋体" w:cs="宋体"/>
      <w:b/>
      <w:bCs/>
      <w:szCs w:val="21"/>
    </w:rPr>
  </w:style>
  <w:style w:type="paragraph" w:customStyle="1" w:styleId="117">
    <w:name w:val="威嘉生物 表格"/>
    <w:basedOn w:val="1"/>
    <w:qFormat/>
    <w:uiPriority w:val="0"/>
    <w:pPr>
      <w:spacing w:line="240" w:lineRule="auto"/>
      <w:jc w:val="center"/>
    </w:pPr>
    <w:rPr>
      <w:rFonts w:hint="eastAsia"/>
      <w:b/>
      <w:sz w:val="21"/>
    </w:rPr>
  </w:style>
  <w:style w:type="paragraph" w:customStyle="1" w:styleId="118">
    <w:name w:val="Char1"/>
    <w:basedOn w:val="1"/>
    <w:qFormat/>
    <w:uiPriority w:val="0"/>
    <w:pPr>
      <w:ind w:firstLine="200" w:firstLineChars="200"/>
    </w:pPr>
    <w:rPr>
      <w:rFonts w:ascii="宋体"/>
      <w:szCs w:val="20"/>
    </w:rPr>
  </w:style>
  <w:style w:type="paragraph" w:customStyle="1" w:styleId="119">
    <w:name w:val="Table Text"/>
    <w:basedOn w:val="1"/>
    <w:semiHidden/>
    <w:qFormat/>
    <w:uiPriority w:val="0"/>
    <w:rPr>
      <w:rFonts w:ascii="宋体" w:hAnsi="宋体" w:eastAsia="宋体" w:cs="宋体"/>
      <w:sz w:val="20"/>
      <w:szCs w:val="20"/>
      <w:lang w:val="en-US" w:eastAsia="en-US" w:bidi="ar-SA"/>
    </w:rPr>
  </w:style>
  <w:style w:type="paragraph" w:customStyle="1" w:styleId="120">
    <w:name w:val="样式 文本正文 + 首行缩进:  2 字符"/>
    <w:basedOn w:val="1"/>
    <w:qFormat/>
    <w:uiPriority w:val="0"/>
    <w:rPr>
      <w:rFonts w:cs="宋体"/>
      <w:szCs w:val="20"/>
    </w:rPr>
  </w:style>
  <w:style w:type="paragraph" w:customStyle="1" w:styleId="121">
    <w:name w:val="Normal Indent"/>
    <w:basedOn w:val="1"/>
    <w:qFormat/>
    <w:uiPriority w:val="0"/>
    <w:pPr>
      <w:ind w:firstLine="420"/>
    </w:pPr>
  </w:style>
  <w:style w:type="paragraph" w:customStyle="1" w:styleId="122">
    <w:name w:val="正文-易恒"/>
    <w:basedOn w:val="1"/>
    <w:qFormat/>
    <w:uiPriority w:val="0"/>
    <w:pPr>
      <w:spacing w:line="360" w:lineRule="auto"/>
    </w:pPr>
    <w:rPr>
      <w:rFonts w:ascii="Times New Roman" w:hAnsi="Times New Roman" w:eastAsia="宋体" w:cs="Times New Roman"/>
      <w:sz w:val="24"/>
      <w:szCs w:val="24"/>
    </w:rPr>
  </w:style>
  <w:style w:type="paragraph" w:customStyle="1" w:styleId="123">
    <w:name w:val="表格标题"/>
    <w:basedOn w:val="6"/>
    <w:next w:val="1"/>
    <w:qFormat/>
    <w:uiPriority w:val="0"/>
    <w:pPr>
      <w:jc w:val="center"/>
    </w:pPr>
    <w:rPr>
      <w:b/>
      <w:sz w:val="21"/>
      <w:szCs w:val="21"/>
    </w:rPr>
  </w:style>
  <w:style w:type="paragraph" w:customStyle="1" w:styleId="124">
    <w:name w:val="表格正文"/>
    <w:basedOn w:val="13"/>
    <w:qFormat/>
    <w:uiPriority w:val="0"/>
    <w:pPr>
      <w:spacing w:line="240" w:lineRule="auto"/>
      <w:ind w:firstLine="0" w:firstLineChars="0"/>
      <w:jc w:val="center"/>
    </w:pPr>
  </w:style>
  <w:style w:type="paragraph" w:customStyle="1" w:styleId="125">
    <w:name w:val="B表头"/>
    <w:basedOn w:val="1"/>
    <w:qFormat/>
    <w:uiPriority w:val="0"/>
    <w:pPr>
      <w:spacing w:before="78" w:beforeLines="25" w:after="78" w:afterLines="25"/>
      <w:jc w:val="center"/>
    </w:pPr>
    <w:rPr>
      <w:b/>
      <w:bCs/>
      <w:color w:val="000000"/>
      <w:sz w:val="24"/>
      <w:szCs w:val="28"/>
      <w:lang w:bidi="en-US"/>
    </w:rPr>
  </w:style>
  <w:style w:type="paragraph" w:customStyle="1" w:styleId="126">
    <w:name w:val="报告书正文 Char Char Char"/>
    <w:basedOn w:val="1"/>
    <w:qFormat/>
    <w:uiPriority w:val="0"/>
    <w:pPr>
      <w:spacing w:line="300" w:lineRule="auto"/>
      <w:ind w:firstLine="480" w:firstLineChars="200"/>
    </w:pPr>
    <w:rPr>
      <w:rFonts w:ascii="宋体" w:hAnsi="宋体"/>
      <w:sz w:val="24"/>
      <w:szCs w:val="20"/>
    </w:rPr>
  </w:style>
  <w:style w:type="paragraph" w:customStyle="1" w:styleId="127">
    <w:name w:val="!正文"/>
    <w:basedOn w:val="1"/>
    <w:qFormat/>
    <w:uiPriority w:val="0"/>
    <w:pPr>
      <w:spacing w:line="480" w:lineRule="exact"/>
      <w:ind w:firstLine="480" w:firstLineChars="200"/>
    </w:pPr>
    <w:rPr>
      <w:rFonts w:hAnsi="宋体" w:cs="宋体"/>
    </w:rPr>
  </w:style>
  <w:style w:type="paragraph" w:customStyle="1" w:styleId="128">
    <w:name w:val="表中文字"/>
    <w:basedOn w:val="1"/>
    <w:qFormat/>
    <w:uiPriority w:val="0"/>
    <w:pPr>
      <w:adjustRightInd w:val="0"/>
      <w:snapToGrid w:val="0"/>
      <w:jc w:val="center"/>
    </w:pPr>
    <w:rPr>
      <w:bCs/>
    </w:rPr>
  </w:style>
  <w:style w:type="paragraph" w:customStyle="1" w:styleId="129">
    <w:name w:val="正文文"/>
    <w:basedOn w:val="1"/>
    <w:qFormat/>
    <w:uiPriority w:val="0"/>
    <w:pPr>
      <w:ind w:firstLine="1441"/>
      <w:jc w:val="left"/>
    </w:pPr>
  </w:style>
  <w:style w:type="paragraph" w:customStyle="1" w:styleId="130">
    <w:name w:val="A正文1"/>
    <w:basedOn w:val="1"/>
    <w:qFormat/>
    <w:uiPriority w:val="0"/>
    <w:pPr>
      <w:spacing w:line="360" w:lineRule="auto"/>
      <w:ind w:firstLine="480" w:firstLineChars="200"/>
    </w:pPr>
    <w:rPr>
      <w:sz w:val="24"/>
      <w:szCs w:val="28"/>
    </w:rPr>
  </w:style>
  <w:style w:type="paragraph" w:customStyle="1" w:styleId="131">
    <w:name w:val="样式 表头 + 段后: 0.2 行"/>
    <w:basedOn w:val="97"/>
    <w:qFormat/>
    <w:uiPriority w:val="0"/>
    <w:pPr>
      <w:tabs>
        <w:tab w:val="left" w:pos="1021"/>
      </w:tabs>
      <w:spacing w:line="240" w:lineRule="auto"/>
    </w:pPr>
    <w:rPr>
      <w:color w:val="000000"/>
    </w:rPr>
  </w:style>
  <w:style w:type="paragraph" w:customStyle="1" w:styleId="132">
    <w:name w:val="样式 正文文本缩进 3 + 12 磅 左侧:  2 字符"/>
    <w:basedOn w:val="26"/>
    <w:qFormat/>
    <w:uiPriority w:val="0"/>
    <w:pPr>
      <w:widowControl/>
      <w:spacing w:after="120" w:line="360" w:lineRule="auto"/>
      <w:ind w:firstLine="200" w:firstLineChars="200"/>
      <w:jc w:val="left"/>
    </w:pPr>
    <w:rPr>
      <w:rFonts w:cs="PMingLiU"/>
      <w:kern w:val="0"/>
      <w:szCs w:val="20"/>
    </w:rPr>
  </w:style>
  <w:style w:type="paragraph" w:customStyle="1" w:styleId="133">
    <w:name w:val="【正文】"/>
    <w:basedOn w:val="1"/>
    <w:qFormat/>
    <w:uiPriority w:val="0"/>
    <w:pPr>
      <w:spacing w:line="440" w:lineRule="exact"/>
      <w:ind w:firstLine="544" w:firstLineChars="200"/>
    </w:pPr>
    <w:rPr>
      <w:sz w:val="24"/>
      <w:szCs w:val="20"/>
    </w:rPr>
  </w:style>
  <w:style w:type="paragraph" w:customStyle="1" w:styleId="134">
    <w:name w:val="样式 样式 (西文) Times New Roman (中文) 宋体 小四 段前: 6 磅 行距: 固定值 26 磅 + (符号..."/>
    <w:basedOn w:val="135"/>
    <w:qFormat/>
    <w:uiPriority w:val="0"/>
    <w:pPr>
      <w:keepNext w:val="0"/>
      <w:keepLines w:val="0"/>
      <w:widowControl w:val="0"/>
      <w:suppressLineNumbers w:val="0"/>
      <w:spacing w:before="0" w:beforeAutospacing="0" w:after="0" w:afterAutospacing="0" w:line="360" w:lineRule="auto"/>
      <w:ind w:left="0" w:right="0" w:firstLine="200" w:firstLineChars="200"/>
      <w:jc w:val="both"/>
    </w:pPr>
    <w:rPr>
      <w:rFonts w:hint="default" w:ascii="Times New Roman" w:hAnsi="Times New Roman" w:eastAsia="宋体" w:cs="宋体"/>
      <w:kern w:val="0"/>
      <w:sz w:val="24"/>
      <w:szCs w:val="24"/>
      <w:lang w:val="en-US" w:eastAsia="zh-CN" w:bidi="ar"/>
    </w:rPr>
  </w:style>
  <w:style w:type="paragraph" w:customStyle="1" w:styleId="135">
    <w:name w:val="样式 (西文) Times New Roman (中文) 宋体 小四 段前: 6 磅 行距: 固定值 26 磅"/>
    <w:basedOn w:val="1"/>
    <w:qFormat/>
    <w:uiPriority w:val="0"/>
    <w:pPr>
      <w:keepNext w:val="0"/>
      <w:keepLines w:val="0"/>
      <w:widowControl w:val="0"/>
      <w:suppressLineNumbers w:val="0"/>
      <w:spacing w:before="0" w:beforeAutospacing="0" w:after="0" w:afterAutospacing="0" w:line="360" w:lineRule="auto"/>
      <w:ind w:left="0" w:right="0" w:firstLine="200" w:firstLineChars="200"/>
      <w:jc w:val="both"/>
    </w:pPr>
    <w:rPr>
      <w:rFonts w:hint="default" w:ascii="Times New Roman" w:hAnsi="宋体" w:eastAsia="宋体" w:cs="宋体"/>
      <w:kern w:val="2"/>
      <w:sz w:val="24"/>
      <w:szCs w:val="24"/>
      <w:lang w:val="en-US" w:eastAsia="zh-CN" w:bidi="ar"/>
    </w:rPr>
  </w:style>
  <w:style w:type="paragraph" w:customStyle="1" w:styleId="136">
    <w:name w:val="应填表格"/>
    <w:basedOn w:val="1"/>
    <w:qFormat/>
    <w:uiPriority w:val="0"/>
    <w:pPr>
      <w:adjustRightInd w:val="0"/>
      <w:spacing w:before="40" w:after="40"/>
      <w:jc w:val="left"/>
      <w:textAlignment w:val="baseline"/>
    </w:pPr>
    <w:rPr>
      <w:kern w:val="0"/>
      <w:sz w:val="24"/>
      <w:szCs w:val="20"/>
    </w:rPr>
  </w:style>
  <w:style w:type="paragraph" w:customStyle="1" w:styleId="137">
    <w:name w:val="表格表头"/>
    <w:basedOn w:val="1"/>
    <w:unhideWhenUsed/>
    <w:qFormat/>
    <w:uiPriority w:val="0"/>
    <w:pPr>
      <w:adjustRightInd w:val="0"/>
      <w:snapToGrid w:val="0"/>
      <w:spacing w:beforeLines="0" w:afterLines="0" w:line="240" w:lineRule="auto"/>
      <w:jc w:val="center"/>
    </w:pPr>
    <w:rPr>
      <w:rFonts w:hint="eastAsia"/>
      <w:b/>
      <w:sz w:val="21"/>
    </w:rPr>
  </w:style>
  <w:style w:type="paragraph" w:customStyle="1" w:styleId="138">
    <w:name w:val="表格-易恒1"/>
    <w:basedOn w:val="1"/>
    <w:qFormat/>
    <w:uiPriority w:val="0"/>
    <w:pPr>
      <w:jc w:val="center"/>
    </w:pPr>
    <w:rPr>
      <w:rFonts w:ascii="Times New Roman" w:hAnsi="Times New Roman" w:eastAsia="宋体"/>
      <w:szCs w:val="32"/>
    </w:rPr>
  </w:style>
  <w:style w:type="paragraph" w:customStyle="1" w:styleId="139">
    <w:name w:val="正文_10"/>
    <w:qFormat/>
    <w:uiPriority w:val="0"/>
    <w:pPr>
      <w:widowControl w:val="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3.jpe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65</Pages>
  <Words>349</Words>
  <Characters>388</Characters>
  <Lines>612</Lines>
  <Paragraphs>172</Paragraphs>
  <TotalTime>0</TotalTime>
  <ScaleCrop>false</ScaleCrop>
  <LinksUpToDate>false</LinksUpToDate>
  <CharactersWithSpaces>403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2023-04-01T22:55:00Z</dcterms:created>
  <dc:creator>Ad'min</dc:creator>
  <cp:lastModifiedBy>莹</cp:lastModifiedBy>
  <cp:lastPrinted>2023-07-02T18:50:00Z</cp:lastPrinted>
  <dcterms:modified xsi:type="dcterms:W3CDTF">2025-07-22T04:50:52Z</dcterms:modified>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B8C8DC7C3992463083986A2FD7DDAD6A_13</vt:lpwstr>
  </property>
  <property fmtid="{D5CDD505-2E9C-101B-9397-08002B2CF9AE}" pid="4" name="KSOTemplateDocerSaveRecord">
    <vt:lpwstr>eyJoZGlkIjoiYmZmMDNiMTY3YTMxYWE3YTc5MzgzOThiZDFjNmUzNmEiLCJ1c2VySWQiOiI0OTIwNjQzOTQifQ==</vt:lpwstr>
  </property>
</Properties>
</file>