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576CE">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39BA999">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239BA999">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D73AE32">
      <w:pPr>
        <w:pStyle w:val="14"/>
        <w:jc w:val="center"/>
        <w:rPr>
          <w:sz w:val="56"/>
          <w:szCs w:val="56"/>
        </w:rPr>
      </w:pPr>
    </w:p>
    <w:p w14:paraId="33253A94">
      <w:pPr>
        <w:pStyle w:val="14"/>
        <w:jc w:val="center"/>
        <w:rPr>
          <w:sz w:val="84"/>
          <w:szCs w:val="84"/>
        </w:rPr>
      </w:pPr>
    </w:p>
    <w:p w14:paraId="330B08C4">
      <w:pPr>
        <w:pStyle w:val="14"/>
        <w:jc w:val="center"/>
        <w:rPr>
          <w:sz w:val="84"/>
          <w:szCs w:val="84"/>
        </w:rPr>
      </w:pPr>
    </w:p>
    <w:p w14:paraId="4BE0E47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2E8A5E2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应急管理局</w:t>
      </w:r>
      <w:r>
        <w:rPr>
          <w:rFonts w:hint="eastAsia" w:ascii="方正小标宋_GBK" w:hAnsi="方正小标宋_GBK" w:eastAsia="方正小标宋_GBK" w:cs="方正小标宋_GBK"/>
          <w:sz w:val="84"/>
          <w:szCs w:val="84"/>
        </w:rPr>
        <w:t>部门决算</w:t>
      </w:r>
    </w:p>
    <w:p w14:paraId="5E38D515">
      <w:pPr>
        <w:pStyle w:val="14"/>
        <w:jc w:val="center"/>
        <w:rPr>
          <w:rFonts w:hint="eastAsia" w:ascii="方正小标宋_GBK" w:hAnsi="方正小标宋_GBK" w:eastAsia="方正小标宋_GBK" w:cs="方正小标宋_GBK"/>
          <w:sz w:val="56"/>
          <w:szCs w:val="56"/>
        </w:rPr>
      </w:pPr>
    </w:p>
    <w:p w14:paraId="130E15C3">
      <w:pPr>
        <w:pStyle w:val="14"/>
        <w:jc w:val="center"/>
        <w:rPr>
          <w:sz w:val="56"/>
          <w:szCs w:val="56"/>
        </w:rPr>
      </w:pPr>
    </w:p>
    <w:p w14:paraId="4BE7C611">
      <w:pPr>
        <w:pStyle w:val="14"/>
        <w:jc w:val="center"/>
        <w:rPr>
          <w:sz w:val="56"/>
          <w:szCs w:val="56"/>
        </w:rPr>
      </w:pPr>
    </w:p>
    <w:p w14:paraId="070FE5AD">
      <w:pPr>
        <w:pStyle w:val="14"/>
        <w:jc w:val="center"/>
        <w:rPr>
          <w:sz w:val="56"/>
          <w:szCs w:val="56"/>
        </w:rPr>
      </w:pPr>
    </w:p>
    <w:p w14:paraId="6D93A7B5">
      <w:pPr>
        <w:pStyle w:val="14"/>
        <w:jc w:val="center"/>
        <w:rPr>
          <w:sz w:val="32"/>
          <w:szCs w:val="32"/>
        </w:rPr>
      </w:pPr>
    </w:p>
    <w:p w14:paraId="06275DB7">
      <w:pPr>
        <w:pStyle w:val="14"/>
        <w:jc w:val="center"/>
        <w:rPr>
          <w:sz w:val="32"/>
          <w:szCs w:val="32"/>
        </w:rPr>
      </w:pPr>
    </w:p>
    <w:p w14:paraId="6BF49BB6">
      <w:pPr>
        <w:pStyle w:val="14"/>
        <w:jc w:val="center"/>
        <w:rPr>
          <w:sz w:val="32"/>
          <w:szCs w:val="32"/>
        </w:rPr>
      </w:pPr>
    </w:p>
    <w:p w14:paraId="45A591B0">
      <w:pPr>
        <w:pStyle w:val="14"/>
        <w:jc w:val="center"/>
        <w:rPr>
          <w:sz w:val="32"/>
          <w:szCs w:val="32"/>
        </w:rPr>
      </w:pPr>
    </w:p>
    <w:p w14:paraId="311AAD41">
      <w:pPr>
        <w:pStyle w:val="14"/>
        <w:jc w:val="center"/>
        <w:rPr>
          <w:sz w:val="32"/>
          <w:szCs w:val="32"/>
        </w:rPr>
      </w:pPr>
    </w:p>
    <w:p w14:paraId="38BCE04E">
      <w:pPr>
        <w:pStyle w:val="14"/>
        <w:spacing w:line="540" w:lineRule="exact"/>
        <w:jc w:val="center"/>
        <w:rPr>
          <w:sz w:val="56"/>
          <w:szCs w:val="56"/>
        </w:rPr>
      </w:pPr>
    </w:p>
    <w:p w14:paraId="63DCFFD4">
      <w:pPr>
        <w:pStyle w:val="14"/>
        <w:spacing w:line="500" w:lineRule="exact"/>
        <w:jc w:val="both"/>
        <w:rPr>
          <w:b/>
          <w:sz w:val="36"/>
          <w:szCs w:val="28"/>
        </w:rPr>
      </w:pPr>
    </w:p>
    <w:p w14:paraId="7A6255EC">
      <w:pPr>
        <w:pStyle w:val="14"/>
        <w:spacing w:line="500" w:lineRule="exact"/>
        <w:jc w:val="center"/>
        <w:rPr>
          <w:b/>
          <w:sz w:val="36"/>
          <w:szCs w:val="28"/>
        </w:rPr>
      </w:pPr>
      <w:r>
        <w:rPr>
          <w:rFonts w:hint="eastAsia"/>
          <w:b/>
          <w:sz w:val="36"/>
          <w:szCs w:val="28"/>
        </w:rPr>
        <w:t>目录</w:t>
      </w:r>
    </w:p>
    <w:p w14:paraId="057814E1">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应急管理局</w:t>
      </w:r>
      <w:r>
        <w:rPr>
          <w:rFonts w:hint="eastAsia" w:ascii="黑体" w:hAnsi="黑体" w:eastAsia="黑体" w:cs="黑体"/>
          <w:b w:val="0"/>
          <w:bCs/>
          <w:sz w:val="28"/>
          <w:szCs w:val="28"/>
        </w:rPr>
        <w:t>概况</w:t>
      </w:r>
    </w:p>
    <w:p w14:paraId="33A5174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E78200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3EC7506">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E31C2D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F15F43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925007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485C09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12E10B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25114A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7395CC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74FDA4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A80D4A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F8904DC">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C970E7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522401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2CED6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157182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999BB6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3692E0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CACE33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949772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8F1B61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DC052E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1BC5A0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007D57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CB1AA3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F4411B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E8DBE3B">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0117B8F">
      <w:pPr>
        <w:pStyle w:val="14"/>
        <w:spacing w:line="500" w:lineRule="exact"/>
        <w:rPr>
          <w:rFonts w:hint="eastAsia" w:ascii="黑体" w:hAnsi="黑体" w:eastAsia="黑体" w:cs="黑体"/>
          <w:b w:val="0"/>
          <w:bCs/>
          <w:sz w:val="28"/>
          <w:szCs w:val="28"/>
        </w:rPr>
      </w:pPr>
    </w:p>
    <w:p w14:paraId="3EFAD67E">
      <w:pPr>
        <w:jc w:val="center"/>
        <w:rPr>
          <w:sz w:val="72"/>
          <w:szCs w:val="72"/>
        </w:rPr>
      </w:pPr>
    </w:p>
    <w:p w14:paraId="7412B1DF">
      <w:pPr>
        <w:jc w:val="center"/>
        <w:rPr>
          <w:sz w:val="72"/>
          <w:szCs w:val="72"/>
        </w:rPr>
      </w:pPr>
    </w:p>
    <w:p w14:paraId="19E607A3">
      <w:pPr>
        <w:jc w:val="center"/>
        <w:rPr>
          <w:sz w:val="72"/>
          <w:szCs w:val="72"/>
        </w:rPr>
      </w:pPr>
    </w:p>
    <w:p w14:paraId="05F15609">
      <w:pPr>
        <w:jc w:val="center"/>
        <w:rPr>
          <w:sz w:val="72"/>
          <w:szCs w:val="72"/>
        </w:rPr>
      </w:pPr>
    </w:p>
    <w:p w14:paraId="4B7C4C24">
      <w:pPr>
        <w:rPr>
          <w:rFonts w:hint="eastAsia" w:ascii="方正小标宋_GBK" w:hAnsi="方正小标宋_GBK" w:eastAsia="方正小标宋_GBK" w:cs="方正小标宋_GBK"/>
          <w:sz w:val="72"/>
          <w:szCs w:val="72"/>
        </w:rPr>
      </w:pPr>
    </w:p>
    <w:p w14:paraId="3132A8D3">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B570769">
      <w:pPr>
        <w:pStyle w:val="14"/>
        <w:jc w:val="center"/>
        <w:rPr>
          <w:rFonts w:hint="eastAsia" w:ascii="方正小标宋_GBK" w:hAnsi="方正小标宋_GBK" w:eastAsia="方正小标宋_GBK" w:cs="方正小标宋_GBK"/>
          <w:sz w:val="84"/>
          <w:szCs w:val="84"/>
        </w:rPr>
      </w:pPr>
    </w:p>
    <w:p w14:paraId="1EEEAF9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应急管理局</w:t>
      </w:r>
      <w:r>
        <w:rPr>
          <w:rFonts w:hint="eastAsia" w:ascii="方正小标宋_GBK" w:hAnsi="方正小标宋_GBK" w:eastAsia="方正小标宋_GBK" w:cs="方正小标宋_GBK"/>
          <w:sz w:val="84"/>
          <w:szCs w:val="84"/>
        </w:rPr>
        <w:t>概况</w:t>
      </w:r>
    </w:p>
    <w:p w14:paraId="50013FEB">
      <w:pPr>
        <w:jc w:val="center"/>
        <w:rPr>
          <w:rFonts w:hint="eastAsia" w:ascii="方正小标宋_GBK" w:hAnsi="方正小标宋_GBK" w:eastAsia="方正小标宋_GBK" w:cs="方正小标宋_GBK"/>
          <w:sz w:val="72"/>
          <w:szCs w:val="72"/>
        </w:rPr>
      </w:pPr>
    </w:p>
    <w:p w14:paraId="1477D935">
      <w:pPr>
        <w:jc w:val="center"/>
        <w:rPr>
          <w:rFonts w:hint="eastAsia" w:ascii="方正小标宋_GBK" w:hAnsi="方正小标宋_GBK" w:eastAsia="方正小标宋_GBK" w:cs="方正小标宋_GBK"/>
          <w:sz w:val="72"/>
          <w:szCs w:val="72"/>
        </w:rPr>
      </w:pPr>
    </w:p>
    <w:p w14:paraId="7677C3D7">
      <w:pPr>
        <w:jc w:val="center"/>
        <w:rPr>
          <w:sz w:val="72"/>
          <w:szCs w:val="72"/>
        </w:rPr>
      </w:pPr>
    </w:p>
    <w:p w14:paraId="5C32C944">
      <w:pPr>
        <w:jc w:val="center"/>
        <w:rPr>
          <w:sz w:val="72"/>
          <w:szCs w:val="72"/>
        </w:rPr>
      </w:pPr>
    </w:p>
    <w:p w14:paraId="03A2EB7B">
      <w:pPr>
        <w:jc w:val="center"/>
        <w:rPr>
          <w:sz w:val="72"/>
          <w:szCs w:val="72"/>
        </w:rPr>
      </w:pPr>
    </w:p>
    <w:p w14:paraId="2A9B82D4">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B8F58E5">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贯彻落实党中央关于应急工作的方针政策和决策部署，全面落实省委、市委、县委关于应急工作的部署要求，在履行职责过程中坚持和加强党对应急工作的集中统一领导。主要职责是：</w:t>
      </w:r>
    </w:p>
    <w:p w14:paraId="5D8018CB">
      <w:pPr>
        <w:autoSpaceDE w:val="0"/>
        <w:spacing w:line="610" w:lineRule="exact"/>
        <w:ind w:firstLine="640" w:firstLineChars="200"/>
        <w:rPr>
          <w:rFonts w:ascii="宋体" w:hAnsi="宋体" w:eastAsia="宋体" w:cs="Times New Roman"/>
          <w:color w:val="000000"/>
          <w:sz w:val="32"/>
          <w:szCs w:val="32"/>
        </w:rPr>
      </w:pPr>
      <w:r>
        <w:rPr>
          <w:rFonts w:hint="eastAsia" w:ascii="宋体" w:hAnsi="宋体" w:eastAsia="宋体" w:cs="黑体"/>
          <w:color w:val="000000"/>
          <w:sz w:val="32"/>
          <w:szCs w:val="32"/>
        </w:rPr>
        <w:t>（一）负责应急管理工作，指导全县各乡镇、各部门应对安全生产类、自然灾害类等突发事件和综合防灾减灾救灾工作。负责安全生产综合监督管理和</w:t>
      </w:r>
      <w:r>
        <w:rPr>
          <w:rFonts w:ascii="宋体" w:hAnsi="宋体" w:eastAsia="宋体" w:cs="Times New Roman"/>
          <w:color w:val="000000"/>
          <w:sz w:val="32"/>
          <w:szCs w:val="32"/>
        </w:rPr>
        <w:t>矿山、危险化学品、烟花爆竹行业安全生产监督管理工作。</w:t>
      </w:r>
    </w:p>
    <w:p w14:paraId="70C1177A">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（二）贯彻实施相关法律法规、部门规章、规程和标准，组织编制全县应急体系建设、安全生产和综合防灾减灾规划，组织起草相关规范性文件，组织拟订相关政策并监督实施。</w:t>
      </w:r>
    </w:p>
    <w:p w14:paraId="6048CD0F">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三）指导应急预案体系建设，建立完善事故灾难和自然灾害分级应对制度，组织编制溆浦县总体应急预案和安全生产类、自然灾害类专项预案，综合协调应急预案衔接工作，组织开展预案演练，推动应急避难设施建设。</w:t>
      </w:r>
    </w:p>
    <w:p w14:paraId="773F65F3">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（四）牵头推进全县统一的应急管理信息系统建设，负责信息传输渠道的规划和布局，建立监测预警和灾情报告制度，健全自然灾害信息资源获取和共享机制，依法统一发布灾情。</w:t>
      </w:r>
    </w:p>
    <w:p w14:paraId="07D33C97">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（五）组织指导协调安全生产类、自然灾害类等突发事件应急救援，承担县应对灾害指挥部工作，综合研判突发事件发展态势并提出应对建议，协助县委、县政府指定的负责同志组织灾害应急处置工作。</w:t>
      </w:r>
    </w:p>
    <w:p w14:paraId="71A45CD8">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（六）统一协调指挥各类应急专业队伍，建立应急协调联动机制，推进指挥平台对接，负责做好解放军和武警部队参与应急救援相关衔接工作。</w:t>
      </w:r>
    </w:p>
    <w:p w14:paraId="7CCA2F03">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七）统筹全县应急救援力量建设，负责消防、森林火灾扑救、抗洪抢险、地震和地质灾害救援、生产安全事故救援等专业应急救援力量建设，依权限做好驻溆国家综合性应急救援队伍建设的相关工作，指导地方及社会应急救援力量建设。</w:t>
      </w:r>
    </w:p>
    <w:p w14:paraId="1E62093A">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（八）负责全县消防管理有关工作，指导、监督全县消防管理工作，指导全县火灾预防、火灾扑救等工作。</w:t>
      </w:r>
    </w:p>
    <w:p w14:paraId="486D4E68">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（九）指导协调全县森林火灾、水旱灾害、地震和地质灾害等防治工作，负责自然灾害综合监测预警工作，指导开展自然灾害综合风险评估工作。</w:t>
      </w:r>
    </w:p>
    <w:p w14:paraId="5D08EB07">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（十）组织协调灾害救助工作，组织指导灾情核查、损失评估、救灾捐赠工作，按权限管理、分配中央及省、市下达和县级救灾款物并监督使用。</w:t>
      </w:r>
    </w:p>
    <w:p w14:paraId="5F95A28E">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（十一）依法行使安全生产综合监督管理职权，指导协调、监督检查县直有关部门和各乡镇人民政府安全生产工作，组织开展安全生产巡查、考核工作。承担县安全生产委员会办公室日常工作。</w:t>
      </w:r>
    </w:p>
    <w:p w14:paraId="5D65C902">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二）按照分级、属地原则，依法监督检查矿山、危险化学品、烟花爆竹等行业生产经营单位贯彻执行安全生产法律法规情况及其安全生产条件和有关设备（特种设备除外）、材料、劳动防护用品的安全生产管理工作。负责监督管理</w:t>
      </w:r>
      <w:r>
        <w:rPr>
          <w:rFonts w:ascii="宋体" w:hAnsi="宋体" w:eastAsia="宋体" w:cs="Times New Roman"/>
          <w:color w:val="000000"/>
          <w:sz w:val="32"/>
          <w:szCs w:val="32"/>
        </w:rPr>
        <w:t>矿山、危险化学品、烟花爆竹</w:t>
      </w:r>
      <w:r>
        <w:rPr>
          <w:rFonts w:hint="eastAsia" w:ascii="宋体" w:hAnsi="宋体" w:eastAsia="宋体" w:cs="黑体"/>
          <w:color w:val="000000"/>
          <w:sz w:val="32"/>
          <w:szCs w:val="32"/>
        </w:rPr>
        <w:t>行业企业安全生产工作。依法组织并指导监督实施安全生产准入制度。负责危险化学品安全监督管理综合工作和烟花爆竹安全生产监督管理工作。</w:t>
      </w:r>
    </w:p>
    <w:p w14:paraId="7BA289AB">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（十三）负责全县煤矿安全生产地方监管和煤矿安全基础管理监督指导工作。</w:t>
      </w:r>
    </w:p>
    <w:p w14:paraId="2211970B">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（十四）依法组织指导生产安全事故调查处理，监督事故查处和责任追究落实情况。组织开展自然灾害类突发事件的调查评估工作。</w:t>
      </w:r>
    </w:p>
    <w:p w14:paraId="7AA216EA">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（十五）开展应急管理对外交流与合作，组织参与安全生产类、自然灾害类等突发事件的对外救援工作。</w:t>
      </w:r>
    </w:p>
    <w:p w14:paraId="4D74CEAC">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（十六）制定全县应急物资储备和应急救援装备规划并组织实施，会同县发展和改革局等部门建立健全应急物资信息平台和调拨制度，在救灾时统一调度。</w:t>
      </w:r>
    </w:p>
    <w:p w14:paraId="69B23960">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（十七）负责应急管理、安全生产、消防宣传教育和培训工作，组织指导应急管理、安全生产的科学技术研究、推广应用和信息化建设工作。</w:t>
      </w:r>
    </w:p>
    <w:p w14:paraId="35C6704C">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（十八）承担县防汛抗旱指挥部日常工作，协调县防汛抗旱指挥部成员单位的相关工作，组织执行国家防汛抗旱总指挥部、相关流域防汛抗旱指挥机构和省、市、县防汛抗旱指挥部的指示、命令。</w:t>
      </w:r>
    </w:p>
    <w:p w14:paraId="2D458289">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九）承担组织指导特种作业人员（特种设备作业人员除外）和危险物品的生产、经营、储存单位以及矿山、金属冶炼等单位主要负责人、安全生产管理人员的安全资格考核工作，监督检查指导工矿商贸生产经营单位安全生产教育培训工作。监督管理安全生产社会中介机构和安全评价工作。</w:t>
      </w:r>
    </w:p>
    <w:p w14:paraId="7843BCD0">
      <w:pPr>
        <w:widowControl/>
        <w:spacing w:line="600" w:lineRule="exact"/>
        <w:rPr>
          <w:rFonts w:hint="eastAsia" w:ascii="宋体" w:hAnsi="宋体" w:eastAsia="宋体" w:cs="黑体"/>
          <w:color w:val="000000"/>
          <w:sz w:val="32"/>
          <w:szCs w:val="32"/>
        </w:rPr>
      </w:pPr>
      <w:r>
        <w:rPr>
          <w:rFonts w:hint="eastAsia" w:ascii="宋体" w:hAnsi="宋体" w:eastAsia="宋体" w:cs="黑体"/>
          <w:color w:val="000000"/>
          <w:sz w:val="32"/>
          <w:szCs w:val="32"/>
        </w:rPr>
        <w:t>（二十）完成县委、县政府交办的其他任务。</w:t>
      </w:r>
    </w:p>
    <w:p w14:paraId="0E98F1D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C602747">
      <w:pPr>
        <w:widowControl/>
        <w:spacing w:line="520" w:lineRule="exact"/>
        <w:ind w:firstLine="640" w:firstLineChars="200"/>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（一）</w:t>
      </w:r>
      <w:r>
        <w:rPr>
          <w:rFonts w:hint="eastAsia" w:asciiTheme="majorEastAsia" w:hAnsiTheme="majorEastAsia" w:eastAsiaTheme="majorEastAsia"/>
          <w:b/>
          <w:bCs/>
          <w:color w:val="auto"/>
          <w:kern w:val="0"/>
          <w:sz w:val="32"/>
          <w:szCs w:val="32"/>
        </w:rPr>
        <w:t>内设机构设置。</w:t>
      </w:r>
      <w:r>
        <w:rPr>
          <w:rFonts w:hint="eastAsia" w:cs="宋体" w:asciiTheme="minorEastAsia" w:hAnsiTheme="minorEastAsia"/>
          <w:color w:val="auto"/>
          <w:kern w:val="0"/>
          <w:sz w:val="32"/>
          <w:szCs w:val="32"/>
        </w:rPr>
        <w:t>溆浦县应急管理局为正科级财政全额拨款行政单位，</w:t>
      </w:r>
      <w:r>
        <w:rPr>
          <w:rFonts w:hint="eastAsia" w:asciiTheme="majorEastAsia" w:hAnsiTheme="majorEastAsia" w:eastAsiaTheme="majorEastAsia"/>
          <w:bCs/>
          <w:color w:val="auto"/>
          <w:kern w:val="0"/>
          <w:sz w:val="32"/>
          <w:szCs w:val="32"/>
        </w:rPr>
        <w:t>内设机构（15个）包括：</w:t>
      </w:r>
      <w:r>
        <w:rPr>
          <w:rFonts w:hint="eastAsia" w:cs="黑体" w:asciiTheme="majorEastAsia" w:hAnsiTheme="majorEastAsia" w:eastAsiaTheme="majorEastAsia"/>
          <w:color w:val="auto"/>
          <w:sz w:val="32"/>
          <w:szCs w:val="32"/>
        </w:rPr>
        <w:t>办公室、应急指挥中心（科技和信息化股）、人事股（党建办公室）、教育训练和培训监督考核股、风险监测和综合减灾股、救援协调和预案管理股、火灾防治管理股、防汛抗旱股、地震和地质灾害救援股、矿山和工贸行业安全监督管理股、危险化学品和烟花爆竹安全监督管理股、安全生产综合协调股、救灾和物资保障股、政策法规和行政审批股、调查评估和统计股。</w:t>
      </w:r>
      <w:r>
        <w:rPr>
          <w:rFonts w:hint="eastAsia" w:asciiTheme="majorEastAsia" w:hAnsiTheme="majorEastAsia" w:eastAsiaTheme="majorEastAsia"/>
          <w:bCs/>
          <w:color w:val="auto"/>
          <w:kern w:val="0"/>
          <w:sz w:val="32"/>
          <w:szCs w:val="32"/>
        </w:rPr>
        <w:t>核定编制66名，实有人64人，其中：行政人员19人、事业人员4</w:t>
      </w:r>
      <w:r>
        <w:rPr>
          <w:rFonts w:hint="eastAsia" w:asciiTheme="majorEastAsia" w:hAnsiTheme="majorEastAsia" w:eastAsiaTheme="majorEastAsia"/>
          <w:bCs/>
          <w:color w:val="auto"/>
          <w:kern w:val="0"/>
          <w:sz w:val="32"/>
          <w:szCs w:val="32"/>
          <w:lang w:val="en-US" w:eastAsia="zh-CN"/>
        </w:rPr>
        <w:t>1</w:t>
      </w:r>
      <w:r>
        <w:rPr>
          <w:rFonts w:hint="eastAsia" w:asciiTheme="majorEastAsia" w:hAnsiTheme="majorEastAsia" w:eastAsiaTheme="majorEastAsia"/>
          <w:bCs/>
          <w:color w:val="auto"/>
          <w:kern w:val="0"/>
          <w:sz w:val="32"/>
          <w:szCs w:val="32"/>
        </w:rPr>
        <w:t>人、离退休人员1</w:t>
      </w:r>
      <w:r>
        <w:rPr>
          <w:rFonts w:hint="eastAsia" w:asciiTheme="majorEastAsia" w:hAnsiTheme="majorEastAsia" w:eastAsiaTheme="majorEastAsia"/>
          <w:bCs/>
          <w:color w:val="auto"/>
          <w:kern w:val="0"/>
          <w:sz w:val="32"/>
          <w:szCs w:val="32"/>
          <w:lang w:val="en-US" w:eastAsia="zh-CN"/>
        </w:rPr>
        <w:t>8</w:t>
      </w:r>
      <w:r>
        <w:rPr>
          <w:rFonts w:hint="eastAsia" w:asciiTheme="majorEastAsia" w:hAnsiTheme="majorEastAsia" w:eastAsiaTheme="majorEastAsia"/>
          <w:bCs/>
          <w:color w:val="auto"/>
          <w:kern w:val="0"/>
          <w:sz w:val="32"/>
          <w:szCs w:val="32"/>
        </w:rPr>
        <w:t>人</w:t>
      </w:r>
      <w:r>
        <w:rPr>
          <w:rFonts w:hint="eastAsia" w:cs="宋体" w:asciiTheme="majorEastAsia" w:hAnsiTheme="majorEastAsia" w:eastAsiaTheme="majorEastAsia"/>
          <w:color w:val="auto"/>
          <w:kern w:val="0"/>
          <w:sz w:val="32"/>
          <w:szCs w:val="32"/>
        </w:rPr>
        <w:t>。</w:t>
      </w:r>
    </w:p>
    <w:p w14:paraId="180F63AD">
      <w:pPr>
        <w:widowControl/>
        <w:spacing w:line="600" w:lineRule="exact"/>
        <w:ind w:firstLine="480" w:firstLineChars="150"/>
        <w:rPr>
          <w:rFonts w:asciiTheme="minorEastAsia" w:hAnsiTheme="minorEastAsia"/>
          <w:bCs/>
          <w:kern w:val="0"/>
          <w:sz w:val="32"/>
          <w:szCs w:val="32"/>
        </w:rPr>
      </w:pPr>
      <w:r>
        <w:rPr>
          <w:rFonts w:hint="eastAsia" w:ascii="Times New Roman" w:hAnsi="Times New Roman" w:eastAsia="仿宋_GB2312" w:cs="仿宋_GB2312"/>
          <w:bCs/>
          <w:kern w:val="0"/>
          <w:sz w:val="32"/>
          <w:szCs w:val="32"/>
        </w:rPr>
        <w:t>（二）</w:t>
      </w:r>
      <w:r>
        <w:rPr>
          <w:rFonts w:hint="eastAsia" w:asciiTheme="minorEastAsia" w:hAnsiTheme="minorEastAsia"/>
          <w:b/>
          <w:bCs/>
          <w:kern w:val="0"/>
          <w:sz w:val="32"/>
          <w:szCs w:val="32"/>
        </w:rPr>
        <w:t>决算单位构成。</w:t>
      </w:r>
      <w:r>
        <w:rPr>
          <w:rFonts w:hint="eastAsia" w:asciiTheme="minorEastAsia" w:hAnsiTheme="minorEastAsia"/>
          <w:bCs/>
          <w:kern w:val="0"/>
          <w:sz w:val="32"/>
          <w:szCs w:val="32"/>
        </w:rPr>
        <w:t>溆浦县应急管理局</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3</w:t>
      </w:r>
      <w:r>
        <w:rPr>
          <w:rFonts w:hint="eastAsia" w:asciiTheme="minorEastAsia" w:hAnsiTheme="minorEastAsia"/>
          <w:bCs/>
          <w:kern w:val="0"/>
          <w:sz w:val="32"/>
          <w:szCs w:val="32"/>
        </w:rPr>
        <w:t>年部门决算汇总公开单位构成包括：溆浦县应急管理局本级。</w:t>
      </w:r>
    </w:p>
    <w:p w14:paraId="2A64E02B">
      <w:pPr>
        <w:jc w:val="left"/>
        <w:rPr>
          <w:rFonts w:ascii="仿宋_GB2312" w:eastAsia="仿宋_GB2312" w:hAnsiTheme="minorEastAsia"/>
          <w:sz w:val="28"/>
          <w:szCs w:val="32"/>
        </w:rPr>
      </w:pPr>
    </w:p>
    <w:p w14:paraId="5F4091D1">
      <w:pPr>
        <w:jc w:val="center"/>
        <w:rPr>
          <w:rFonts w:ascii="黑体" w:hAnsi="黑体" w:eastAsia="黑体"/>
          <w:sz w:val="28"/>
          <w:szCs w:val="28"/>
        </w:rPr>
      </w:pPr>
    </w:p>
    <w:p w14:paraId="0294FC1A">
      <w:pPr>
        <w:jc w:val="center"/>
        <w:rPr>
          <w:rFonts w:ascii="黑体" w:hAnsi="黑体" w:eastAsia="黑体"/>
          <w:sz w:val="28"/>
          <w:szCs w:val="28"/>
        </w:rPr>
      </w:pPr>
    </w:p>
    <w:p w14:paraId="5B670C5F">
      <w:pPr>
        <w:jc w:val="center"/>
        <w:rPr>
          <w:rFonts w:ascii="黑体" w:hAnsi="黑体" w:eastAsia="黑体"/>
          <w:sz w:val="28"/>
          <w:szCs w:val="28"/>
        </w:rPr>
      </w:pPr>
    </w:p>
    <w:p w14:paraId="492CA15D">
      <w:pPr>
        <w:jc w:val="center"/>
        <w:rPr>
          <w:rFonts w:ascii="黑体" w:hAnsi="黑体" w:eastAsia="黑体"/>
          <w:sz w:val="28"/>
          <w:szCs w:val="28"/>
        </w:rPr>
      </w:pPr>
    </w:p>
    <w:p w14:paraId="2C65CB86">
      <w:pPr>
        <w:jc w:val="center"/>
        <w:rPr>
          <w:rFonts w:ascii="黑体" w:hAnsi="黑体" w:eastAsia="黑体"/>
          <w:sz w:val="28"/>
          <w:szCs w:val="28"/>
        </w:rPr>
      </w:pPr>
    </w:p>
    <w:p w14:paraId="44D5FF31">
      <w:pPr>
        <w:jc w:val="center"/>
        <w:rPr>
          <w:rFonts w:ascii="黑体" w:hAnsi="黑体" w:eastAsia="黑体"/>
          <w:sz w:val="28"/>
          <w:szCs w:val="28"/>
        </w:rPr>
      </w:pPr>
    </w:p>
    <w:p w14:paraId="727BF01F">
      <w:pPr>
        <w:jc w:val="center"/>
        <w:rPr>
          <w:rFonts w:ascii="黑体" w:hAnsi="黑体" w:eastAsia="黑体"/>
          <w:sz w:val="28"/>
          <w:szCs w:val="28"/>
        </w:rPr>
      </w:pPr>
    </w:p>
    <w:p w14:paraId="75FA768D">
      <w:pPr>
        <w:jc w:val="center"/>
        <w:rPr>
          <w:rFonts w:ascii="黑体" w:hAnsi="黑体" w:eastAsia="黑体"/>
          <w:sz w:val="28"/>
          <w:szCs w:val="28"/>
        </w:rPr>
      </w:pPr>
    </w:p>
    <w:p w14:paraId="7153225F">
      <w:pPr>
        <w:jc w:val="center"/>
        <w:rPr>
          <w:rFonts w:ascii="黑体" w:hAnsi="黑体" w:eastAsia="黑体"/>
          <w:sz w:val="28"/>
          <w:szCs w:val="28"/>
        </w:rPr>
      </w:pPr>
    </w:p>
    <w:p w14:paraId="1527015D">
      <w:pPr>
        <w:pStyle w:val="14"/>
        <w:jc w:val="center"/>
        <w:rPr>
          <w:rFonts w:hint="eastAsia" w:ascii="方正小标宋_GBK" w:hAnsi="方正小标宋_GBK" w:eastAsia="方正小标宋_GBK" w:cs="方正小标宋_GBK"/>
          <w:sz w:val="84"/>
          <w:szCs w:val="84"/>
        </w:rPr>
      </w:pPr>
    </w:p>
    <w:p w14:paraId="6871ADD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C97C154">
      <w:pPr>
        <w:pStyle w:val="14"/>
        <w:jc w:val="center"/>
        <w:rPr>
          <w:rFonts w:hint="eastAsia" w:ascii="方正小标宋_GBK" w:hAnsi="方正小标宋_GBK" w:eastAsia="方正小标宋_GBK" w:cs="方正小标宋_GBK"/>
          <w:sz w:val="84"/>
          <w:szCs w:val="84"/>
        </w:rPr>
      </w:pPr>
    </w:p>
    <w:p w14:paraId="6611F87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624AD25">
      <w:pPr>
        <w:jc w:val="center"/>
        <w:rPr>
          <w:sz w:val="72"/>
          <w:szCs w:val="72"/>
        </w:rPr>
      </w:pPr>
    </w:p>
    <w:p w14:paraId="2BA9BFA8">
      <w:pPr>
        <w:jc w:val="center"/>
        <w:rPr>
          <w:sz w:val="72"/>
          <w:szCs w:val="72"/>
        </w:rPr>
      </w:pPr>
    </w:p>
    <w:p w14:paraId="7D150572">
      <w:pPr>
        <w:jc w:val="center"/>
        <w:rPr>
          <w:sz w:val="72"/>
          <w:szCs w:val="72"/>
        </w:rPr>
      </w:pPr>
    </w:p>
    <w:p w14:paraId="7B197EAF">
      <w:pPr>
        <w:jc w:val="center"/>
        <w:rPr>
          <w:sz w:val="72"/>
          <w:szCs w:val="72"/>
        </w:rPr>
      </w:pPr>
    </w:p>
    <w:p w14:paraId="12818E57">
      <w:pPr>
        <w:jc w:val="center"/>
        <w:rPr>
          <w:sz w:val="72"/>
          <w:szCs w:val="72"/>
        </w:rPr>
      </w:pPr>
    </w:p>
    <w:p w14:paraId="2F768613">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7C313F1D">
      <w:pPr>
        <w:widowControl/>
        <w:jc w:val="left"/>
        <w:rPr>
          <w:rFonts w:ascii="Times New Roman" w:hAnsi="Times New Roman" w:eastAsia="仿宋_GB2312" w:cs="Times New Roman"/>
          <w:bCs/>
          <w:kern w:val="0"/>
          <w:szCs w:val="21"/>
        </w:rPr>
      </w:pPr>
    </w:p>
    <w:p w14:paraId="154B184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63ED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3392745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2D64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77299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F684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690E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FAC5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895A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EA1876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2157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0090CFB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center"/>
          </w:tcPr>
          <w:p w14:paraId="7A9159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45975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DB93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0361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9D1346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2CA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D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0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F8E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6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3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7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5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6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8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730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4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78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1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9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203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5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2E7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E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9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D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0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3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C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7A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1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E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C4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9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3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9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FF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5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3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C8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E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0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7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30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C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E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4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D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2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26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30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C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E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6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B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F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2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75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F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1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E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F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1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F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72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4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2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7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F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F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D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9C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3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A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B1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9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5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0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98.08</w:t>
            </w:r>
          </w:p>
        </w:tc>
      </w:tr>
      <w:tr w14:paraId="380D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F96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E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8B0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8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4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D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r>
      <w:tr w14:paraId="4121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ACC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4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C8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4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4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B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AA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66B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6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A0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3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7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ED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4D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9D5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4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DC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7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6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9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F2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597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7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A1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B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2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B7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83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4C4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1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AF9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1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2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8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r>
      <w:tr w14:paraId="4CC2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4CF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0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C0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5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2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0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7C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442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1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56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E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4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3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23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2F0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D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1A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7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2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F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07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38C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0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BB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5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1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5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D5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FA8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3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11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4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5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0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148.85</w:t>
            </w:r>
          </w:p>
        </w:tc>
      </w:tr>
      <w:tr w14:paraId="7717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F5C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9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5C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9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6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C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r>
      <w:tr w14:paraId="60D1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597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5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4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C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5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67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1C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F85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F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08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B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3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6A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3,366.93</w:t>
            </w:r>
          </w:p>
        </w:tc>
      </w:tr>
      <w:tr w14:paraId="48CC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AB3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2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F9A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8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A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6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8D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09B0">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7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990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A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3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A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F6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806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1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374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F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3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7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01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24B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4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959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2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2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5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B8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8C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9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7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E0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1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2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3,780.30</w:t>
            </w:r>
          </w:p>
        </w:tc>
      </w:tr>
      <w:tr w14:paraId="27F6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4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0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F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B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D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9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99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0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8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2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E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2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ED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96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B0B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C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64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A17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8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229C">
            <w:pPr>
              <w:jc w:val="left"/>
              <w:rPr>
                <w:rFonts w:hint="eastAsia" w:ascii="宋体" w:hAnsi="宋体" w:eastAsia="宋体" w:cs="宋体"/>
                <w:i w:val="0"/>
                <w:iCs w:val="0"/>
                <w:color w:val="000000"/>
                <w:sz w:val="22"/>
                <w:szCs w:val="22"/>
                <w:u w:val="none"/>
              </w:rPr>
            </w:pPr>
          </w:p>
        </w:tc>
      </w:tr>
      <w:tr w14:paraId="2CE0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BC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6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7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81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3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91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3,780.30</w:t>
            </w:r>
          </w:p>
        </w:tc>
      </w:tr>
      <w:tr w14:paraId="51D4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42760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64D4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7885D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2B555DDA">
      <w:pPr>
        <w:widowControl/>
        <w:jc w:val="left"/>
        <w:rPr>
          <w:rFonts w:ascii="Times New Roman" w:hAnsi="Times New Roman" w:eastAsia="仿宋_GB2312" w:cs="Times New Roman"/>
          <w:bCs/>
          <w:kern w:val="0"/>
          <w:szCs w:val="21"/>
        </w:rPr>
      </w:pPr>
    </w:p>
    <w:p w14:paraId="48ED5FD3">
      <w:pPr>
        <w:pStyle w:val="2"/>
        <w:rPr>
          <w:rFonts w:ascii="Times New Roman" w:hAnsi="Times New Roman" w:eastAsia="仿宋_GB2312" w:cs="Times New Roman"/>
          <w:bCs/>
          <w:kern w:val="0"/>
          <w:szCs w:val="21"/>
        </w:rPr>
      </w:pPr>
    </w:p>
    <w:p w14:paraId="7746CF0D">
      <w:pPr>
        <w:pStyle w:val="2"/>
        <w:rPr>
          <w:rFonts w:ascii="Times New Roman" w:hAnsi="Times New Roman" w:eastAsia="仿宋_GB2312" w:cs="Times New Roman"/>
          <w:bCs/>
          <w:kern w:val="0"/>
          <w:szCs w:val="21"/>
        </w:rPr>
      </w:pPr>
    </w:p>
    <w:tbl>
      <w:tblPr>
        <w:tblStyle w:val="9"/>
        <w:tblW w:w="15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222"/>
        <w:gridCol w:w="222"/>
        <w:gridCol w:w="3736"/>
        <w:gridCol w:w="1594"/>
        <w:gridCol w:w="1594"/>
        <w:gridCol w:w="1045"/>
        <w:gridCol w:w="1046"/>
        <w:gridCol w:w="1046"/>
        <w:gridCol w:w="1046"/>
        <w:gridCol w:w="1616"/>
      </w:tblGrid>
      <w:tr w14:paraId="71B4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5580" w:type="dxa"/>
            <w:gridSpan w:val="11"/>
            <w:tcBorders>
              <w:top w:val="nil"/>
              <w:left w:val="nil"/>
              <w:bottom w:val="nil"/>
              <w:right w:val="nil"/>
            </w:tcBorders>
            <w:shd w:val="clear" w:color="auto" w:fill="auto"/>
            <w:noWrap/>
            <w:vAlign w:val="center"/>
          </w:tcPr>
          <w:p w14:paraId="4B973E8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5F59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nil"/>
              <w:left w:val="nil"/>
              <w:bottom w:val="nil"/>
              <w:right w:val="nil"/>
            </w:tcBorders>
            <w:shd w:val="clear" w:color="auto" w:fill="auto"/>
            <w:noWrap/>
            <w:vAlign w:val="center"/>
          </w:tcPr>
          <w:p w14:paraId="7CBBC03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C2E5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1B948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BD47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5B048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928F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85E8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F8B6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D5130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F6A1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2EBC5A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087A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nil"/>
              <w:left w:val="nil"/>
              <w:bottom w:val="nil"/>
              <w:right w:val="nil"/>
            </w:tcBorders>
            <w:shd w:val="clear" w:color="auto" w:fill="auto"/>
            <w:noWrap/>
            <w:vAlign w:val="bottom"/>
          </w:tcPr>
          <w:p w14:paraId="5A57B20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center"/>
          </w:tcPr>
          <w:p w14:paraId="79FFB8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2B267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D027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04D0C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2EDD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3996A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FF7D4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5E0D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3922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3A0C3F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9BB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5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3A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BB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9E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1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B1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C9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9F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4CE5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0B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A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67D0">
            <w:pPr>
              <w:jc w:val="center"/>
              <w:rPr>
                <w:rFonts w:hint="eastAsia" w:ascii="宋体" w:hAnsi="宋体" w:eastAsia="宋体" w:cs="宋体"/>
                <w:i w:val="0"/>
                <w:iCs w:val="0"/>
                <w:color w:val="000000"/>
                <w:sz w:val="22"/>
                <w:szCs w:val="22"/>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FF1E9">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E2B27">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26A9E">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43A58">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7D04">
            <w:pPr>
              <w:jc w:val="center"/>
              <w:rPr>
                <w:rFonts w:hint="eastAsia" w:ascii="宋体" w:hAnsi="宋体" w:eastAsia="宋体" w:cs="宋体"/>
                <w:i w:val="0"/>
                <w:iCs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C2C71">
            <w:pPr>
              <w:jc w:val="center"/>
              <w:rPr>
                <w:rFonts w:hint="eastAsia" w:ascii="宋体" w:hAnsi="宋体" w:eastAsia="宋体" w:cs="宋体"/>
                <w:i w:val="0"/>
                <w:iCs w:val="0"/>
                <w:color w:val="000000"/>
                <w:sz w:val="22"/>
                <w:szCs w:val="22"/>
                <w:u w:val="none"/>
              </w:rPr>
            </w:pPr>
          </w:p>
        </w:tc>
      </w:tr>
      <w:tr w14:paraId="07E7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15F3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B396">
            <w:pPr>
              <w:jc w:val="center"/>
              <w:rPr>
                <w:rFonts w:hint="eastAsia" w:ascii="宋体" w:hAnsi="宋体" w:eastAsia="宋体" w:cs="宋体"/>
                <w:i w:val="0"/>
                <w:iCs w:val="0"/>
                <w:color w:val="000000"/>
                <w:sz w:val="22"/>
                <w:szCs w:val="22"/>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ADF4E">
            <w:pPr>
              <w:jc w:val="center"/>
              <w:rPr>
                <w:rFonts w:hint="eastAsia" w:ascii="宋体" w:hAnsi="宋体" w:eastAsia="宋体" w:cs="宋体"/>
                <w:i w:val="0"/>
                <w:iCs w:val="0"/>
                <w:color w:val="000000"/>
                <w:sz w:val="22"/>
                <w:szCs w:val="22"/>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FF39">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A66B7">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55988">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05760">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2AC5E">
            <w:pPr>
              <w:jc w:val="center"/>
              <w:rPr>
                <w:rFonts w:hint="eastAsia" w:ascii="宋体" w:hAnsi="宋体" w:eastAsia="宋体" w:cs="宋体"/>
                <w:i w:val="0"/>
                <w:iCs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5F86">
            <w:pPr>
              <w:jc w:val="center"/>
              <w:rPr>
                <w:rFonts w:hint="eastAsia" w:ascii="宋体" w:hAnsi="宋体" w:eastAsia="宋体" w:cs="宋体"/>
                <w:i w:val="0"/>
                <w:iCs w:val="0"/>
                <w:color w:val="000000"/>
                <w:sz w:val="22"/>
                <w:szCs w:val="22"/>
                <w:u w:val="none"/>
              </w:rPr>
            </w:pPr>
          </w:p>
        </w:tc>
      </w:tr>
      <w:tr w14:paraId="40B7E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321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3E68">
            <w:pPr>
              <w:jc w:val="center"/>
              <w:rPr>
                <w:rFonts w:hint="eastAsia" w:ascii="宋体" w:hAnsi="宋体" w:eastAsia="宋体" w:cs="宋体"/>
                <w:i w:val="0"/>
                <w:iCs w:val="0"/>
                <w:color w:val="000000"/>
                <w:sz w:val="22"/>
                <w:szCs w:val="22"/>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B914">
            <w:pPr>
              <w:jc w:val="center"/>
              <w:rPr>
                <w:rFonts w:hint="eastAsia" w:ascii="宋体" w:hAnsi="宋体" w:eastAsia="宋体" w:cs="宋体"/>
                <w:i w:val="0"/>
                <w:iCs w:val="0"/>
                <w:color w:val="000000"/>
                <w:sz w:val="22"/>
                <w:szCs w:val="22"/>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DAF63">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4D9B">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4423">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296F">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8E61">
            <w:pPr>
              <w:jc w:val="center"/>
              <w:rPr>
                <w:rFonts w:hint="eastAsia" w:ascii="宋体" w:hAnsi="宋体" w:eastAsia="宋体" w:cs="宋体"/>
                <w:i w:val="0"/>
                <w:iCs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11B7">
            <w:pPr>
              <w:jc w:val="center"/>
              <w:rPr>
                <w:rFonts w:hint="eastAsia" w:ascii="宋体" w:hAnsi="宋体" w:eastAsia="宋体" w:cs="宋体"/>
                <w:i w:val="0"/>
                <w:iCs w:val="0"/>
                <w:color w:val="000000"/>
                <w:sz w:val="22"/>
                <w:szCs w:val="22"/>
                <w:u w:val="none"/>
              </w:rPr>
            </w:pPr>
          </w:p>
        </w:tc>
      </w:tr>
      <w:tr w14:paraId="45E4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9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6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8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D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4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C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113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6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00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3,721.22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F6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2C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15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97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07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A4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w:t>
            </w:r>
          </w:p>
        </w:tc>
      </w:tr>
      <w:tr w14:paraId="1CBD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2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D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7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3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3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4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E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39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5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EA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F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6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7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5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F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3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9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7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D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1E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9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0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8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0C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C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F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8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3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6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5B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3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5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B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3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0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6F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24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C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60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99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C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1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A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6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8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A0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B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0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7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CF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5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0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4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C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E1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F3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6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6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C4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B7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F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4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31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6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F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7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D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2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9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7B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C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F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F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E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B1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73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E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F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9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74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B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A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8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E5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4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2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C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0C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C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C0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9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1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82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6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E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66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7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D0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E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1A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A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2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1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51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A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A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3B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5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91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96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A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5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6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E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D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3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A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F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F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FF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E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F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8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29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D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4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C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8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E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AA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C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A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6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7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2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21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51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4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4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E6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4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1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D4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07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8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34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E9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7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6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09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2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D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0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4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F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7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AA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F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2F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F2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E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8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0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57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D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C3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4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6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0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56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A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6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7B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C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F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04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F0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D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0A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C4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B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0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F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AD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2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D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2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F0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33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7D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0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6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E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CD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D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2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B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C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4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1D1C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7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D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8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B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8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BC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3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5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9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004E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F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0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4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13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0D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3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4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6D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B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399F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C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9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灾害风险防治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C3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4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C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A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1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F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F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ED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2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2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23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6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30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D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9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66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A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1B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5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F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应急救援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9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5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55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8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91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2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52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D8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6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1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9A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9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F5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0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B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1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A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79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7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8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E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C9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D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1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1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04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4C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99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D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7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其他矿山安全支出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2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B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2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C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01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A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28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FD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7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2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1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8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3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A3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1C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6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8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7A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B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4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1F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15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7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B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8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E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7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F7F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3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B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6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6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62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36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B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ED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6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5C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6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D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C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8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2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7C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5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02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A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E2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5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E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D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8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3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9C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BB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D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04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5A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0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B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4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0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E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8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E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77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C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A7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9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A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D0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3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26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4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4F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4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F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8E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7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2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8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F0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E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5E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AF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05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6A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45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11"/>
            <w:tcBorders>
              <w:top w:val="nil"/>
              <w:left w:val="nil"/>
              <w:bottom w:val="nil"/>
              <w:right w:val="nil"/>
            </w:tcBorders>
            <w:shd w:val="clear" w:color="auto" w:fill="auto"/>
            <w:noWrap/>
            <w:vAlign w:val="center"/>
          </w:tcPr>
          <w:p w14:paraId="07529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7969E25">
      <w:pPr>
        <w:pStyle w:val="2"/>
        <w:rPr>
          <w:rFonts w:ascii="Times New Roman" w:hAnsi="Times New Roman" w:eastAsia="仿宋_GB2312" w:cs="Times New Roman"/>
          <w:bCs/>
          <w:kern w:val="0"/>
          <w:szCs w:val="21"/>
        </w:rPr>
      </w:pPr>
    </w:p>
    <w:p w14:paraId="61F8FC66">
      <w:pPr>
        <w:pStyle w:val="2"/>
        <w:rPr>
          <w:rFonts w:ascii="Times New Roman" w:hAnsi="Times New Roman" w:eastAsia="仿宋_GB2312" w:cs="Times New Roman"/>
          <w:bCs/>
          <w:kern w:val="0"/>
          <w:szCs w:val="21"/>
        </w:rPr>
      </w:pPr>
    </w:p>
    <w:p w14:paraId="6F99BC21">
      <w:pPr>
        <w:pStyle w:val="2"/>
        <w:rPr>
          <w:rFonts w:ascii="Times New Roman" w:hAnsi="Times New Roman" w:eastAsia="仿宋_GB2312" w:cs="Times New Roman"/>
          <w:bCs/>
          <w:kern w:val="0"/>
          <w:szCs w:val="21"/>
        </w:rPr>
      </w:pPr>
    </w:p>
    <w:p w14:paraId="068A5C6C">
      <w:pPr>
        <w:pStyle w:val="2"/>
        <w:rPr>
          <w:rFonts w:ascii="Times New Roman" w:hAnsi="Times New Roman" w:eastAsia="仿宋_GB2312" w:cs="Times New Roman"/>
          <w:bCs/>
          <w:kern w:val="0"/>
          <w:szCs w:val="21"/>
        </w:rPr>
      </w:pPr>
    </w:p>
    <w:tbl>
      <w:tblPr>
        <w:tblStyle w:val="9"/>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222"/>
        <w:gridCol w:w="222"/>
        <w:gridCol w:w="3736"/>
        <w:gridCol w:w="1479"/>
        <w:gridCol w:w="1479"/>
        <w:gridCol w:w="1479"/>
        <w:gridCol w:w="1457"/>
        <w:gridCol w:w="1415"/>
        <w:gridCol w:w="1616"/>
      </w:tblGrid>
      <w:tr w14:paraId="1F63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521" w:type="dxa"/>
            <w:gridSpan w:val="10"/>
            <w:tcBorders>
              <w:top w:val="nil"/>
              <w:left w:val="nil"/>
              <w:bottom w:val="nil"/>
              <w:right w:val="nil"/>
            </w:tcBorders>
            <w:shd w:val="clear" w:color="auto" w:fill="auto"/>
            <w:noWrap/>
            <w:vAlign w:val="center"/>
          </w:tcPr>
          <w:p w14:paraId="79C75641">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429C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B4FD4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6A916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1EB56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C512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DBDB5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7A89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E1DD9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70A2F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D912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46567D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5E74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7497A47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center"/>
          </w:tcPr>
          <w:p w14:paraId="66C11B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E9B65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2640D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6043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A7FEA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DD93D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2148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E6396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EDF993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7FF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E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D0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5A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EC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AF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A5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41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631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12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6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0C62">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14E5B">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14BC">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E41B">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40B7B">
            <w:pPr>
              <w:jc w:val="center"/>
              <w:rPr>
                <w:rFonts w:hint="eastAsia" w:ascii="宋体" w:hAnsi="宋体" w:eastAsia="宋体" w:cs="宋体"/>
                <w:i w:val="0"/>
                <w:iCs w:val="0"/>
                <w:color w:val="000000"/>
                <w:sz w:val="22"/>
                <w:szCs w:val="22"/>
                <w:u w:val="none"/>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E18BF">
            <w:pPr>
              <w:jc w:val="center"/>
              <w:rPr>
                <w:rFonts w:hint="eastAsia" w:ascii="宋体" w:hAnsi="宋体" w:eastAsia="宋体" w:cs="宋体"/>
                <w:i w:val="0"/>
                <w:iCs w:val="0"/>
                <w:color w:val="000000"/>
                <w:sz w:val="22"/>
                <w:szCs w:val="22"/>
                <w:u w:val="none"/>
              </w:rPr>
            </w:pPr>
          </w:p>
        </w:tc>
      </w:tr>
      <w:tr w14:paraId="4E6B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1820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7954">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CF556">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8E523">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31A4">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41761">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39A0C">
            <w:pPr>
              <w:jc w:val="center"/>
              <w:rPr>
                <w:rFonts w:hint="eastAsia" w:ascii="宋体" w:hAnsi="宋体" w:eastAsia="宋体" w:cs="宋体"/>
                <w:i w:val="0"/>
                <w:iCs w:val="0"/>
                <w:color w:val="000000"/>
                <w:sz w:val="22"/>
                <w:szCs w:val="22"/>
                <w:u w:val="none"/>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83A52">
            <w:pPr>
              <w:jc w:val="center"/>
              <w:rPr>
                <w:rFonts w:hint="eastAsia" w:ascii="宋体" w:hAnsi="宋体" w:eastAsia="宋体" w:cs="宋体"/>
                <w:i w:val="0"/>
                <w:iCs w:val="0"/>
                <w:color w:val="000000"/>
                <w:sz w:val="22"/>
                <w:szCs w:val="22"/>
                <w:u w:val="none"/>
              </w:rPr>
            </w:pPr>
          </w:p>
        </w:tc>
      </w:tr>
      <w:tr w14:paraId="1040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D421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9DB2">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627CD">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21CE">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0E7B2">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7A421">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AF5EA">
            <w:pPr>
              <w:jc w:val="center"/>
              <w:rPr>
                <w:rFonts w:hint="eastAsia" w:ascii="宋体" w:hAnsi="宋体" w:eastAsia="宋体" w:cs="宋体"/>
                <w:i w:val="0"/>
                <w:iCs w:val="0"/>
                <w:color w:val="000000"/>
                <w:sz w:val="22"/>
                <w:szCs w:val="22"/>
                <w:u w:val="none"/>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C7D9">
            <w:pPr>
              <w:jc w:val="center"/>
              <w:rPr>
                <w:rFonts w:hint="eastAsia" w:ascii="宋体" w:hAnsi="宋体" w:eastAsia="宋体" w:cs="宋体"/>
                <w:i w:val="0"/>
                <w:iCs w:val="0"/>
                <w:color w:val="000000"/>
                <w:sz w:val="22"/>
                <w:szCs w:val="22"/>
                <w:u w:val="none"/>
              </w:rPr>
            </w:pPr>
          </w:p>
        </w:tc>
      </w:tr>
      <w:tr w14:paraId="4F36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A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A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9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F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C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B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6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539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4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6B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3,780.30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6C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05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2,979.71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80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7E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7C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EA4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C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F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44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E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C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B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3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4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6C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E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5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0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F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3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70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94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C4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3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9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9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1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3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F7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3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D1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C1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B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D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3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0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6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F6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0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5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9B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C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8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7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78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00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F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6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D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65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7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C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9E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7F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B0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E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4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94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8D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B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F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8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D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E4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6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8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1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86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3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1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8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7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7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E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1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9B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77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9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8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5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F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1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8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A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4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1E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B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B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35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B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F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83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F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9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39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B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C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7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A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56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8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6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4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44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0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F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A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B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7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3D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FE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3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D9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1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C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7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A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C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3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B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DA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A7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6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3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3B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7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3D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E2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9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6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FA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3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2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49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F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2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3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D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F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6A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1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2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C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C6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F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E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C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B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39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5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9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1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A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A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B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1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2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39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5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5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3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9A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8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7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7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3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C8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1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6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2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6A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1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B2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5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8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1A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7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B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F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D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1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F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2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75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96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7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A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FF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9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7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1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3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4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06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8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0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3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EB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C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9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7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5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9A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C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8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灾害风险防治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2F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6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3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F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BF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3A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0B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3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C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1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1E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B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F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3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D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D3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1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C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应急救援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D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E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E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A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C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D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77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6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7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4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90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1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8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1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CC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D2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F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A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A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9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7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E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D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BA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53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0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C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其他矿山安全支出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7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F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B4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0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6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D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62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0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C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A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5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E3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5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E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A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EC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6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5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0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4D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2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B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6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66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75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D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2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EB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2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A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9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93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6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E0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C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F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5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5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E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6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7F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9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E1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F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F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D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72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31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0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4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59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C0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1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5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2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AA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7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6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9D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CC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45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3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4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6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8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4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8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D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3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36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E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F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2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DA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F6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AD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A3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76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94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auto"/>
            <w:noWrap/>
            <w:vAlign w:val="center"/>
          </w:tcPr>
          <w:p w14:paraId="331DF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7081BE3">
      <w:pPr>
        <w:pStyle w:val="2"/>
        <w:rPr>
          <w:rFonts w:ascii="Times New Roman" w:hAnsi="Times New Roman" w:eastAsia="仿宋_GB2312" w:cs="Times New Roman"/>
          <w:bCs/>
          <w:kern w:val="0"/>
          <w:szCs w:val="21"/>
        </w:rPr>
      </w:pPr>
    </w:p>
    <w:p w14:paraId="193F90AA">
      <w:pPr>
        <w:pStyle w:val="2"/>
        <w:rPr>
          <w:rFonts w:ascii="Times New Roman" w:hAnsi="Times New Roman" w:eastAsia="仿宋_GB2312" w:cs="Times New Roman"/>
          <w:bCs/>
          <w:kern w:val="0"/>
          <w:szCs w:val="21"/>
        </w:rPr>
      </w:pPr>
    </w:p>
    <w:p w14:paraId="4975E6EE">
      <w:pPr>
        <w:pStyle w:val="2"/>
        <w:rPr>
          <w:rFonts w:ascii="Times New Roman" w:hAnsi="Times New Roman" w:eastAsia="仿宋_GB2312" w:cs="Times New Roman"/>
          <w:bCs/>
          <w:kern w:val="0"/>
          <w:szCs w:val="21"/>
        </w:rPr>
      </w:pPr>
    </w:p>
    <w:p w14:paraId="734F3EAF">
      <w:pPr>
        <w:pStyle w:val="2"/>
        <w:rPr>
          <w:rFonts w:ascii="Times New Roman" w:hAnsi="Times New Roman" w:eastAsia="仿宋_GB2312" w:cs="Times New Roman"/>
          <w:bCs/>
          <w:kern w:val="0"/>
          <w:szCs w:val="21"/>
        </w:rPr>
      </w:pPr>
    </w:p>
    <w:p w14:paraId="3389DA87">
      <w:pPr>
        <w:pStyle w:val="2"/>
        <w:rPr>
          <w:rFonts w:ascii="Times New Roman" w:hAnsi="Times New Roman" w:eastAsia="仿宋_GB2312" w:cs="Times New Roman"/>
          <w:bCs/>
          <w:kern w:val="0"/>
          <w:szCs w:val="21"/>
        </w:rPr>
      </w:pPr>
    </w:p>
    <w:p w14:paraId="43A45C27">
      <w:pPr>
        <w:pStyle w:val="2"/>
        <w:rPr>
          <w:rFonts w:ascii="Times New Roman" w:hAnsi="Times New Roman" w:eastAsia="仿宋_GB2312" w:cs="Times New Roman"/>
          <w:bCs/>
          <w:kern w:val="0"/>
          <w:szCs w:val="21"/>
        </w:rPr>
      </w:pPr>
    </w:p>
    <w:p w14:paraId="5E399900">
      <w:pPr>
        <w:pStyle w:val="2"/>
        <w:rPr>
          <w:rFonts w:ascii="Times New Roman" w:hAnsi="Times New Roman" w:eastAsia="仿宋_GB2312" w:cs="Times New Roman"/>
          <w:bCs/>
          <w:kern w:val="0"/>
          <w:szCs w:val="21"/>
        </w:rPr>
      </w:pPr>
    </w:p>
    <w:p w14:paraId="6073DC46">
      <w:pPr>
        <w:pStyle w:val="2"/>
        <w:rPr>
          <w:rFonts w:ascii="Times New Roman" w:hAnsi="Times New Roman" w:eastAsia="仿宋_GB2312" w:cs="Times New Roman"/>
          <w:bCs/>
          <w:kern w:val="0"/>
          <w:szCs w:val="21"/>
        </w:rPr>
      </w:pPr>
    </w:p>
    <w:p w14:paraId="7AB2AFDB">
      <w:pPr>
        <w:pStyle w:val="2"/>
        <w:rPr>
          <w:rFonts w:ascii="Times New Roman" w:hAnsi="Times New Roman" w:eastAsia="仿宋_GB2312" w:cs="Times New Roman"/>
          <w:bCs/>
          <w:kern w:val="0"/>
          <w:szCs w:val="21"/>
        </w:rPr>
      </w:pPr>
    </w:p>
    <w:p w14:paraId="567DD1F7">
      <w:pPr>
        <w:pStyle w:val="2"/>
        <w:rPr>
          <w:rFonts w:ascii="Times New Roman" w:hAnsi="Times New Roman" w:eastAsia="仿宋_GB2312" w:cs="Times New Roman"/>
          <w:bCs/>
          <w:kern w:val="0"/>
          <w:szCs w:val="21"/>
        </w:rPr>
      </w:pPr>
    </w:p>
    <w:p w14:paraId="1BCC6961">
      <w:pPr>
        <w:pStyle w:val="2"/>
        <w:rPr>
          <w:rFonts w:ascii="Times New Roman" w:hAnsi="Times New Roman" w:eastAsia="仿宋_GB2312" w:cs="Times New Roman"/>
          <w:bCs/>
          <w:kern w:val="0"/>
          <w:szCs w:val="21"/>
        </w:rPr>
      </w:pPr>
    </w:p>
    <w:p w14:paraId="19DD485B">
      <w:pPr>
        <w:pStyle w:val="2"/>
        <w:rPr>
          <w:rFonts w:ascii="Times New Roman" w:hAnsi="Times New Roman" w:eastAsia="仿宋_GB2312" w:cs="Times New Roman"/>
          <w:bCs/>
          <w:kern w:val="0"/>
          <w:szCs w:val="21"/>
        </w:rPr>
      </w:pPr>
    </w:p>
    <w:tbl>
      <w:tblPr>
        <w:tblStyle w:val="9"/>
        <w:tblW w:w="15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93"/>
        <w:gridCol w:w="1286"/>
        <w:gridCol w:w="1736"/>
        <w:gridCol w:w="3841"/>
        <w:gridCol w:w="526"/>
        <w:gridCol w:w="1111"/>
        <w:gridCol w:w="1454"/>
        <w:gridCol w:w="1109"/>
        <w:gridCol w:w="1804"/>
      </w:tblGrid>
      <w:tr w14:paraId="76F8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5560" w:type="dxa"/>
            <w:gridSpan w:val="9"/>
            <w:tcBorders>
              <w:top w:val="nil"/>
              <w:left w:val="nil"/>
              <w:bottom w:val="nil"/>
              <w:right w:val="nil"/>
            </w:tcBorders>
            <w:shd w:val="clear" w:color="auto" w:fill="auto"/>
            <w:noWrap/>
            <w:vAlign w:val="center"/>
          </w:tcPr>
          <w:p w14:paraId="142E808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62ED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693" w:type="dxa"/>
            <w:tcBorders>
              <w:top w:val="nil"/>
              <w:left w:val="nil"/>
              <w:bottom w:val="nil"/>
              <w:right w:val="nil"/>
            </w:tcBorders>
            <w:shd w:val="clear" w:color="auto" w:fill="auto"/>
            <w:noWrap/>
            <w:vAlign w:val="center"/>
          </w:tcPr>
          <w:p w14:paraId="63CC9A47">
            <w:pPr>
              <w:rPr>
                <w:rFonts w:hint="eastAsia" w:ascii="宋体" w:hAnsi="宋体" w:eastAsia="宋体" w:cs="宋体"/>
                <w:i w:val="0"/>
                <w:iCs w:val="0"/>
                <w:color w:val="000000"/>
                <w:sz w:val="22"/>
                <w:szCs w:val="22"/>
                <w:u w:val="none"/>
              </w:rPr>
            </w:pPr>
          </w:p>
        </w:tc>
        <w:tc>
          <w:tcPr>
            <w:tcW w:w="1286" w:type="dxa"/>
            <w:tcBorders>
              <w:top w:val="nil"/>
              <w:left w:val="nil"/>
              <w:bottom w:val="nil"/>
              <w:right w:val="nil"/>
            </w:tcBorders>
            <w:shd w:val="clear" w:color="auto" w:fill="auto"/>
            <w:noWrap/>
            <w:vAlign w:val="center"/>
          </w:tcPr>
          <w:p w14:paraId="7E830F04">
            <w:pPr>
              <w:rPr>
                <w:rFonts w:hint="eastAsia" w:ascii="宋体" w:hAnsi="宋体" w:eastAsia="宋体" w:cs="宋体"/>
                <w:i w:val="0"/>
                <w:iCs w:val="0"/>
                <w:color w:val="000000"/>
                <w:sz w:val="22"/>
                <w:szCs w:val="22"/>
                <w:u w:val="none"/>
              </w:rPr>
            </w:pPr>
          </w:p>
        </w:tc>
        <w:tc>
          <w:tcPr>
            <w:tcW w:w="1736" w:type="dxa"/>
            <w:tcBorders>
              <w:top w:val="nil"/>
              <w:left w:val="nil"/>
              <w:bottom w:val="nil"/>
              <w:right w:val="nil"/>
            </w:tcBorders>
            <w:shd w:val="clear" w:color="auto" w:fill="auto"/>
            <w:noWrap/>
            <w:vAlign w:val="center"/>
          </w:tcPr>
          <w:p w14:paraId="1DC40D25">
            <w:pPr>
              <w:rPr>
                <w:rFonts w:hint="eastAsia" w:ascii="宋体" w:hAnsi="宋体" w:eastAsia="宋体" w:cs="宋体"/>
                <w:i w:val="0"/>
                <w:iCs w:val="0"/>
                <w:color w:val="000000"/>
                <w:sz w:val="22"/>
                <w:szCs w:val="22"/>
                <w:u w:val="none"/>
              </w:rPr>
            </w:pPr>
          </w:p>
        </w:tc>
        <w:tc>
          <w:tcPr>
            <w:tcW w:w="3841" w:type="dxa"/>
            <w:tcBorders>
              <w:top w:val="nil"/>
              <w:left w:val="nil"/>
              <w:bottom w:val="nil"/>
              <w:right w:val="nil"/>
            </w:tcBorders>
            <w:shd w:val="clear" w:color="auto" w:fill="auto"/>
            <w:noWrap/>
            <w:vAlign w:val="center"/>
          </w:tcPr>
          <w:p w14:paraId="1C4F1E28">
            <w:pPr>
              <w:rPr>
                <w:rFonts w:hint="eastAsia" w:ascii="宋体" w:hAnsi="宋体" w:eastAsia="宋体" w:cs="宋体"/>
                <w:i w:val="0"/>
                <w:iCs w:val="0"/>
                <w:color w:val="000000"/>
                <w:sz w:val="22"/>
                <w:szCs w:val="22"/>
                <w:u w:val="none"/>
              </w:rPr>
            </w:pPr>
          </w:p>
        </w:tc>
        <w:tc>
          <w:tcPr>
            <w:tcW w:w="526" w:type="dxa"/>
            <w:tcBorders>
              <w:top w:val="nil"/>
              <w:left w:val="nil"/>
              <w:bottom w:val="nil"/>
              <w:right w:val="nil"/>
            </w:tcBorders>
            <w:shd w:val="clear" w:color="auto" w:fill="auto"/>
            <w:noWrap/>
            <w:vAlign w:val="center"/>
          </w:tcPr>
          <w:p w14:paraId="583729AC">
            <w:pPr>
              <w:rPr>
                <w:rFonts w:hint="eastAsia" w:ascii="宋体" w:hAnsi="宋体" w:eastAsia="宋体" w:cs="宋体"/>
                <w:i w:val="0"/>
                <w:iCs w:val="0"/>
                <w:color w:val="000000"/>
                <w:sz w:val="22"/>
                <w:szCs w:val="22"/>
                <w:u w:val="none"/>
              </w:rPr>
            </w:pPr>
          </w:p>
        </w:tc>
        <w:tc>
          <w:tcPr>
            <w:tcW w:w="1111" w:type="dxa"/>
            <w:tcBorders>
              <w:top w:val="nil"/>
              <w:left w:val="nil"/>
              <w:bottom w:val="nil"/>
              <w:right w:val="nil"/>
            </w:tcBorders>
            <w:shd w:val="clear" w:color="auto" w:fill="auto"/>
            <w:noWrap/>
            <w:vAlign w:val="center"/>
          </w:tcPr>
          <w:p w14:paraId="18E1073D">
            <w:pPr>
              <w:rPr>
                <w:rFonts w:hint="eastAsia" w:ascii="宋体" w:hAnsi="宋体" w:eastAsia="宋体" w:cs="宋体"/>
                <w:i w:val="0"/>
                <w:iCs w:val="0"/>
                <w:color w:val="000000"/>
                <w:sz w:val="22"/>
                <w:szCs w:val="22"/>
                <w:u w:val="none"/>
              </w:rPr>
            </w:pPr>
          </w:p>
        </w:tc>
        <w:tc>
          <w:tcPr>
            <w:tcW w:w="1454" w:type="dxa"/>
            <w:tcBorders>
              <w:top w:val="nil"/>
              <w:left w:val="nil"/>
              <w:bottom w:val="nil"/>
              <w:right w:val="nil"/>
            </w:tcBorders>
            <w:shd w:val="clear" w:color="auto" w:fill="auto"/>
            <w:noWrap/>
            <w:vAlign w:val="center"/>
          </w:tcPr>
          <w:p w14:paraId="3815B1D0">
            <w:pPr>
              <w:rPr>
                <w:rFonts w:hint="eastAsia" w:ascii="宋体" w:hAnsi="宋体" w:eastAsia="宋体" w:cs="宋体"/>
                <w:i w:val="0"/>
                <w:iCs w:val="0"/>
                <w:color w:val="000000"/>
                <w:sz w:val="22"/>
                <w:szCs w:val="22"/>
                <w:u w:val="none"/>
              </w:rPr>
            </w:pPr>
          </w:p>
        </w:tc>
        <w:tc>
          <w:tcPr>
            <w:tcW w:w="1109" w:type="dxa"/>
            <w:tcBorders>
              <w:top w:val="nil"/>
              <w:left w:val="nil"/>
              <w:bottom w:val="nil"/>
              <w:right w:val="nil"/>
            </w:tcBorders>
            <w:shd w:val="clear" w:color="auto" w:fill="auto"/>
            <w:noWrap/>
            <w:vAlign w:val="center"/>
          </w:tcPr>
          <w:p w14:paraId="46078193">
            <w:pPr>
              <w:rPr>
                <w:rFonts w:hint="eastAsia" w:ascii="宋体" w:hAnsi="宋体" w:eastAsia="宋体" w:cs="宋体"/>
                <w:i w:val="0"/>
                <w:iCs w:val="0"/>
                <w:color w:val="000000"/>
                <w:sz w:val="22"/>
                <w:szCs w:val="22"/>
                <w:u w:val="none"/>
              </w:rPr>
            </w:pPr>
          </w:p>
        </w:tc>
        <w:tc>
          <w:tcPr>
            <w:tcW w:w="1804" w:type="dxa"/>
            <w:tcBorders>
              <w:top w:val="nil"/>
              <w:left w:val="nil"/>
              <w:bottom w:val="nil"/>
              <w:right w:val="nil"/>
            </w:tcBorders>
            <w:shd w:val="clear" w:color="auto" w:fill="auto"/>
            <w:noWrap/>
            <w:vAlign w:val="bottom"/>
          </w:tcPr>
          <w:p w14:paraId="0606761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151A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693" w:type="dxa"/>
            <w:tcBorders>
              <w:top w:val="nil"/>
              <w:left w:val="nil"/>
              <w:bottom w:val="nil"/>
              <w:right w:val="nil"/>
            </w:tcBorders>
            <w:shd w:val="clear" w:color="auto" w:fill="auto"/>
            <w:noWrap/>
            <w:vAlign w:val="bottom"/>
          </w:tcPr>
          <w:p w14:paraId="4F61592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1286" w:type="dxa"/>
            <w:tcBorders>
              <w:top w:val="nil"/>
              <w:left w:val="nil"/>
              <w:bottom w:val="nil"/>
              <w:right w:val="nil"/>
            </w:tcBorders>
            <w:shd w:val="clear" w:color="auto" w:fill="auto"/>
            <w:noWrap/>
            <w:vAlign w:val="center"/>
          </w:tcPr>
          <w:p w14:paraId="6E8E0B6B">
            <w:pPr>
              <w:rPr>
                <w:rFonts w:hint="eastAsia" w:ascii="宋体" w:hAnsi="宋体" w:eastAsia="宋体" w:cs="宋体"/>
                <w:i w:val="0"/>
                <w:iCs w:val="0"/>
                <w:color w:val="000000"/>
                <w:sz w:val="22"/>
                <w:szCs w:val="22"/>
                <w:u w:val="none"/>
              </w:rPr>
            </w:pPr>
          </w:p>
        </w:tc>
        <w:tc>
          <w:tcPr>
            <w:tcW w:w="1736" w:type="dxa"/>
            <w:tcBorders>
              <w:top w:val="nil"/>
              <w:left w:val="nil"/>
              <w:bottom w:val="nil"/>
              <w:right w:val="nil"/>
            </w:tcBorders>
            <w:shd w:val="clear" w:color="auto" w:fill="auto"/>
            <w:noWrap/>
            <w:vAlign w:val="center"/>
          </w:tcPr>
          <w:p w14:paraId="3B8F8B5F">
            <w:pPr>
              <w:rPr>
                <w:rFonts w:hint="eastAsia" w:ascii="宋体" w:hAnsi="宋体" w:eastAsia="宋体" w:cs="宋体"/>
                <w:i w:val="0"/>
                <w:iCs w:val="0"/>
                <w:color w:val="000000"/>
                <w:sz w:val="22"/>
                <w:szCs w:val="22"/>
                <w:u w:val="none"/>
              </w:rPr>
            </w:pPr>
          </w:p>
        </w:tc>
        <w:tc>
          <w:tcPr>
            <w:tcW w:w="3841" w:type="dxa"/>
            <w:tcBorders>
              <w:top w:val="nil"/>
              <w:left w:val="nil"/>
              <w:bottom w:val="nil"/>
              <w:right w:val="nil"/>
            </w:tcBorders>
            <w:shd w:val="clear" w:color="auto" w:fill="auto"/>
            <w:noWrap/>
            <w:vAlign w:val="center"/>
          </w:tcPr>
          <w:p w14:paraId="6204DC18">
            <w:pPr>
              <w:rPr>
                <w:rFonts w:hint="eastAsia" w:ascii="宋体" w:hAnsi="宋体" w:eastAsia="宋体" w:cs="宋体"/>
                <w:i w:val="0"/>
                <w:iCs w:val="0"/>
                <w:color w:val="000000"/>
                <w:sz w:val="22"/>
                <w:szCs w:val="22"/>
                <w:u w:val="none"/>
              </w:rPr>
            </w:pPr>
          </w:p>
        </w:tc>
        <w:tc>
          <w:tcPr>
            <w:tcW w:w="526" w:type="dxa"/>
            <w:tcBorders>
              <w:top w:val="nil"/>
              <w:left w:val="nil"/>
              <w:bottom w:val="nil"/>
              <w:right w:val="nil"/>
            </w:tcBorders>
            <w:shd w:val="clear" w:color="auto" w:fill="auto"/>
            <w:noWrap/>
            <w:vAlign w:val="center"/>
          </w:tcPr>
          <w:p w14:paraId="2BC82F02">
            <w:pPr>
              <w:rPr>
                <w:rFonts w:hint="eastAsia" w:ascii="宋体" w:hAnsi="宋体" w:eastAsia="宋体" w:cs="宋体"/>
                <w:i w:val="0"/>
                <w:iCs w:val="0"/>
                <w:color w:val="000000"/>
                <w:sz w:val="22"/>
                <w:szCs w:val="22"/>
                <w:u w:val="none"/>
              </w:rPr>
            </w:pPr>
          </w:p>
        </w:tc>
        <w:tc>
          <w:tcPr>
            <w:tcW w:w="1111" w:type="dxa"/>
            <w:tcBorders>
              <w:top w:val="nil"/>
              <w:left w:val="nil"/>
              <w:bottom w:val="nil"/>
              <w:right w:val="nil"/>
            </w:tcBorders>
            <w:shd w:val="clear" w:color="auto" w:fill="auto"/>
            <w:noWrap/>
            <w:vAlign w:val="center"/>
          </w:tcPr>
          <w:p w14:paraId="22E7EDC4">
            <w:pPr>
              <w:rPr>
                <w:rFonts w:hint="eastAsia" w:ascii="宋体" w:hAnsi="宋体" w:eastAsia="宋体" w:cs="宋体"/>
                <w:i w:val="0"/>
                <w:iCs w:val="0"/>
                <w:color w:val="000000"/>
                <w:sz w:val="22"/>
                <w:szCs w:val="22"/>
                <w:u w:val="none"/>
              </w:rPr>
            </w:pPr>
          </w:p>
        </w:tc>
        <w:tc>
          <w:tcPr>
            <w:tcW w:w="1454" w:type="dxa"/>
            <w:tcBorders>
              <w:top w:val="nil"/>
              <w:left w:val="nil"/>
              <w:bottom w:val="nil"/>
              <w:right w:val="nil"/>
            </w:tcBorders>
            <w:shd w:val="clear" w:color="auto" w:fill="auto"/>
            <w:noWrap/>
            <w:vAlign w:val="center"/>
          </w:tcPr>
          <w:p w14:paraId="5AF92B2E">
            <w:pPr>
              <w:rPr>
                <w:rFonts w:hint="eastAsia" w:ascii="宋体" w:hAnsi="宋体" w:eastAsia="宋体" w:cs="宋体"/>
                <w:i w:val="0"/>
                <w:iCs w:val="0"/>
                <w:color w:val="000000"/>
                <w:sz w:val="22"/>
                <w:szCs w:val="22"/>
                <w:u w:val="none"/>
              </w:rPr>
            </w:pPr>
          </w:p>
        </w:tc>
        <w:tc>
          <w:tcPr>
            <w:tcW w:w="1109" w:type="dxa"/>
            <w:tcBorders>
              <w:top w:val="nil"/>
              <w:left w:val="nil"/>
              <w:bottom w:val="nil"/>
              <w:right w:val="nil"/>
            </w:tcBorders>
            <w:shd w:val="clear" w:color="auto" w:fill="auto"/>
            <w:noWrap/>
            <w:vAlign w:val="center"/>
          </w:tcPr>
          <w:p w14:paraId="0A000BE5">
            <w:pPr>
              <w:rPr>
                <w:rFonts w:hint="eastAsia" w:ascii="宋体" w:hAnsi="宋体" w:eastAsia="宋体" w:cs="宋体"/>
                <w:i w:val="0"/>
                <w:iCs w:val="0"/>
                <w:color w:val="000000"/>
                <w:sz w:val="22"/>
                <w:szCs w:val="22"/>
                <w:u w:val="none"/>
              </w:rPr>
            </w:pPr>
          </w:p>
        </w:tc>
        <w:tc>
          <w:tcPr>
            <w:tcW w:w="1804" w:type="dxa"/>
            <w:tcBorders>
              <w:top w:val="nil"/>
              <w:left w:val="nil"/>
              <w:bottom w:val="nil"/>
              <w:right w:val="nil"/>
            </w:tcBorders>
            <w:shd w:val="clear" w:color="auto" w:fill="auto"/>
            <w:noWrap/>
            <w:vAlign w:val="bottom"/>
          </w:tcPr>
          <w:p w14:paraId="043B59F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B8A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7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8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6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C81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FD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2A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A8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B0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74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8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12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72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A2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FC0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7BD24">
            <w:pPr>
              <w:jc w:val="center"/>
              <w:rPr>
                <w:rFonts w:hint="eastAsia" w:ascii="宋体" w:hAnsi="宋体" w:eastAsia="宋体" w:cs="宋体"/>
                <w:i w:val="0"/>
                <w:iCs w:val="0"/>
                <w:color w:val="000000"/>
                <w:sz w:val="22"/>
                <w:szCs w:val="22"/>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FFA19">
            <w:pPr>
              <w:jc w:val="center"/>
              <w:rPr>
                <w:rFonts w:hint="eastAsia" w:ascii="宋体" w:hAnsi="宋体" w:eastAsia="宋体" w:cs="宋体"/>
                <w:i w:val="0"/>
                <w:iCs w:val="0"/>
                <w:color w:val="000000"/>
                <w:sz w:val="22"/>
                <w:szCs w:val="22"/>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8486">
            <w:pPr>
              <w:jc w:val="center"/>
              <w:rPr>
                <w:rFonts w:hint="eastAsia" w:ascii="宋体" w:hAnsi="宋体" w:eastAsia="宋体" w:cs="宋体"/>
                <w:i w:val="0"/>
                <w:iCs w:val="0"/>
                <w:color w:val="000000"/>
                <w:sz w:val="22"/>
                <w:szCs w:val="22"/>
                <w:u w:val="none"/>
              </w:rPr>
            </w:pPr>
          </w:p>
        </w:tc>
        <w:tc>
          <w:tcPr>
            <w:tcW w:w="3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4DAEF">
            <w:pPr>
              <w:jc w:val="center"/>
              <w:rPr>
                <w:rFonts w:hint="eastAsia" w:ascii="宋体" w:hAnsi="宋体" w:eastAsia="宋体" w:cs="宋体"/>
                <w:i w:val="0"/>
                <w:iCs w:val="0"/>
                <w:color w:val="000000"/>
                <w:sz w:val="22"/>
                <w:szCs w:val="22"/>
                <w:u w:val="none"/>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B919A">
            <w:pPr>
              <w:jc w:val="center"/>
              <w:rPr>
                <w:rFonts w:hint="eastAsia" w:ascii="宋体" w:hAnsi="宋体" w:eastAsia="宋体" w:cs="宋体"/>
                <w:i w:val="0"/>
                <w:iCs w:val="0"/>
                <w:color w:val="000000"/>
                <w:sz w:val="22"/>
                <w:szCs w:val="22"/>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9C79">
            <w:pPr>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41234">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73F57">
            <w:pPr>
              <w:jc w:val="center"/>
              <w:rPr>
                <w:rFonts w:hint="eastAsia" w:ascii="宋体" w:hAnsi="宋体" w:eastAsia="宋体" w:cs="宋体"/>
                <w:i w:val="0"/>
                <w:iCs w:val="0"/>
                <w:color w:val="000000"/>
                <w:sz w:val="22"/>
                <w:szCs w:val="22"/>
                <w:u w:val="none"/>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3F0A">
            <w:pPr>
              <w:jc w:val="center"/>
              <w:rPr>
                <w:rFonts w:hint="eastAsia" w:ascii="宋体" w:hAnsi="宋体" w:eastAsia="宋体" w:cs="宋体"/>
                <w:i w:val="0"/>
                <w:iCs w:val="0"/>
                <w:color w:val="000000"/>
                <w:sz w:val="22"/>
                <w:szCs w:val="22"/>
                <w:u w:val="none"/>
              </w:rPr>
            </w:pPr>
          </w:p>
        </w:tc>
      </w:tr>
      <w:tr w14:paraId="7B17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5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AD80">
            <w:pPr>
              <w:jc w:val="center"/>
              <w:rPr>
                <w:rFonts w:hint="eastAsia" w:ascii="宋体" w:hAnsi="宋体" w:eastAsia="宋体" w:cs="宋体"/>
                <w:i w:val="0"/>
                <w:iCs w:val="0"/>
                <w:color w:val="000000"/>
                <w:sz w:val="22"/>
                <w:szCs w:val="22"/>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9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7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CF44">
            <w:pPr>
              <w:jc w:val="center"/>
              <w:rPr>
                <w:rFonts w:hint="eastAsia" w:ascii="宋体" w:hAnsi="宋体" w:eastAsia="宋体" w:cs="宋体"/>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D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8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2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A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139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7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1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0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3,720.02</w:t>
            </w: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8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2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D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A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C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99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F7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2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C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4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F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3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0E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3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8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1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4A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F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2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33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E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F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51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0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B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B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9A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02AC">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C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19E8">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A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5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E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6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4D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61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E8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1633">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E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3BF6">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B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2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D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B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9D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8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4B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5ECB">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4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48FD">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3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1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D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B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2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F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83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C00B">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8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2B16">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C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D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0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3A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1F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0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0E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10E8">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1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7BD1">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1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3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4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E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2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C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3D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490E">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5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4B94">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4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5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E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A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E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B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93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DC0F">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C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4147">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2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A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E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F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1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1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C3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B4B3">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9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6CB0">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C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8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F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B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A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1A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D5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D174">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E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FAAC">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8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F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4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9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12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2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68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7558">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C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7DC3">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3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A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B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7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9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9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16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53C1">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4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0061">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9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4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B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26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D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F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A1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7B88">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0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8142">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6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B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05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8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6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A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AB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BD6D">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6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37E0">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9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6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1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A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6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C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37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9438">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0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C230">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D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3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4F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7B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4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0D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517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8692">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B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F451">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9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3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6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F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D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F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D5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6DE4">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5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C5C6">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6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1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4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148.85</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01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9E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E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97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70EC">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8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23BE">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F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2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D3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F4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1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6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A8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E8C1">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4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060C">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7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2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3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8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9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0D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24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D93D">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A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7EAE">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C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0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4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3,306.66</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06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3,306.66</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8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F3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A5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06F8">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E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2180">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8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E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3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0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E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A4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07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03B4">
            <w:pPr>
              <w:jc w:val="center"/>
              <w:rPr>
                <w:rFonts w:hint="eastAsia" w:ascii="宋体" w:hAnsi="宋体" w:eastAsia="宋体" w:cs="宋体"/>
                <w:b/>
                <w:bCs/>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2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61DD">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4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7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1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9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71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9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6A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C24F">
            <w:pPr>
              <w:jc w:val="lef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1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9614">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4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F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90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B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0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B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0A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EC01">
            <w:pPr>
              <w:jc w:val="lef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B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00C3">
            <w:pPr>
              <w:jc w:val="right"/>
              <w:rPr>
                <w:rFonts w:hint="eastAsia" w:ascii="宋体" w:hAnsi="宋体" w:eastAsia="宋体" w:cs="宋体"/>
                <w:i w:val="0"/>
                <w:iCs w:val="0"/>
                <w:color w:val="000000"/>
                <w:sz w:val="22"/>
                <w:szCs w:val="22"/>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0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E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3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9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F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1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5F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B3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1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2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3,720.02</w:t>
            </w: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91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1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6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3,720.02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7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3,720.02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1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E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BC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6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3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2A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7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5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8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4F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5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8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FC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A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4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82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5ED7">
            <w:pPr>
              <w:jc w:val="left"/>
              <w:rPr>
                <w:rFonts w:hint="eastAsia" w:ascii="宋体" w:hAnsi="宋体" w:eastAsia="宋体" w:cs="宋体"/>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B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82FC">
            <w:pPr>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D14A">
            <w:pPr>
              <w:jc w:val="right"/>
              <w:rPr>
                <w:rFonts w:hint="eastAsia" w:ascii="宋体" w:hAnsi="宋体" w:eastAsia="宋体" w:cs="宋体"/>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C736">
            <w:pPr>
              <w:jc w:val="right"/>
              <w:rPr>
                <w:rFonts w:hint="eastAsia" w:ascii="宋体" w:hAnsi="宋体" w:eastAsia="宋体" w:cs="宋体"/>
                <w:i w:val="0"/>
                <w:iCs w:val="0"/>
                <w:color w:val="000000"/>
                <w:sz w:val="22"/>
                <w:szCs w:val="22"/>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9898">
            <w:pPr>
              <w:jc w:val="right"/>
              <w:rPr>
                <w:rFonts w:hint="eastAsia" w:ascii="宋体" w:hAnsi="宋体" w:eastAsia="宋体" w:cs="宋体"/>
                <w:i w:val="0"/>
                <w:iCs w:val="0"/>
                <w:color w:val="000000"/>
                <w:sz w:val="22"/>
                <w:szCs w:val="22"/>
                <w:u w:val="none"/>
              </w:rPr>
            </w:pPr>
          </w:p>
        </w:tc>
      </w:tr>
      <w:tr w14:paraId="211E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3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C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A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6701">
            <w:pPr>
              <w:jc w:val="left"/>
              <w:rPr>
                <w:rFonts w:hint="eastAsia" w:ascii="宋体" w:hAnsi="宋体" w:eastAsia="宋体" w:cs="宋体"/>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3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7B4F">
            <w:pPr>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BBF2">
            <w:pPr>
              <w:jc w:val="right"/>
              <w:rPr>
                <w:rFonts w:hint="eastAsia" w:ascii="宋体" w:hAnsi="宋体" w:eastAsia="宋体" w:cs="宋体"/>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442C">
            <w:pPr>
              <w:jc w:val="right"/>
              <w:rPr>
                <w:rFonts w:hint="eastAsia" w:ascii="宋体" w:hAnsi="宋体" w:eastAsia="宋体" w:cs="宋体"/>
                <w:i w:val="0"/>
                <w:iCs w:val="0"/>
                <w:color w:val="000000"/>
                <w:sz w:val="22"/>
                <w:szCs w:val="22"/>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723C">
            <w:pPr>
              <w:jc w:val="right"/>
              <w:rPr>
                <w:rFonts w:hint="eastAsia" w:ascii="宋体" w:hAnsi="宋体" w:eastAsia="宋体" w:cs="宋体"/>
                <w:i w:val="0"/>
                <w:iCs w:val="0"/>
                <w:color w:val="000000"/>
                <w:sz w:val="22"/>
                <w:szCs w:val="22"/>
                <w:u w:val="none"/>
              </w:rPr>
            </w:pPr>
          </w:p>
        </w:tc>
      </w:tr>
      <w:tr w14:paraId="6EFA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F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E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7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2E7A">
            <w:pPr>
              <w:jc w:val="left"/>
              <w:rPr>
                <w:rFonts w:hint="eastAsia" w:ascii="宋体" w:hAnsi="宋体" w:eastAsia="宋体" w:cs="宋体"/>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9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2C9F">
            <w:pPr>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427C">
            <w:pPr>
              <w:jc w:val="right"/>
              <w:rPr>
                <w:rFonts w:hint="eastAsia" w:ascii="宋体" w:hAnsi="宋体" w:eastAsia="宋体" w:cs="宋体"/>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117B">
            <w:pPr>
              <w:jc w:val="right"/>
              <w:rPr>
                <w:rFonts w:hint="eastAsia" w:ascii="宋体" w:hAnsi="宋体" w:eastAsia="宋体" w:cs="宋体"/>
                <w:i w:val="0"/>
                <w:iCs w:val="0"/>
                <w:color w:val="000000"/>
                <w:sz w:val="22"/>
                <w:szCs w:val="22"/>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D993">
            <w:pPr>
              <w:jc w:val="right"/>
              <w:rPr>
                <w:rFonts w:hint="eastAsia" w:ascii="宋体" w:hAnsi="宋体" w:eastAsia="宋体" w:cs="宋体"/>
                <w:i w:val="0"/>
                <w:iCs w:val="0"/>
                <w:color w:val="000000"/>
                <w:sz w:val="22"/>
                <w:szCs w:val="22"/>
                <w:u w:val="none"/>
              </w:rPr>
            </w:pPr>
          </w:p>
        </w:tc>
      </w:tr>
      <w:tr w14:paraId="56AD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37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4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3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3,720.02</w:t>
            </w:r>
          </w:p>
        </w:tc>
        <w:tc>
          <w:tcPr>
            <w:tcW w:w="3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AC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2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0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3,720.02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E0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3,720.02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2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51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60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3756" w:type="dxa"/>
            <w:gridSpan w:val="8"/>
            <w:tcBorders>
              <w:top w:val="nil"/>
              <w:left w:val="nil"/>
              <w:bottom w:val="nil"/>
              <w:right w:val="nil"/>
            </w:tcBorders>
            <w:shd w:val="clear" w:color="auto" w:fill="auto"/>
            <w:noWrap/>
            <w:vAlign w:val="center"/>
          </w:tcPr>
          <w:p w14:paraId="52D19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804" w:type="dxa"/>
            <w:tcBorders>
              <w:top w:val="nil"/>
              <w:left w:val="nil"/>
              <w:bottom w:val="nil"/>
              <w:right w:val="nil"/>
            </w:tcBorders>
            <w:shd w:val="clear" w:color="auto" w:fill="auto"/>
            <w:noWrap/>
            <w:vAlign w:val="center"/>
          </w:tcPr>
          <w:p w14:paraId="23A742E6">
            <w:pPr>
              <w:jc w:val="left"/>
              <w:rPr>
                <w:rFonts w:hint="eastAsia" w:ascii="宋体" w:hAnsi="宋体" w:eastAsia="宋体" w:cs="宋体"/>
                <w:i w:val="0"/>
                <w:iCs w:val="0"/>
                <w:color w:val="000000"/>
                <w:sz w:val="20"/>
                <w:szCs w:val="20"/>
                <w:u w:val="none"/>
              </w:rPr>
            </w:pPr>
          </w:p>
        </w:tc>
      </w:tr>
    </w:tbl>
    <w:p w14:paraId="6CC7DAC0">
      <w:pPr>
        <w:pStyle w:val="2"/>
        <w:rPr>
          <w:rFonts w:ascii="Times New Roman" w:hAnsi="Times New Roman" w:eastAsia="仿宋_GB2312" w:cs="Times New Roman"/>
          <w:bCs/>
          <w:kern w:val="0"/>
          <w:szCs w:val="21"/>
        </w:rPr>
      </w:pPr>
    </w:p>
    <w:p w14:paraId="76B80887">
      <w:pPr>
        <w:pStyle w:val="2"/>
        <w:rPr>
          <w:rFonts w:ascii="Times New Roman" w:hAnsi="Times New Roman" w:eastAsia="仿宋_GB2312" w:cs="Times New Roman"/>
          <w:bCs/>
          <w:kern w:val="0"/>
          <w:szCs w:val="21"/>
        </w:rPr>
      </w:pPr>
    </w:p>
    <w:p w14:paraId="6B328B5A">
      <w:pPr>
        <w:pStyle w:val="2"/>
        <w:rPr>
          <w:rFonts w:ascii="Times New Roman" w:hAnsi="Times New Roman" w:eastAsia="仿宋_GB2312" w:cs="Times New Roman"/>
          <w:bCs/>
          <w:kern w:val="0"/>
          <w:szCs w:val="21"/>
        </w:rPr>
      </w:pPr>
    </w:p>
    <w:p w14:paraId="35009521">
      <w:pPr>
        <w:pStyle w:val="2"/>
        <w:rPr>
          <w:rFonts w:ascii="Times New Roman" w:hAnsi="Times New Roman" w:eastAsia="仿宋_GB2312" w:cs="Times New Roman"/>
          <w:bCs/>
          <w:kern w:val="0"/>
          <w:szCs w:val="21"/>
        </w:rPr>
      </w:pPr>
    </w:p>
    <w:p w14:paraId="093046A8">
      <w:pPr>
        <w:pStyle w:val="2"/>
        <w:rPr>
          <w:rFonts w:ascii="Times New Roman" w:hAnsi="Times New Roman" w:eastAsia="仿宋_GB2312" w:cs="Times New Roman"/>
          <w:bCs/>
          <w:kern w:val="0"/>
          <w:szCs w:val="21"/>
        </w:rPr>
      </w:pPr>
    </w:p>
    <w:p w14:paraId="6DB716C5">
      <w:pPr>
        <w:pStyle w:val="2"/>
        <w:rPr>
          <w:rFonts w:ascii="Times New Roman" w:hAnsi="Times New Roman" w:eastAsia="仿宋_GB2312" w:cs="Times New Roman"/>
          <w:bCs/>
          <w:kern w:val="0"/>
          <w:szCs w:val="21"/>
        </w:rPr>
      </w:pPr>
    </w:p>
    <w:p w14:paraId="598196BD">
      <w:pPr>
        <w:pStyle w:val="2"/>
        <w:rPr>
          <w:rFonts w:ascii="Times New Roman" w:hAnsi="Times New Roman" w:eastAsia="仿宋_GB2312" w:cs="Times New Roman"/>
          <w:bCs/>
          <w:kern w:val="0"/>
          <w:szCs w:val="21"/>
        </w:rPr>
      </w:pPr>
    </w:p>
    <w:p w14:paraId="59B9DD0D">
      <w:pPr>
        <w:pStyle w:val="2"/>
        <w:rPr>
          <w:rFonts w:ascii="Times New Roman" w:hAnsi="Times New Roman" w:eastAsia="仿宋_GB2312" w:cs="Times New Roman"/>
          <w:bCs/>
          <w:kern w:val="0"/>
          <w:szCs w:val="21"/>
        </w:rPr>
      </w:pPr>
    </w:p>
    <w:tbl>
      <w:tblPr>
        <w:tblStyle w:val="9"/>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222"/>
        <w:gridCol w:w="222"/>
        <w:gridCol w:w="3736"/>
        <w:gridCol w:w="1580"/>
        <w:gridCol w:w="1328"/>
        <w:gridCol w:w="2166"/>
      </w:tblGrid>
      <w:tr w14:paraId="62D1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center"/>
          </w:tcPr>
          <w:p w14:paraId="5DDAE49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2958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4752D9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A3BB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6098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98A68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F190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4559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5FF03A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2C81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57E590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center"/>
          </w:tcPr>
          <w:p w14:paraId="692AAE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519F5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0A68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4428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8B44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656B0B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5D8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C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2E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486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32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F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CD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D6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BC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2CE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7B50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E89B">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4DC4">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D899C">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6608">
            <w:pPr>
              <w:jc w:val="center"/>
              <w:rPr>
                <w:rFonts w:hint="eastAsia" w:ascii="宋体" w:hAnsi="宋体" w:eastAsia="宋体" w:cs="宋体"/>
                <w:i w:val="0"/>
                <w:iCs w:val="0"/>
                <w:color w:val="000000"/>
                <w:sz w:val="22"/>
                <w:szCs w:val="22"/>
                <w:u w:val="none"/>
              </w:rPr>
            </w:pPr>
          </w:p>
        </w:tc>
      </w:tr>
      <w:tr w14:paraId="49FE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36E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17F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5C4C">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AD35">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47BFC">
            <w:pPr>
              <w:jc w:val="center"/>
              <w:rPr>
                <w:rFonts w:hint="eastAsia" w:ascii="宋体" w:hAnsi="宋体" w:eastAsia="宋体" w:cs="宋体"/>
                <w:i w:val="0"/>
                <w:iCs w:val="0"/>
                <w:color w:val="000000"/>
                <w:sz w:val="22"/>
                <w:szCs w:val="22"/>
                <w:u w:val="none"/>
              </w:rPr>
            </w:pPr>
          </w:p>
        </w:tc>
      </w:tr>
      <w:tr w14:paraId="43FC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A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C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C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4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22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8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EB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E4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05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2,979.71</w:t>
            </w:r>
          </w:p>
        </w:tc>
      </w:tr>
      <w:tr w14:paraId="7B9F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1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B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93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F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4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A6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E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4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F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7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5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99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E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4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6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61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62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ED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8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B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A5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F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96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68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9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6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74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38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2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5B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5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9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7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5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FD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30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8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3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3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3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2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8F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9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E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6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8C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FA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17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D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E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B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F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9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r>
      <w:tr w14:paraId="5236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2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D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A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7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A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r>
      <w:tr w14:paraId="309E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D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4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D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3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80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r>
      <w:tr w14:paraId="5335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2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C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0F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C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90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r>
      <w:tr w14:paraId="2E83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F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0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B8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0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C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r>
      <w:tr w14:paraId="26E6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A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A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52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61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0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117.20</w:t>
            </w:r>
          </w:p>
        </w:tc>
      </w:tr>
      <w:tr w14:paraId="6C03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9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E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3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F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0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F6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7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7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9C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26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A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03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6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8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7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3D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0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r>
      <w:tr w14:paraId="5F7E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8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D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C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0F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5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r>
      <w:tr w14:paraId="2A2B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7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B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0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0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1F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w:t>
            </w:r>
          </w:p>
        </w:tc>
      </w:tr>
      <w:tr w14:paraId="6DE2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B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C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A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04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8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2,734.76</w:t>
            </w:r>
          </w:p>
        </w:tc>
      </w:tr>
      <w:tr w14:paraId="7DFA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7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0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1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3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D4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770.29</w:t>
            </w:r>
          </w:p>
        </w:tc>
      </w:tr>
      <w:tr w14:paraId="73C9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5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2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FD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F1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2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r>
      <w:tr w14:paraId="156C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B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A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灾害风险防治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8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48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77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w:t>
            </w:r>
          </w:p>
        </w:tc>
      </w:tr>
      <w:tr w14:paraId="4D7A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D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5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C7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3E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F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133.47</w:t>
            </w:r>
          </w:p>
        </w:tc>
      </w:tr>
      <w:tr w14:paraId="7060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B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9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应急救援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7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AC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4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w:t>
            </w:r>
          </w:p>
        </w:tc>
      </w:tr>
      <w:tr w14:paraId="1DA5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1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5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5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23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1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456.61</w:t>
            </w:r>
          </w:p>
        </w:tc>
      </w:tr>
      <w:tr w14:paraId="7126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5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8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4D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5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4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0A46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1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E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其他矿山安全支出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60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1A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6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3907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8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5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3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8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F3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235.88</w:t>
            </w:r>
          </w:p>
        </w:tc>
      </w:tr>
      <w:tr w14:paraId="2E14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4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D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D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A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69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218A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2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9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8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8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6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r>
      <w:tr w14:paraId="2856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0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B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AC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3D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9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20.88</w:t>
            </w:r>
          </w:p>
        </w:tc>
      </w:tr>
      <w:tr w14:paraId="1DA3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9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F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0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FA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42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1,651.59</w:t>
            </w:r>
          </w:p>
        </w:tc>
      </w:tr>
      <w:tr w14:paraId="55DC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D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F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1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1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4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1,651.59</w:t>
            </w:r>
          </w:p>
        </w:tc>
      </w:tr>
      <w:tr w14:paraId="61B6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7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2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1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F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B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14:paraId="6CEC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9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9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C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0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E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14:paraId="0E4E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nil"/>
              <w:left w:val="nil"/>
              <w:bottom w:val="nil"/>
              <w:right w:val="nil"/>
            </w:tcBorders>
            <w:shd w:val="clear" w:color="auto" w:fill="auto"/>
            <w:noWrap/>
            <w:vAlign w:val="center"/>
          </w:tcPr>
          <w:p w14:paraId="4D134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57448A01">
      <w:pPr>
        <w:pStyle w:val="2"/>
        <w:rPr>
          <w:rFonts w:ascii="Times New Roman" w:hAnsi="Times New Roman" w:eastAsia="仿宋_GB2312" w:cs="Times New Roman"/>
          <w:bCs/>
          <w:kern w:val="0"/>
          <w:szCs w:val="21"/>
        </w:rPr>
      </w:pPr>
    </w:p>
    <w:p w14:paraId="24D2C300">
      <w:pPr>
        <w:pStyle w:val="2"/>
        <w:rPr>
          <w:rFonts w:ascii="Times New Roman" w:hAnsi="Times New Roman" w:eastAsia="仿宋_GB2312" w:cs="Times New Roman"/>
          <w:bCs/>
          <w:kern w:val="0"/>
          <w:szCs w:val="21"/>
        </w:rPr>
      </w:pPr>
    </w:p>
    <w:p w14:paraId="4D56422C">
      <w:pPr>
        <w:pStyle w:val="2"/>
        <w:rPr>
          <w:rFonts w:ascii="Times New Roman" w:hAnsi="Times New Roman" w:eastAsia="仿宋_GB2312" w:cs="Times New Roman"/>
          <w:bCs/>
          <w:kern w:val="0"/>
          <w:szCs w:val="21"/>
        </w:rPr>
      </w:pPr>
    </w:p>
    <w:p w14:paraId="4C6A9862">
      <w:pPr>
        <w:pStyle w:val="2"/>
        <w:rPr>
          <w:rFonts w:ascii="Times New Roman" w:hAnsi="Times New Roman" w:eastAsia="仿宋_GB2312" w:cs="Times New Roman"/>
          <w:bCs/>
          <w:kern w:val="0"/>
          <w:szCs w:val="21"/>
        </w:rPr>
      </w:pPr>
    </w:p>
    <w:p w14:paraId="0093C545">
      <w:pPr>
        <w:pStyle w:val="2"/>
        <w:rPr>
          <w:rFonts w:ascii="Times New Roman" w:hAnsi="Times New Roman" w:eastAsia="仿宋_GB2312" w:cs="Times New Roman"/>
          <w:bCs/>
          <w:kern w:val="0"/>
          <w:szCs w:val="21"/>
        </w:rPr>
      </w:pPr>
    </w:p>
    <w:p w14:paraId="2A2C0542">
      <w:pPr>
        <w:pStyle w:val="2"/>
        <w:rPr>
          <w:rFonts w:ascii="Times New Roman" w:hAnsi="Times New Roman" w:eastAsia="仿宋_GB2312" w:cs="Times New Roman"/>
          <w:bCs/>
          <w:kern w:val="0"/>
          <w:szCs w:val="21"/>
        </w:rPr>
      </w:pPr>
    </w:p>
    <w:p w14:paraId="37024DC4">
      <w:pPr>
        <w:pStyle w:val="2"/>
        <w:rPr>
          <w:rFonts w:ascii="Times New Roman" w:hAnsi="Times New Roman" w:eastAsia="仿宋_GB2312" w:cs="Times New Roman"/>
          <w:bCs/>
          <w:kern w:val="0"/>
          <w:szCs w:val="21"/>
        </w:rPr>
      </w:pPr>
    </w:p>
    <w:p w14:paraId="2574E986">
      <w:pPr>
        <w:pStyle w:val="2"/>
        <w:rPr>
          <w:rFonts w:ascii="Times New Roman" w:hAnsi="Times New Roman" w:eastAsia="仿宋_GB2312" w:cs="Times New Roman"/>
          <w:bCs/>
          <w:kern w:val="0"/>
          <w:szCs w:val="21"/>
        </w:rPr>
      </w:pPr>
    </w:p>
    <w:p w14:paraId="5B22469B">
      <w:pPr>
        <w:pStyle w:val="2"/>
        <w:rPr>
          <w:rFonts w:ascii="Times New Roman" w:hAnsi="Times New Roman" w:eastAsia="仿宋_GB2312" w:cs="Times New Roman"/>
          <w:bCs/>
          <w:kern w:val="0"/>
          <w:szCs w:val="21"/>
        </w:rPr>
      </w:pPr>
    </w:p>
    <w:p w14:paraId="578493EB">
      <w:pPr>
        <w:pStyle w:val="2"/>
        <w:rPr>
          <w:rFonts w:ascii="Times New Roman" w:hAnsi="Times New Roman" w:eastAsia="仿宋_GB2312" w:cs="Times New Roman"/>
          <w:bCs/>
          <w:kern w:val="0"/>
          <w:szCs w:val="21"/>
        </w:rPr>
      </w:pPr>
    </w:p>
    <w:p w14:paraId="2DE164BD">
      <w:pPr>
        <w:pStyle w:val="2"/>
        <w:rPr>
          <w:rFonts w:ascii="Times New Roman" w:hAnsi="Times New Roman" w:eastAsia="仿宋_GB2312" w:cs="Times New Roman"/>
          <w:bCs/>
          <w:kern w:val="0"/>
          <w:szCs w:val="21"/>
        </w:rPr>
      </w:pPr>
    </w:p>
    <w:p w14:paraId="49CFD208">
      <w:pPr>
        <w:pStyle w:val="2"/>
        <w:rPr>
          <w:rFonts w:ascii="Times New Roman" w:hAnsi="Times New Roman" w:eastAsia="仿宋_GB2312" w:cs="Times New Roman"/>
          <w:bCs/>
          <w:kern w:val="0"/>
          <w:szCs w:val="21"/>
        </w:rPr>
      </w:pPr>
    </w:p>
    <w:tbl>
      <w:tblPr>
        <w:tblStyle w:val="9"/>
        <w:tblW w:w="15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5"/>
        <w:gridCol w:w="881"/>
        <w:gridCol w:w="766"/>
        <w:gridCol w:w="2428"/>
        <w:gridCol w:w="771"/>
        <w:gridCol w:w="772"/>
        <w:gridCol w:w="4396"/>
        <w:gridCol w:w="771"/>
      </w:tblGrid>
      <w:tr w14:paraId="6718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75" w:type="dxa"/>
            <w:gridSpan w:val="9"/>
            <w:tcBorders>
              <w:top w:val="nil"/>
              <w:left w:val="nil"/>
              <w:bottom w:val="nil"/>
              <w:right w:val="nil"/>
            </w:tcBorders>
            <w:shd w:val="clear" w:color="auto" w:fill="auto"/>
            <w:noWrap/>
            <w:vAlign w:val="center"/>
          </w:tcPr>
          <w:p w14:paraId="7721620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6736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CBDB2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FA2C5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E0010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20E57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5A224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CB69A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285286">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bottom"/>
          </w:tcPr>
          <w:p w14:paraId="38811FB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7866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color="auto" w:fill="auto"/>
            <w:noWrap/>
            <w:vAlign w:val="bottom"/>
          </w:tcPr>
          <w:p w14:paraId="6F71E3E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部门：溆浦县应急管理局</w:t>
            </w:r>
          </w:p>
        </w:tc>
        <w:tc>
          <w:tcPr>
            <w:tcW w:w="0" w:type="auto"/>
            <w:tcBorders>
              <w:top w:val="nil"/>
              <w:left w:val="nil"/>
              <w:bottom w:val="nil"/>
              <w:right w:val="nil"/>
            </w:tcBorders>
            <w:shd w:val="clear" w:color="auto" w:fill="auto"/>
            <w:noWrap/>
            <w:vAlign w:val="center"/>
          </w:tcPr>
          <w:p w14:paraId="46C5173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038E0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7DFB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FC636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C16AFC">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bottom"/>
          </w:tcPr>
          <w:p w14:paraId="61FD104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B88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7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F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770D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F3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29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BE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F9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EC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F6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5F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2B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2C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4B6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E1237">
            <w:pPr>
              <w:jc w:val="center"/>
              <w:rPr>
                <w:rFonts w:hint="eastAsia" w:ascii="宋体" w:hAnsi="宋体" w:eastAsia="宋体" w:cs="宋体"/>
                <w:i w:val="0"/>
                <w:iCs w:val="0"/>
                <w:color w:val="000000"/>
                <w:sz w:val="22"/>
                <w:szCs w:val="22"/>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CD893">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D4576">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73E0">
            <w:pPr>
              <w:jc w:val="center"/>
              <w:rPr>
                <w:rFonts w:hint="eastAsia" w:ascii="宋体" w:hAnsi="宋体" w:eastAsia="宋体" w:cs="宋体"/>
                <w:i w:val="0"/>
                <w:iCs w:val="0"/>
                <w:color w:val="000000"/>
                <w:sz w:val="22"/>
                <w:szCs w:val="22"/>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8736">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27F5B">
            <w:pPr>
              <w:jc w:val="center"/>
              <w:rPr>
                <w:rFonts w:hint="eastAsia" w:ascii="宋体" w:hAnsi="宋体" w:eastAsia="宋体" w:cs="宋体"/>
                <w:i w:val="0"/>
                <w:iCs w:val="0"/>
                <w:color w:val="000000"/>
                <w:sz w:val="22"/>
                <w:szCs w:val="22"/>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8B12">
            <w:pPr>
              <w:jc w:val="center"/>
              <w:rPr>
                <w:rFonts w:hint="eastAsia" w:ascii="宋体" w:hAnsi="宋体" w:eastAsia="宋体" w:cs="宋体"/>
                <w:i w:val="0"/>
                <w:iCs w:val="0"/>
                <w:color w:val="000000"/>
                <w:sz w:val="22"/>
                <w:szCs w:val="22"/>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015B9">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B6E3">
            <w:pPr>
              <w:jc w:val="center"/>
              <w:rPr>
                <w:rFonts w:hint="eastAsia" w:ascii="宋体" w:hAnsi="宋体" w:eastAsia="宋体" w:cs="宋体"/>
                <w:i w:val="0"/>
                <w:iCs w:val="0"/>
                <w:color w:val="000000"/>
                <w:sz w:val="22"/>
                <w:szCs w:val="22"/>
                <w:u w:val="none"/>
              </w:rPr>
            </w:pPr>
          </w:p>
        </w:tc>
      </w:tr>
      <w:tr w14:paraId="4378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0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A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AF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D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7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04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8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6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9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42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3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5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EE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C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9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B4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F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5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5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85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B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1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3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0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0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D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C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8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C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30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0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6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2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E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C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E9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F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0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F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CE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E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1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1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5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D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84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B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F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6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CB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D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F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78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9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5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9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5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4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D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E2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B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E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0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6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D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D4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7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D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2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51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E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F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D0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8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6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EA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3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1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4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AA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8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9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0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D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4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3A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2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0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4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F4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B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3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5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4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7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A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2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5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6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67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A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6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A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A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3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4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5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2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A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30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D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2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2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D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3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6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B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E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3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6E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3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2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1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5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5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B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3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6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0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25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8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9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8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7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5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7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D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4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6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32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7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3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D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0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D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0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3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E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9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A7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F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8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6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F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6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25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2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F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2E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D5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B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F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7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D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6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E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A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D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E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51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1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7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E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7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C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4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6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0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2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7D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5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A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8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3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8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CB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8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6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5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4F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E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4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E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8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8C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E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8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6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9E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7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A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3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A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3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5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7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9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5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22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1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3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2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8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2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D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4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9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94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26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0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B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1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7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6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1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0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4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2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9F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C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2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5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6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9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2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3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3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9F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C5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6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2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F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4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0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C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A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5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D1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2B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0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1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6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3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7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0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0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5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4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A4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E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9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D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1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F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7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AF2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357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6187">
            <w:pPr>
              <w:jc w:val="right"/>
              <w:rPr>
                <w:rFonts w:hint="eastAsia" w:ascii="宋体" w:hAnsi="宋体" w:eastAsia="宋体" w:cs="宋体"/>
                <w:i w:val="0"/>
                <w:iCs w:val="0"/>
                <w:color w:val="000000"/>
                <w:sz w:val="22"/>
                <w:szCs w:val="22"/>
                <w:u w:val="none"/>
              </w:rPr>
            </w:pPr>
          </w:p>
        </w:tc>
      </w:tr>
      <w:tr w14:paraId="2799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099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53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3B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B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F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B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86D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397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FB91">
            <w:pPr>
              <w:jc w:val="right"/>
              <w:rPr>
                <w:rFonts w:hint="eastAsia" w:ascii="宋体" w:hAnsi="宋体" w:eastAsia="宋体" w:cs="宋体"/>
                <w:i w:val="0"/>
                <w:iCs w:val="0"/>
                <w:color w:val="000000"/>
                <w:sz w:val="22"/>
                <w:szCs w:val="22"/>
                <w:u w:val="none"/>
              </w:rPr>
            </w:pPr>
          </w:p>
        </w:tc>
      </w:tr>
      <w:tr w14:paraId="23E8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C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FE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651.36</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2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E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88.95</w:t>
            </w:r>
          </w:p>
        </w:tc>
      </w:tr>
      <w:tr w14:paraId="73741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auto" w:fill="auto"/>
            <w:noWrap/>
            <w:vAlign w:val="center"/>
          </w:tcPr>
          <w:p w14:paraId="4AF8A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45BDB925">
      <w:pPr>
        <w:pStyle w:val="2"/>
        <w:rPr>
          <w:rFonts w:ascii="Times New Roman" w:hAnsi="Times New Roman" w:eastAsia="仿宋_GB2312" w:cs="Times New Roman"/>
          <w:bCs/>
          <w:kern w:val="0"/>
          <w:szCs w:val="21"/>
        </w:rPr>
      </w:pPr>
    </w:p>
    <w:p w14:paraId="06D6368E">
      <w:pPr>
        <w:pStyle w:val="2"/>
        <w:rPr>
          <w:rFonts w:ascii="Times New Roman" w:hAnsi="Times New Roman" w:eastAsia="仿宋_GB2312" w:cs="Times New Roman"/>
          <w:bCs/>
          <w:kern w:val="0"/>
          <w:szCs w:val="21"/>
        </w:rPr>
      </w:pPr>
    </w:p>
    <w:p w14:paraId="7D476EE3">
      <w:pPr>
        <w:pStyle w:val="2"/>
        <w:rPr>
          <w:rFonts w:ascii="Times New Roman" w:hAnsi="Times New Roman" w:eastAsia="仿宋_GB2312" w:cs="Times New Roman"/>
          <w:bCs/>
          <w:kern w:val="0"/>
          <w:szCs w:val="21"/>
        </w:rPr>
      </w:pPr>
    </w:p>
    <w:p w14:paraId="675AFA42">
      <w:pPr>
        <w:pStyle w:val="2"/>
        <w:rPr>
          <w:rFonts w:ascii="Times New Roman" w:hAnsi="Times New Roman" w:eastAsia="仿宋_GB2312" w:cs="Times New Roman"/>
          <w:bCs/>
          <w:kern w:val="0"/>
          <w:szCs w:val="21"/>
        </w:rPr>
      </w:pPr>
    </w:p>
    <w:p w14:paraId="57E117CC">
      <w:pPr>
        <w:pStyle w:val="2"/>
        <w:rPr>
          <w:rFonts w:ascii="Times New Roman" w:hAnsi="Times New Roman" w:eastAsia="仿宋_GB2312" w:cs="Times New Roman"/>
          <w:bCs/>
          <w:kern w:val="0"/>
          <w:szCs w:val="21"/>
        </w:rPr>
      </w:pPr>
    </w:p>
    <w:p w14:paraId="450ACDE5">
      <w:pPr>
        <w:pStyle w:val="2"/>
        <w:rPr>
          <w:rFonts w:ascii="Times New Roman" w:hAnsi="Times New Roman" w:eastAsia="仿宋_GB2312" w:cs="Times New Roman"/>
          <w:bCs/>
          <w:kern w:val="0"/>
          <w:szCs w:val="21"/>
        </w:rPr>
      </w:pPr>
    </w:p>
    <w:p w14:paraId="6AA3B9B2">
      <w:pPr>
        <w:pStyle w:val="2"/>
        <w:rPr>
          <w:rFonts w:ascii="Times New Roman" w:hAnsi="Times New Roman" w:eastAsia="仿宋_GB2312" w:cs="Times New Roman"/>
          <w:bCs/>
          <w:kern w:val="0"/>
          <w:szCs w:val="21"/>
        </w:rPr>
      </w:pPr>
    </w:p>
    <w:p w14:paraId="6F699E00">
      <w:pPr>
        <w:pStyle w:val="2"/>
        <w:rPr>
          <w:rFonts w:ascii="Times New Roman" w:hAnsi="Times New Roman" w:eastAsia="仿宋_GB2312" w:cs="Times New Roman"/>
          <w:bCs/>
          <w:kern w:val="0"/>
          <w:szCs w:val="21"/>
        </w:rPr>
      </w:pPr>
    </w:p>
    <w:p w14:paraId="7FF79361">
      <w:pPr>
        <w:pStyle w:val="2"/>
        <w:rPr>
          <w:rFonts w:ascii="Times New Roman" w:hAnsi="Times New Roman" w:eastAsia="仿宋_GB2312" w:cs="Times New Roman"/>
          <w:bCs/>
          <w:kern w:val="0"/>
          <w:szCs w:val="21"/>
        </w:rPr>
      </w:pPr>
    </w:p>
    <w:p w14:paraId="18357F85">
      <w:pPr>
        <w:pStyle w:val="2"/>
        <w:rPr>
          <w:rFonts w:ascii="Times New Roman" w:hAnsi="Times New Roman" w:eastAsia="仿宋_GB2312" w:cs="Times New Roman"/>
          <w:bCs/>
          <w:kern w:val="0"/>
          <w:szCs w:val="21"/>
        </w:rPr>
      </w:pPr>
    </w:p>
    <w:p w14:paraId="3267D299">
      <w:pPr>
        <w:pStyle w:val="2"/>
        <w:rPr>
          <w:rFonts w:ascii="Times New Roman" w:hAnsi="Times New Roman" w:eastAsia="仿宋_GB2312" w:cs="Times New Roman"/>
          <w:bCs/>
          <w:kern w:val="0"/>
          <w:szCs w:val="21"/>
        </w:rPr>
      </w:pPr>
    </w:p>
    <w:p w14:paraId="26451DD4">
      <w:pPr>
        <w:pStyle w:val="2"/>
        <w:rPr>
          <w:rFonts w:ascii="Times New Roman" w:hAnsi="Times New Roman" w:eastAsia="仿宋_GB2312" w:cs="Times New Roman"/>
          <w:bCs/>
          <w:kern w:val="0"/>
          <w:szCs w:val="21"/>
        </w:rPr>
      </w:pPr>
    </w:p>
    <w:p w14:paraId="12C13A35">
      <w:pPr>
        <w:pStyle w:val="2"/>
        <w:rPr>
          <w:rFonts w:ascii="Times New Roman" w:hAnsi="Times New Roman" w:eastAsia="仿宋_GB2312" w:cs="Times New Roman"/>
          <w:bCs/>
          <w:kern w:val="0"/>
          <w:szCs w:val="21"/>
        </w:rPr>
      </w:pPr>
    </w:p>
    <w:p w14:paraId="3D1D04F7">
      <w:pPr>
        <w:pStyle w:val="2"/>
        <w:rPr>
          <w:rFonts w:ascii="Times New Roman" w:hAnsi="Times New Roman" w:eastAsia="仿宋_GB2312" w:cs="Times New Roman"/>
          <w:bCs/>
          <w:kern w:val="0"/>
          <w:szCs w:val="21"/>
        </w:rPr>
      </w:pPr>
    </w:p>
    <w:p w14:paraId="016100D2">
      <w:pPr>
        <w:pStyle w:val="2"/>
        <w:rPr>
          <w:rFonts w:ascii="Times New Roman" w:hAnsi="Times New Roman" w:eastAsia="仿宋_GB2312" w:cs="Times New Roman"/>
          <w:bCs/>
          <w:kern w:val="0"/>
          <w:szCs w:val="21"/>
        </w:rPr>
      </w:pPr>
    </w:p>
    <w:p w14:paraId="1189C3CB">
      <w:pPr>
        <w:pStyle w:val="2"/>
        <w:rPr>
          <w:rFonts w:ascii="Times New Roman" w:hAnsi="Times New Roman" w:eastAsia="仿宋_GB2312" w:cs="Times New Roman"/>
          <w:bCs/>
          <w:kern w:val="0"/>
          <w:szCs w:val="21"/>
        </w:rPr>
      </w:pPr>
    </w:p>
    <w:p w14:paraId="641AA39E">
      <w:pPr>
        <w:pStyle w:val="2"/>
        <w:rPr>
          <w:rFonts w:ascii="Times New Roman" w:hAnsi="Times New Roman" w:eastAsia="仿宋_GB2312" w:cs="Times New Roman"/>
          <w:bCs/>
          <w:kern w:val="0"/>
          <w:szCs w:val="21"/>
        </w:rPr>
      </w:pPr>
    </w:p>
    <w:p w14:paraId="42CAB835">
      <w:pPr>
        <w:pStyle w:val="2"/>
        <w:rPr>
          <w:rFonts w:ascii="Times New Roman" w:hAnsi="Times New Roman" w:eastAsia="仿宋_GB2312" w:cs="Times New Roman"/>
          <w:bCs/>
          <w:kern w:val="0"/>
          <w:szCs w:val="21"/>
        </w:rPr>
      </w:pPr>
    </w:p>
    <w:p w14:paraId="78F795E6">
      <w:pPr>
        <w:pStyle w:val="2"/>
        <w:rPr>
          <w:rFonts w:ascii="Times New Roman" w:hAnsi="Times New Roman" w:eastAsia="仿宋_GB2312" w:cs="Times New Roman"/>
          <w:bCs/>
          <w:kern w:val="0"/>
          <w:szCs w:val="21"/>
        </w:rPr>
      </w:pPr>
    </w:p>
    <w:tbl>
      <w:tblPr>
        <w:tblStyle w:val="9"/>
        <w:tblW w:w="15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240"/>
        <w:gridCol w:w="1385"/>
        <w:gridCol w:w="2108"/>
        <w:gridCol w:w="2272"/>
        <w:gridCol w:w="2091"/>
        <w:gridCol w:w="2094"/>
        <w:gridCol w:w="2091"/>
        <w:gridCol w:w="2091"/>
      </w:tblGrid>
      <w:tr w14:paraId="44BB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363" w:type="dxa"/>
            <w:gridSpan w:val="9"/>
            <w:tcBorders>
              <w:top w:val="nil"/>
              <w:left w:val="nil"/>
              <w:bottom w:val="nil"/>
              <w:right w:val="nil"/>
            </w:tcBorders>
            <w:shd w:val="clear" w:color="auto" w:fill="auto"/>
            <w:vAlign w:val="center"/>
          </w:tcPr>
          <w:p w14:paraId="768CEC6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0690FD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53B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91" w:type="dxa"/>
            <w:tcBorders>
              <w:top w:val="nil"/>
              <w:left w:val="nil"/>
              <w:bottom w:val="nil"/>
              <w:right w:val="nil"/>
            </w:tcBorders>
            <w:shd w:val="clear" w:color="auto" w:fill="auto"/>
            <w:vAlign w:val="center"/>
          </w:tcPr>
          <w:p w14:paraId="5C1252FA">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auto"/>
            <w:vAlign w:val="center"/>
          </w:tcPr>
          <w:p w14:paraId="1FB8FE43">
            <w:pP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auto"/>
            <w:vAlign w:val="center"/>
          </w:tcPr>
          <w:p w14:paraId="2CEE845D">
            <w:pPr>
              <w:jc w:val="center"/>
              <w:rPr>
                <w:rFonts w:hint="eastAsia" w:ascii="宋体" w:hAnsi="宋体" w:eastAsia="宋体" w:cs="宋体"/>
                <w:i w:val="0"/>
                <w:color w:val="000000"/>
                <w:sz w:val="20"/>
                <w:szCs w:val="20"/>
                <w:u w:val="none"/>
              </w:rPr>
            </w:pPr>
          </w:p>
        </w:tc>
        <w:tc>
          <w:tcPr>
            <w:tcW w:w="2108" w:type="dxa"/>
            <w:tcBorders>
              <w:top w:val="nil"/>
              <w:left w:val="nil"/>
              <w:bottom w:val="nil"/>
              <w:right w:val="nil"/>
            </w:tcBorders>
            <w:shd w:val="clear" w:color="auto" w:fill="auto"/>
            <w:vAlign w:val="center"/>
          </w:tcPr>
          <w:p w14:paraId="5E73A0DB">
            <w:pPr>
              <w:rPr>
                <w:rFonts w:hint="eastAsia" w:ascii="宋体" w:hAnsi="宋体" w:eastAsia="宋体" w:cs="宋体"/>
                <w:i w:val="0"/>
                <w:color w:val="000000"/>
                <w:sz w:val="20"/>
                <w:szCs w:val="20"/>
                <w:u w:val="none"/>
              </w:rPr>
            </w:pPr>
          </w:p>
        </w:tc>
        <w:tc>
          <w:tcPr>
            <w:tcW w:w="2272" w:type="dxa"/>
            <w:tcBorders>
              <w:top w:val="nil"/>
              <w:left w:val="nil"/>
              <w:bottom w:val="nil"/>
              <w:right w:val="nil"/>
            </w:tcBorders>
            <w:shd w:val="clear" w:color="auto" w:fill="auto"/>
            <w:vAlign w:val="center"/>
          </w:tcPr>
          <w:p w14:paraId="1666D85F">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vAlign w:val="center"/>
          </w:tcPr>
          <w:p w14:paraId="0489FAA1">
            <w:pPr>
              <w:rPr>
                <w:rFonts w:hint="eastAsia" w:ascii="宋体" w:hAnsi="宋体" w:eastAsia="宋体" w:cs="宋体"/>
                <w:i w:val="0"/>
                <w:color w:val="000000"/>
                <w:sz w:val="20"/>
                <w:szCs w:val="20"/>
                <w:u w:val="none"/>
              </w:rPr>
            </w:pPr>
          </w:p>
        </w:tc>
        <w:tc>
          <w:tcPr>
            <w:tcW w:w="2094" w:type="dxa"/>
            <w:tcBorders>
              <w:top w:val="nil"/>
              <w:left w:val="nil"/>
              <w:bottom w:val="nil"/>
              <w:right w:val="nil"/>
            </w:tcBorders>
            <w:shd w:val="clear" w:color="auto" w:fill="auto"/>
            <w:vAlign w:val="center"/>
          </w:tcPr>
          <w:p w14:paraId="615C9BD7">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vAlign w:val="center"/>
          </w:tcPr>
          <w:p w14:paraId="3050FFB6">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noWrap/>
            <w:vAlign w:val="center"/>
          </w:tcPr>
          <w:p w14:paraId="60BE048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5A7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724" w:type="dxa"/>
            <w:gridSpan w:val="4"/>
            <w:tcBorders>
              <w:top w:val="nil"/>
              <w:left w:val="nil"/>
              <w:bottom w:val="nil"/>
              <w:right w:val="nil"/>
            </w:tcBorders>
            <w:shd w:val="clear" w:color="auto" w:fill="auto"/>
            <w:noWrap/>
            <w:vAlign w:val="center"/>
          </w:tcPr>
          <w:p w14:paraId="6FC79BC8">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部门：溆浦县应急管理局</w:t>
            </w:r>
          </w:p>
        </w:tc>
        <w:tc>
          <w:tcPr>
            <w:tcW w:w="2272" w:type="dxa"/>
            <w:tcBorders>
              <w:top w:val="nil"/>
              <w:left w:val="nil"/>
              <w:bottom w:val="nil"/>
              <w:right w:val="nil"/>
            </w:tcBorders>
            <w:shd w:val="clear" w:color="auto" w:fill="auto"/>
            <w:vAlign w:val="center"/>
          </w:tcPr>
          <w:p w14:paraId="017A0827">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vAlign w:val="center"/>
          </w:tcPr>
          <w:p w14:paraId="436CEAEE">
            <w:pPr>
              <w:rPr>
                <w:rFonts w:hint="eastAsia" w:ascii="宋体" w:hAnsi="宋体" w:eastAsia="宋体" w:cs="宋体"/>
                <w:i w:val="0"/>
                <w:color w:val="000000"/>
                <w:sz w:val="20"/>
                <w:szCs w:val="20"/>
                <w:u w:val="none"/>
              </w:rPr>
            </w:pPr>
          </w:p>
        </w:tc>
        <w:tc>
          <w:tcPr>
            <w:tcW w:w="2094" w:type="dxa"/>
            <w:tcBorders>
              <w:top w:val="nil"/>
              <w:left w:val="nil"/>
              <w:bottom w:val="nil"/>
              <w:right w:val="nil"/>
            </w:tcBorders>
            <w:shd w:val="clear" w:color="auto" w:fill="auto"/>
            <w:vAlign w:val="center"/>
          </w:tcPr>
          <w:p w14:paraId="3E903B34">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vAlign w:val="center"/>
          </w:tcPr>
          <w:p w14:paraId="51BCD643">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noWrap/>
            <w:vAlign w:val="center"/>
          </w:tcPr>
          <w:p w14:paraId="57307B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23D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4A7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86A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B32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DE6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F77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0E2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CBF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3BD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957C">
            <w:pPr>
              <w:jc w:val="center"/>
              <w:rPr>
                <w:rFonts w:hint="eastAsia" w:ascii="宋体" w:hAnsi="宋体" w:eastAsia="宋体" w:cs="宋体"/>
                <w:i w:val="0"/>
                <w:color w:val="000000"/>
                <w:sz w:val="24"/>
                <w:szCs w:val="24"/>
                <w:u w:val="none"/>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2991">
            <w:pPr>
              <w:jc w:val="center"/>
              <w:rPr>
                <w:rFonts w:hint="eastAsia" w:ascii="宋体" w:hAnsi="宋体" w:eastAsia="宋体" w:cs="宋体"/>
                <w:i w:val="0"/>
                <w:color w:val="000000"/>
                <w:sz w:val="24"/>
                <w:szCs w:val="24"/>
                <w:u w:val="none"/>
              </w:rPr>
            </w:pP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5C1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8D1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607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8239">
            <w:pPr>
              <w:jc w:val="center"/>
              <w:rPr>
                <w:rFonts w:hint="eastAsia" w:ascii="宋体" w:hAnsi="宋体" w:eastAsia="宋体" w:cs="宋体"/>
                <w:i w:val="0"/>
                <w:color w:val="000000"/>
                <w:sz w:val="24"/>
                <w:szCs w:val="24"/>
                <w:u w:val="none"/>
              </w:rPr>
            </w:pPr>
          </w:p>
        </w:tc>
      </w:tr>
      <w:tr w14:paraId="1FE4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DB36">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5339">
            <w:pPr>
              <w:jc w:val="center"/>
              <w:rPr>
                <w:rFonts w:hint="eastAsia" w:ascii="宋体" w:hAnsi="宋体" w:eastAsia="宋体" w:cs="宋体"/>
                <w:i w:val="0"/>
                <w:color w:val="000000"/>
                <w:sz w:val="24"/>
                <w:szCs w:val="24"/>
                <w:u w:val="none"/>
              </w:rPr>
            </w:pPr>
          </w:p>
        </w:tc>
        <w:tc>
          <w:tcPr>
            <w:tcW w:w="2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A2616">
            <w:pPr>
              <w:jc w:val="center"/>
              <w:rPr>
                <w:rFonts w:hint="eastAsia" w:ascii="宋体" w:hAnsi="宋体" w:eastAsia="宋体" w:cs="宋体"/>
                <w:i w:val="0"/>
                <w:color w:val="000000"/>
                <w:sz w:val="24"/>
                <w:szCs w:val="24"/>
                <w:u w:val="none"/>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E10F">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9CF6">
            <w:pPr>
              <w:jc w:val="center"/>
              <w:rPr>
                <w:rFonts w:hint="eastAsia" w:ascii="宋体" w:hAnsi="宋体" w:eastAsia="宋体" w:cs="宋体"/>
                <w:i w:val="0"/>
                <w:color w:val="000000"/>
                <w:sz w:val="24"/>
                <w:szCs w:val="24"/>
                <w:u w:val="none"/>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841E3">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15BE">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A67ED">
            <w:pPr>
              <w:jc w:val="center"/>
              <w:rPr>
                <w:rFonts w:hint="eastAsia" w:ascii="宋体" w:hAnsi="宋体" w:eastAsia="宋体" w:cs="宋体"/>
                <w:i w:val="0"/>
                <w:color w:val="000000"/>
                <w:sz w:val="24"/>
                <w:szCs w:val="24"/>
                <w:u w:val="none"/>
              </w:rPr>
            </w:pPr>
          </w:p>
        </w:tc>
      </w:tr>
      <w:tr w14:paraId="0610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B616F">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00F83">
            <w:pPr>
              <w:jc w:val="center"/>
              <w:rPr>
                <w:rFonts w:hint="eastAsia" w:ascii="宋体" w:hAnsi="宋体" w:eastAsia="宋体" w:cs="宋体"/>
                <w:i w:val="0"/>
                <w:color w:val="000000"/>
                <w:sz w:val="24"/>
                <w:szCs w:val="24"/>
                <w:u w:val="none"/>
              </w:rPr>
            </w:pPr>
          </w:p>
        </w:tc>
        <w:tc>
          <w:tcPr>
            <w:tcW w:w="2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DE32">
            <w:pPr>
              <w:jc w:val="center"/>
              <w:rPr>
                <w:rFonts w:hint="eastAsia" w:ascii="宋体" w:hAnsi="宋体" w:eastAsia="宋体" w:cs="宋体"/>
                <w:i w:val="0"/>
                <w:color w:val="000000"/>
                <w:sz w:val="24"/>
                <w:szCs w:val="24"/>
                <w:u w:val="none"/>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1F115">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DB3D">
            <w:pPr>
              <w:jc w:val="center"/>
              <w:rPr>
                <w:rFonts w:hint="eastAsia" w:ascii="宋体" w:hAnsi="宋体" w:eastAsia="宋体" w:cs="宋体"/>
                <w:i w:val="0"/>
                <w:color w:val="000000"/>
                <w:sz w:val="24"/>
                <w:szCs w:val="24"/>
                <w:u w:val="none"/>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AF98">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06AA">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0D0B">
            <w:pPr>
              <w:jc w:val="center"/>
              <w:rPr>
                <w:rFonts w:hint="eastAsia" w:ascii="宋体" w:hAnsi="宋体" w:eastAsia="宋体" w:cs="宋体"/>
                <w:i w:val="0"/>
                <w:color w:val="000000"/>
                <w:sz w:val="24"/>
                <w:szCs w:val="24"/>
                <w:u w:val="none"/>
              </w:rPr>
            </w:pPr>
          </w:p>
        </w:tc>
      </w:tr>
      <w:tr w14:paraId="3021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008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18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38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EB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8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A9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83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1BB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070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7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250387">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064B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946AA">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9791">
            <w:pPr>
              <w:rPr>
                <w:rFonts w:hint="eastAsia" w:ascii="宋体" w:hAnsi="宋体" w:eastAsia="宋体" w:cs="宋体"/>
                <w:i w:val="0"/>
                <w:color w:val="000000"/>
                <w:sz w:val="20"/>
                <w:szCs w:val="20"/>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4D11">
            <w:pPr>
              <w:rPr>
                <w:rFonts w:hint="eastAsia" w:ascii="宋体" w:hAnsi="宋体" w:eastAsia="宋体" w:cs="宋体"/>
                <w:i w:val="0"/>
                <w:color w:val="000000"/>
                <w:sz w:val="24"/>
                <w:szCs w:val="24"/>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8990">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9C9A">
            <w:pPr>
              <w:rPr>
                <w:rFonts w:hint="eastAsia" w:ascii="宋体" w:hAnsi="宋体" w:eastAsia="宋体" w:cs="宋体"/>
                <w:i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C99">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1C07">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C536">
            <w:pPr>
              <w:rPr>
                <w:rFonts w:hint="eastAsia" w:ascii="宋体" w:hAnsi="宋体" w:eastAsia="宋体" w:cs="宋体"/>
                <w:i w:val="0"/>
                <w:color w:val="000000"/>
                <w:sz w:val="24"/>
                <w:szCs w:val="24"/>
                <w:u w:val="none"/>
              </w:rPr>
            </w:pPr>
          </w:p>
        </w:tc>
      </w:tr>
      <w:tr w14:paraId="5D60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0D372">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7DED">
            <w:pPr>
              <w:rPr>
                <w:rFonts w:hint="eastAsia" w:ascii="宋体" w:hAnsi="宋体" w:eastAsia="宋体" w:cs="宋体"/>
                <w:i w:val="0"/>
                <w:color w:val="000000"/>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490F">
            <w:pPr>
              <w:rPr>
                <w:rFonts w:hint="eastAsia" w:ascii="宋体" w:hAnsi="宋体" w:eastAsia="宋体" w:cs="宋体"/>
                <w:i w:val="0"/>
                <w:color w:val="000000"/>
                <w:sz w:val="24"/>
                <w:szCs w:val="24"/>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7BEF">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F69">
            <w:pPr>
              <w:rPr>
                <w:rFonts w:hint="eastAsia" w:ascii="宋体" w:hAnsi="宋体" w:eastAsia="宋体" w:cs="宋体"/>
                <w:i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D7A4">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D35A">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E016">
            <w:pPr>
              <w:rPr>
                <w:rFonts w:hint="eastAsia" w:ascii="宋体" w:hAnsi="宋体" w:eastAsia="宋体" w:cs="宋体"/>
                <w:i w:val="0"/>
                <w:color w:val="000000"/>
                <w:sz w:val="24"/>
                <w:szCs w:val="24"/>
                <w:u w:val="none"/>
              </w:rPr>
            </w:pPr>
          </w:p>
        </w:tc>
      </w:tr>
      <w:tr w14:paraId="00E4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1B7A9">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5F8E">
            <w:pPr>
              <w:rPr>
                <w:rFonts w:hint="eastAsia" w:ascii="宋体" w:hAnsi="宋体" w:eastAsia="宋体" w:cs="宋体"/>
                <w:i w:val="0"/>
                <w:color w:val="000000"/>
                <w:sz w:val="20"/>
                <w:szCs w:val="20"/>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2033">
            <w:pPr>
              <w:rPr>
                <w:rFonts w:hint="eastAsia" w:ascii="宋体" w:hAnsi="宋体" w:eastAsia="宋体" w:cs="宋体"/>
                <w:i w:val="0"/>
                <w:color w:val="000000"/>
                <w:sz w:val="24"/>
                <w:szCs w:val="24"/>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8EAF">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6647">
            <w:pPr>
              <w:rPr>
                <w:rFonts w:hint="eastAsia" w:ascii="宋体" w:hAnsi="宋体" w:eastAsia="宋体" w:cs="宋体"/>
                <w:i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77BC">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72C1">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26D0">
            <w:pPr>
              <w:rPr>
                <w:rFonts w:hint="eastAsia" w:ascii="宋体" w:hAnsi="宋体" w:eastAsia="宋体" w:cs="宋体"/>
                <w:i w:val="0"/>
                <w:color w:val="000000"/>
                <w:sz w:val="24"/>
                <w:szCs w:val="24"/>
                <w:u w:val="none"/>
              </w:rPr>
            </w:pPr>
          </w:p>
        </w:tc>
      </w:tr>
      <w:tr w14:paraId="7F7A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67AE5">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0CAB">
            <w:pPr>
              <w:rPr>
                <w:rFonts w:hint="eastAsia" w:ascii="宋体" w:hAnsi="宋体" w:eastAsia="宋体" w:cs="宋体"/>
                <w:i w:val="0"/>
                <w:color w:val="000000"/>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7656">
            <w:pPr>
              <w:rPr>
                <w:rFonts w:hint="eastAsia" w:ascii="宋体" w:hAnsi="宋体" w:eastAsia="宋体" w:cs="宋体"/>
                <w:i w:val="0"/>
                <w:color w:val="000000"/>
                <w:sz w:val="24"/>
                <w:szCs w:val="24"/>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A3F4">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D228">
            <w:pPr>
              <w:rPr>
                <w:rFonts w:hint="eastAsia" w:ascii="宋体" w:hAnsi="宋体" w:eastAsia="宋体" w:cs="宋体"/>
                <w:i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C395">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CC95">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3D4D">
            <w:pPr>
              <w:rPr>
                <w:rFonts w:hint="eastAsia" w:ascii="宋体" w:hAnsi="宋体" w:eastAsia="宋体" w:cs="宋体"/>
                <w:i w:val="0"/>
                <w:color w:val="000000"/>
                <w:sz w:val="24"/>
                <w:szCs w:val="24"/>
                <w:u w:val="none"/>
              </w:rPr>
            </w:pPr>
          </w:p>
        </w:tc>
      </w:tr>
      <w:tr w14:paraId="0A80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DE320">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B43F">
            <w:pPr>
              <w:rPr>
                <w:rFonts w:hint="eastAsia" w:ascii="宋体" w:hAnsi="宋体" w:eastAsia="宋体" w:cs="宋体"/>
                <w:i w:val="0"/>
                <w:color w:val="000000"/>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29B2">
            <w:pPr>
              <w:rPr>
                <w:rFonts w:hint="eastAsia" w:ascii="宋体" w:hAnsi="宋体" w:eastAsia="宋体" w:cs="宋体"/>
                <w:i w:val="0"/>
                <w:color w:val="000000"/>
                <w:sz w:val="24"/>
                <w:szCs w:val="24"/>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623A">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D343">
            <w:pPr>
              <w:rPr>
                <w:rFonts w:hint="eastAsia" w:ascii="宋体" w:hAnsi="宋体" w:eastAsia="宋体" w:cs="宋体"/>
                <w:i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9B34">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FFD5">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DB2B">
            <w:pPr>
              <w:rPr>
                <w:rFonts w:hint="eastAsia" w:ascii="宋体" w:hAnsi="宋体" w:eastAsia="宋体" w:cs="宋体"/>
                <w:i w:val="0"/>
                <w:color w:val="000000"/>
                <w:sz w:val="24"/>
                <w:szCs w:val="24"/>
                <w:u w:val="none"/>
              </w:rPr>
            </w:pPr>
          </w:p>
        </w:tc>
      </w:tr>
      <w:tr w14:paraId="7529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DA6E4">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A2CA">
            <w:pPr>
              <w:rPr>
                <w:rFonts w:hint="eastAsia" w:ascii="宋体" w:hAnsi="宋体" w:eastAsia="宋体" w:cs="宋体"/>
                <w:i w:val="0"/>
                <w:color w:val="000000"/>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0F26">
            <w:pPr>
              <w:rPr>
                <w:rFonts w:hint="eastAsia" w:ascii="宋体" w:hAnsi="宋体" w:eastAsia="宋体" w:cs="宋体"/>
                <w:i w:val="0"/>
                <w:color w:val="000000"/>
                <w:sz w:val="24"/>
                <w:szCs w:val="24"/>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5B37">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0A10">
            <w:pPr>
              <w:rPr>
                <w:rFonts w:hint="eastAsia" w:ascii="宋体" w:hAnsi="宋体" w:eastAsia="宋体" w:cs="宋体"/>
                <w:i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225C">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B859">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8A46">
            <w:pPr>
              <w:rPr>
                <w:rFonts w:hint="eastAsia" w:ascii="宋体" w:hAnsi="宋体" w:eastAsia="宋体" w:cs="宋体"/>
                <w:i w:val="0"/>
                <w:color w:val="000000"/>
                <w:sz w:val="24"/>
                <w:szCs w:val="24"/>
                <w:u w:val="none"/>
              </w:rPr>
            </w:pPr>
          </w:p>
        </w:tc>
      </w:tr>
      <w:tr w14:paraId="32D8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363" w:type="dxa"/>
            <w:gridSpan w:val="9"/>
            <w:tcBorders>
              <w:top w:val="nil"/>
              <w:left w:val="nil"/>
              <w:bottom w:val="nil"/>
              <w:right w:val="nil"/>
            </w:tcBorders>
            <w:shd w:val="clear" w:color="auto" w:fill="auto"/>
            <w:vAlign w:val="center"/>
          </w:tcPr>
          <w:p w14:paraId="4798AF8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CF7A4F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BBCFD7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w:t>
            </w:r>
            <w:bookmarkStart w:id="0" w:name="OLE_LINK2"/>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bookmarkEnd w:id="0"/>
            <w:r>
              <w:rPr>
                <w:rFonts w:hint="eastAsia" w:ascii="楷体" w:hAnsi="楷体" w:eastAsia="楷体" w:cs="楷体"/>
                <w:b/>
                <w:bCs/>
                <w:i w:val="0"/>
                <w:color w:val="auto"/>
                <w:kern w:val="0"/>
                <w:sz w:val="24"/>
                <w:szCs w:val="24"/>
                <w:u w:val="none"/>
                <w:lang w:val="en-US" w:eastAsia="zh-CN" w:bidi="ar"/>
              </w:rPr>
              <w:t>（当表格数据为空时，应有此说明）</w:t>
            </w:r>
          </w:p>
        </w:tc>
      </w:tr>
    </w:tbl>
    <w:p w14:paraId="5AFEE816">
      <w:pPr>
        <w:widowControl/>
        <w:jc w:val="center"/>
        <w:rPr>
          <w:rFonts w:hint="eastAsia" w:ascii="Times New Roman" w:hAnsi="Times New Roman" w:eastAsia="方正小标宋_GBK" w:cs="Times New Roman"/>
          <w:color w:val="000000"/>
          <w:kern w:val="0"/>
          <w:sz w:val="36"/>
          <w:szCs w:val="36"/>
        </w:rPr>
      </w:pPr>
    </w:p>
    <w:p w14:paraId="229D4048">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027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3" w:hRule="atLeast"/>
        </w:trPr>
        <w:tc>
          <w:tcPr>
            <w:tcW w:w="15120" w:type="dxa"/>
            <w:gridSpan w:val="6"/>
            <w:tcBorders>
              <w:top w:val="nil"/>
              <w:left w:val="nil"/>
              <w:bottom w:val="nil"/>
              <w:right w:val="nil"/>
            </w:tcBorders>
            <w:shd w:val="clear" w:color="auto" w:fill="auto"/>
            <w:vAlign w:val="center"/>
          </w:tcPr>
          <w:p w14:paraId="4E2E40F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593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auto"/>
            <w:vAlign w:val="center"/>
          </w:tcPr>
          <w:p w14:paraId="48EC893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auto"/>
            <w:vAlign w:val="center"/>
          </w:tcPr>
          <w:p w14:paraId="5A3D5020">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auto"/>
            <w:vAlign w:val="center"/>
          </w:tcPr>
          <w:p w14:paraId="3F5D7DD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1FE1BFB0">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0575EA7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67A9E6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BF7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634" w:type="dxa"/>
            <w:gridSpan w:val="4"/>
            <w:tcBorders>
              <w:top w:val="nil"/>
              <w:left w:val="nil"/>
              <w:bottom w:val="nil"/>
              <w:right w:val="nil"/>
            </w:tcBorders>
            <w:shd w:val="clear" w:color="auto" w:fill="auto"/>
            <w:noWrap/>
            <w:vAlign w:val="center"/>
          </w:tcPr>
          <w:p w14:paraId="6180990D">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部门：溆浦县应急管理局</w:t>
            </w:r>
          </w:p>
        </w:tc>
        <w:tc>
          <w:tcPr>
            <w:tcW w:w="3315" w:type="dxa"/>
            <w:tcBorders>
              <w:top w:val="nil"/>
              <w:left w:val="nil"/>
              <w:bottom w:val="nil"/>
              <w:right w:val="nil"/>
            </w:tcBorders>
            <w:shd w:val="clear" w:color="auto" w:fill="auto"/>
            <w:vAlign w:val="center"/>
          </w:tcPr>
          <w:p w14:paraId="20A5DD3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632DDD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452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716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3B6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AF6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AD5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BB8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E8F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B42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ACB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43DA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7A3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806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8E8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90F4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7197E">
            <w:pPr>
              <w:jc w:val="center"/>
              <w:rPr>
                <w:rFonts w:hint="eastAsia" w:ascii="宋体" w:hAnsi="宋体" w:eastAsia="宋体" w:cs="宋体"/>
                <w:i w:val="0"/>
                <w:color w:val="000000"/>
                <w:sz w:val="24"/>
                <w:szCs w:val="24"/>
                <w:u w:val="none"/>
              </w:rPr>
            </w:pPr>
          </w:p>
        </w:tc>
      </w:tr>
      <w:tr w14:paraId="5A50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E451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673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267A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E4A9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02563">
            <w:pPr>
              <w:jc w:val="center"/>
              <w:rPr>
                <w:rFonts w:hint="eastAsia" w:ascii="宋体" w:hAnsi="宋体" w:eastAsia="宋体" w:cs="宋体"/>
                <w:i w:val="0"/>
                <w:color w:val="000000"/>
                <w:sz w:val="24"/>
                <w:szCs w:val="24"/>
                <w:u w:val="none"/>
              </w:rPr>
            </w:pPr>
          </w:p>
        </w:tc>
      </w:tr>
      <w:tr w14:paraId="3572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94D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B4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0C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03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091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3A5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5E63A">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2C21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FBD0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183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202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CB5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CCEA">
            <w:pPr>
              <w:rPr>
                <w:rFonts w:hint="eastAsia" w:ascii="宋体" w:hAnsi="宋体" w:eastAsia="宋体" w:cs="宋体"/>
                <w:i w:val="0"/>
                <w:color w:val="000000"/>
                <w:sz w:val="24"/>
                <w:szCs w:val="24"/>
                <w:u w:val="none"/>
              </w:rPr>
            </w:pPr>
          </w:p>
        </w:tc>
      </w:tr>
      <w:tr w14:paraId="0C8B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1F1E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1D9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F38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09E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9DF7">
            <w:pPr>
              <w:rPr>
                <w:rFonts w:hint="eastAsia" w:ascii="宋体" w:hAnsi="宋体" w:eastAsia="宋体" w:cs="宋体"/>
                <w:i w:val="0"/>
                <w:color w:val="000000"/>
                <w:sz w:val="24"/>
                <w:szCs w:val="24"/>
                <w:u w:val="none"/>
              </w:rPr>
            </w:pPr>
          </w:p>
        </w:tc>
      </w:tr>
      <w:tr w14:paraId="6CAF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1374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61D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630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81E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9F3A">
            <w:pPr>
              <w:rPr>
                <w:rFonts w:hint="eastAsia" w:ascii="宋体" w:hAnsi="宋体" w:eastAsia="宋体" w:cs="宋体"/>
                <w:i w:val="0"/>
                <w:color w:val="000000"/>
                <w:sz w:val="24"/>
                <w:szCs w:val="24"/>
                <w:u w:val="none"/>
              </w:rPr>
            </w:pPr>
          </w:p>
        </w:tc>
      </w:tr>
      <w:tr w14:paraId="6D61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B04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19D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8A7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546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AC4E">
            <w:pPr>
              <w:rPr>
                <w:rFonts w:hint="eastAsia" w:ascii="宋体" w:hAnsi="宋体" w:eastAsia="宋体" w:cs="宋体"/>
                <w:i w:val="0"/>
                <w:color w:val="000000"/>
                <w:sz w:val="24"/>
                <w:szCs w:val="24"/>
                <w:u w:val="none"/>
              </w:rPr>
            </w:pPr>
          </w:p>
        </w:tc>
      </w:tr>
      <w:tr w14:paraId="7367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87A4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9AD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090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DBA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92DD">
            <w:pPr>
              <w:rPr>
                <w:rFonts w:hint="eastAsia" w:ascii="宋体" w:hAnsi="宋体" w:eastAsia="宋体" w:cs="宋体"/>
                <w:i w:val="0"/>
                <w:color w:val="000000"/>
                <w:sz w:val="24"/>
                <w:szCs w:val="24"/>
                <w:u w:val="none"/>
              </w:rPr>
            </w:pPr>
          </w:p>
        </w:tc>
      </w:tr>
      <w:tr w14:paraId="6EDF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8D65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164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1A2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020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C1EB">
            <w:pPr>
              <w:rPr>
                <w:rFonts w:hint="eastAsia" w:ascii="宋体" w:hAnsi="宋体" w:eastAsia="宋体" w:cs="宋体"/>
                <w:i w:val="0"/>
                <w:color w:val="000000"/>
                <w:sz w:val="24"/>
                <w:szCs w:val="24"/>
                <w:u w:val="none"/>
              </w:rPr>
            </w:pPr>
          </w:p>
        </w:tc>
      </w:tr>
      <w:tr w14:paraId="411F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E6208C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433B46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03A3AF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w:t>
            </w:r>
            <w:bookmarkStart w:id="1" w:name="OLE_LINK1"/>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bookmarkEnd w:id="1"/>
            <w:r>
              <w:rPr>
                <w:rFonts w:hint="eastAsia" w:ascii="楷体" w:hAnsi="楷体" w:eastAsia="楷体" w:cs="楷体"/>
                <w:b/>
                <w:bCs/>
                <w:i w:val="0"/>
                <w:color w:val="auto"/>
                <w:kern w:val="0"/>
                <w:sz w:val="24"/>
                <w:szCs w:val="24"/>
                <w:u w:val="none"/>
                <w:lang w:val="en-US" w:eastAsia="zh-CN" w:bidi="ar"/>
              </w:rPr>
              <w:t>。（当表格数据为空时，应有此说明）</w:t>
            </w:r>
          </w:p>
        </w:tc>
      </w:tr>
    </w:tbl>
    <w:p w14:paraId="08DA9082">
      <w:pPr>
        <w:autoSpaceDE w:val="0"/>
        <w:autoSpaceDN w:val="0"/>
        <w:adjustRightInd w:val="0"/>
        <w:jc w:val="left"/>
        <w:rPr>
          <w:rFonts w:ascii="宋体" w:eastAsia="宋体" w:cs="宋体"/>
          <w:kern w:val="0"/>
          <w:sz w:val="24"/>
          <w:szCs w:val="24"/>
        </w:rPr>
      </w:pPr>
    </w:p>
    <w:p w14:paraId="3A6C4970">
      <w:pPr>
        <w:autoSpaceDE w:val="0"/>
        <w:autoSpaceDN w:val="0"/>
        <w:adjustRightInd w:val="0"/>
        <w:ind w:left="315" w:leftChars="150"/>
        <w:jc w:val="left"/>
        <w:rPr>
          <w:rFonts w:ascii="宋体" w:eastAsia="宋体" w:cs="宋体"/>
          <w:kern w:val="0"/>
          <w:sz w:val="24"/>
          <w:szCs w:val="24"/>
        </w:rPr>
      </w:pPr>
    </w:p>
    <w:tbl>
      <w:tblPr>
        <w:tblStyle w:val="9"/>
        <w:tblW w:w="15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1253"/>
        <w:gridCol w:w="1063"/>
        <w:gridCol w:w="1063"/>
        <w:gridCol w:w="1063"/>
        <w:gridCol w:w="1063"/>
        <w:gridCol w:w="1063"/>
        <w:gridCol w:w="1253"/>
        <w:gridCol w:w="1063"/>
        <w:gridCol w:w="1063"/>
        <w:gridCol w:w="1063"/>
        <w:gridCol w:w="1616"/>
      </w:tblGrid>
      <w:tr w14:paraId="0ACD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5040" w:type="dxa"/>
            <w:gridSpan w:val="12"/>
            <w:tcBorders>
              <w:top w:val="nil"/>
              <w:left w:val="nil"/>
              <w:bottom w:val="nil"/>
              <w:right w:val="nil"/>
            </w:tcBorders>
            <w:shd w:val="clear" w:color="auto" w:fill="auto"/>
            <w:noWrap/>
            <w:vAlign w:val="center"/>
          </w:tcPr>
          <w:p w14:paraId="02DCDAF9">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75DF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nil"/>
              <w:left w:val="nil"/>
              <w:bottom w:val="nil"/>
              <w:right w:val="nil"/>
            </w:tcBorders>
            <w:shd w:val="clear" w:color="auto" w:fill="auto"/>
            <w:noWrap/>
            <w:vAlign w:val="center"/>
          </w:tcPr>
          <w:p w14:paraId="0F2F9E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1DFF6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EBA0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5D225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E818F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7014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CE9A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F329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AB701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F0E10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9553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0FE7CD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3AC8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0" w:type="auto"/>
            <w:tcBorders>
              <w:top w:val="nil"/>
              <w:left w:val="nil"/>
              <w:bottom w:val="nil"/>
              <w:right w:val="nil"/>
            </w:tcBorders>
            <w:shd w:val="clear" w:color="auto" w:fill="auto"/>
            <w:noWrap/>
            <w:vAlign w:val="bottom"/>
          </w:tcPr>
          <w:p w14:paraId="3A98C7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center"/>
          </w:tcPr>
          <w:p w14:paraId="32B35C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0592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1285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6838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F7B1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052F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B269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2FD8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654D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1CF9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521553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A70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2EF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F84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CE2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31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52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73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77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43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06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DA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3D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72D2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2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E0009">
            <w:pPr>
              <w:jc w:val="center"/>
              <w:rPr>
                <w:rFonts w:hint="eastAsia" w:ascii="宋体" w:hAnsi="宋体" w:eastAsia="宋体" w:cs="宋体"/>
                <w:i w:val="0"/>
                <w:iCs w:val="0"/>
                <w:color w:val="000000"/>
                <w:sz w:val="22"/>
                <w:szCs w:val="22"/>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595D">
            <w:pPr>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F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F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0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0409">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AD2DB">
            <w:pPr>
              <w:jc w:val="center"/>
              <w:rPr>
                <w:rFonts w:hint="eastAsia" w:ascii="宋体" w:hAnsi="宋体" w:eastAsia="宋体" w:cs="宋体"/>
                <w:i w:val="0"/>
                <w:iCs w:val="0"/>
                <w:color w:val="000000"/>
                <w:sz w:val="22"/>
                <w:szCs w:val="22"/>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D935">
            <w:pPr>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E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4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0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35A8">
            <w:pPr>
              <w:jc w:val="center"/>
              <w:rPr>
                <w:rFonts w:hint="eastAsia" w:ascii="宋体" w:hAnsi="宋体" w:eastAsia="宋体" w:cs="宋体"/>
                <w:i w:val="0"/>
                <w:iCs w:val="0"/>
                <w:color w:val="000000"/>
                <w:sz w:val="22"/>
                <w:szCs w:val="22"/>
                <w:u w:val="none"/>
              </w:rPr>
            </w:pPr>
          </w:p>
        </w:tc>
      </w:tr>
      <w:tr w14:paraId="7E11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1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6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D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2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1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F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4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2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A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4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1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FD2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F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23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E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D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8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E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3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6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4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8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F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83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r>
      <w:tr w14:paraId="736B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5040" w:type="dxa"/>
            <w:gridSpan w:val="12"/>
            <w:tcBorders>
              <w:top w:val="nil"/>
              <w:left w:val="nil"/>
              <w:bottom w:val="nil"/>
              <w:right w:val="nil"/>
            </w:tcBorders>
            <w:shd w:val="clear" w:color="auto" w:fill="auto"/>
            <w:vAlign w:val="center"/>
          </w:tcPr>
          <w:p w14:paraId="4C60F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A132BDE">
      <w:pPr>
        <w:autoSpaceDE w:val="0"/>
        <w:autoSpaceDN w:val="0"/>
        <w:adjustRightInd w:val="0"/>
        <w:ind w:left="315" w:leftChars="150"/>
        <w:jc w:val="left"/>
        <w:rPr>
          <w:rFonts w:ascii="宋体" w:eastAsia="宋体" w:cs="宋体"/>
          <w:kern w:val="0"/>
          <w:sz w:val="24"/>
          <w:szCs w:val="24"/>
        </w:rPr>
      </w:pPr>
    </w:p>
    <w:p w14:paraId="5F5EA129">
      <w:pPr>
        <w:autoSpaceDE w:val="0"/>
        <w:autoSpaceDN w:val="0"/>
        <w:adjustRightInd w:val="0"/>
        <w:ind w:left="315" w:leftChars="150"/>
        <w:jc w:val="left"/>
        <w:rPr>
          <w:rFonts w:ascii="宋体" w:eastAsia="宋体" w:cs="宋体"/>
          <w:kern w:val="0"/>
          <w:sz w:val="24"/>
          <w:szCs w:val="24"/>
        </w:rPr>
      </w:pPr>
    </w:p>
    <w:p w14:paraId="3359C1D4">
      <w:pPr>
        <w:autoSpaceDE w:val="0"/>
        <w:autoSpaceDN w:val="0"/>
        <w:adjustRightInd w:val="0"/>
        <w:ind w:left="315" w:leftChars="150"/>
        <w:jc w:val="left"/>
        <w:rPr>
          <w:rFonts w:ascii="宋体" w:eastAsia="宋体" w:cs="宋体"/>
          <w:kern w:val="0"/>
          <w:sz w:val="24"/>
          <w:szCs w:val="24"/>
        </w:rPr>
      </w:pPr>
    </w:p>
    <w:p w14:paraId="02924EB2">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7AE86C5">
      <w:pPr>
        <w:pStyle w:val="14"/>
        <w:rPr>
          <w:sz w:val="72"/>
          <w:szCs w:val="72"/>
        </w:rPr>
      </w:pPr>
    </w:p>
    <w:p w14:paraId="4E9E4133">
      <w:pPr>
        <w:pStyle w:val="14"/>
        <w:rPr>
          <w:sz w:val="72"/>
          <w:szCs w:val="72"/>
        </w:rPr>
      </w:pPr>
    </w:p>
    <w:p w14:paraId="5C06FD43">
      <w:pPr>
        <w:pStyle w:val="14"/>
        <w:rPr>
          <w:sz w:val="72"/>
          <w:szCs w:val="72"/>
        </w:rPr>
      </w:pPr>
    </w:p>
    <w:p w14:paraId="52A7FB5C">
      <w:pPr>
        <w:pStyle w:val="14"/>
        <w:rPr>
          <w:sz w:val="72"/>
          <w:szCs w:val="72"/>
        </w:rPr>
      </w:pPr>
    </w:p>
    <w:p w14:paraId="1B7AE400">
      <w:pPr>
        <w:pStyle w:val="14"/>
        <w:jc w:val="center"/>
        <w:rPr>
          <w:sz w:val="72"/>
          <w:szCs w:val="72"/>
        </w:rPr>
      </w:pPr>
    </w:p>
    <w:p w14:paraId="2C753020">
      <w:pPr>
        <w:pStyle w:val="14"/>
        <w:jc w:val="center"/>
        <w:rPr>
          <w:rFonts w:hint="eastAsia" w:ascii="方正小标宋_GBK" w:hAnsi="方正小标宋_GBK" w:eastAsia="方正小标宋_GBK" w:cs="方正小标宋_GBK"/>
          <w:sz w:val="72"/>
          <w:szCs w:val="72"/>
        </w:rPr>
      </w:pPr>
    </w:p>
    <w:p w14:paraId="1FAA0199">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01AFA4E">
      <w:pPr>
        <w:pStyle w:val="14"/>
        <w:jc w:val="center"/>
        <w:rPr>
          <w:rFonts w:hint="eastAsia" w:ascii="方正小标宋_GBK" w:hAnsi="方正小标宋_GBK" w:eastAsia="方正小标宋_GBK" w:cs="方正小标宋_GBK"/>
          <w:sz w:val="70"/>
          <w:szCs w:val="70"/>
        </w:rPr>
      </w:pPr>
    </w:p>
    <w:p w14:paraId="4C5EE2C0">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7D3D4735">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D18C1D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DE2EBD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3780.30</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916.66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24.25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土地补偿金及自然灾害救助费用。</w:t>
      </w:r>
    </w:p>
    <w:p w14:paraId="50E653C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B7CA1E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3721.22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3720.02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98.41</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1.20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1.59</w:t>
      </w:r>
      <w:r>
        <w:rPr>
          <w:rFonts w:hint="eastAsia" w:ascii="Times New Roman" w:hAnsi="Times New Roman" w:eastAsia="仿宋_GB2312"/>
          <w:sz w:val="32"/>
          <w:szCs w:val="32"/>
        </w:rPr>
        <w:t>%。</w:t>
      </w:r>
    </w:p>
    <w:p w14:paraId="30E8E46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EFFFB7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3780.30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800.58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21.18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2979.71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78.82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8421C8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BED49AC">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3720.02</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864.79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23.25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土地补偿金及自然灾害救助费用。</w:t>
      </w:r>
    </w:p>
    <w:p w14:paraId="57C6133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EBB548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A0F2FF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3720.02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98.41</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864.79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23.25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土地补偿金及自然灾害救助费用。</w:t>
      </w:r>
    </w:p>
    <w:p w14:paraId="2A2B7C5A">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003B5B2">
      <w:pPr>
        <w:pStyle w:val="14"/>
        <w:ind w:firstLine="640" w:firstLineChars="200"/>
        <w:rPr>
          <w:rFonts w:asciiTheme="minorEastAsia" w:hAnsiTheme="minorEastAsia" w:eastAsiaTheme="minorEastAsia"/>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3720.02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，主要用于以下方面：</w:t>
      </w:r>
      <w:r>
        <w:rPr>
          <w:rFonts w:hint="eastAsia" w:asciiTheme="minorEastAsia" w:hAnsiTheme="minorEastAsia" w:eastAsiaTheme="minorEastAsia"/>
          <w:color w:val="auto"/>
          <w:sz w:val="32"/>
          <w:szCs w:val="32"/>
          <w:lang w:eastAsia="zh-CN"/>
        </w:rPr>
        <w:t>行政单位医疗</w:t>
      </w:r>
      <w:r>
        <w:rPr>
          <w:rFonts w:hint="eastAsia" w:asciiTheme="minorEastAsia" w:hAnsiTheme="minorEastAsia" w:eastAsiaTheme="minorEastAsia"/>
          <w:color w:val="auto"/>
          <w:sz w:val="32"/>
          <w:szCs w:val="32"/>
        </w:rPr>
        <w:t>支出</w:t>
      </w:r>
      <w:r>
        <w:rPr>
          <w:rFonts w:hint="eastAsia" w:asciiTheme="minorEastAsia" w:hAnsiTheme="minorEastAsia" w:eastAsiaTheme="minorEastAsia"/>
          <w:color w:val="auto"/>
          <w:sz w:val="32"/>
          <w:szCs w:val="32"/>
          <w:lang w:val="en-US" w:eastAsia="zh-CN"/>
        </w:rPr>
        <w:t>38.67</w:t>
      </w:r>
      <w:r>
        <w:rPr>
          <w:rFonts w:hint="eastAsia" w:asciiTheme="minorEastAsia" w:hAnsiTheme="minorEastAsia" w:eastAsiaTheme="minorEastAsia"/>
          <w:color w:val="auto"/>
          <w:sz w:val="32"/>
          <w:szCs w:val="32"/>
        </w:rPr>
        <w:t>万元，占比</w:t>
      </w:r>
      <w:r>
        <w:rPr>
          <w:rFonts w:hint="eastAsia" w:asciiTheme="minorEastAsia" w:hAnsiTheme="minorEastAsia" w:eastAsiaTheme="minorEastAsia"/>
          <w:color w:val="auto"/>
          <w:sz w:val="32"/>
          <w:szCs w:val="32"/>
          <w:lang w:val="en-US" w:eastAsia="zh-CN"/>
        </w:rPr>
        <w:t>1.04</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机关事业单位基本养老保险缴费</w:t>
      </w:r>
      <w:r>
        <w:rPr>
          <w:rFonts w:hint="eastAsia" w:asciiTheme="minorEastAsia" w:hAnsiTheme="minorEastAsia" w:eastAsiaTheme="minorEastAsia"/>
          <w:color w:val="auto"/>
          <w:sz w:val="32"/>
          <w:szCs w:val="32"/>
        </w:rPr>
        <w:t>支出</w:t>
      </w:r>
      <w:r>
        <w:rPr>
          <w:rFonts w:hint="eastAsia" w:asciiTheme="minorEastAsia" w:hAnsiTheme="minorEastAsia" w:eastAsiaTheme="minorEastAsia"/>
          <w:color w:val="auto"/>
          <w:sz w:val="32"/>
          <w:szCs w:val="32"/>
          <w:lang w:val="en-US" w:eastAsia="zh-CN"/>
        </w:rPr>
        <w:t>73.02</w:t>
      </w:r>
      <w:r>
        <w:rPr>
          <w:rFonts w:hint="eastAsia" w:asciiTheme="minorEastAsia" w:hAnsiTheme="minorEastAsia" w:eastAsiaTheme="minorEastAsia"/>
          <w:color w:val="auto"/>
          <w:sz w:val="32"/>
          <w:szCs w:val="32"/>
        </w:rPr>
        <w:t>万元，占比</w:t>
      </w:r>
      <w:r>
        <w:rPr>
          <w:rFonts w:hint="eastAsia" w:asciiTheme="minorEastAsia" w:hAnsiTheme="minorEastAsia" w:eastAsiaTheme="minorEastAsia"/>
          <w:color w:val="auto"/>
          <w:sz w:val="32"/>
          <w:szCs w:val="32"/>
          <w:lang w:val="en-US" w:eastAsia="zh-CN"/>
        </w:rPr>
        <w:t>1.96</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死亡抚恤</w:t>
      </w:r>
      <w:r>
        <w:rPr>
          <w:rFonts w:hint="eastAsia" w:asciiTheme="minorEastAsia" w:hAnsiTheme="minorEastAsia" w:eastAsiaTheme="minorEastAsia"/>
          <w:color w:val="auto"/>
          <w:sz w:val="32"/>
          <w:szCs w:val="32"/>
        </w:rPr>
        <w:t>支出</w:t>
      </w:r>
      <w:r>
        <w:rPr>
          <w:rFonts w:hint="eastAsia" w:asciiTheme="minorEastAsia" w:hAnsiTheme="minorEastAsia" w:eastAsiaTheme="minorEastAsia"/>
          <w:color w:val="auto"/>
          <w:sz w:val="32"/>
          <w:szCs w:val="32"/>
          <w:lang w:val="en-US" w:eastAsia="zh-CN"/>
        </w:rPr>
        <w:t>25.07</w:t>
      </w:r>
      <w:r>
        <w:rPr>
          <w:rFonts w:hint="eastAsia" w:asciiTheme="minorEastAsia" w:hAnsiTheme="minorEastAsia" w:eastAsiaTheme="minorEastAsia"/>
          <w:color w:val="auto"/>
          <w:sz w:val="32"/>
          <w:szCs w:val="32"/>
        </w:rPr>
        <w:t>万元，占比</w:t>
      </w:r>
      <w:r>
        <w:rPr>
          <w:rFonts w:hint="eastAsia" w:asciiTheme="minorEastAsia" w:hAnsiTheme="minorEastAsia" w:eastAsiaTheme="minorEastAsia"/>
          <w:color w:val="auto"/>
          <w:sz w:val="32"/>
          <w:szCs w:val="32"/>
          <w:lang w:val="en-US" w:eastAsia="zh-CN"/>
        </w:rPr>
        <w:t>0.67</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行政运行</w:t>
      </w:r>
      <w:r>
        <w:rPr>
          <w:rFonts w:hint="eastAsia" w:asciiTheme="minorEastAsia" w:hAnsiTheme="minorEastAsia" w:eastAsiaTheme="minorEastAsia"/>
          <w:color w:val="auto"/>
          <w:sz w:val="32"/>
          <w:szCs w:val="32"/>
        </w:rPr>
        <w:t>支出</w:t>
      </w:r>
      <w:r>
        <w:rPr>
          <w:rFonts w:hint="eastAsia" w:asciiTheme="minorEastAsia" w:hAnsiTheme="minorEastAsia" w:eastAsiaTheme="minorEastAsia"/>
          <w:color w:val="auto"/>
          <w:sz w:val="32"/>
          <w:szCs w:val="32"/>
          <w:lang w:val="en-US" w:eastAsia="zh-CN"/>
        </w:rPr>
        <w:t>654.36</w:t>
      </w:r>
      <w:r>
        <w:rPr>
          <w:rFonts w:hint="eastAsia" w:asciiTheme="minorEastAsia" w:hAnsiTheme="minorEastAsia" w:eastAsiaTheme="minorEastAsia"/>
          <w:color w:val="auto"/>
          <w:sz w:val="32"/>
          <w:szCs w:val="32"/>
        </w:rPr>
        <w:t>万元，占比</w:t>
      </w:r>
      <w:r>
        <w:rPr>
          <w:rFonts w:hint="eastAsia" w:asciiTheme="minorEastAsia" w:hAnsiTheme="minorEastAsia" w:eastAsiaTheme="minorEastAsia"/>
          <w:color w:val="auto"/>
          <w:sz w:val="32"/>
          <w:szCs w:val="32"/>
          <w:lang w:val="en-US" w:eastAsia="zh-CN"/>
        </w:rPr>
        <w:t>17.59</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住房公积金</w:t>
      </w:r>
      <w:r>
        <w:rPr>
          <w:rFonts w:hint="eastAsia" w:asciiTheme="minorEastAsia" w:hAnsiTheme="minorEastAsia" w:eastAsiaTheme="minorEastAsia"/>
          <w:color w:val="auto"/>
          <w:sz w:val="32"/>
          <w:szCs w:val="32"/>
          <w:lang w:val="en-US" w:eastAsia="zh-CN"/>
        </w:rPr>
        <w:t>31.65</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000000" w:themeColor="text1"/>
          <w:sz w:val="32"/>
          <w:szCs w:val="32"/>
          <w14:textFill>
            <w14:solidFill>
              <w14:schemeClr w14:val="tx1"/>
            </w14:solidFill>
          </w14:textFill>
        </w:rPr>
        <w:t>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0.85</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自然灾害</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救灾</w:t>
      </w:r>
      <w:r>
        <w:rPr>
          <w:rFonts w:hint="eastAsia" w:asciiTheme="minorEastAsia" w:hAnsiTheme="minorEastAsia" w:eastAsiaTheme="minorEastAsia"/>
          <w:color w:val="000000" w:themeColor="text1"/>
          <w:sz w:val="32"/>
          <w:szCs w:val="32"/>
          <w:lang w:eastAsia="zh-CN"/>
          <w14:textFill>
            <w14:solidFill>
              <w14:schemeClr w14:val="tx1"/>
            </w14:solidFill>
          </w14:textFill>
        </w:rPr>
        <w:t>补助</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1651.58</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44.41</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森林草原防灾减灾</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200</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5.38</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其他保障性安居工程</w:t>
      </w:r>
      <w:r>
        <w:rPr>
          <w:rFonts w:hint="eastAsia" w:asciiTheme="minorEastAsia" w:hAnsiTheme="minorEastAsia" w:eastAsiaTheme="minorEastAsia"/>
          <w:color w:val="000000" w:themeColor="text1"/>
          <w:sz w:val="32"/>
          <w:szCs w:val="32"/>
          <w14:textFill>
            <w14:solidFill>
              <w14:schemeClr w14:val="tx1"/>
            </w14:solidFill>
          </w14:textFill>
        </w:rPr>
        <w:t>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117.2</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3.15</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；安全监管</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133.47</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3.59</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地质灾害防治</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15</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0.4</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应急救援</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19.66</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0.53</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其他资源勘探工业信息等支出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27.57</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0.74</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其他应急管理支出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456.60</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12.27</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其他粮油物资事务支出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100.19</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2.69</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其他矿山安全支出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7</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0.19</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其他灾害防治及应急管理支出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70</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1.88</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其他自然灾害防治支出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20.88</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0.56</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灾害风险防治</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78.10</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2.1</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sz w:val="32"/>
          <w:szCs w:val="32"/>
        </w:rPr>
        <w:t>。</w:t>
      </w:r>
    </w:p>
    <w:p w14:paraId="5D4446F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20353F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3000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3720.02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%，其中：</w:t>
      </w:r>
    </w:p>
    <w:p w14:paraId="3AF7AB4D">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1、社会保障和就业支出（类）行政事业单位养老支出（款）机关事业单位基本养老保险缴费支出（项）</w:t>
      </w:r>
    </w:p>
    <w:p w14:paraId="51FD4526">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73.02</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大</w:t>
      </w:r>
      <w:r>
        <w:rPr>
          <w:rFonts w:hint="eastAsia" w:asciiTheme="minorEastAsia" w:hAnsiTheme="minorEastAsia" w:eastAsiaTheme="minorEastAsia"/>
          <w:color w:val="000000" w:themeColor="text1"/>
          <w:sz w:val="32"/>
          <w:szCs w:val="32"/>
          <w14:textFill>
            <w14:solidFill>
              <w14:schemeClr w14:val="tx1"/>
            </w14:solidFill>
          </w14:textFill>
        </w:rPr>
        <w:t>于年初预算数的主要原因是：调整了预算数。</w:t>
      </w:r>
    </w:p>
    <w:p w14:paraId="0ADDA984">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2、社会保障和就业支出（类）抚恤（款）死亡抚恤（项）</w:t>
      </w:r>
    </w:p>
    <w:p w14:paraId="149702EA">
      <w:pPr>
        <w:pStyle w:val="14"/>
        <w:ind w:firstLine="640" w:firstLineChars="20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25.07</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5863B476">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3</w:t>
      </w:r>
      <w:r>
        <w:rPr>
          <w:rFonts w:hint="eastAsia" w:asciiTheme="minorEastAsia" w:hAnsiTheme="minorEastAsia" w:eastAsiaTheme="minorEastAsia"/>
          <w:color w:val="000000" w:themeColor="text1"/>
          <w:sz w:val="32"/>
          <w:szCs w:val="32"/>
          <w14:textFill>
            <w14:solidFill>
              <w14:schemeClr w14:val="tx1"/>
            </w14:solidFill>
          </w14:textFill>
        </w:rPr>
        <w:t>、卫生健康支出（类）行政事业单位医疗（款）行政单位医疗（项）</w:t>
      </w:r>
    </w:p>
    <w:p w14:paraId="79B178B1">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38.67</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7301CE2F">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5</w:t>
      </w:r>
      <w:r>
        <w:rPr>
          <w:rFonts w:hint="eastAsia" w:asciiTheme="minorEastAsia" w:hAnsiTheme="minorEastAsia" w:eastAsiaTheme="minorEastAsia"/>
          <w:color w:val="000000" w:themeColor="text1"/>
          <w:sz w:val="32"/>
          <w:szCs w:val="32"/>
          <w14:textFill>
            <w14:solidFill>
              <w14:schemeClr w14:val="tx1"/>
            </w14:solidFill>
          </w14:textFill>
        </w:rPr>
        <w:t>、节能环保支出（类）其他节能环保支出（款）其他节能环保支出（项）</w:t>
      </w:r>
    </w:p>
    <w:p w14:paraId="5998DDC3">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55.70</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4A5076EE">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6</w:t>
      </w:r>
      <w:r>
        <w:rPr>
          <w:rFonts w:hint="eastAsia" w:asciiTheme="minorEastAsia" w:hAnsiTheme="minorEastAsia" w:eastAsiaTheme="minorEastAsia"/>
          <w:color w:val="000000" w:themeColor="text1"/>
          <w:sz w:val="32"/>
          <w:szCs w:val="32"/>
          <w14:textFill>
            <w14:solidFill>
              <w14:schemeClr w14:val="tx1"/>
            </w14:solidFill>
          </w14:textFill>
        </w:rPr>
        <w:t>、农林水（类）</w:t>
      </w:r>
      <w:r>
        <w:rPr>
          <w:rFonts w:hint="eastAsia" w:asciiTheme="minorEastAsia" w:hAnsiTheme="minorEastAsia" w:eastAsiaTheme="minorEastAsia"/>
          <w:color w:val="000000" w:themeColor="text1"/>
          <w:sz w:val="32"/>
          <w:szCs w:val="32"/>
          <w:lang w:eastAsia="zh-CN"/>
          <w14:textFill>
            <w14:solidFill>
              <w14:schemeClr w14:val="tx1"/>
            </w14:solidFill>
          </w14:textFill>
        </w:rPr>
        <w:t>林业和草原</w:t>
      </w:r>
      <w:r>
        <w:rPr>
          <w:rFonts w:hint="eastAsia" w:asciiTheme="minorEastAsia" w:hAnsiTheme="minorEastAsia" w:eastAsiaTheme="minorEastAsia"/>
          <w:color w:val="000000" w:themeColor="text1"/>
          <w:sz w:val="32"/>
          <w:szCs w:val="32"/>
          <w14:textFill>
            <w14:solidFill>
              <w14:schemeClr w14:val="tx1"/>
            </w14:solidFill>
          </w14:textFill>
        </w:rPr>
        <w:t>（款）</w:t>
      </w:r>
      <w:r>
        <w:rPr>
          <w:rFonts w:hint="eastAsia" w:asciiTheme="minorEastAsia" w:hAnsiTheme="minorEastAsia" w:eastAsiaTheme="minorEastAsia"/>
          <w:color w:val="000000" w:themeColor="text1"/>
          <w:sz w:val="32"/>
          <w:szCs w:val="32"/>
          <w:lang w:eastAsia="zh-CN"/>
          <w14:textFill>
            <w14:solidFill>
              <w14:schemeClr w14:val="tx1"/>
            </w14:solidFill>
          </w14:textFill>
        </w:rPr>
        <w:t>林业草原防灾减灾</w:t>
      </w:r>
      <w:r>
        <w:rPr>
          <w:rFonts w:hint="eastAsia" w:asciiTheme="minorEastAsia" w:hAnsiTheme="minorEastAsia" w:eastAsiaTheme="minorEastAsia"/>
          <w:color w:val="000000" w:themeColor="text1"/>
          <w:sz w:val="32"/>
          <w:szCs w:val="32"/>
          <w14:textFill>
            <w14:solidFill>
              <w14:schemeClr w14:val="tx1"/>
            </w14:solidFill>
          </w14:textFill>
        </w:rPr>
        <w:t>（项）</w:t>
      </w:r>
    </w:p>
    <w:p w14:paraId="3F54DBC6">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w:t>
      </w:r>
      <w:r>
        <w:rPr>
          <w:rFonts w:hint="eastAsia" w:asciiTheme="minorEastAsia" w:hAnsiTheme="minorEastAsia" w:eastAsiaTheme="minorEastAsia"/>
          <w:color w:val="000000" w:themeColor="text1"/>
          <w:sz w:val="32"/>
          <w:szCs w:val="32"/>
          <w14:textFill>
            <w14:solidFill>
              <w14:schemeClr w14:val="tx1"/>
            </w14:solidFill>
          </w14:textFill>
        </w:rPr>
        <w:t>3万元，决算数大于年初预算数的主要原因是：调整了预算数。</w:t>
      </w:r>
    </w:p>
    <w:p w14:paraId="3935E640">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7</w:t>
      </w:r>
      <w:r>
        <w:rPr>
          <w:rFonts w:hint="eastAsia" w:asciiTheme="minorEastAsia" w:hAnsiTheme="minorEastAsia" w:eastAsiaTheme="minorEastAsia"/>
          <w:color w:val="000000" w:themeColor="text1"/>
          <w:sz w:val="32"/>
          <w:szCs w:val="32"/>
          <w14:textFill>
            <w14:solidFill>
              <w14:schemeClr w14:val="tx1"/>
            </w14:solidFill>
          </w14:textFill>
        </w:rPr>
        <w:t>、资源勘探信息等支出（类）</w:t>
      </w:r>
      <w:r>
        <w:rPr>
          <w:rFonts w:hint="eastAsia" w:asciiTheme="minorEastAsia" w:hAnsiTheme="minorEastAsia" w:eastAsiaTheme="minorEastAsia"/>
          <w:color w:val="000000" w:themeColor="text1"/>
          <w:sz w:val="32"/>
          <w:szCs w:val="32"/>
          <w:lang w:eastAsia="zh-CN"/>
          <w14:textFill>
            <w14:solidFill>
              <w14:schemeClr w14:val="tx1"/>
            </w14:solidFill>
          </w14:textFill>
        </w:rPr>
        <w:t>资源勘探开发</w:t>
      </w:r>
      <w:r>
        <w:rPr>
          <w:rFonts w:hint="eastAsia" w:asciiTheme="minorEastAsia" w:hAnsiTheme="minorEastAsia" w:eastAsiaTheme="minorEastAsia"/>
          <w:color w:val="000000" w:themeColor="text1"/>
          <w:sz w:val="32"/>
          <w:szCs w:val="32"/>
          <w14:textFill>
            <w14:solidFill>
              <w14:schemeClr w14:val="tx1"/>
            </w14:solidFill>
          </w14:textFill>
        </w:rPr>
        <w:t>（款）其他资源勘探支出（项）</w:t>
      </w:r>
    </w:p>
    <w:p w14:paraId="574EA2FD">
      <w:pPr>
        <w:pStyle w:val="14"/>
        <w:ind w:firstLine="640" w:firstLineChars="20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6</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03A5AF1A">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8</w:t>
      </w:r>
      <w:r>
        <w:rPr>
          <w:rFonts w:hint="eastAsia" w:asciiTheme="minorEastAsia" w:hAnsiTheme="minorEastAsia" w:eastAsiaTheme="minorEastAsia"/>
          <w:color w:val="000000" w:themeColor="text1"/>
          <w:sz w:val="32"/>
          <w:szCs w:val="32"/>
          <w14:textFill>
            <w14:solidFill>
              <w14:schemeClr w14:val="tx1"/>
            </w14:solidFill>
          </w14:textFill>
        </w:rPr>
        <w:t>、资源勘探信息等支出（类）</w:t>
      </w:r>
      <w:r>
        <w:rPr>
          <w:rFonts w:hint="eastAsia" w:asciiTheme="minorEastAsia" w:hAnsiTheme="minorEastAsia" w:eastAsiaTheme="minorEastAsia"/>
          <w:color w:val="000000" w:themeColor="text1"/>
          <w:sz w:val="32"/>
          <w:szCs w:val="32"/>
          <w:lang w:eastAsia="zh-CN"/>
          <w14:textFill>
            <w14:solidFill>
              <w14:schemeClr w14:val="tx1"/>
            </w14:solidFill>
          </w14:textFill>
        </w:rPr>
        <w:t>工业和信息产业监管</w:t>
      </w:r>
      <w:r>
        <w:rPr>
          <w:rFonts w:hint="eastAsia" w:asciiTheme="minorEastAsia" w:hAnsiTheme="minorEastAsia" w:eastAsiaTheme="minorEastAsia"/>
          <w:color w:val="000000" w:themeColor="text1"/>
          <w:sz w:val="32"/>
          <w:szCs w:val="32"/>
          <w14:textFill>
            <w14:solidFill>
              <w14:schemeClr w14:val="tx1"/>
            </w14:solidFill>
          </w14:textFill>
        </w:rPr>
        <w:t>（款）</w:t>
      </w:r>
      <w:r>
        <w:rPr>
          <w:rFonts w:hint="eastAsia" w:asciiTheme="minorEastAsia" w:hAnsiTheme="minorEastAsia" w:eastAsiaTheme="minorEastAsia"/>
          <w:color w:val="000000" w:themeColor="text1"/>
          <w:sz w:val="32"/>
          <w:szCs w:val="32"/>
          <w:lang w:eastAsia="zh-CN"/>
          <w14:textFill>
            <w14:solidFill>
              <w14:schemeClr w14:val="tx1"/>
            </w14:solidFill>
          </w14:textFill>
        </w:rPr>
        <w:t>其他工业和信息产业监管</w:t>
      </w:r>
      <w:r>
        <w:rPr>
          <w:rFonts w:hint="eastAsia" w:asciiTheme="minorEastAsia" w:hAnsiTheme="minorEastAsia" w:eastAsiaTheme="minorEastAsia"/>
          <w:color w:val="000000" w:themeColor="text1"/>
          <w:sz w:val="32"/>
          <w:szCs w:val="32"/>
          <w14:textFill>
            <w14:solidFill>
              <w14:schemeClr w14:val="tx1"/>
            </w14:solidFill>
          </w14:textFill>
        </w:rPr>
        <w:t>等支出（项）</w:t>
      </w:r>
    </w:p>
    <w:p w14:paraId="187ED24E">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0.17</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2A6E140C">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9</w:t>
      </w:r>
      <w:r>
        <w:rPr>
          <w:rFonts w:hint="eastAsia" w:asciiTheme="minorEastAsia" w:hAnsiTheme="minorEastAsia" w:eastAsiaTheme="minorEastAsia"/>
          <w:color w:val="000000" w:themeColor="text1"/>
          <w:sz w:val="32"/>
          <w:szCs w:val="32"/>
          <w14:textFill>
            <w14:solidFill>
              <w14:schemeClr w14:val="tx1"/>
            </w14:solidFill>
          </w14:textFill>
        </w:rPr>
        <w:t>、资源勘探信息等支出（类）其他资源勘探工业信息等支出（款）其他资源勘探工业信息等支出（项）</w:t>
      </w:r>
    </w:p>
    <w:p w14:paraId="1A4C0AA8">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16</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22F2B946">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w:t>
      </w:r>
      <w:r>
        <w:rPr>
          <w:rFonts w:hint="eastAsia" w:asciiTheme="minorEastAsia" w:hAnsiTheme="minorEastAsia" w:eastAsiaTheme="minorEastAsia"/>
          <w:color w:val="000000" w:themeColor="text1"/>
          <w:sz w:val="32"/>
          <w:szCs w:val="32"/>
          <w14:textFill>
            <w14:solidFill>
              <w14:schemeClr w14:val="tx1"/>
            </w14:solidFill>
          </w14:textFill>
        </w:rPr>
        <w:t>、住房保障支出（类）</w:t>
      </w:r>
      <w:r>
        <w:rPr>
          <w:rFonts w:hint="eastAsia" w:asciiTheme="minorEastAsia" w:hAnsiTheme="minorEastAsia" w:eastAsiaTheme="minorEastAsia"/>
          <w:color w:val="000000" w:themeColor="text1"/>
          <w:sz w:val="32"/>
          <w:szCs w:val="32"/>
          <w:lang w:eastAsia="zh-CN"/>
          <w14:textFill>
            <w14:solidFill>
              <w14:schemeClr w14:val="tx1"/>
            </w14:solidFill>
          </w14:textFill>
        </w:rPr>
        <w:t>保障性安居工程支出</w:t>
      </w:r>
      <w:r>
        <w:rPr>
          <w:rFonts w:hint="eastAsia" w:asciiTheme="minorEastAsia" w:hAnsiTheme="minorEastAsia" w:eastAsiaTheme="minorEastAsia"/>
          <w:color w:val="000000" w:themeColor="text1"/>
          <w:sz w:val="32"/>
          <w:szCs w:val="32"/>
          <w14:textFill>
            <w14:solidFill>
              <w14:schemeClr w14:val="tx1"/>
            </w14:solidFill>
          </w14:textFill>
        </w:rPr>
        <w:t>（款）</w:t>
      </w:r>
      <w:r>
        <w:rPr>
          <w:rFonts w:hint="eastAsia" w:asciiTheme="minorEastAsia" w:hAnsiTheme="minorEastAsia" w:eastAsiaTheme="minorEastAsia"/>
          <w:color w:val="000000" w:themeColor="text1"/>
          <w:sz w:val="32"/>
          <w:szCs w:val="32"/>
          <w:lang w:eastAsia="zh-CN"/>
          <w14:textFill>
            <w14:solidFill>
              <w14:schemeClr w14:val="tx1"/>
            </w14:solidFill>
          </w14:textFill>
        </w:rPr>
        <w:t>其他保障性安居工程支出</w:t>
      </w:r>
      <w:r>
        <w:rPr>
          <w:rFonts w:hint="eastAsia" w:asciiTheme="minorEastAsia" w:hAnsiTheme="minorEastAsia" w:eastAsiaTheme="minorEastAsia"/>
          <w:color w:val="000000" w:themeColor="text1"/>
          <w:sz w:val="32"/>
          <w:szCs w:val="32"/>
          <w14:textFill>
            <w14:solidFill>
              <w14:schemeClr w14:val="tx1"/>
            </w14:solidFill>
          </w14:textFill>
        </w:rPr>
        <w:t>（项）</w:t>
      </w:r>
    </w:p>
    <w:p w14:paraId="3DE834AE">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150</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709D382B">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11</w:t>
      </w:r>
      <w:r>
        <w:rPr>
          <w:rFonts w:hint="eastAsia" w:asciiTheme="minorEastAsia" w:hAnsiTheme="minorEastAsia" w:eastAsiaTheme="minorEastAsia"/>
          <w:color w:val="000000" w:themeColor="text1"/>
          <w:sz w:val="32"/>
          <w:szCs w:val="32"/>
          <w14:textFill>
            <w14:solidFill>
              <w14:schemeClr w14:val="tx1"/>
            </w14:solidFill>
          </w14:textFill>
        </w:rPr>
        <w:t>、住房保障支出（类）住房改革支出（款）住房公积金（项）</w:t>
      </w:r>
    </w:p>
    <w:p w14:paraId="2D0AFB55">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28.87</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31.42</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22F9752A">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、灾害防治及应急管理支出（类）应急管理事务（款）行政运行（项）</w:t>
      </w:r>
    </w:p>
    <w:p w14:paraId="247566BC">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868.67</w:t>
      </w:r>
      <w:r>
        <w:rPr>
          <w:rFonts w:hint="eastAsia" w:asciiTheme="minorEastAsia" w:hAnsiTheme="minorEastAsia" w:eastAsiaTheme="minorEastAsia"/>
          <w:color w:val="000000" w:themeColor="text1"/>
          <w:sz w:val="32"/>
          <w:szCs w:val="32"/>
          <w14:textFill>
            <w14:solidFill>
              <w14:schemeClr w14:val="tx1"/>
            </w14:solidFill>
          </w14:textFill>
        </w:rPr>
        <w:t>万元，决算数小于年初预算数的主要原因是：调整了预算数。</w:t>
      </w:r>
    </w:p>
    <w:p w14:paraId="62D669DB">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、灾害防治及应急管理支出（类）应急管理事务（款）一般行政管理事务（项）</w:t>
      </w:r>
    </w:p>
    <w:p w14:paraId="4E05703E">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1316.72</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0.02</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1C03258E">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14</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、灾害防治及应急管理支出（类）应急管理事务（款）灾害风险防治（项）</w:t>
      </w:r>
    </w:p>
    <w:p w14:paraId="32B0016D">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0.01</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13BE2981">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、灾害防治及应急管理支出（类）应急管理事务（款）安全监管（项）</w:t>
      </w:r>
    </w:p>
    <w:p w14:paraId="42B66E10">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61.91</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76BFA722">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6</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、灾害防治及应急管理支出（类）应急管理事务（款）应急救援（项）</w:t>
      </w:r>
    </w:p>
    <w:p w14:paraId="523D0356">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28.07</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0A281F25">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7</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、灾害防治及应急管理支出（类）应急管理事务（款）其他应急管理支出（项）</w:t>
      </w:r>
    </w:p>
    <w:p w14:paraId="1ADEF74B">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857.63</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2490FE67">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8</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w:t>
      </w:r>
      <w:r>
        <w:rPr>
          <w:rFonts w:hint="eastAsia" w:asciiTheme="minorEastAsia" w:hAnsiTheme="minorEastAsia" w:eastAsiaTheme="minorEastAsia"/>
          <w:color w:val="000000" w:themeColor="text1"/>
          <w:sz w:val="32"/>
          <w:szCs w:val="32"/>
          <w:lang w:eastAsia="zh-CN"/>
          <w14:textFill>
            <w14:solidFill>
              <w14:schemeClr w14:val="tx1"/>
            </w14:solidFill>
          </w14:textFill>
        </w:rPr>
        <w:t>消防救援事务</w:t>
      </w:r>
      <w:r>
        <w:rPr>
          <w:rFonts w:hint="eastAsia" w:asciiTheme="minorEastAsia" w:hAnsiTheme="minorEastAsia" w:eastAsiaTheme="minorEastAsia"/>
          <w:color w:val="000000" w:themeColor="text1"/>
          <w:sz w:val="32"/>
          <w:szCs w:val="32"/>
          <w14:textFill>
            <w14:solidFill>
              <w14:schemeClr w14:val="tx1"/>
            </w14:solidFill>
          </w14:textFill>
        </w:rPr>
        <w:t>（款）</w:t>
      </w:r>
      <w:r>
        <w:rPr>
          <w:rFonts w:hint="eastAsia" w:asciiTheme="minorEastAsia" w:hAnsiTheme="minorEastAsia" w:eastAsiaTheme="minorEastAsia"/>
          <w:color w:val="000000" w:themeColor="text1"/>
          <w:sz w:val="32"/>
          <w:szCs w:val="32"/>
          <w:lang w:eastAsia="zh-CN"/>
          <w14:textFill>
            <w14:solidFill>
              <w14:schemeClr w14:val="tx1"/>
            </w14:solidFill>
          </w14:textFill>
        </w:rPr>
        <w:t>其他消防救援事务</w:t>
      </w:r>
      <w:r>
        <w:rPr>
          <w:rFonts w:hint="eastAsia" w:asciiTheme="minorEastAsia" w:hAnsiTheme="minorEastAsia" w:eastAsiaTheme="minorEastAsia"/>
          <w:color w:val="000000" w:themeColor="text1"/>
          <w:sz w:val="32"/>
          <w:szCs w:val="32"/>
          <w14:textFill>
            <w14:solidFill>
              <w14:schemeClr w14:val="tx1"/>
            </w14:solidFill>
          </w14:textFill>
        </w:rPr>
        <w:t>支出（项）</w:t>
      </w:r>
    </w:p>
    <w:p w14:paraId="1D7BD27E">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181.60</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3F781809">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19</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w:t>
      </w:r>
      <w:r>
        <w:rPr>
          <w:rFonts w:hint="eastAsia" w:asciiTheme="minorEastAsia" w:hAnsiTheme="minorEastAsia" w:eastAsiaTheme="minorEastAsia"/>
          <w:color w:val="000000" w:themeColor="text1"/>
          <w:sz w:val="32"/>
          <w:szCs w:val="32"/>
          <w:lang w:eastAsia="zh-CN"/>
          <w14:textFill>
            <w14:solidFill>
              <w14:schemeClr w14:val="tx1"/>
            </w14:solidFill>
          </w14:textFill>
        </w:rPr>
        <w:t>地震事务</w:t>
      </w:r>
      <w:r>
        <w:rPr>
          <w:rFonts w:hint="eastAsia" w:asciiTheme="minorEastAsia" w:hAnsiTheme="minorEastAsia" w:eastAsiaTheme="minorEastAsia"/>
          <w:color w:val="000000" w:themeColor="text1"/>
          <w:sz w:val="32"/>
          <w:szCs w:val="32"/>
          <w14:textFill>
            <w14:solidFill>
              <w14:schemeClr w14:val="tx1"/>
            </w14:solidFill>
          </w14:textFill>
        </w:rPr>
        <w:t>（款）</w:t>
      </w:r>
      <w:r>
        <w:rPr>
          <w:rFonts w:hint="eastAsia" w:asciiTheme="minorEastAsia" w:hAnsiTheme="minorEastAsia" w:eastAsiaTheme="minorEastAsia"/>
          <w:color w:val="000000" w:themeColor="text1"/>
          <w:sz w:val="32"/>
          <w:szCs w:val="32"/>
          <w:lang w:eastAsia="zh-CN"/>
          <w14:textFill>
            <w14:solidFill>
              <w14:schemeClr w14:val="tx1"/>
            </w14:solidFill>
          </w14:textFill>
        </w:rPr>
        <w:t>地震监测</w:t>
      </w:r>
      <w:r>
        <w:rPr>
          <w:rFonts w:hint="eastAsia" w:asciiTheme="minorEastAsia" w:hAnsiTheme="minorEastAsia" w:eastAsiaTheme="minorEastAsia"/>
          <w:color w:val="000000" w:themeColor="text1"/>
          <w:sz w:val="32"/>
          <w:szCs w:val="32"/>
          <w14:textFill>
            <w14:solidFill>
              <w14:schemeClr w14:val="tx1"/>
            </w14:solidFill>
          </w14:textFill>
        </w:rPr>
        <w:t>（项）</w:t>
      </w:r>
    </w:p>
    <w:p w14:paraId="27D3C7DE">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6</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08B154B5">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20</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w:t>
      </w:r>
      <w:r>
        <w:rPr>
          <w:rFonts w:hint="eastAsia" w:asciiTheme="minorEastAsia" w:hAnsiTheme="minorEastAsia" w:eastAsiaTheme="minorEastAsia"/>
          <w:color w:val="000000" w:themeColor="text1"/>
          <w:sz w:val="32"/>
          <w:szCs w:val="32"/>
          <w:lang w:eastAsia="zh-CN"/>
          <w14:textFill>
            <w14:solidFill>
              <w14:schemeClr w14:val="tx1"/>
            </w14:solidFill>
          </w14:textFill>
        </w:rPr>
        <w:t>自然灾害防治</w:t>
      </w:r>
      <w:r>
        <w:rPr>
          <w:rFonts w:hint="eastAsia" w:asciiTheme="minorEastAsia" w:hAnsiTheme="minorEastAsia" w:eastAsiaTheme="minorEastAsia"/>
          <w:color w:val="000000" w:themeColor="text1"/>
          <w:sz w:val="32"/>
          <w:szCs w:val="32"/>
          <w14:textFill>
            <w14:solidFill>
              <w14:schemeClr w14:val="tx1"/>
            </w14:solidFill>
          </w14:textFill>
        </w:rPr>
        <w:t>（款）</w:t>
      </w:r>
      <w:r>
        <w:rPr>
          <w:rFonts w:hint="eastAsia" w:asciiTheme="minorEastAsia" w:hAnsiTheme="minorEastAsia" w:eastAsiaTheme="minorEastAsia"/>
          <w:color w:val="000000" w:themeColor="text1"/>
          <w:sz w:val="32"/>
          <w:szCs w:val="32"/>
          <w:lang w:eastAsia="zh-CN"/>
          <w14:textFill>
            <w14:solidFill>
              <w14:schemeClr w14:val="tx1"/>
            </w14:solidFill>
          </w14:textFill>
        </w:rPr>
        <w:t>其他</w:t>
      </w:r>
      <w:r>
        <w:rPr>
          <w:rFonts w:hint="eastAsia" w:asciiTheme="minorEastAsia" w:hAnsiTheme="minorEastAsia" w:eastAsiaTheme="minorEastAsia"/>
          <w:color w:val="000000" w:themeColor="text1"/>
          <w:sz w:val="32"/>
          <w:szCs w:val="32"/>
          <w14:textFill>
            <w14:solidFill>
              <w14:schemeClr w14:val="tx1"/>
            </w14:solidFill>
          </w14:textFill>
        </w:rPr>
        <w:t>自然灾害</w:t>
      </w:r>
      <w:r>
        <w:rPr>
          <w:rFonts w:hint="eastAsia" w:asciiTheme="minorEastAsia" w:hAnsiTheme="minorEastAsia" w:eastAsiaTheme="minorEastAsia"/>
          <w:color w:val="000000" w:themeColor="text1"/>
          <w:sz w:val="32"/>
          <w:szCs w:val="32"/>
          <w:lang w:eastAsia="zh-CN"/>
          <w14:textFill>
            <w14:solidFill>
              <w14:schemeClr w14:val="tx1"/>
            </w14:solidFill>
          </w14:textFill>
        </w:rPr>
        <w:t>防治支出</w:t>
      </w:r>
      <w:r>
        <w:rPr>
          <w:rFonts w:hint="eastAsia" w:asciiTheme="minorEastAsia" w:hAnsiTheme="minorEastAsia" w:eastAsiaTheme="minorEastAsia"/>
          <w:color w:val="000000" w:themeColor="text1"/>
          <w:sz w:val="32"/>
          <w:szCs w:val="32"/>
          <w14:textFill>
            <w14:solidFill>
              <w14:schemeClr w14:val="tx1"/>
            </w14:solidFill>
          </w14:textFill>
        </w:rPr>
        <w:t>（项）</w:t>
      </w:r>
    </w:p>
    <w:p w14:paraId="587E9B7F">
      <w:pPr>
        <w:pStyle w:val="14"/>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16.81</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3D27EFEA">
      <w:pPr>
        <w:pStyle w:val="14"/>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21</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、灾害防治及应急管理支出（类）自然灾害救灾及恢复重建支出（款）其他自然灾害救灾及恢复重建支出（项）</w:t>
      </w:r>
    </w:p>
    <w:p w14:paraId="33555AE6">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456.34</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6422D73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4A9418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740.31</w:t>
      </w:r>
      <w:r>
        <w:rPr>
          <w:rFonts w:hint="eastAsia" w:ascii="Times New Roman" w:hAnsi="Times New Roman" w:eastAsia="仿宋_GB2312"/>
          <w:sz w:val="32"/>
          <w:szCs w:val="32"/>
        </w:rPr>
        <w:t>万元，其中：</w:t>
      </w:r>
    </w:p>
    <w:p w14:paraId="341C3D7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651.36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87.98</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296.4万元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185.62万元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4.54万元、绩效工资20.19万元、机关事业单位基本养老保险缴费73.16万元、职工基本医疗保险缴费37.79万元、其他社会保障缴费1.55万元、住房公积金32.1万元</w:t>
      </w:r>
      <w:r>
        <w:rPr>
          <w:rFonts w:hint="eastAsia" w:ascii="Times New Roman" w:hAnsi="Times New Roman" w:eastAsia="仿宋_GB2312"/>
          <w:sz w:val="32"/>
          <w:szCs w:val="32"/>
          <w:lang w:eastAsia="zh-CN"/>
        </w:rPr>
        <w:t>。</w:t>
      </w:r>
    </w:p>
    <w:p w14:paraId="343886F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88.95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12.02</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3.18万元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5.86万元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电费11.92万元、邮电费0.15万元、差旅费13.31万元、维修费1.4万元、会议费0.83万元、培训费2.35万元、专用材料费0.72万元、劳务费0.5万元、委托业务费1.85万元、工会经费5.89万元、其他交通费用18.31万元、其他商品和服务支出22.68万元</w:t>
      </w:r>
      <w:r>
        <w:rPr>
          <w:rFonts w:hint="eastAsia" w:ascii="Times New Roman" w:hAnsi="Times New Roman" w:eastAsia="仿宋_GB2312"/>
          <w:sz w:val="32"/>
          <w:szCs w:val="32"/>
        </w:rPr>
        <w:t>。</w:t>
      </w:r>
    </w:p>
    <w:p w14:paraId="6D19F4FD">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2F555141">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ABACDA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“三公”经费财政拨款支出预算为1.99万元，支出决算为1.99万元，完成预算的100%，</w:t>
      </w:r>
      <w:bookmarkStart w:id="2" w:name="OLE_LINK4"/>
      <w:r>
        <w:rPr>
          <w:rFonts w:hint="eastAsia" w:ascii="Times New Roman" w:hAnsi="Times New Roman" w:eastAsia="仿宋_GB2312"/>
          <w:sz w:val="32"/>
          <w:szCs w:val="32"/>
          <w:lang w:val="en-US" w:eastAsia="zh-CN"/>
        </w:rPr>
        <w:t>决算数等于预算数</w:t>
      </w:r>
      <w:bookmarkEnd w:id="2"/>
      <w:r>
        <w:rPr>
          <w:rFonts w:hint="eastAsia" w:ascii="Times New Roman" w:hAnsi="Times New Roman" w:eastAsia="仿宋_GB2312"/>
          <w:sz w:val="32"/>
          <w:szCs w:val="32"/>
          <w:lang w:val="en-US" w:eastAsia="zh-CN"/>
        </w:rPr>
        <w:t>，与上年相比减少3.53万元，减少38.59%,减少的主要原因是招待次数减少。其中：</w:t>
      </w:r>
    </w:p>
    <w:p w14:paraId="2054162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因公出国（境）费支出</w:t>
      </w:r>
      <w:r>
        <w:rPr>
          <w:rFonts w:hint="eastAsia" w:ascii="Times New Roman" w:hAnsi="Times New Roman" w:eastAsia="仿宋_GB2312"/>
          <w:color w:val="auto"/>
          <w:sz w:val="32"/>
          <w:szCs w:val="32"/>
          <w:lang w:val="en-US" w:eastAsia="zh-CN"/>
        </w:rPr>
        <w:t>预算为0万元，支出决算为0万元，</w:t>
      </w:r>
      <w:bookmarkStart w:id="3" w:name="OLE_LINK94"/>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bookmarkEnd w:id="3"/>
      <w:r>
        <w:rPr>
          <w:rFonts w:hint="eastAsia" w:ascii="Times New Roman" w:hAnsi="Times New Roman" w:eastAsia="仿宋_GB2312"/>
          <w:color w:val="auto"/>
          <w:sz w:val="32"/>
          <w:szCs w:val="32"/>
          <w:lang w:val="en-US" w:eastAsia="zh-CN"/>
        </w:rPr>
        <w:t>，决算数等于预算数的主要原因是无人出国，与上年一致，无人出国。</w:t>
      </w:r>
    </w:p>
    <w:p w14:paraId="44E1FAF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公务接待费支出预算为1.99万元，支出决算为1.99万元，完成预算的100%，决算数等于预算数，与上年相比减少3.53万元，减少38.59%,减少的主要原因是招待次数减少。</w:t>
      </w:r>
    </w:p>
    <w:p w14:paraId="7C943C2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公务用车购置费支出预算为0万元，支出决算为0万元，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0，无法计算百分比，决算数等于预算数，没有购置车辆，与上年一致，没有购置车辆。。</w:t>
      </w:r>
    </w:p>
    <w:p w14:paraId="4A49997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olor w:val="auto"/>
          <w:sz w:val="32"/>
          <w:szCs w:val="32"/>
          <w:lang w:val="en-US" w:eastAsia="zh-CN"/>
        </w:rPr>
        <w:t>公务用车运行维护费支出预算为0万元，支出决算为0万元，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0，无法计算百分比，决算数</w:t>
      </w:r>
      <w:r>
        <w:rPr>
          <w:rFonts w:hint="eastAsia" w:ascii="Times New Roman" w:hAnsi="Times New Roman" w:eastAsia="仿宋_GB2312"/>
          <w:sz w:val="32"/>
          <w:szCs w:val="32"/>
          <w:lang w:val="en-US" w:eastAsia="zh-CN"/>
        </w:rPr>
        <w:t>等于预算数，与上年一致。</w:t>
      </w:r>
    </w:p>
    <w:p w14:paraId="65188DD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25BE43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2023年度“三公”经费财政拨款支出决算中，公务接待费支出决算1.99万元，占100%,因公出国（境）费支出决算0万元，占0%,公务用车购置费及运行维护费支出决算0万元，占0%。其中：</w:t>
      </w:r>
    </w:p>
    <w:p w14:paraId="3C7344B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bookmarkStart w:id="4" w:name="OLE_LINK104"/>
      <w:bookmarkStart w:id="5" w:name="OLE_LINK92"/>
      <w:bookmarkStart w:id="6" w:name="OLE_LINK6"/>
      <w:r>
        <w:rPr>
          <w:rFonts w:hint="eastAsia" w:ascii="Times New Roman" w:hAnsi="Times New Roman" w:eastAsia="仿宋_GB2312"/>
          <w:color w:val="auto"/>
          <w:sz w:val="32"/>
          <w:szCs w:val="32"/>
          <w:lang w:val="en-US" w:eastAsia="zh-CN"/>
        </w:rPr>
        <w:t>1、</w:t>
      </w:r>
      <w:bookmarkStart w:id="7" w:name="OLE_LINK111"/>
      <w:r>
        <w:rPr>
          <w:rFonts w:hint="eastAsia" w:ascii="Times New Roman" w:hAnsi="Times New Roman" w:eastAsia="仿宋_GB2312"/>
          <w:color w:val="auto"/>
          <w:sz w:val="32"/>
          <w:szCs w:val="32"/>
        </w:rPr>
        <w:t>因公出国（境）费支出决算为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万元，全年安排因公出国（境）团组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个，累计</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人次</w:t>
      </w:r>
      <w:r>
        <w:rPr>
          <w:rFonts w:hint="eastAsia" w:ascii="Times New Roman" w:hAnsi="Times New Roman" w:eastAsia="仿宋_GB2312"/>
          <w:color w:val="auto"/>
          <w:sz w:val="32"/>
          <w:szCs w:val="32"/>
          <w:lang w:eastAsia="zh-CN"/>
        </w:rPr>
        <w:t>。</w:t>
      </w:r>
      <w:bookmarkEnd w:id="4"/>
      <w:bookmarkEnd w:id="7"/>
    </w:p>
    <w:bookmarkEnd w:id="5"/>
    <w:p w14:paraId="5A757DA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2、公务接待费支出决算为1.99万元，全年共接待来访团组26个、来宾104人次，主要是其他县市应急部门来访交流及上级部门检查发生的接待支出。</w:t>
      </w:r>
    </w:p>
    <w:p w14:paraId="789B341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highlight w:val="yellow"/>
          <w:lang w:val="en-US" w:eastAsia="zh-CN" w:bidi="ar-SA"/>
        </w:rPr>
      </w:pPr>
      <w:r>
        <w:rPr>
          <w:rFonts w:hint="eastAsia" w:ascii="Times New Roman" w:hAnsi="Times New Roman" w:eastAsia="仿宋_GB2312"/>
          <w:sz w:val="32"/>
          <w:szCs w:val="32"/>
          <w:lang w:val="en-US" w:eastAsia="zh-CN"/>
        </w:rPr>
        <w:t>3、公务用车购置费及运行维护费支出决算为0万元，其中：公务用车购置费0万元，单位本级或某二级机构无更新公务用车0辆。公务用车运行维护费0万元，主要是无公务用车支出，截至2023年12月31日，我单位开支财政拨款的公务用车保有量为0辆。</w:t>
      </w:r>
      <w:bookmarkEnd w:id="6"/>
    </w:p>
    <w:p w14:paraId="5EDF74A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7AB0E3C">
      <w:pPr>
        <w:pStyle w:val="14"/>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r>
        <w:rPr>
          <w:rFonts w:hint="eastAsia" w:ascii="Times New Roman" w:hAnsi="Times New Roman" w:eastAsia="仿宋_GB2312"/>
          <w:sz w:val="32"/>
          <w:szCs w:val="32"/>
          <w:lang w:val="en-US" w:eastAsia="zh-CN"/>
        </w:rPr>
        <w:t>本单位无政府性基金收支。</w:t>
      </w:r>
    </w:p>
    <w:p w14:paraId="64F76A3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B8BE81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88.95</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16.95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19.05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日常工作开支增加</w:t>
      </w:r>
      <w:r>
        <w:rPr>
          <w:rFonts w:hint="eastAsia" w:ascii="Times New Roman" w:hAnsi="Times New Roman" w:eastAsia="仿宋_GB2312"/>
          <w:sz w:val="32"/>
          <w:szCs w:val="32"/>
        </w:rPr>
        <w:t>。</w:t>
      </w:r>
    </w:p>
    <w:p w14:paraId="3782E3B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3139B29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2023年本部门开支会议</w:t>
      </w:r>
      <w:r>
        <w:rPr>
          <w:rFonts w:hint="eastAsia" w:ascii="Times New Roman" w:hAnsi="Times New Roman" w:eastAsia="仿宋_GB2312"/>
          <w:color w:val="auto"/>
          <w:sz w:val="32"/>
          <w:szCs w:val="32"/>
          <w:lang w:val="en-US" w:eastAsia="zh-CN"/>
        </w:rPr>
        <w:t>费0.83万元，用于召开安委办会议，人数300人，内容为全年安全生产各项会议；</w:t>
      </w:r>
    </w:p>
    <w:p w14:paraId="561C0A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开支培训费2.35万元，用于开展安全生产各项培训，人数2人，内容为应急救援队伍培训复训；</w:t>
      </w:r>
      <w:bookmarkStart w:id="8" w:name="OLE_LINK54"/>
      <w:bookmarkStart w:id="9" w:name="OLE_LINK93"/>
    </w:p>
    <w:p w14:paraId="6065FC7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举办</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节庆、晚会、论坛、赛事活动，</w:t>
      </w:r>
      <w:bookmarkStart w:id="10" w:name="OLE_LINK59"/>
      <w:r>
        <w:rPr>
          <w:rFonts w:hint="eastAsia" w:ascii="Times New Roman" w:hAnsi="Times New Roman" w:eastAsia="仿宋_GB2312"/>
          <w:color w:val="auto"/>
          <w:sz w:val="32"/>
          <w:szCs w:val="32"/>
        </w:rPr>
        <w:t>开支</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bookmarkEnd w:id="8"/>
      <w:bookmarkEnd w:id="10"/>
      <w:r>
        <w:rPr>
          <w:rFonts w:hint="eastAsia" w:ascii="Times New Roman" w:hAnsi="Times New Roman" w:eastAsia="仿宋_GB2312"/>
          <w:color w:val="auto"/>
          <w:sz w:val="32"/>
          <w:szCs w:val="32"/>
        </w:rPr>
        <w:t>。</w:t>
      </w:r>
      <w:bookmarkEnd w:id="9"/>
    </w:p>
    <w:p w14:paraId="494F907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93CA8A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3940189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5660479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eastAsia="zh-CN"/>
        </w:rPr>
        <w:t>应急救援车辆</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B0CB72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BF5B24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9219DF8">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在“强”上下功夫，夯实“稳”的基础。坚决落实“党政同责、一岗双责、齐抓共管、失职追责”要求，深化安全生产责任落实，强化平安基础保障，完善长效工作机制，全力打好安全生产翻身仗，牢牢稳固安全生产“基本盘”。一是强化组织领导，推动安全生产责任内化于心、外化于</w:t>
      </w:r>
      <w:r>
        <w:rPr>
          <w:rFonts w:hint="eastAsia" w:ascii="仿宋_GB2312" w:hAnsi="仿宋_GB2312" w:eastAsia="仿宋_GB2312" w:cs="仿宋_GB2312"/>
          <w:bCs/>
          <w:sz w:val="32"/>
          <w:szCs w:val="32"/>
          <w:lang w:val="en-US" w:eastAsia="zh-CN"/>
        </w:rPr>
        <w:t>行</w:t>
      </w:r>
      <w:r>
        <w:rPr>
          <w:rFonts w:hint="eastAsia" w:ascii="仿宋_GB2312" w:hAnsi="仿宋_GB2312" w:eastAsia="仿宋_GB2312" w:cs="仿宋_GB2312"/>
          <w:bCs/>
          <w:sz w:val="32"/>
          <w:szCs w:val="32"/>
        </w:rPr>
        <w:t>。县委、县政府高度重视安全生产和应急管理工作，今年先后召开县委常委会、县政府常务会、县安委会全会、翻身仗专题调度会等51次会议专题研究，周密部署安排，高频高位深入推进。县委、县政府主要领导率先垂范，35名县级领导常态化带队开展安全生产督导检查，向全县上下传递了大抓狠抓猛抓安全生产工作的鲜明信号，层层传导压力狠抓落实。二是强化机制运行，确保安全处处有人管、生产事事有人抓。印发《溆浦县安全生产委员会成员单位安全生产工作任务分工》《县委县政府领导班子成员安全生产责任清单》《溆浦县安全生产工作包片责任制》等文件，进一步明确各级各部门安全生产工作职责。建立健全安全生产巡查机制，常态化组织督查巡查、明察暗访，对工作不力、敷衍应付、责任不落实的严肃问责追责，倒逼各级各部门和企业安全生产责任得到有效落实。三是强化能力建设，力促安全生产本质水平和应急处置能力得到全面提升。搭建了全县应急调度平台，将应急指挥调度系统延伸到25个乡镇，建立健全了会商研判和应急联动机制。优化建强应急救援队伍，组建了30人的森林消防专业队伍，建有438支13807人的应急救援力量，形成了全覆盖、全灾种、大应急、大救援体系。加强了应急救援能力建设，完成了10部应急预案的修订发布，25个乡镇完成了乡镇“六有”、村级“三有”的应急能力建设达标任务，全面加强了基层治理能力建设。</w:t>
      </w:r>
    </w:p>
    <w:p w14:paraId="31CCFC70">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在“常”上用足劲，累积“进”的因素。一是铁腕整治安全隐患。制订了《溆浦县重大事故隐患专项排查整治2023行动方案》，对各重点行业、重点领域、重点部位进行“拉网式、全覆盖、无死角”排查。严格落实安全生产责任制，持续深入开展安全生产大检查和“打非治违”行动，统筹推进烟花爆竹、危险化学品、交通运输、特种设备、文化旅游、城市运行、燃气、消防、建筑施工等领域安全防范风险，对风险隐患紧盯不放、一抓到底，及时消除盲区，有效堵塞漏洞。全年共检查生产经营单位8614家次，发现一般安全隐患7226处，整改销号7226处，整改完成率100%，发现重大安全隐患1043处，完成整改1008处，尚有35处在整改期限内正在整改。二是加大监管执法力度。严格落实“四个一律”要求，推进执法监管与安全隐患排查相结合，把依法治安作为安全生产治本之策。三是深入开展宣传教育。今年县委理论中心组学习开设“溆水大讲堂”安全生产专题讲座，精心组织大范围的安全生产专题培训，全面提高了安全意识和安全责任心。扎实开展“安全生产月”、“5.12全国防灾减灾日”“交通安全日”等常态化宣传教育活动，深入开展消防安全、燃气安全、森林防火“敲门行动”，发放宣传资料15万余份，将安全生产知识送进千家万户，切实提高全民安全意识和应对突发事件的自救能力。四是抓细抓常森林防火。推行森林防灭火“五级包保”，全县深入开展“敲门行动”，与农户签订森林防灭火承诺书12万份。严格落实“八个一”措施，设立临时检查站1183处，全天候检查巡逻，制止野外用火246起。安装森林防火视频监控136个，打造智能防火“天眼”。积极参加全市以水灭火技能比武，夺得全市第一。五是科学应对自然灾害。全面落实行政首长负责制的防汛抗旱责任制体系建设，配齐了145名上型山塘水库巡护员、460名地灾点点长；修订和完善应急预案1529个，25个乡镇1044个自然院落开展演练1196场次，参演群众7338户；</w:t>
      </w:r>
      <w:bookmarkStart w:id="11" w:name="_GoBack"/>
      <w:bookmarkEnd w:id="11"/>
      <w:r>
        <w:rPr>
          <w:rFonts w:hint="eastAsia" w:ascii="仿宋_GB2312" w:hAnsi="仿宋_GB2312" w:eastAsia="仿宋_GB2312" w:cs="仿宋_GB2312"/>
          <w:bCs/>
          <w:sz w:val="32"/>
          <w:szCs w:val="32"/>
        </w:rPr>
        <w:t>科学应对6轮强对流天气，启动防汛Ⅳ级应急响应2次，紧急转移群众164户390人，确保不垮一库一坝一堤，不伤亡一人；启动抗旱IV级应急响应1次，开展7轮人工增雨作业，发射增雨火箭弹16枚，采取统一调度“三库一坝”，加强科学用水管理，有效缓解旱情。以充足准备做好防范应对工作，全力以赴保障人民群众生命和财产安全。</w:t>
      </w:r>
    </w:p>
    <w:p w14:paraId="5FB1C138">
      <w:pPr>
        <w:spacing w:line="60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三）在“实”上做文章，增添“新”的动能。一是创新推行驻企督导制度。制订《溆浦县重点企业派驻企业安全生产督导员实施方案》，对全县688家重点企业派驻督导员365人，严格落实“五查五督”工作要求，全面推动企业主体责任落实。该经验做法被省应急管理厅在全省推广。二是厘清职责消除监管盲区。制订《溆浦县新业态安全生产监管职责分工》，对扶贫车间、醇基燃料、民宿（乡村酒店）、仓储物流、密室逃脱等27个新兴行业和新业态监管职责进行了明确，特别是将扶贫车间安全监管依职责进行明晰，填补了全省空白。三是聘请专家服务提升效能。制订《关于“专委＋专家”开展安全隐患排查实施方案》，采取政府购买服务方式聘请专家参与隐患排查，既指出问题“病灶”，又开整改“药方”，解决“发现不了问题、解决不了难题”等问题，切实提升监管效能。四是采取“硬措施”狠抓工作落实。制订《溆浦县打非治违有奖举报办法》，鼓励全社会举报安全生产非法违法行为。推行安全警示教育，对突出问题制成影像视频进行警示曝光。以《2023年重点行业重大隐患判定标准》和《15个专业委员会安全生产检查指南》等为指导，深入开展立体督导，督促乡镇、部门、企业落实安全生产责任。在打好安全生产翻身仗工作中，对15个专业委员会和25个乡镇，实行一季一巡查、一考核、一通报、一曝光，打破惯性做法，突出日常考核，倒逼各项工作落到实处。对工作开展不力、排名靠后的单位实行工作经费停发，并由相关单位在县安委会全体会议上检讨发言，责令限期整改。</w:t>
      </w:r>
    </w:p>
    <w:p w14:paraId="77FA45A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CBB6472">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年度一般公共预算项目支出全面开展绩效自评，其中，一级项目0个，二级项目</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3720.02</w:t>
      </w:r>
      <w:r>
        <w:rPr>
          <w:rFonts w:hint="eastAsia" w:cs="黑体" w:asciiTheme="minorEastAsia" w:hAnsiTheme="minorEastAsia"/>
          <w:color w:val="000000"/>
          <w:kern w:val="0"/>
          <w:sz w:val="32"/>
          <w:szCs w:val="32"/>
        </w:rPr>
        <w:t>万元，占一般公共预算项目支出总额的100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年度0个政府性基金预算项目支出开展绩效自评，共涉及资金0万元，占政府性基金预算项目支出总额的0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年度0个国有资本经营预算项目支出开展绩效自评，共涉及资金0万元，占国有资本经营预算项目支出总额的0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751D63DE">
      <w:pPr>
        <w:overflowPunct w:val="0"/>
        <w:spacing w:line="580" w:lineRule="exact"/>
        <w:ind w:firstLine="640" w:firstLineChars="200"/>
        <w:rPr>
          <w:rFonts w:hint="eastAsia" w:ascii="仿宋_GB2312" w:hAnsi="仿宋_GB2312" w:eastAsia="仿宋_GB2312" w:cs="仿宋_GB2312"/>
          <w:color w:val="auto"/>
          <w:sz w:val="32"/>
          <w:szCs w:val="32"/>
        </w:rPr>
      </w:pPr>
      <w:r>
        <w:rPr>
          <w:rFonts w:hint="eastAsia" w:cs="黑体" w:asciiTheme="minorEastAsia" w:hAnsiTheme="minorEastAsia"/>
          <w:color w:val="000000"/>
          <w:kern w:val="0"/>
          <w:sz w:val="32"/>
          <w:szCs w:val="32"/>
        </w:rPr>
        <w:t>组织对矿山宣传及应急演练、防汛防火等</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3720.02</w:t>
      </w:r>
      <w:r>
        <w:rPr>
          <w:rFonts w:hint="eastAsia" w:cs="黑体" w:asciiTheme="minorEastAsia" w:hAnsiTheme="minorEastAsia"/>
          <w:color w:val="000000"/>
          <w:kern w:val="0"/>
          <w:sz w:val="32"/>
          <w:szCs w:val="32"/>
        </w:rPr>
        <w:t>万元，政府性基金预算支出0万元，国有资本经营预算支出0万元</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auto"/>
          <w:kern w:val="0"/>
          <w:sz w:val="32"/>
          <w:szCs w:val="32"/>
        </w:rPr>
        <w:t>从评价情况来看</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lang w:val="en-US" w:eastAsia="zh-CN"/>
        </w:rPr>
        <w:t>2</w:t>
      </w:r>
      <w:r>
        <w:rPr>
          <w:rFonts w:hint="eastAsia" w:ascii="宋体" w:hAnsi="宋体" w:cs="黑体"/>
          <w:color w:val="auto"/>
          <w:kern w:val="0"/>
          <w:sz w:val="32"/>
          <w:szCs w:val="32"/>
        </w:rPr>
        <w:t>02</w:t>
      </w:r>
      <w:r>
        <w:rPr>
          <w:rFonts w:hint="eastAsia" w:ascii="宋体" w:hAnsi="宋体" w:cs="黑体"/>
          <w:color w:val="auto"/>
          <w:kern w:val="0"/>
          <w:sz w:val="32"/>
          <w:szCs w:val="32"/>
          <w:lang w:val="en-US" w:eastAsia="zh-CN"/>
        </w:rPr>
        <w:t>3</w:t>
      </w:r>
      <w:r>
        <w:rPr>
          <w:rFonts w:hint="eastAsia" w:ascii="宋体" w:hAnsi="宋体" w:cs="黑体"/>
          <w:color w:val="auto"/>
          <w:kern w:val="0"/>
          <w:sz w:val="32"/>
          <w:szCs w:val="32"/>
        </w:rPr>
        <w:t>年我单位在专项工作上狠抓重点工作，相关部门认真组织实施，较好地完成了各项目标任务，取得了较好的社会效益，发挥了专项资金的作用。专项资金的使用全部实行统一管理，专款专用，严格把关，每个项目的运行按照我单位内部管理制度、县政府及财政的有关规定执行。单位内部不定期进行抽查，严格人员作风，不存在违规违法的问题。各个项目资金使用与具体项目实施内容相符，绩效总目标和阶段性目标都已按照计划完成，发挥了专项资金的效应。</w:t>
      </w:r>
    </w:p>
    <w:p w14:paraId="31240B09">
      <w:pPr>
        <w:spacing w:line="560" w:lineRule="exact"/>
        <w:ind w:firstLine="640" w:firstLineChars="200"/>
        <w:rPr>
          <w:rFonts w:hint="default" w:cs="黑体" w:asciiTheme="minorEastAsia" w:hAnsiTheme="minorEastAsia"/>
          <w:color w:val="auto"/>
          <w:kern w:val="0"/>
          <w:sz w:val="32"/>
          <w:szCs w:val="32"/>
          <w:lang w:val="en-US"/>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本</w:t>
      </w:r>
      <w:r>
        <w:rPr>
          <w:rFonts w:hint="eastAsia" w:cs="黑体" w:asciiTheme="minorEastAsia" w:hAnsiTheme="minorEastAsia"/>
          <w:color w:val="000000"/>
          <w:kern w:val="0"/>
          <w:sz w:val="32"/>
          <w:szCs w:val="32"/>
        </w:rPr>
        <w:t>单位开展整体支出绩效评价，涉及一般公共预算支出</w:t>
      </w:r>
      <w:r>
        <w:rPr>
          <w:rFonts w:hint="eastAsia" w:cs="黑体" w:asciiTheme="minorEastAsia" w:hAnsiTheme="minorEastAsia"/>
          <w:color w:val="000000"/>
          <w:kern w:val="0"/>
          <w:sz w:val="32"/>
          <w:szCs w:val="32"/>
          <w:lang w:val="en-US" w:eastAsia="zh-CN"/>
        </w:rPr>
        <w:t>3720.02</w:t>
      </w:r>
      <w:r>
        <w:rPr>
          <w:rFonts w:hint="eastAsia" w:cs="黑体" w:asciiTheme="minorEastAsia" w:hAnsiTheme="minorEastAsia"/>
          <w:color w:val="000000"/>
          <w:kern w:val="0"/>
          <w:sz w:val="32"/>
          <w:szCs w:val="32"/>
        </w:rPr>
        <w:t>万元，政府性基金预算支出0万元</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auto"/>
          <w:kern w:val="0"/>
          <w:sz w:val="32"/>
          <w:szCs w:val="32"/>
        </w:rPr>
        <w:t>从评价情况来看</w:t>
      </w:r>
      <w:r>
        <w:rPr>
          <w:rFonts w:hint="eastAsia" w:cs="黑体" w:asciiTheme="minorEastAsia" w:hAnsiTheme="minorEastAsia"/>
          <w:color w:val="auto"/>
          <w:kern w:val="0"/>
          <w:sz w:val="32"/>
          <w:szCs w:val="32"/>
          <w:lang w:eastAsia="zh-CN"/>
        </w:rPr>
        <w:t>，</w:t>
      </w:r>
      <w:r>
        <w:rPr>
          <w:rFonts w:hint="eastAsia" w:ascii="宋体" w:hAnsi="宋体" w:cs="黑体"/>
          <w:color w:val="auto"/>
          <w:kern w:val="0"/>
          <w:sz w:val="32"/>
          <w:szCs w:val="32"/>
          <w:lang w:eastAsia="zh-CN"/>
        </w:rPr>
        <w:t>县</w:t>
      </w:r>
      <w:r>
        <w:rPr>
          <w:rFonts w:hint="eastAsia" w:ascii="宋体" w:hAnsi="宋体" w:cs="黑体"/>
          <w:color w:val="auto"/>
          <w:kern w:val="0"/>
          <w:sz w:val="32"/>
          <w:szCs w:val="32"/>
          <w:lang w:val="en-US" w:eastAsia="zh-CN"/>
        </w:rPr>
        <w:t>应急局2023年的</w:t>
      </w:r>
      <w:r>
        <w:rPr>
          <w:rFonts w:hint="eastAsia" w:ascii="宋体" w:hAnsi="宋体" w:cs="黑体"/>
          <w:color w:val="auto"/>
          <w:kern w:val="0"/>
          <w:sz w:val="32"/>
          <w:szCs w:val="32"/>
        </w:rPr>
        <w:t>项目</w:t>
      </w:r>
      <w:r>
        <w:rPr>
          <w:rFonts w:hint="eastAsia" w:ascii="宋体" w:hAnsi="宋体" w:cs="黑体"/>
          <w:color w:val="auto"/>
          <w:kern w:val="0"/>
          <w:sz w:val="32"/>
          <w:szCs w:val="32"/>
          <w:lang w:val="en-US" w:eastAsia="zh-CN"/>
        </w:rPr>
        <w:t>,</w:t>
      </w:r>
      <w:r>
        <w:rPr>
          <w:rFonts w:hint="eastAsia" w:ascii="宋体" w:hAnsi="宋体" w:cs="黑体"/>
          <w:color w:val="auto"/>
          <w:kern w:val="0"/>
          <w:sz w:val="32"/>
          <w:szCs w:val="32"/>
        </w:rPr>
        <w:t>一方面</w:t>
      </w:r>
      <w:r>
        <w:rPr>
          <w:rFonts w:hint="eastAsia" w:ascii="宋体" w:hAnsi="宋体" w:cs="黑体"/>
          <w:color w:val="auto"/>
          <w:kern w:val="0"/>
          <w:sz w:val="32"/>
          <w:szCs w:val="32"/>
          <w:lang w:eastAsia="zh-CN"/>
        </w:rPr>
        <w:t>主要目标是</w:t>
      </w:r>
      <w:r>
        <w:rPr>
          <w:rFonts w:hint="eastAsia" w:ascii="宋体" w:hAnsi="宋体" w:cs="黑体"/>
          <w:color w:val="auto"/>
          <w:kern w:val="0"/>
          <w:sz w:val="32"/>
          <w:szCs w:val="32"/>
        </w:rPr>
        <w:t>确保部门正常运转，提高工作效率增加</w:t>
      </w:r>
      <w:r>
        <w:rPr>
          <w:rFonts w:hint="eastAsia" w:ascii="宋体" w:hAnsi="宋体" w:cs="黑体"/>
          <w:color w:val="auto"/>
          <w:kern w:val="0"/>
          <w:sz w:val="32"/>
          <w:szCs w:val="32"/>
          <w:lang w:eastAsia="zh-CN"/>
        </w:rPr>
        <w:t>，另一方面</w:t>
      </w:r>
      <w:r>
        <w:rPr>
          <w:rFonts w:hint="eastAsia" w:ascii="宋体" w:hAnsi="宋体" w:cs="黑体"/>
          <w:color w:val="auto"/>
          <w:kern w:val="0"/>
          <w:sz w:val="32"/>
          <w:szCs w:val="32"/>
          <w:lang w:val="en-US" w:eastAsia="zh-CN"/>
        </w:rPr>
        <w:t>紧紧围绕安全生产隐患排查治理、应急救援、宣传教育培训、专项整治、自然灾害风险普查、打非治违、防汛抗旱、森林防火、举报奖励、购买人生意外伤害险、隐患专家会诊等一系列项目开展，使全县农业相关工作有利开展。</w:t>
      </w:r>
    </w:p>
    <w:p w14:paraId="18E83C94">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27D3AACC">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宋体" w:hAnsi="宋体" w:cs="黑体" w:eastAsiaTheme="minorEastAsia"/>
          <w:color w:val="auto"/>
          <w:kern w:val="0"/>
          <w:sz w:val="32"/>
          <w:szCs w:val="32"/>
          <w:lang w:val="en-US" w:eastAsia="zh-CN" w:bidi="ar-SA"/>
        </w:rPr>
      </w:pPr>
      <w:r>
        <w:rPr>
          <w:rFonts w:hint="eastAsia" w:ascii="宋体" w:hAnsi="宋体" w:cs="黑体" w:eastAsiaTheme="minorEastAsia"/>
          <w:color w:val="auto"/>
          <w:kern w:val="0"/>
          <w:sz w:val="32"/>
          <w:szCs w:val="32"/>
          <w:lang w:val="en-US" w:eastAsia="zh-CN" w:bidi="ar-SA"/>
        </w:rPr>
        <w:t>可以从预算和预算绩效管理，部门履职效能，资金分配、使用和管理，资产和财务管理、政府采购等方面归纳存在的问题；反映各种预算支出执行偏离绩效目标的情况，并分析其原因。1、绩效管理中的部分考核指标不够细化或重点不够突出，没有充分结合目标任务，结果性指标过少，过程性指标过多，不能有效反应的绩效目标。2、指标体系中存在过多的定性指标，管理时未能有效区别，对于绩效评价，满分和高分比比皆是，根本达不到预期的目的，也失去了设置相关指标的意义。</w:t>
      </w:r>
    </w:p>
    <w:p w14:paraId="51CB62B0">
      <w:pPr>
        <w:pStyle w:val="14"/>
        <w:jc w:val="both"/>
        <w:rPr>
          <w:rFonts w:hint="eastAsia" w:ascii="宋体" w:hAnsi="宋体" w:cs="黑体" w:eastAsiaTheme="minorEastAsia"/>
          <w:color w:val="auto"/>
          <w:kern w:val="0"/>
          <w:sz w:val="32"/>
          <w:szCs w:val="32"/>
          <w:lang w:val="en-US" w:eastAsia="zh-CN" w:bidi="ar-SA"/>
        </w:rPr>
      </w:pPr>
    </w:p>
    <w:p w14:paraId="493D3B42">
      <w:pPr>
        <w:pStyle w:val="14"/>
        <w:jc w:val="center"/>
        <w:rPr>
          <w:sz w:val="72"/>
          <w:szCs w:val="72"/>
        </w:rPr>
      </w:pPr>
    </w:p>
    <w:p w14:paraId="0E1A850A">
      <w:pPr>
        <w:pStyle w:val="14"/>
        <w:jc w:val="center"/>
        <w:rPr>
          <w:sz w:val="72"/>
          <w:szCs w:val="72"/>
        </w:rPr>
      </w:pPr>
    </w:p>
    <w:p w14:paraId="7F88C2D5">
      <w:pPr>
        <w:pStyle w:val="14"/>
        <w:jc w:val="both"/>
        <w:rPr>
          <w:rFonts w:hint="eastAsia" w:ascii="方正小标宋_GBK" w:hAnsi="方正小标宋_GBK" w:eastAsia="方正小标宋_GBK" w:cs="方正小标宋_GBK"/>
          <w:sz w:val="72"/>
          <w:szCs w:val="72"/>
        </w:rPr>
      </w:pPr>
    </w:p>
    <w:p w14:paraId="0253A283">
      <w:pPr>
        <w:pStyle w:val="14"/>
        <w:jc w:val="center"/>
        <w:rPr>
          <w:rFonts w:hint="eastAsia" w:ascii="方正小标宋_GBK" w:hAnsi="方正小标宋_GBK" w:eastAsia="方正小标宋_GBK" w:cs="方正小标宋_GBK"/>
          <w:sz w:val="72"/>
          <w:szCs w:val="72"/>
        </w:rPr>
      </w:pPr>
    </w:p>
    <w:p w14:paraId="0E1D8918">
      <w:pPr>
        <w:pStyle w:val="14"/>
        <w:jc w:val="center"/>
        <w:rPr>
          <w:rFonts w:hint="eastAsia" w:ascii="方正小标宋_GBK" w:hAnsi="方正小标宋_GBK" w:eastAsia="方正小标宋_GBK" w:cs="方正小标宋_GBK"/>
          <w:sz w:val="72"/>
          <w:szCs w:val="72"/>
        </w:rPr>
      </w:pPr>
    </w:p>
    <w:p w14:paraId="1C626731">
      <w:pPr>
        <w:pStyle w:val="14"/>
        <w:jc w:val="center"/>
        <w:rPr>
          <w:rFonts w:hint="eastAsia" w:ascii="方正小标宋_GBK" w:hAnsi="方正小标宋_GBK" w:eastAsia="方正小标宋_GBK" w:cs="方正小标宋_GBK"/>
          <w:sz w:val="72"/>
          <w:szCs w:val="72"/>
        </w:rPr>
      </w:pPr>
    </w:p>
    <w:p w14:paraId="4603329A">
      <w:pPr>
        <w:pStyle w:val="14"/>
        <w:jc w:val="center"/>
        <w:rPr>
          <w:rFonts w:hint="eastAsia" w:ascii="方正小标宋_GBK" w:hAnsi="方正小标宋_GBK" w:eastAsia="方正小标宋_GBK" w:cs="方正小标宋_GBK"/>
          <w:sz w:val="72"/>
          <w:szCs w:val="72"/>
        </w:rPr>
      </w:pPr>
    </w:p>
    <w:p w14:paraId="4A998BCC">
      <w:pPr>
        <w:pStyle w:val="14"/>
        <w:jc w:val="center"/>
        <w:rPr>
          <w:rFonts w:hint="eastAsia" w:ascii="方正小标宋_GBK" w:hAnsi="方正小标宋_GBK" w:eastAsia="方正小标宋_GBK" w:cs="方正小标宋_GBK"/>
          <w:sz w:val="72"/>
          <w:szCs w:val="72"/>
        </w:rPr>
      </w:pPr>
    </w:p>
    <w:p w14:paraId="0DB5BA12">
      <w:pPr>
        <w:pStyle w:val="14"/>
        <w:jc w:val="center"/>
        <w:rPr>
          <w:rFonts w:hint="eastAsia" w:ascii="方正小标宋_GBK" w:hAnsi="方正小标宋_GBK" w:eastAsia="方正小标宋_GBK" w:cs="方正小标宋_GBK"/>
          <w:sz w:val="72"/>
          <w:szCs w:val="72"/>
        </w:rPr>
      </w:pPr>
    </w:p>
    <w:p w14:paraId="5CF9A445">
      <w:pPr>
        <w:pStyle w:val="14"/>
        <w:jc w:val="center"/>
        <w:rPr>
          <w:rFonts w:hint="eastAsia" w:ascii="方正小标宋_GBK" w:hAnsi="方正小标宋_GBK" w:eastAsia="方正小标宋_GBK" w:cs="方正小标宋_GBK"/>
          <w:sz w:val="72"/>
          <w:szCs w:val="72"/>
        </w:rPr>
      </w:pPr>
    </w:p>
    <w:p w14:paraId="19B4DD89">
      <w:pPr>
        <w:pStyle w:val="14"/>
        <w:jc w:val="center"/>
        <w:rPr>
          <w:rFonts w:hint="eastAsia" w:ascii="方正小标宋_GBK" w:hAnsi="方正小标宋_GBK" w:eastAsia="方正小标宋_GBK" w:cs="方正小标宋_GBK"/>
          <w:sz w:val="72"/>
          <w:szCs w:val="72"/>
        </w:rPr>
      </w:pPr>
    </w:p>
    <w:p w14:paraId="4D34605C">
      <w:pPr>
        <w:pStyle w:val="14"/>
        <w:jc w:val="center"/>
        <w:rPr>
          <w:rFonts w:hint="eastAsia" w:ascii="方正小标宋_GBK" w:hAnsi="方正小标宋_GBK" w:eastAsia="方正小标宋_GBK" w:cs="方正小标宋_GBK"/>
          <w:sz w:val="72"/>
          <w:szCs w:val="72"/>
        </w:rPr>
      </w:pPr>
    </w:p>
    <w:p w14:paraId="456A497C">
      <w:pPr>
        <w:pStyle w:val="14"/>
        <w:jc w:val="center"/>
        <w:rPr>
          <w:rFonts w:hint="eastAsia" w:ascii="方正小标宋_GBK" w:hAnsi="方正小标宋_GBK" w:eastAsia="方正小标宋_GBK" w:cs="方正小标宋_GBK"/>
          <w:sz w:val="72"/>
          <w:szCs w:val="72"/>
        </w:rPr>
      </w:pPr>
    </w:p>
    <w:p w14:paraId="5EBBE497">
      <w:pPr>
        <w:pStyle w:val="14"/>
        <w:jc w:val="center"/>
        <w:rPr>
          <w:rFonts w:hint="eastAsia" w:ascii="方正小标宋_GBK" w:hAnsi="方正小标宋_GBK" w:eastAsia="方正小标宋_GBK" w:cs="方正小标宋_GBK"/>
          <w:sz w:val="72"/>
          <w:szCs w:val="72"/>
        </w:rPr>
      </w:pPr>
    </w:p>
    <w:p w14:paraId="327A2504">
      <w:pPr>
        <w:pStyle w:val="14"/>
        <w:jc w:val="center"/>
        <w:rPr>
          <w:rFonts w:hint="eastAsia" w:ascii="方正小标宋_GBK" w:hAnsi="方正小标宋_GBK" w:eastAsia="方正小标宋_GBK" w:cs="方正小标宋_GBK"/>
          <w:sz w:val="72"/>
          <w:szCs w:val="72"/>
        </w:rPr>
      </w:pPr>
    </w:p>
    <w:p w14:paraId="1662D016">
      <w:pPr>
        <w:pStyle w:val="14"/>
        <w:jc w:val="center"/>
        <w:rPr>
          <w:rFonts w:hint="eastAsia" w:ascii="方正小标宋_GBK" w:hAnsi="方正小标宋_GBK" w:eastAsia="方正小标宋_GBK" w:cs="方正小标宋_GBK"/>
          <w:sz w:val="72"/>
          <w:szCs w:val="72"/>
        </w:rPr>
      </w:pPr>
    </w:p>
    <w:p w14:paraId="089A71A5">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09DD3BE">
      <w:pPr>
        <w:jc w:val="center"/>
        <w:rPr>
          <w:rFonts w:hint="eastAsia" w:ascii="方正小标宋_GBK" w:hAnsi="方正小标宋_GBK" w:eastAsia="方正小标宋_GBK" w:cs="方正小标宋_GBK"/>
          <w:color w:val="000000"/>
          <w:kern w:val="0"/>
          <w:sz w:val="70"/>
          <w:szCs w:val="70"/>
        </w:rPr>
      </w:pPr>
    </w:p>
    <w:p w14:paraId="6F0857E2">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17EE05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CAEBDC7">
      <w:pPr>
        <w:widowControl/>
        <w:spacing w:line="600" w:lineRule="exact"/>
        <w:ind w:firstLine="660"/>
        <w:rPr>
          <w:rFonts w:asciiTheme="minorEastAsia" w:hAnsiTheme="minorEastAsia"/>
          <w:sz w:val="32"/>
          <w:szCs w:val="32"/>
        </w:rPr>
      </w:pPr>
      <w:r>
        <w:rPr>
          <w:rFonts w:asciiTheme="minorEastAsia" w:hAnsiTheme="minorEastAsia"/>
          <w:b/>
          <w:sz w:val="32"/>
          <w:szCs w:val="32"/>
        </w:rPr>
        <w:t>1、机关运行经费：</w:t>
      </w:r>
      <w:r>
        <w:rPr>
          <w:rFonts w:asciiTheme="minorEastAsia" w:hAnsiTheme="minorEastAsia"/>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56D7F789">
      <w:pPr>
        <w:widowControl/>
        <w:spacing w:line="600" w:lineRule="exact"/>
        <w:ind w:firstLine="660"/>
        <w:rPr>
          <w:rFonts w:asciiTheme="minorEastAsia" w:hAnsiTheme="minorEastAsia"/>
          <w:sz w:val="32"/>
          <w:szCs w:val="32"/>
        </w:rPr>
      </w:pPr>
      <w:r>
        <w:rPr>
          <w:rFonts w:asciiTheme="minorEastAsia" w:hAnsiTheme="minorEastAsia"/>
          <w:b/>
          <w:sz w:val="32"/>
          <w:szCs w:val="32"/>
        </w:rPr>
        <w:t>2、“三公”经费：</w:t>
      </w:r>
      <w:r>
        <w:rPr>
          <w:rFonts w:asciiTheme="minorEastAsia" w:hAnsiTheme="minorEastAsia"/>
          <w:sz w:val="32"/>
          <w:szCs w:val="32"/>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C3608D7">
      <w:pPr>
        <w:spacing w:line="500" w:lineRule="exact"/>
        <w:ind w:firstLine="640" w:firstLineChars="200"/>
        <w:rPr>
          <w:rFonts w:eastAsia="黑体"/>
          <w:sz w:val="28"/>
          <w:szCs w:val="28"/>
        </w:rPr>
      </w:pPr>
      <w:r>
        <w:rPr>
          <w:rFonts w:hint="eastAsia" w:asciiTheme="minorEastAsia" w:hAnsiTheme="minorEastAsia"/>
          <w:b/>
          <w:sz w:val="32"/>
          <w:szCs w:val="32"/>
        </w:rPr>
        <w:t>3、</w:t>
      </w:r>
      <w:r>
        <w:rPr>
          <w:rFonts w:hint="eastAsia" w:asciiTheme="minorEastAsia" w:hAnsiTheme="minorEastAsia"/>
          <w:b/>
          <w:bCs/>
          <w:kern w:val="0"/>
          <w:sz w:val="32"/>
          <w:szCs w:val="32"/>
        </w:rPr>
        <w:t>非煤矿山专家“会诊”：</w:t>
      </w:r>
      <w:r>
        <w:rPr>
          <w:rFonts w:hint="eastAsia" w:asciiTheme="minorEastAsia" w:hAnsiTheme="minorEastAsia"/>
          <w:bCs/>
          <w:kern w:val="0"/>
          <w:sz w:val="32"/>
          <w:szCs w:val="32"/>
        </w:rPr>
        <w:t>主要通过购买服务的方式，聘请专家对非煤矿山、危险化学品企业的</w:t>
      </w:r>
      <w:r>
        <w:rPr>
          <w:rFonts w:hint="eastAsia" w:asciiTheme="minorEastAsia" w:hAnsiTheme="minorEastAsia"/>
          <w:sz w:val="32"/>
          <w:szCs w:val="32"/>
        </w:rPr>
        <w:t>合法性（证照情况），安全管理责任制、操作规程等制度建设及落实情况，安全设施建设安装使用、运行情况（开拓开采、提升运输及空压机站、通风与防尘、防排水、供水与消防、供配电、安全避险“六大系统”），安全管理机构建设情况，企业员工教育培训等情况进行检查排查，</w:t>
      </w:r>
      <w:r>
        <w:rPr>
          <w:rFonts w:hint="eastAsia" w:cs="宋体" w:asciiTheme="minorEastAsia" w:hAnsiTheme="minorEastAsia"/>
          <w:color w:val="000000"/>
          <w:kern w:val="0"/>
          <w:sz w:val="32"/>
          <w:szCs w:val="32"/>
        </w:rPr>
        <w:t>形成“会诊”报告和风险等级建议。安全监管部门根据风险程度确定（由低到高划分A、B、C、D四类）风险级别，实施差异化监管。</w:t>
      </w:r>
    </w:p>
    <w:p w14:paraId="4ED3D54C">
      <w:pPr>
        <w:pStyle w:val="14"/>
        <w:jc w:val="center"/>
        <w:rPr>
          <w:sz w:val="72"/>
          <w:szCs w:val="72"/>
        </w:rPr>
      </w:pPr>
    </w:p>
    <w:p w14:paraId="7AD8A581">
      <w:pPr>
        <w:pStyle w:val="14"/>
        <w:jc w:val="center"/>
        <w:rPr>
          <w:sz w:val="72"/>
          <w:szCs w:val="72"/>
        </w:rPr>
      </w:pPr>
    </w:p>
    <w:p w14:paraId="63448BF9">
      <w:pPr>
        <w:rPr>
          <w:sz w:val="72"/>
          <w:szCs w:val="72"/>
        </w:rPr>
      </w:pPr>
    </w:p>
    <w:p w14:paraId="585DBA63">
      <w:pPr>
        <w:pStyle w:val="14"/>
        <w:jc w:val="center"/>
        <w:rPr>
          <w:rFonts w:hint="eastAsia" w:ascii="方正小标宋_GBK" w:hAnsi="方正小标宋_GBK" w:eastAsia="方正小标宋_GBK" w:cs="方正小标宋_GBK"/>
          <w:sz w:val="72"/>
          <w:szCs w:val="72"/>
        </w:rPr>
      </w:pPr>
    </w:p>
    <w:p w14:paraId="25E8A154">
      <w:pPr>
        <w:pStyle w:val="14"/>
        <w:jc w:val="center"/>
        <w:rPr>
          <w:rFonts w:hint="eastAsia" w:ascii="方正小标宋_GBK" w:hAnsi="方正小标宋_GBK" w:eastAsia="方正小标宋_GBK" w:cs="方正小标宋_GBK"/>
          <w:sz w:val="72"/>
          <w:szCs w:val="72"/>
        </w:rPr>
      </w:pPr>
    </w:p>
    <w:p w14:paraId="00DB0322">
      <w:pPr>
        <w:pStyle w:val="14"/>
        <w:jc w:val="both"/>
        <w:rPr>
          <w:rFonts w:hint="eastAsia" w:ascii="方正小标宋_GBK" w:hAnsi="方正小标宋_GBK" w:eastAsia="方正小标宋_GBK" w:cs="方正小标宋_GBK"/>
          <w:sz w:val="72"/>
          <w:szCs w:val="72"/>
        </w:rPr>
      </w:pPr>
    </w:p>
    <w:p w14:paraId="3BE6DC70">
      <w:pPr>
        <w:pStyle w:val="14"/>
        <w:jc w:val="center"/>
        <w:rPr>
          <w:rFonts w:hint="eastAsia" w:ascii="方正小标宋_GBK" w:hAnsi="方正小标宋_GBK" w:eastAsia="方正小标宋_GBK" w:cs="方正小标宋_GBK"/>
          <w:sz w:val="72"/>
          <w:szCs w:val="72"/>
        </w:rPr>
      </w:pPr>
    </w:p>
    <w:p w14:paraId="7D6E349D">
      <w:pPr>
        <w:pStyle w:val="14"/>
        <w:jc w:val="center"/>
        <w:rPr>
          <w:rFonts w:hint="eastAsia" w:ascii="方正小标宋_GBK" w:hAnsi="方正小标宋_GBK" w:eastAsia="方正小标宋_GBK" w:cs="方正小标宋_GBK"/>
          <w:sz w:val="72"/>
          <w:szCs w:val="72"/>
        </w:rPr>
      </w:pPr>
    </w:p>
    <w:p w14:paraId="719DD9E0">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EFD6D0B">
      <w:pPr>
        <w:pStyle w:val="14"/>
        <w:jc w:val="center"/>
        <w:rPr>
          <w:rFonts w:hint="eastAsia" w:ascii="方正小标宋_GBK" w:hAnsi="方正小标宋_GBK" w:eastAsia="方正小标宋_GBK" w:cs="方正小标宋_GBK"/>
          <w:sz w:val="70"/>
          <w:szCs w:val="70"/>
        </w:rPr>
      </w:pPr>
    </w:p>
    <w:p w14:paraId="00B1BAD7">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FA141AB">
      <w:pPr>
        <w:rPr>
          <w:sz w:val="72"/>
          <w:szCs w:val="72"/>
        </w:rPr>
      </w:pPr>
    </w:p>
    <w:p w14:paraId="4BEE8602">
      <w:pPr>
        <w:pStyle w:val="8"/>
        <w:rPr>
          <w:sz w:val="72"/>
          <w:szCs w:val="72"/>
        </w:rPr>
      </w:pPr>
    </w:p>
    <w:p w14:paraId="72CEC3A7">
      <w:pPr>
        <w:pStyle w:val="2"/>
        <w:rPr>
          <w:sz w:val="72"/>
          <w:szCs w:val="72"/>
        </w:rPr>
      </w:pPr>
    </w:p>
    <w:p w14:paraId="13045FE8">
      <w:pPr>
        <w:pStyle w:val="2"/>
        <w:rPr>
          <w:sz w:val="72"/>
          <w:szCs w:val="72"/>
        </w:rPr>
      </w:pPr>
    </w:p>
    <w:p w14:paraId="496FEEE6">
      <w:pPr>
        <w:pStyle w:val="2"/>
        <w:rPr>
          <w:sz w:val="72"/>
          <w:szCs w:val="72"/>
        </w:rPr>
      </w:pPr>
    </w:p>
    <w:p w14:paraId="00FD5692">
      <w:pPr>
        <w:pStyle w:val="2"/>
        <w:rPr>
          <w:sz w:val="72"/>
          <w:szCs w:val="72"/>
        </w:rPr>
      </w:pPr>
    </w:p>
    <w:p w14:paraId="613E4031"/>
    <w:p w14:paraId="30EADF5B">
      <w:pPr>
        <w:widowControl/>
        <w:spacing w:line="600" w:lineRule="exact"/>
        <w:ind w:firstLine="844" w:firstLineChars="192"/>
        <w:jc w:val="center"/>
        <w:rPr>
          <w:rFonts w:hint="eastAsia" w:ascii="方正小标宋_GBK" w:hAnsi="黑体" w:eastAsia="方正小标宋_GBK" w:cs="宋体"/>
          <w:b/>
          <w:kern w:val="0"/>
          <w:sz w:val="44"/>
          <w:szCs w:val="44"/>
        </w:rPr>
      </w:pPr>
      <w:r>
        <w:rPr>
          <w:rFonts w:hint="eastAsia" w:ascii="方正小标宋_GBK" w:hAnsi="黑体" w:eastAsia="方正小标宋_GBK" w:cs="宋体"/>
          <w:b/>
          <w:kern w:val="0"/>
          <w:sz w:val="44"/>
          <w:szCs w:val="44"/>
        </w:rPr>
        <w:t>溆浦县应急管理局</w:t>
      </w:r>
    </w:p>
    <w:p w14:paraId="231342F7">
      <w:pPr>
        <w:widowControl/>
        <w:spacing w:line="600" w:lineRule="exact"/>
        <w:ind w:firstLine="844" w:firstLineChars="192"/>
        <w:jc w:val="center"/>
        <w:rPr>
          <w:rFonts w:hint="eastAsia" w:ascii="方正小标宋_GBK" w:hAnsi="黑体" w:eastAsia="方正小标宋_GBK" w:cs="宋体"/>
          <w:b/>
          <w:kern w:val="0"/>
          <w:sz w:val="44"/>
          <w:szCs w:val="44"/>
        </w:rPr>
      </w:pPr>
      <w:r>
        <w:rPr>
          <w:rFonts w:hint="eastAsia" w:ascii="方正小标宋_GBK" w:hAnsi="黑体" w:eastAsia="方正小标宋_GBK" w:cs="宋体"/>
          <w:b/>
          <w:kern w:val="0"/>
          <w:sz w:val="44"/>
          <w:szCs w:val="44"/>
        </w:rPr>
        <w:t>2023年整体支出绩效自评报告</w:t>
      </w:r>
    </w:p>
    <w:p w14:paraId="43AE4565">
      <w:pPr>
        <w:shd w:val="clear" w:color="auto"/>
        <w:spacing w:line="640" w:lineRule="exact"/>
        <w:ind w:firstLine="764" w:firstLineChars="242"/>
        <w:rPr>
          <w:rFonts w:hint="eastAsia" w:ascii="宋体" w:hAnsi="宋体"/>
          <w:b/>
          <w:spacing w:val="-2"/>
          <w:sz w:val="32"/>
          <w:szCs w:val="32"/>
        </w:rPr>
      </w:pPr>
      <w:r>
        <w:rPr>
          <w:rFonts w:hint="eastAsia" w:ascii="宋体" w:hAnsi="宋体"/>
          <w:b/>
          <w:spacing w:val="-2"/>
          <w:sz w:val="32"/>
          <w:szCs w:val="32"/>
        </w:rPr>
        <w:t>一、部门概况</w:t>
      </w:r>
    </w:p>
    <w:p w14:paraId="42929DE7">
      <w:pPr>
        <w:shd w:val="clear" w:color="auto"/>
        <w:spacing w:line="640" w:lineRule="exact"/>
        <w:ind w:firstLine="606" w:firstLineChars="192"/>
        <w:rPr>
          <w:rFonts w:hint="eastAsia" w:ascii="仿宋_GB2312" w:hAnsi="仿宋" w:eastAsia="仿宋_GB2312"/>
          <w:b/>
          <w:spacing w:val="-2"/>
          <w:sz w:val="32"/>
          <w:szCs w:val="32"/>
        </w:rPr>
      </w:pPr>
      <w:r>
        <w:rPr>
          <w:rFonts w:hint="eastAsia" w:ascii="仿宋_GB2312" w:hAnsi="仿宋" w:eastAsia="仿宋_GB2312"/>
          <w:b/>
          <w:spacing w:val="-2"/>
          <w:sz w:val="32"/>
          <w:szCs w:val="32"/>
        </w:rPr>
        <w:t>（一）部门基本情况</w:t>
      </w:r>
    </w:p>
    <w:p w14:paraId="341EF183">
      <w:pPr>
        <w:widowControl/>
        <w:shd w:val="clear"/>
        <w:spacing w:line="600" w:lineRule="exact"/>
        <w:ind w:left="283" w:leftChars="135" w:firstLine="614" w:firstLineChars="192"/>
        <w:jc w:val="left"/>
        <w:rPr>
          <w:rFonts w:hint="eastAsia" w:ascii="仿宋" w:hAnsi="仿宋" w:eastAsia="仿宋"/>
          <w:color w:val="000000"/>
          <w:sz w:val="32"/>
          <w:szCs w:val="32"/>
        </w:rPr>
      </w:pPr>
      <w:r>
        <w:rPr>
          <w:rFonts w:hint="eastAsia" w:ascii="仿宋" w:hAnsi="仿宋" w:eastAsia="仿宋" w:cs="宋体"/>
          <w:kern w:val="0"/>
          <w:sz w:val="32"/>
          <w:szCs w:val="32"/>
        </w:rPr>
        <w:t>溆浦县应急管理局为溆浦县人民政府组成部门，正科级，加挂溆浦县防汛抗旱指挥部办公室牌子。</w:t>
      </w:r>
      <w:r>
        <w:rPr>
          <w:rFonts w:hint="eastAsia" w:ascii="仿宋" w:hAnsi="仿宋" w:eastAsia="仿宋"/>
          <w:bCs/>
          <w:kern w:val="0"/>
          <w:sz w:val="32"/>
          <w:szCs w:val="32"/>
        </w:rPr>
        <w:t>内设行政业务机构15个，核定编制数66名，实有56人，其中：行政编制人员17人、事业编制人员39人、离退休人员18人</w:t>
      </w:r>
      <w:r>
        <w:rPr>
          <w:rFonts w:hint="eastAsia" w:ascii="仿宋" w:hAnsi="仿宋" w:eastAsia="仿宋" w:cs="宋体"/>
          <w:kern w:val="0"/>
          <w:sz w:val="32"/>
          <w:szCs w:val="32"/>
        </w:rPr>
        <w:t>。主要职责是：</w:t>
      </w:r>
      <w:r>
        <w:rPr>
          <w:rFonts w:hint="eastAsia" w:ascii="仿宋" w:hAnsi="仿宋" w:eastAsia="仿宋" w:cs="黑体"/>
          <w:color w:val="000000"/>
          <w:sz w:val="32"/>
          <w:szCs w:val="32"/>
        </w:rPr>
        <w:t>负责应急管理工作，指导全县各乡镇、各部门应对安全生产类、自然灾害类等突发事件和综合防灾减灾救灾工作。负责安全生产综合监督管理和</w:t>
      </w:r>
      <w:r>
        <w:rPr>
          <w:rFonts w:ascii="仿宋" w:hAnsi="仿宋" w:eastAsia="仿宋"/>
          <w:color w:val="000000"/>
          <w:sz w:val="32"/>
          <w:szCs w:val="32"/>
        </w:rPr>
        <w:t>矿山、危险化学品、烟花爆竹行业安全生产监督管理工作。</w:t>
      </w:r>
      <w:r>
        <w:rPr>
          <w:rFonts w:hint="eastAsia" w:ascii="仿宋" w:hAnsi="仿宋" w:eastAsia="仿宋" w:cs="黑体"/>
          <w:color w:val="000000"/>
          <w:sz w:val="32"/>
          <w:szCs w:val="32"/>
        </w:rPr>
        <w:t>负责全县消防管理有关工作，指导协调全县森林火灾、水旱灾害、地震和地质灾害等防治工作，组织协调灾害救助工作，依法组织指导生产安全事故调查处理，负责应急管理、安全生产、消防宣传教育和培训工作，承担县防汛抗旱指挥部日常工作及其它县委县政府交办的任务。</w:t>
      </w:r>
    </w:p>
    <w:p w14:paraId="293F0BDE">
      <w:pPr>
        <w:shd w:val="clear" w:color="auto"/>
        <w:spacing w:line="640" w:lineRule="exact"/>
        <w:ind w:firstLine="606" w:firstLineChars="192"/>
        <w:rPr>
          <w:rFonts w:hint="eastAsia" w:ascii="仿宋" w:hAnsi="仿宋" w:eastAsia="仿宋"/>
          <w:b/>
          <w:spacing w:val="-2"/>
          <w:sz w:val="32"/>
          <w:szCs w:val="32"/>
        </w:rPr>
      </w:pPr>
      <w:r>
        <w:rPr>
          <w:rFonts w:hint="eastAsia" w:ascii="仿宋" w:hAnsi="仿宋" w:eastAsia="仿宋"/>
          <w:b/>
          <w:spacing w:val="-2"/>
          <w:sz w:val="32"/>
          <w:szCs w:val="32"/>
        </w:rPr>
        <w:t>（二）部门整体支出规模、使用方向和主要内容、涉及范围等。</w:t>
      </w:r>
    </w:p>
    <w:p w14:paraId="30FA2CF0">
      <w:pPr>
        <w:shd w:val="clear" w:color="auto"/>
        <w:spacing w:line="640" w:lineRule="exact"/>
        <w:ind w:firstLine="606" w:firstLineChars="192"/>
        <w:rPr>
          <w:rFonts w:hint="eastAsia" w:ascii="仿宋" w:hAnsi="仿宋" w:eastAsia="仿宋"/>
          <w:spacing w:val="-2"/>
          <w:sz w:val="32"/>
          <w:szCs w:val="32"/>
        </w:rPr>
      </w:pPr>
      <w:r>
        <w:rPr>
          <w:rFonts w:hint="eastAsia" w:ascii="仿宋" w:hAnsi="仿宋" w:eastAsia="仿宋"/>
          <w:spacing w:val="-2"/>
          <w:sz w:val="32"/>
          <w:szCs w:val="32"/>
        </w:rPr>
        <w:t>2023年应急局整体支出金额为3780.3万元，主要用于贯彻落实党中央关于应急工作的方针政策和决策部署，全面落实省委、市、县委关于应急工作的集中统一领导，开展安全生产及防灾减灾救灾工作。涉及范围为：安委办综合协调工作；宣传教育培训和安全生产专项整治工作；防灾、减灾、救灾工作等。</w:t>
      </w:r>
    </w:p>
    <w:p w14:paraId="67CA17E9">
      <w:pPr>
        <w:shd w:val="clear" w:color="auto"/>
        <w:spacing w:line="640" w:lineRule="exact"/>
        <w:ind w:firstLine="606" w:firstLineChars="192"/>
        <w:rPr>
          <w:rFonts w:hint="eastAsia" w:ascii="宋体" w:hAnsi="宋体"/>
          <w:b/>
          <w:spacing w:val="-2"/>
          <w:sz w:val="32"/>
          <w:szCs w:val="32"/>
        </w:rPr>
      </w:pPr>
      <w:r>
        <w:rPr>
          <w:rFonts w:hint="eastAsia" w:ascii="宋体" w:hAnsi="宋体"/>
          <w:b/>
          <w:spacing w:val="-2"/>
          <w:sz w:val="32"/>
          <w:szCs w:val="32"/>
        </w:rPr>
        <w:t>二、部门整体支出管理及使用情况</w:t>
      </w:r>
    </w:p>
    <w:p w14:paraId="758B5F56">
      <w:pPr>
        <w:shd w:val="clear" w:color="auto"/>
        <w:spacing w:line="640" w:lineRule="exact"/>
        <w:ind w:firstLine="606" w:firstLineChars="192"/>
        <w:rPr>
          <w:rFonts w:hint="eastAsia" w:ascii="仿宋" w:hAnsi="仿宋" w:eastAsia="仿宋" w:cs="楷体_GB2312"/>
          <w:b/>
          <w:spacing w:val="-2"/>
          <w:sz w:val="32"/>
          <w:szCs w:val="32"/>
        </w:rPr>
      </w:pPr>
      <w:r>
        <w:rPr>
          <w:rFonts w:hint="eastAsia" w:ascii="仿宋" w:hAnsi="仿宋" w:eastAsia="仿宋" w:cs="楷体_GB2312"/>
          <w:b/>
          <w:spacing w:val="-2"/>
          <w:sz w:val="32"/>
          <w:szCs w:val="32"/>
        </w:rPr>
        <w:t>（一）基本支出</w:t>
      </w:r>
    </w:p>
    <w:p w14:paraId="4D674F34">
      <w:pPr>
        <w:shd w:val="clear"/>
        <w:adjustRightInd w:val="0"/>
        <w:snapToGrid w:val="0"/>
        <w:spacing w:line="560" w:lineRule="exact"/>
        <w:ind w:firstLine="640" w:firstLineChars="200"/>
        <w:rPr>
          <w:rFonts w:ascii="仿宋" w:hAnsi="仿宋" w:eastAsia="仿宋"/>
          <w:b/>
          <w:bCs/>
          <w:sz w:val="32"/>
          <w:szCs w:val="32"/>
        </w:rPr>
      </w:pPr>
      <w:r>
        <w:rPr>
          <w:rFonts w:ascii="仿宋" w:hAnsi="仿宋" w:eastAsia="仿宋"/>
          <w:b/>
          <w:bCs/>
          <w:sz w:val="32"/>
          <w:szCs w:val="32"/>
        </w:rPr>
        <w:t>1</w:t>
      </w:r>
      <w:r>
        <w:rPr>
          <w:rFonts w:hint="eastAsia" w:ascii="仿宋" w:hAnsi="仿宋" w:eastAsia="仿宋"/>
          <w:b/>
          <w:bCs/>
          <w:sz w:val="32"/>
          <w:szCs w:val="32"/>
        </w:rPr>
        <w:t>、</w:t>
      </w:r>
      <w:r>
        <w:rPr>
          <w:rFonts w:ascii="仿宋" w:hAnsi="仿宋" w:eastAsia="仿宋"/>
          <w:b/>
          <w:bCs/>
          <w:sz w:val="32"/>
          <w:szCs w:val="32"/>
        </w:rPr>
        <w:t>主要用途及范围</w:t>
      </w:r>
    </w:p>
    <w:p w14:paraId="10BF0B70">
      <w:pPr>
        <w:shd w:val="clear"/>
        <w:adjustRightInd w:val="0"/>
        <w:snapToGrid w:val="0"/>
        <w:spacing w:line="560" w:lineRule="exact"/>
        <w:ind w:firstLine="614" w:firstLineChars="192"/>
        <w:rPr>
          <w:rFonts w:ascii="仿宋" w:hAnsi="仿宋" w:eastAsia="仿宋"/>
          <w:kern w:val="0"/>
          <w:sz w:val="32"/>
          <w:szCs w:val="32"/>
        </w:rPr>
      </w:pPr>
      <w:r>
        <w:rPr>
          <w:rFonts w:ascii="仿宋" w:hAnsi="仿宋" w:eastAsia="仿宋"/>
          <w:kern w:val="0"/>
          <w:sz w:val="32"/>
          <w:szCs w:val="32"/>
        </w:rPr>
        <w:t>基本支出主要是指为保障我</w:t>
      </w:r>
      <w:r>
        <w:rPr>
          <w:rFonts w:hint="eastAsia" w:ascii="仿宋" w:hAnsi="仿宋" w:eastAsia="仿宋"/>
          <w:kern w:val="0"/>
          <w:sz w:val="32"/>
          <w:szCs w:val="32"/>
        </w:rPr>
        <w:t>局</w:t>
      </w:r>
      <w:r>
        <w:rPr>
          <w:rFonts w:ascii="仿宋" w:hAnsi="仿宋" w:eastAsia="仿宋"/>
          <w:kern w:val="0"/>
          <w:sz w:val="32"/>
          <w:szCs w:val="32"/>
        </w:rPr>
        <w:t>机构正常运转、完成日常工作任务而</w:t>
      </w:r>
      <w:r>
        <w:rPr>
          <w:rFonts w:hint="eastAsia" w:ascii="仿宋" w:hAnsi="仿宋" w:eastAsia="仿宋"/>
          <w:kern w:val="0"/>
          <w:sz w:val="32"/>
          <w:szCs w:val="32"/>
        </w:rPr>
        <w:t>产生的</w:t>
      </w:r>
      <w:r>
        <w:rPr>
          <w:rFonts w:ascii="仿宋" w:hAnsi="仿宋" w:eastAsia="仿宋"/>
          <w:kern w:val="0"/>
          <w:sz w:val="32"/>
          <w:szCs w:val="32"/>
        </w:rPr>
        <w:t>年度基本支出，内容包括人员经费和日常公用经费两部分。</w:t>
      </w:r>
    </w:p>
    <w:p w14:paraId="40FB35B2">
      <w:pPr>
        <w:widowControl/>
        <w:shd w:val="clear"/>
        <w:spacing w:line="600" w:lineRule="exact"/>
        <w:ind w:firstLine="614" w:firstLineChars="192"/>
        <w:jc w:val="left"/>
        <w:rPr>
          <w:rFonts w:hint="eastAsia" w:ascii="仿宋" w:hAnsi="仿宋" w:eastAsia="仿宋" w:cs="宋体"/>
          <w:kern w:val="0"/>
          <w:sz w:val="32"/>
          <w:szCs w:val="32"/>
        </w:rPr>
      </w:pPr>
      <w:r>
        <w:rPr>
          <w:rFonts w:hint="eastAsia" w:ascii="仿宋" w:hAnsi="仿宋" w:eastAsia="仿宋" w:cs="宋体"/>
          <w:kern w:val="0"/>
          <w:sz w:val="32"/>
          <w:szCs w:val="32"/>
        </w:rPr>
        <w:t>2023年基本支出总额800.58万元，其中人员经费支出651.36万元，主要用于人员工资、社会保障缴费等支出；日常公用经费支出149.15万元，主要用于应急管理工作基本运转所产生的办公、印刷、水电、会议、维修、交通、宣传、党建、乡村振兴等支出。</w:t>
      </w:r>
    </w:p>
    <w:p w14:paraId="5BB4AF42">
      <w:pPr>
        <w:shd w:val="clear"/>
        <w:adjustRightInd w:val="0"/>
        <w:snapToGrid w:val="0"/>
        <w:spacing w:line="560" w:lineRule="exact"/>
        <w:ind w:firstLine="614" w:firstLineChars="192"/>
        <w:rPr>
          <w:rFonts w:ascii="仿宋" w:hAnsi="仿宋" w:eastAsia="仿宋"/>
          <w:b/>
          <w:bCs/>
          <w:sz w:val="32"/>
          <w:szCs w:val="32"/>
        </w:rPr>
      </w:pPr>
      <w:r>
        <w:rPr>
          <w:rFonts w:ascii="仿宋" w:hAnsi="仿宋" w:eastAsia="仿宋"/>
          <w:b/>
          <w:bCs/>
          <w:sz w:val="32"/>
          <w:szCs w:val="32"/>
        </w:rPr>
        <w:t>2</w:t>
      </w:r>
      <w:r>
        <w:rPr>
          <w:rFonts w:hint="eastAsia" w:ascii="仿宋" w:hAnsi="仿宋" w:eastAsia="仿宋"/>
          <w:b/>
          <w:bCs/>
          <w:sz w:val="32"/>
          <w:szCs w:val="32"/>
        </w:rPr>
        <w:t>、</w:t>
      </w:r>
      <w:r>
        <w:rPr>
          <w:rFonts w:ascii="仿宋" w:hAnsi="仿宋" w:eastAsia="仿宋"/>
          <w:b/>
          <w:bCs/>
          <w:sz w:val="32"/>
          <w:szCs w:val="32"/>
        </w:rPr>
        <w:t>资金管理情况</w:t>
      </w:r>
    </w:p>
    <w:p w14:paraId="17A16020">
      <w:pPr>
        <w:shd w:val="clear"/>
        <w:adjustRightInd w:val="0"/>
        <w:snapToGrid w:val="0"/>
        <w:spacing w:line="560" w:lineRule="exact"/>
        <w:ind w:firstLine="614" w:firstLineChars="192"/>
        <w:rPr>
          <w:rFonts w:ascii="仿宋" w:hAnsi="仿宋" w:eastAsia="仿宋"/>
          <w:kern w:val="0"/>
          <w:sz w:val="32"/>
          <w:szCs w:val="32"/>
        </w:rPr>
      </w:pPr>
      <w:r>
        <w:rPr>
          <w:rFonts w:ascii="仿宋" w:hAnsi="仿宋" w:eastAsia="仿宋"/>
          <w:kern w:val="0"/>
          <w:sz w:val="32"/>
          <w:szCs w:val="32"/>
        </w:rPr>
        <w:t>为了进一步提高单位内部管理水平，规范</w:t>
      </w:r>
      <w:r>
        <w:rPr>
          <w:rFonts w:ascii="仿宋" w:hAnsi="仿宋" w:eastAsia="仿宋"/>
          <w:sz w:val="32"/>
          <w:szCs w:val="32"/>
        </w:rPr>
        <w:fldChar w:fldCharType="begin"/>
      </w:r>
      <w:r>
        <w:rPr>
          <w:rFonts w:ascii="仿宋" w:hAnsi="仿宋" w:eastAsia="仿宋"/>
          <w:sz w:val="32"/>
          <w:szCs w:val="32"/>
        </w:rPr>
        <w:instrText xml:space="preserve"> HYPERLINK "https://baike.baidu.com/item/%E5%86%85%E9%83%A8%E6%8E%A7%E5%88%B6/3556" \t "https://baike.baidu.com/item/%E8%A1%8C%E6%94%BF%E4%BA%8B%E4%B8%9A%E5%8D%95%E4%BD%8D%E5%86%85%E9%83%A8%E6%8E%A7%E5%88%B6%E8%A7%84%E8%8C%83%EF%BC%88%E8%AF%95%E8%A1%8C%EF%BC%89/_blank" </w:instrText>
      </w:r>
      <w:r>
        <w:rPr>
          <w:rFonts w:ascii="仿宋" w:hAnsi="仿宋" w:eastAsia="仿宋"/>
          <w:sz w:val="32"/>
          <w:szCs w:val="32"/>
        </w:rPr>
        <w:fldChar w:fldCharType="separate"/>
      </w:r>
      <w:r>
        <w:rPr>
          <w:rFonts w:ascii="仿宋" w:hAnsi="仿宋" w:eastAsia="仿宋"/>
          <w:kern w:val="0"/>
          <w:sz w:val="32"/>
          <w:szCs w:val="32"/>
        </w:rPr>
        <w:t>内部控制</w:t>
      </w:r>
      <w:r>
        <w:rPr>
          <w:rFonts w:ascii="仿宋" w:hAnsi="仿宋" w:eastAsia="仿宋"/>
          <w:kern w:val="0"/>
          <w:sz w:val="32"/>
          <w:szCs w:val="32"/>
        </w:rPr>
        <w:fldChar w:fldCharType="end"/>
      </w:r>
      <w:r>
        <w:rPr>
          <w:rFonts w:ascii="仿宋" w:hAnsi="仿宋" w:eastAsia="仿宋"/>
          <w:kern w:val="0"/>
          <w:sz w:val="32"/>
          <w:szCs w:val="32"/>
        </w:rPr>
        <w:t>，加强廉政风险防控机制建设，根据《</w:t>
      </w:r>
      <w:r>
        <w:rPr>
          <w:rFonts w:ascii="仿宋" w:hAnsi="仿宋" w:eastAsia="仿宋"/>
          <w:sz w:val="32"/>
          <w:szCs w:val="32"/>
        </w:rPr>
        <w:fldChar w:fldCharType="begin"/>
      </w:r>
      <w:r>
        <w:rPr>
          <w:rFonts w:ascii="仿宋" w:hAnsi="仿宋" w:eastAsia="仿宋"/>
          <w:sz w:val="32"/>
          <w:szCs w:val="32"/>
        </w:rPr>
        <w:instrText xml:space="preserve"> HYPERLINK "https://baike.baidu.com/item/%E4%B8%AD%E5%8D%8E%E4%BA%BA%E6%B0%91%E5%85%B1%E5%92%8C%E5%9B%BD%E4%BC%9A%E8%AE%A1%E6%B3%95/1518695" \t "https://baike.baidu.com/item/%E8%A1%8C%E6%94%BF%E4%BA%8B%E4%B8%9A%E5%8D%95%E4%BD%8D%E5%86%85%E9%83%A8%E6%8E%A7%E5%88%B6%E8%A7%84%E8%8C%83%EF%BC%88%E8%AF%95%E8%A1%8C%EF%BC%89/_blank" </w:instrText>
      </w:r>
      <w:r>
        <w:rPr>
          <w:rFonts w:ascii="仿宋" w:hAnsi="仿宋" w:eastAsia="仿宋"/>
          <w:sz w:val="32"/>
          <w:szCs w:val="32"/>
        </w:rPr>
        <w:fldChar w:fldCharType="separate"/>
      </w:r>
      <w:r>
        <w:rPr>
          <w:rFonts w:ascii="仿宋" w:hAnsi="仿宋" w:eastAsia="仿宋"/>
          <w:kern w:val="0"/>
          <w:sz w:val="32"/>
          <w:szCs w:val="32"/>
        </w:rPr>
        <w:t>中华人民共和国会计法</w:t>
      </w:r>
      <w:r>
        <w:rPr>
          <w:rFonts w:ascii="仿宋" w:hAnsi="仿宋" w:eastAsia="仿宋"/>
          <w:kern w:val="0"/>
          <w:sz w:val="32"/>
          <w:szCs w:val="32"/>
        </w:rPr>
        <w:fldChar w:fldCharType="end"/>
      </w:r>
      <w:r>
        <w:rPr>
          <w:rFonts w:ascii="仿宋" w:hAnsi="仿宋" w:eastAsia="仿宋"/>
          <w:kern w:val="0"/>
          <w:sz w:val="32"/>
          <w:szCs w:val="32"/>
        </w:rPr>
        <w:t>》、《</w:t>
      </w:r>
      <w:r>
        <w:rPr>
          <w:rFonts w:ascii="仿宋" w:hAnsi="仿宋" w:eastAsia="仿宋"/>
          <w:sz w:val="32"/>
          <w:szCs w:val="32"/>
        </w:rPr>
        <w:fldChar w:fldCharType="begin"/>
      </w:r>
      <w:r>
        <w:rPr>
          <w:rFonts w:ascii="仿宋" w:hAnsi="仿宋" w:eastAsia="仿宋"/>
          <w:sz w:val="32"/>
          <w:szCs w:val="32"/>
        </w:rPr>
        <w:instrText xml:space="preserve"> HYPERLINK "https://baike.baidu.com/item/%E4%B8%AD%E5%8D%8E%E4%BA%BA%E6%B0%91%E5%85%B1%E5%92%8C%E5%9B%BD%E9%A2%84%E7%AE%97%E6%B3%95/1300417" \t "https://baike.baidu.com/item/%E8%A1%8C%E6%94%BF%E4%BA%8B%E4%B8%9A%E5%8D%95%E4%BD%8D%E5%86%85%E9%83%A8%E6%8E%A7%E5%88%B6%E8%A7%84%E8%8C%83%EF%BC%88%E8%AF%95%E8%A1%8C%EF%BC%89/_blank" </w:instrText>
      </w:r>
      <w:r>
        <w:rPr>
          <w:rFonts w:ascii="仿宋" w:hAnsi="仿宋" w:eastAsia="仿宋"/>
          <w:sz w:val="32"/>
          <w:szCs w:val="32"/>
        </w:rPr>
        <w:fldChar w:fldCharType="separate"/>
      </w:r>
      <w:r>
        <w:rPr>
          <w:rFonts w:ascii="仿宋" w:hAnsi="仿宋" w:eastAsia="仿宋"/>
          <w:kern w:val="0"/>
          <w:sz w:val="32"/>
          <w:szCs w:val="32"/>
        </w:rPr>
        <w:t>中华人民共和国预算法</w:t>
      </w:r>
      <w:r>
        <w:rPr>
          <w:rFonts w:ascii="仿宋" w:hAnsi="仿宋" w:eastAsia="仿宋"/>
          <w:kern w:val="0"/>
          <w:sz w:val="32"/>
          <w:szCs w:val="32"/>
        </w:rPr>
        <w:fldChar w:fldCharType="end"/>
      </w:r>
      <w:r>
        <w:rPr>
          <w:rFonts w:ascii="仿宋" w:hAnsi="仿宋" w:eastAsia="仿宋"/>
          <w:kern w:val="0"/>
          <w:sz w:val="32"/>
          <w:szCs w:val="32"/>
        </w:rPr>
        <w:t>》、《行政事业单位内部控制规范（试行）》等法律法规和相关规定，我</w:t>
      </w:r>
      <w:r>
        <w:rPr>
          <w:rFonts w:hint="eastAsia" w:ascii="仿宋" w:hAnsi="仿宋" w:eastAsia="仿宋"/>
          <w:kern w:val="0"/>
          <w:sz w:val="32"/>
          <w:szCs w:val="32"/>
        </w:rPr>
        <w:t>局</w:t>
      </w:r>
      <w:r>
        <w:rPr>
          <w:rFonts w:ascii="仿宋" w:hAnsi="仿宋" w:eastAsia="仿宋"/>
          <w:kern w:val="0"/>
          <w:sz w:val="32"/>
          <w:szCs w:val="32"/>
        </w:rPr>
        <w:t>针对内部控制缺陷，制订、完善了</w:t>
      </w:r>
      <w:r>
        <w:rPr>
          <w:rFonts w:hint="eastAsia" w:ascii="仿宋" w:hAnsi="仿宋" w:eastAsia="仿宋"/>
          <w:kern w:val="0"/>
          <w:sz w:val="32"/>
          <w:szCs w:val="32"/>
        </w:rPr>
        <w:t>涉及经费支出、预决算管理、固定资产、采购 管理、工程项目管理</w:t>
      </w:r>
      <w:r>
        <w:rPr>
          <w:rFonts w:ascii="仿宋" w:hAnsi="仿宋" w:eastAsia="仿宋"/>
          <w:kern w:val="0"/>
          <w:sz w:val="32"/>
          <w:szCs w:val="32"/>
        </w:rPr>
        <w:t>等多项内部控制制度</w:t>
      </w:r>
      <w:r>
        <w:rPr>
          <w:rFonts w:hint="eastAsia" w:ascii="仿宋" w:hAnsi="仿宋" w:eastAsia="仿宋"/>
          <w:kern w:val="0"/>
          <w:sz w:val="32"/>
          <w:szCs w:val="32"/>
        </w:rPr>
        <w:t>，并在实际工作得到了较好的执行，管理水平得到了明显提升。</w:t>
      </w:r>
    </w:p>
    <w:p w14:paraId="51E3C591">
      <w:pPr>
        <w:pStyle w:val="4"/>
        <w:shd w:val="clear"/>
        <w:adjustRightInd w:val="0"/>
        <w:snapToGrid w:val="0"/>
        <w:spacing w:line="560" w:lineRule="exact"/>
        <w:ind w:firstLine="606" w:firstLineChars="192"/>
        <w:rPr>
          <w:rFonts w:ascii="仿宋" w:hAnsi="仿宋" w:eastAsia="仿宋"/>
          <w:b/>
          <w:bCs/>
          <w:sz w:val="32"/>
          <w:szCs w:val="32"/>
        </w:rPr>
      </w:pPr>
      <w:r>
        <w:rPr>
          <w:rFonts w:hint="eastAsia" w:ascii="仿宋" w:hAnsi="仿宋" w:eastAsia="仿宋" w:cs="楷体_GB2312"/>
          <w:b/>
          <w:spacing w:val="-2"/>
          <w:sz w:val="32"/>
          <w:szCs w:val="32"/>
        </w:rPr>
        <w:t>3、</w:t>
      </w:r>
      <w:r>
        <w:rPr>
          <w:rFonts w:ascii="仿宋" w:hAnsi="仿宋" w:eastAsia="仿宋"/>
          <w:b/>
          <w:bCs/>
          <w:kern w:val="0"/>
          <w:sz w:val="32"/>
          <w:szCs w:val="32"/>
        </w:rPr>
        <w:t>“三公经费”支出使用和管理情况</w:t>
      </w:r>
    </w:p>
    <w:p w14:paraId="575D55A5">
      <w:pPr>
        <w:widowControl/>
        <w:shd w:val="clear"/>
        <w:spacing w:line="600" w:lineRule="exact"/>
        <w:ind w:firstLine="614" w:firstLineChars="192"/>
        <w:jc w:val="left"/>
        <w:rPr>
          <w:rFonts w:hint="eastAsia" w:ascii="仿宋" w:hAnsi="仿宋" w:eastAsia="仿宋" w:cs="楷体_GB2312"/>
          <w:b/>
          <w:spacing w:val="-2"/>
          <w:sz w:val="32"/>
          <w:szCs w:val="32"/>
        </w:rPr>
      </w:pPr>
      <w:r>
        <w:rPr>
          <w:rFonts w:hint="eastAsia" w:ascii="仿宋" w:hAnsi="仿宋" w:eastAsia="仿宋"/>
          <w:color w:val="000000"/>
          <w:sz w:val="32"/>
          <w:szCs w:val="32"/>
        </w:rPr>
        <w:t>2023</w:t>
      </w:r>
      <w:r>
        <w:rPr>
          <w:rFonts w:ascii="仿宋" w:hAnsi="仿宋" w:eastAsia="仿宋"/>
          <w:color w:val="000000"/>
          <w:sz w:val="32"/>
          <w:szCs w:val="32"/>
        </w:rPr>
        <w:t>年度“三公经费”预算数为</w:t>
      </w:r>
      <w:r>
        <w:rPr>
          <w:rFonts w:hint="eastAsia" w:ascii="仿宋" w:hAnsi="仿宋" w:eastAsia="仿宋"/>
          <w:color w:val="000000"/>
          <w:sz w:val="32"/>
          <w:szCs w:val="32"/>
        </w:rPr>
        <w:t xml:space="preserve"> 5.52</w:t>
      </w:r>
      <w:r>
        <w:rPr>
          <w:rFonts w:ascii="仿宋" w:hAnsi="仿宋" w:eastAsia="仿宋"/>
          <w:color w:val="000000"/>
          <w:sz w:val="32"/>
          <w:szCs w:val="32"/>
        </w:rPr>
        <w:t>万元</w:t>
      </w:r>
      <w:r>
        <w:rPr>
          <w:rFonts w:hint="eastAsia" w:ascii="仿宋" w:hAnsi="仿宋" w:eastAsia="仿宋"/>
          <w:color w:val="000000"/>
          <w:sz w:val="32"/>
          <w:szCs w:val="32"/>
        </w:rPr>
        <w:t>，决算支出数为1.99万元，其中</w:t>
      </w:r>
      <w:r>
        <w:rPr>
          <w:rFonts w:hint="eastAsia" w:ascii="仿宋" w:hAnsi="仿宋" w:eastAsia="仿宋" w:cs="宋体"/>
          <w:kern w:val="0"/>
          <w:sz w:val="32"/>
          <w:szCs w:val="32"/>
        </w:rPr>
        <w:t>因公出国（境）费用0万元；公务接待费1.99万元；</w:t>
      </w:r>
      <w:r>
        <w:rPr>
          <w:rFonts w:hint="eastAsia" w:ascii="仿宋" w:hAnsi="仿宋" w:eastAsia="仿宋"/>
          <w:color w:val="000000"/>
          <w:sz w:val="32"/>
          <w:szCs w:val="32"/>
        </w:rPr>
        <w:t>公务用车</w:t>
      </w:r>
      <w:r>
        <w:rPr>
          <w:rFonts w:hint="eastAsia" w:ascii="仿宋" w:hAnsi="仿宋" w:eastAsia="仿宋" w:cs="宋体"/>
          <w:kern w:val="0"/>
          <w:sz w:val="32"/>
          <w:szCs w:val="32"/>
        </w:rPr>
        <w:t>运行维护费０万元。“三公经费”决算支出数较预算支出数节约3.53万元，节约率为63%。</w:t>
      </w:r>
    </w:p>
    <w:p w14:paraId="2CB17F04">
      <w:pPr>
        <w:shd w:val="clear" w:color="auto"/>
        <w:spacing w:line="640" w:lineRule="exact"/>
        <w:ind w:firstLine="606" w:firstLineChars="192"/>
        <w:rPr>
          <w:rFonts w:hint="eastAsia" w:ascii="仿宋" w:hAnsi="仿宋" w:eastAsia="仿宋" w:cs="楷体_GB2312"/>
          <w:b/>
          <w:spacing w:val="-2"/>
          <w:sz w:val="32"/>
          <w:szCs w:val="32"/>
        </w:rPr>
      </w:pPr>
      <w:r>
        <w:rPr>
          <w:rFonts w:hint="eastAsia" w:ascii="仿宋" w:hAnsi="仿宋" w:eastAsia="仿宋" w:cs="楷体_GB2312"/>
          <w:b/>
          <w:spacing w:val="-2"/>
          <w:sz w:val="32"/>
          <w:szCs w:val="32"/>
        </w:rPr>
        <w:t>（二）专项支出</w:t>
      </w:r>
    </w:p>
    <w:p w14:paraId="0F9CB742">
      <w:pPr>
        <w:shd w:val="clear" w:color="auto"/>
        <w:spacing w:line="640" w:lineRule="exact"/>
        <w:ind w:firstLine="606" w:firstLineChars="192"/>
        <w:rPr>
          <w:rFonts w:hint="eastAsia" w:ascii="仿宋" w:hAnsi="仿宋" w:eastAsia="仿宋"/>
          <w:b/>
          <w:spacing w:val="-2"/>
          <w:sz w:val="32"/>
          <w:szCs w:val="32"/>
        </w:rPr>
      </w:pPr>
      <w:r>
        <w:rPr>
          <w:rFonts w:hint="eastAsia" w:ascii="仿宋" w:hAnsi="仿宋" w:eastAsia="仿宋"/>
          <w:b/>
          <w:spacing w:val="-2"/>
          <w:sz w:val="32"/>
          <w:szCs w:val="32"/>
        </w:rPr>
        <w:t>1、专项资金情况</w:t>
      </w:r>
    </w:p>
    <w:p w14:paraId="15B05F91">
      <w:pPr>
        <w:shd w:val="clear" w:color="auto"/>
        <w:spacing w:line="640" w:lineRule="exact"/>
        <w:ind w:firstLine="614" w:firstLineChars="192"/>
        <w:rPr>
          <w:rFonts w:hint="eastAsia" w:ascii="仿宋" w:hAnsi="仿宋" w:eastAsia="仿宋" w:cs="宋体"/>
          <w:kern w:val="0"/>
          <w:sz w:val="32"/>
          <w:szCs w:val="32"/>
        </w:rPr>
      </w:pPr>
      <w:r>
        <w:rPr>
          <w:rFonts w:hint="eastAsia" w:ascii="仿宋" w:hAnsi="仿宋" w:eastAsia="仿宋" w:cs="宋体"/>
          <w:kern w:val="0"/>
          <w:sz w:val="32"/>
          <w:szCs w:val="32"/>
        </w:rPr>
        <w:t>2023年项目决算支出为2979.71万元，主要用于：防灾减灾救灾、安全生产隐患排查治理、应急处置救援、宣传教育培训、专项整治、自然灾害风险普查、安全生产“打非治违”、防汛抗旱、森林防火、举报奖励、购买意外伤害保险、隐患专家“会诊”等工作。</w:t>
      </w:r>
    </w:p>
    <w:p w14:paraId="4AB1C854">
      <w:pPr>
        <w:shd w:val="clear"/>
        <w:adjustRightInd w:val="0"/>
        <w:snapToGrid w:val="0"/>
        <w:spacing w:line="560" w:lineRule="exact"/>
        <w:ind w:right="-87" w:firstLine="614" w:firstLineChars="192"/>
        <w:rPr>
          <w:rFonts w:ascii="仿宋" w:hAnsi="仿宋" w:eastAsia="仿宋"/>
          <w:b/>
          <w:bCs/>
          <w:sz w:val="32"/>
          <w:szCs w:val="32"/>
        </w:rPr>
      </w:pPr>
      <w:r>
        <w:rPr>
          <w:rFonts w:hint="eastAsia" w:ascii="仿宋" w:hAnsi="仿宋" w:eastAsia="仿宋"/>
          <w:b/>
          <w:bCs/>
          <w:sz w:val="32"/>
          <w:szCs w:val="32"/>
        </w:rPr>
        <w:t>2、</w:t>
      </w:r>
      <w:r>
        <w:rPr>
          <w:rFonts w:ascii="仿宋" w:hAnsi="仿宋" w:eastAsia="仿宋"/>
          <w:b/>
          <w:bCs/>
          <w:sz w:val="32"/>
          <w:szCs w:val="32"/>
        </w:rPr>
        <w:t>项目资金管理情况</w:t>
      </w:r>
    </w:p>
    <w:p w14:paraId="25149D6F">
      <w:pPr>
        <w:shd w:val="clear" w:color="auto"/>
        <w:spacing w:line="640" w:lineRule="exact"/>
        <w:ind w:firstLine="614" w:firstLineChars="192"/>
        <w:rPr>
          <w:rFonts w:hint="eastAsia" w:ascii="仿宋" w:hAnsi="仿宋" w:eastAsia="仿宋" w:cs="宋体"/>
          <w:kern w:val="0"/>
          <w:sz w:val="32"/>
          <w:szCs w:val="32"/>
        </w:rPr>
      </w:pPr>
      <w:r>
        <w:rPr>
          <w:rFonts w:hint="eastAsia" w:ascii="仿宋" w:hAnsi="仿宋" w:eastAsia="仿宋" w:cs="宋体"/>
          <w:kern w:val="0"/>
          <w:sz w:val="32"/>
          <w:szCs w:val="32"/>
        </w:rPr>
        <w:t>我局成立了项目资金管理领导小组，严格按照国家、省、市、县相关规定和要求，制定了资金使用和管理制度，严格审核把关，纪检监察组对资金使用和管理实行日常检查监督。</w:t>
      </w:r>
    </w:p>
    <w:p w14:paraId="1D0C1AF1">
      <w:pPr>
        <w:shd w:val="clear" w:color="auto"/>
        <w:spacing w:line="640" w:lineRule="exact"/>
        <w:ind w:firstLine="606" w:firstLineChars="192"/>
        <w:rPr>
          <w:rFonts w:hint="eastAsia" w:ascii="宋体" w:hAnsi="宋体"/>
          <w:b/>
          <w:spacing w:val="-2"/>
          <w:sz w:val="32"/>
          <w:szCs w:val="32"/>
        </w:rPr>
      </w:pPr>
      <w:r>
        <w:rPr>
          <w:rFonts w:hint="eastAsia" w:ascii="宋体" w:hAnsi="宋体"/>
          <w:b/>
          <w:spacing w:val="-2"/>
          <w:sz w:val="32"/>
          <w:szCs w:val="32"/>
        </w:rPr>
        <w:t>三、部门专项组织实施情况</w:t>
      </w:r>
    </w:p>
    <w:p w14:paraId="2F50ED8C">
      <w:pPr>
        <w:shd w:val="clear" w:color="auto"/>
        <w:spacing w:line="640" w:lineRule="exact"/>
        <w:ind w:firstLine="606" w:firstLineChars="192"/>
        <w:rPr>
          <w:rFonts w:hint="eastAsia" w:ascii="仿宋" w:hAnsi="仿宋" w:eastAsia="仿宋"/>
          <w:spacing w:val="-2"/>
          <w:sz w:val="32"/>
          <w:szCs w:val="32"/>
        </w:rPr>
      </w:pPr>
      <w:r>
        <w:rPr>
          <w:rFonts w:hint="eastAsia" w:ascii="仿宋" w:hAnsi="仿宋" w:eastAsia="仿宋"/>
          <w:spacing w:val="-2"/>
          <w:sz w:val="32"/>
          <w:szCs w:val="32"/>
        </w:rPr>
        <w:t>（一）专项组织情况分析，主要包括项目招投标、调整、竣工验收等情况。</w:t>
      </w:r>
    </w:p>
    <w:p w14:paraId="7222AD77">
      <w:pPr>
        <w:shd w:val="clear" w:color="auto"/>
        <w:spacing w:line="640" w:lineRule="exact"/>
        <w:ind w:firstLine="606" w:firstLineChars="192"/>
        <w:rPr>
          <w:rFonts w:hint="eastAsia" w:ascii="仿宋" w:hAnsi="仿宋" w:eastAsia="仿宋"/>
          <w:spacing w:val="-2"/>
          <w:sz w:val="32"/>
          <w:szCs w:val="32"/>
        </w:rPr>
      </w:pPr>
      <w:r>
        <w:rPr>
          <w:rFonts w:hint="eastAsia" w:ascii="仿宋" w:hAnsi="仿宋" w:eastAsia="仿宋"/>
          <w:spacing w:val="-2"/>
          <w:sz w:val="32"/>
          <w:szCs w:val="32"/>
        </w:rPr>
        <w:t>专项资金使用管理严格按照规定，专款专用，专项管理。采购遵循公开、开平、公正的原则，程序规范。专项工作完成后，由验收小组按照合同约定，组织专业人员对所涉及的货物、工程和服务等进行验收，验收合格后办理款项支付。</w:t>
      </w:r>
    </w:p>
    <w:p w14:paraId="2CB65221">
      <w:pPr>
        <w:shd w:val="clear" w:color="auto"/>
        <w:spacing w:line="640" w:lineRule="exact"/>
        <w:ind w:firstLine="606" w:firstLineChars="192"/>
        <w:rPr>
          <w:rFonts w:hint="eastAsia" w:ascii="仿宋" w:hAnsi="仿宋" w:eastAsia="仿宋"/>
          <w:spacing w:val="-2"/>
          <w:sz w:val="32"/>
          <w:szCs w:val="32"/>
        </w:rPr>
      </w:pPr>
      <w:r>
        <w:rPr>
          <w:rFonts w:hint="eastAsia" w:ascii="仿宋" w:hAnsi="仿宋" w:eastAsia="仿宋"/>
          <w:spacing w:val="-2"/>
          <w:sz w:val="32"/>
          <w:szCs w:val="32"/>
        </w:rPr>
        <w:t>（二）专项管理情况分析，主要包括项目管理制度建设、日常检查监督管理等情况。</w:t>
      </w:r>
    </w:p>
    <w:p w14:paraId="74FFD121">
      <w:pPr>
        <w:shd w:val="clear" w:color="auto"/>
        <w:spacing w:line="640" w:lineRule="exact"/>
        <w:ind w:firstLine="606" w:firstLineChars="192"/>
        <w:rPr>
          <w:rFonts w:hint="eastAsia" w:ascii="仿宋" w:hAnsi="仿宋" w:eastAsia="仿宋"/>
          <w:spacing w:val="-2"/>
          <w:sz w:val="32"/>
          <w:szCs w:val="32"/>
        </w:rPr>
      </w:pPr>
      <w:r>
        <w:rPr>
          <w:rFonts w:hint="eastAsia" w:ascii="仿宋" w:hAnsi="仿宋" w:eastAsia="仿宋"/>
          <w:spacing w:val="-2"/>
          <w:sz w:val="32"/>
          <w:szCs w:val="32"/>
        </w:rPr>
        <w:t>我局建立和完善了资金管理、采购、合同、验收等制度，纪检专干负责日常检查和监督工作。</w:t>
      </w:r>
    </w:p>
    <w:p w14:paraId="5EB74431">
      <w:pPr>
        <w:shd w:val="clear" w:color="auto"/>
        <w:spacing w:line="640" w:lineRule="exact"/>
        <w:ind w:firstLine="606" w:firstLineChars="192"/>
        <w:rPr>
          <w:rFonts w:hint="eastAsia" w:ascii="宋体" w:hAnsi="宋体"/>
          <w:b/>
          <w:spacing w:val="-2"/>
          <w:sz w:val="32"/>
          <w:szCs w:val="32"/>
        </w:rPr>
      </w:pPr>
      <w:r>
        <w:rPr>
          <w:rFonts w:hint="eastAsia" w:ascii="宋体" w:hAnsi="宋体"/>
          <w:b/>
          <w:spacing w:val="-2"/>
          <w:sz w:val="32"/>
          <w:szCs w:val="32"/>
        </w:rPr>
        <w:t>四、资产管理情况</w:t>
      </w:r>
    </w:p>
    <w:p w14:paraId="1D26F546">
      <w:pPr>
        <w:shd w:val="clear"/>
        <w:overflowPunct w:val="0"/>
        <w:spacing w:line="600" w:lineRule="exact"/>
        <w:ind w:firstLine="614" w:firstLineChars="192"/>
        <w:rPr>
          <w:rFonts w:hint="eastAsia" w:ascii="仿宋" w:hAnsi="仿宋" w:eastAsia="仿宋"/>
          <w:b/>
          <w:color w:val="000000"/>
          <w:sz w:val="32"/>
          <w:szCs w:val="32"/>
        </w:rPr>
      </w:pPr>
      <w:r>
        <w:rPr>
          <w:rFonts w:hint="eastAsia" w:ascii="仿宋" w:hAnsi="仿宋" w:eastAsia="仿宋" w:cs="楷体"/>
          <w:color w:val="000000"/>
          <w:sz w:val="32"/>
          <w:szCs w:val="32"/>
          <w:shd w:val="clear" w:color="auto" w:fill="FFFFFF"/>
        </w:rPr>
        <w:t>我局按照《行政事业单位国有资产管理暂行办法》以及相关法律法规的规定，建立了符合要求和单位实际情况的资产管理制度和岗位责任制，强化检查和绩效考核，加强对资产安全和有效使用的控制</w:t>
      </w:r>
    </w:p>
    <w:p w14:paraId="3B8393FF">
      <w:pPr>
        <w:shd w:val="clear"/>
        <w:overflowPunct w:val="0"/>
        <w:spacing w:line="600" w:lineRule="exact"/>
        <w:ind w:firstLine="614" w:firstLineChars="192"/>
        <w:rPr>
          <w:rFonts w:hint="eastAsia" w:ascii="仿宋" w:hAnsi="仿宋" w:eastAsia="仿宋"/>
          <w:color w:val="000000"/>
          <w:sz w:val="32"/>
          <w:szCs w:val="32"/>
        </w:rPr>
      </w:pPr>
      <w:r>
        <w:rPr>
          <w:rFonts w:hint="eastAsia" w:ascii="仿宋" w:hAnsi="仿宋" w:eastAsia="仿宋"/>
          <w:color w:val="000000"/>
          <w:sz w:val="32"/>
          <w:szCs w:val="32"/>
        </w:rPr>
        <w:t>截</w:t>
      </w:r>
      <w:r>
        <w:rPr>
          <w:rFonts w:hint="eastAsia" w:ascii="仿宋" w:hAnsi="仿宋" w:eastAsia="仿宋"/>
          <w:color w:val="000000"/>
          <w:sz w:val="32"/>
          <w:szCs w:val="32"/>
          <w:lang w:val="en-US" w:eastAsia="zh-CN"/>
        </w:rPr>
        <w:t>至</w:t>
      </w:r>
      <w:r>
        <w:rPr>
          <w:rFonts w:hint="eastAsia" w:ascii="仿宋" w:hAnsi="仿宋" w:eastAsia="仿宋"/>
          <w:color w:val="000000"/>
          <w:sz w:val="32"/>
          <w:szCs w:val="32"/>
        </w:rPr>
        <w:t>2023年12月31日，本单位资产清查数原值为614.98万元，累计折旧217.12万元，净值为397.86万元。</w:t>
      </w:r>
    </w:p>
    <w:p w14:paraId="7C4BC242">
      <w:pPr>
        <w:pStyle w:val="4"/>
        <w:shd w:val="clear"/>
        <w:spacing w:line="600" w:lineRule="exact"/>
        <w:ind w:firstLine="614" w:firstLineChars="192"/>
        <w:rPr>
          <w:rFonts w:hint="eastAsia" w:ascii="仿宋" w:hAnsi="仿宋" w:eastAsia="仿宋"/>
          <w:color w:val="000000"/>
          <w:sz w:val="32"/>
          <w:szCs w:val="32"/>
        </w:rPr>
      </w:pPr>
      <w:r>
        <w:rPr>
          <w:rFonts w:hint="eastAsia" w:ascii="仿宋" w:hAnsi="仿宋" w:eastAsia="仿宋"/>
          <w:color w:val="000000"/>
          <w:sz w:val="32"/>
          <w:szCs w:val="32"/>
        </w:rPr>
        <w:t>1. 土地（土地使用权）情况：本单位无土地。</w:t>
      </w:r>
    </w:p>
    <w:p w14:paraId="53EF608A">
      <w:pPr>
        <w:pStyle w:val="4"/>
        <w:shd w:val="clear"/>
        <w:spacing w:line="600" w:lineRule="exact"/>
        <w:ind w:firstLine="614" w:firstLineChars="192"/>
        <w:rPr>
          <w:rFonts w:hint="eastAsia" w:ascii="仿宋" w:hAnsi="仿宋" w:eastAsia="仿宋"/>
          <w:color w:val="000000"/>
          <w:sz w:val="32"/>
          <w:szCs w:val="32"/>
        </w:rPr>
      </w:pPr>
      <w:r>
        <w:rPr>
          <w:rFonts w:hint="eastAsia" w:ascii="仿宋" w:hAnsi="仿宋" w:eastAsia="仿宋"/>
          <w:color w:val="000000"/>
          <w:sz w:val="32"/>
          <w:szCs w:val="32"/>
        </w:rPr>
        <w:t>2. 房屋情况（包括已投入使用的在建工程未转固定资产情况）：</w:t>
      </w:r>
      <w:r>
        <w:rPr>
          <w:rFonts w:hint="eastAsia" w:ascii="仿宋" w:hAnsi="仿宋" w:eastAsia="仿宋"/>
          <w:color w:val="000000"/>
          <w:sz w:val="32"/>
          <w:szCs w:val="32"/>
          <w:lang w:eastAsia="zh-CN"/>
        </w:rPr>
        <w:t>修建消防二站；</w:t>
      </w:r>
      <w:r>
        <w:rPr>
          <w:rFonts w:hint="eastAsia" w:ascii="仿宋" w:hAnsi="仿宋" w:eastAsia="仿宋"/>
          <w:color w:val="000000"/>
          <w:sz w:val="32"/>
          <w:szCs w:val="32"/>
        </w:rPr>
        <w:t>本单位无办公用房。</w:t>
      </w:r>
    </w:p>
    <w:p w14:paraId="43A12F7A">
      <w:pPr>
        <w:pStyle w:val="4"/>
        <w:shd w:val="clear"/>
        <w:spacing w:line="600" w:lineRule="exact"/>
        <w:ind w:firstLine="614" w:firstLineChars="192"/>
        <w:rPr>
          <w:rFonts w:hint="eastAsia" w:ascii="仿宋" w:hAnsi="仿宋" w:eastAsia="仿宋"/>
          <w:color w:val="000000"/>
          <w:sz w:val="32"/>
          <w:szCs w:val="32"/>
        </w:rPr>
      </w:pPr>
      <w:r>
        <w:rPr>
          <w:rFonts w:hint="eastAsia" w:ascii="仿宋" w:hAnsi="仿宋" w:eastAsia="仿宋"/>
          <w:color w:val="000000"/>
          <w:sz w:val="32"/>
          <w:szCs w:val="32"/>
        </w:rPr>
        <w:t>3. 车辆情况：本单位1台车辆，原值为6.56万元，净值为0元。</w:t>
      </w:r>
    </w:p>
    <w:p w14:paraId="6E7B51F6">
      <w:pPr>
        <w:pStyle w:val="4"/>
        <w:shd w:val="clear"/>
        <w:spacing w:line="600" w:lineRule="exact"/>
        <w:ind w:firstLine="614" w:firstLineChars="192"/>
        <w:rPr>
          <w:rFonts w:hint="eastAsia" w:ascii="仿宋" w:hAnsi="仿宋" w:eastAsia="仿宋"/>
          <w:color w:val="000000"/>
          <w:sz w:val="32"/>
          <w:szCs w:val="32"/>
        </w:rPr>
      </w:pPr>
      <w:r>
        <w:rPr>
          <w:rFonts w:hint="eastAsia" w:ascii="仿宋" w:hAnsi="仿宋" w:eastAsia="仿宋"/>
          <w:color w:val="000000"/>
          <w:sz w:val="32"/>
          <w:szCs w:val="32"/>
        </w:rPr>
        <w:t>4、其他固定资产、无形资产情况：本单位</w:t>
      </w:r>
      <w:r>
        <w:rPr>
          <w:rFonts w:hint="eastAsia" w:ascii="仿宋" w:hAnsi="仿宋" w:eastAsia="仿宋"/>
          <w:color w:val="000000"/>
          <w:sz w:val="32"/>
          <w:szCs w:val="32"/>
          <w:lang w:eastAsia="zh-CN"/>
        </w:rPr>
        <w:t>在建工程（消防二站）</w:t>
      </w:r>
      <w:r>
        <w:rPr>
          <w:rFonts w:hint="eastAsia" w:ascii="仿宋" w:hAnsi="仿宋" w:eastAsia="仿宋"/>
          <w:color w:val="000000"/>
          <w:sz w:val="32"/>
          <w:szCs w:val="32"/>
        </w:rPr>
        <w:t>原值</w:t>
      </w:r>
      <w:r>
        <w:rPr>
          <w:rFonts w:hint="eastAsia" w:ascii="仿宋" w:hAnsi="仿宋" w:eastAsia="仿宋"/>
          <w:color w:val="000000"/>
          <w:sz w:val="32"/>
          <w:szCs w:val="32"/>
          <w:lang w:val="en-US" w:eastAsia="zh-CN"/>
        </w:rPr>
        <w:t>244.76</w:t>
      </w:r>
      <w:r>
        <w:rPr>
          <w:rFonts w:hint="eastAsia" w:ascii="仿宋" w:hAnsi="仿宋" w:eastAsia="仿宋"/>
          <w:color w:val="000000"/>
          <w:sz w:val="32"/>
          <w:szCs w:val="32"/>
        </w:rPr>
        <w:t>万元、累计折旧</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万元、净值</w:t>
      </w:r>
      <w:r>
        <w:rPr>
          <w:rFonts w:hint="eastAsia" w:ascii="仿宋" w:hAnsi="仿宋" w:eastAsia="仿宋"/>
          <w:color w:val="000000"/>
          <w:sz w:val="32"/>
          <w:szCs w:val="32"/>
          <w:lang w:val="en-US" w:eastAsia="zh-CN"/>
        </w:rPr>
        <w:t>244.76</w:t>
      </w:r>
      <w:r>
        <w:rPr>
          <w:rFonts w:hint="eastAsia" w:ascii="仿宋" w:hAnsi="仿宋" w:eastAsia="仿宋"/>
          <w:color w:val="000000"/>
          <w:sz w:val="32"/>
          <w:szCs w:val="32"/>
        </w:rPr>
        <w:t>万元；专用设备原值</w:t>
      </w:r>
      <w:r>
        <w:rPr>
          <w:rFonts w:hint="eastAsia" w:ascii="仿宋" w:hAnsi="仿宋" w:eastAsia="仿宋"/>
          <w:color w:val="000000"/>
          <w:sz w:val="32"/>
          <w:szCs w:val="32"/>
          <w:lang w:val="en-US" w:eastAsia="zh-CN"/>
        </w:rPr>
        <w:t>253.74</w:t>
      </w:r>
      <w:r>
        <w:rPr>
          <w:rFonts w:hint="eastAsia" w:ascii="仿宋" w:hAnsi="仿宋" w:eastAsia="仿宋"/>
          <w:color w:val="000000"/>
          <w:sz w:val="32"/>
          <w:szCs w:val="32"/>
        </w:rPr>
        <w:t>万元，累计折旧</w:t>
      </w:r>
      <w:r>
        <w:rPr>
          <w:rFonts w:hint="eastAsia" w:ascii="仿宋" w:hAnsi="仿宋" w:eastAsia="仿宋"/>
          <w:color w:val="000000"/>
          <w:sz w:val="32"/>
          <w:szCs w:val="32"/>
          <w:lang w:val="en-US" w:eastAsia="zh-CN"/>
        </w:rPr>
        <w:t>175.49</w:t>
      </w:r>
      <w:r>
        <w:rPr>
          <w:rFonts w:hint="eastAsia" w:ascii="仿宋" w:hAnsi="仿宋" w:eastAsia="仿宋"/>
          <w:color w:val="000000"/>
          <w:sz w:val="32"/>
          <w:szCs w:val="32"/>
        </w:rPr>
        <w:t>万元，净值</w:t>
      </w:r>
      <w:r>
        <w:rPr>
          <w:rFonts w:hint="eastAsia" w:ascii="仿宋" w:hAnsi="仿宋" w:eastAsia="仿宋"/>
          <w:color w:val="000000"/>
          <w:sz w:val="32"/>
          <w:szCs w:val="32"/>
          <w:lang w:val="en-US" w:eastAsia="zh-CN"/>
        </w:rPr>
        <w:t>78.25</w:t>
      </w:r>
      <w:r>
        <w:rPr>
          <w:rFonts w:hint="eastAsia" w:ascii="仿宋" w:hAnsi="仿宋" w:eastAsia="仿宋"/>
          <w:color w:val="000000"/>
          <w:sz w:val="32"/>
          <w:szCs w:val="32"/>
        </w:rPr>
        <w:t>万元；家具用具类原值为</w:t>
      </w:r>
      <w:r>
        <w:rPr>
          <w:rFonts w:hint="eastAsia" w:ascii="仿宋" w:hAnsi="仿宋" w:eastAsia="仿宋"/>
          <w:color w:val="000000"/>
          <w:sz w:val="32"/>
          <w:szCs w:val="32"/>
          <w:lang w:val="en-US" w:eastAsia="zh-CN"/>
        </w:rPr>
        <w:t>116.48</w:t>
      </w:r>
      <w:r>
        <w:rPr>
          <w:rFonts w:hint="eastAsia" w:ascii="仿宋" w:hAnsi="仿宋" w:eastAsia="仿宋"/>
          <w:color w:val="000000"/>
          <w:sz w:val="32"/>
          <w:szCs w:val="32"/>
        </w:rPr>
        <w:t>万元，累计折旧</w:t>
      </w:r>
      <w:r>
        <w:rPr>
          <w:rFonts w:hint="eastAsia" w:ascii="仿宋" w:hAnsi="仿宋" w:eastAsia="仿宋"/>
          <w:color w:val="000000"/>
          <w:sz w:val="32"/>
          <w:szCs w:val="32"/>
          <w:lang w:val="en-US" w:eastAsia="zh-CN"/>
        </w:rPr>
        <w:t>36.74</w:t>
      </w:r>
      <w:r>
        <w:rPr>
          <w:rFonts w:hint="eastAsia" w:ascii="仿宋" w:hAnsi="仿宋" w:eastAsia="仿宋"/>
          <w:color w:val="000000"/>
          <w:sz w:val="32"/>
          <w:szCs w:val="32"/>
        </w:rPr>
        <w:t>万元，净值为</w:t>
      </w:r>
      <w:r>
        <w:rPr>
          <w:rFonts w:hint="eastAsia" w:ascii="仿宋" w:hAnsi="仿宋" w:eastAsia="仿宋"/>
          <w:color w:val="000000"/>
          <w:sz w:val="32"/>
          <w:szCs w:val="32"/>
          <w:lang w:val="en-US" w:eastAsia="zh-CN"/>
        </w:rPr>
        <w:t>79.74</w:t>
      </w:r>
      <w:r>
        <w:rPr>
          <w:rFonts w:hint="eastAsia" w:ascii="仿宋" w:hAnsi="仿宋" w:eastAsia="仿宋"/>
          <w:color w:val="000000"/>
          <w:sz w:val="32"/>
          <w:szCs w:val="32"/>
        </w:rPr>
        <w:t>万元。</w:t>
      </w:r>
    </w:p>
    <w:p w14:paraId="0F6A1768">
      <w:pPr>
        <w:pStyle w:val="4"/>
        <w:shd w:val="clear"/>
        <w:spacing w:line="600" w:lineRule="exact"/>
        <w:ind w:firstLine="614" w:firstLineChars="192"/>
        <w:rPr>
          <w:rFonts w:hint="eastAsia" w:ascii="仿宋" w:hAnsi="仿宋" w:eastAsia="仿宋"/>
          <w:sz w:val="32"/>
          <w:szCs w:val="32"/>
        </w:rPr>
      </w:pPr>
      <w:r>
        <w:rPr>
          <w:rFonts w:hint="eastAsia" w:ascii="仿宋" w:hAnsi="仿宋" w:eastAsia="仿宋"/>
          <w:sz w:val="32"/>
          <w:szCs w:val="32"/>
        </w:rPr>
        <w:t>5. 对外投资（长期股权投资）情况：本单位无对外投资。</w:t>
      </w:r>
    </w:p>
    <w:p w14:paraId="7C668B30">
      <w:pPr>
        <w:pStyle w:val="4"/>
        <w:shd w:val="clear"/>
        <w:spacing w:line="600" w:lineRule="exact"/>
        <w:ind w:firstLine="614" w:firstLineChars="192"/>
        <w:rPr>
          <w:rFonts w:hint="eastAsia" w:ascii="仿宋" w:hAnsi="仿宋" w:eastAsia="仿宋"/>
          <w:sz w:val="32"/>
          <w:szCs w:val="32"/>
        </w:rPr>
      </w:pPr>
      <w:r>
        <w:rPr>
          <w:rFonts w:hint="eastAsia" w:ascii="仿宋" w:hAnsi="仿宋" w:eastAsia="仿宋"/>
          <w:sz w:val="32"/>
          <w:szCs w:val="32"/>
        </w:rPr>
        <w:t>6. 国有资产出租情况：无。</w:t>
      </w:r>
    </w:p>
    <w:p w14:paraId="74869C23">
      <w:pPr>
        <w:shd w:val="clear" w:color="auto"/>
        <w:spacing w:line="640" w:lineRule="exact"/>
        <w:ind w:firstLine="606" w:firstLineChars="192"/>
        <w:rPr>
          <w:rFonts w:hint="eastAsia" w:ascii="宋体" w:hAnsi="宋体"/>
          <w:b/>
          <w:spacing w:val="-2"/>
          <w:sz w:val="32"/>
          <w:szCs w:val="32"/>
        </w:rPr>
      </w:pPr>
      <w:r>
        <w:rPr>
          <w:rFonts w:hint="eastAsia" w:ascii="宋体" w:hAnsi="宋体"/>
          <w:b/>
          <w:spacing w:val="-2"/>
          <w:sz w:val="32"/>
          <w:szCs w:val="32"/>
        </w:rPr>
        <w:t>五、部门整体支出绩效情况</w:t>
      </w:r>
    </w:p>
    <w:p w14:paraId="5FA70857">
      <w:pPr>
        <w:shd w:val="clear"/>
        <w:spacing w:line="600" w:lineRule="exact"/>
        <w:ind w:firstLine="640" w:firstLineChars="200"/>
        <w:rPr>
          <w:rFonts w:ascii="黑体" w:hAnsi="黑体" w:eastAsia="黑体" w:cs="仿宋_GB2312"/>
          <w:bCs/>
          <w:color w:val="000000"/>
          <w:sz w:val="32"/>
          <w:szCs w:val="32"/>
        </w:rPr>
      </w:pPr>
      <w:r>
        <w:rPr>
          <w:rFonts w:hint="eastAsia" w:ascii="楷体_GB2312" w:hAnsi="黑体" w:eastAsia="楷体_GB2312"/>
          <w:b/>
          <w:sz w:val="32"/>
          <w:szCs w:val="32"/>
          <w:shd w:val="clear" w:color="auto" w:fill="FFFFFF"/>
        </w:rPr>
        <w:t>（一）在“强”上下功夫，夯实“稳”的基础。</w:t>
      </w:r>
      <w:r>
        <w:rPr>
          <w:rFonts w:hint="eastAsia" w:ascii="仿宋_GB2312" w:eastAsia="仿宋_GB2312"/>
          <w:sz w:val="32"/>
          <w:szCs w:val="32"/>
          <w:shd w:val="clear" w:color="auto" w:fill="FFFFFF"/>
        </w:rPr>
        <w:t>坚决落实“党政同责、一岗双责、齐抓共管、</w:t>
      </w:r>
      <w:r>
        <w:rPr>
          <w:rFonts w:hint="eastAsia" w:ascii="仿宋_GB2312" w:hAnsi="仿宋_GB2312" w:eastAsia="仿宋_GB2312" w:cs="仿宋_GB2312"/>
          <w:bCs/>
          <w:sz w:val="32"/>
          <w:szCs w:val="32"/>
        </w:rPr>
        <w:t>失职追责”要求，深化安全生产责任落实，强化平安基础保障，完善长效工作机制，全力打好安全生产翻身仗，</w:t>
      </w:r>
      <w:r>
        <w:rPr>
          <w:rFonts w:hint="eastAsia" w:ascii="仿宋_GB2312" w:hAnsi="仿宋_GB2312" w:eastAsia="仿宋_GB2312" w:cs="仿宋_GB2312"/>
          <w:sz w:val="32"/>
          <w:szCs w:val="32"/>
        </w:rPr>
        <w:t>牢牢稳固安全生产“基本盘”。</w:t>
      </w:r>
      <w:r>
        <w:rPr>
          <w:rFonts w:hint="eastAsia" w:ascii="仿宋_GB2312" w:hAnsi="仿宋_GB2312" w:eastAsia="仿宋_GB2312" w:cs="仿宋_GB2312"/>
          <w:b/>
          <w:sz w:val="32"/>
          <w:szCs w:val="32"/>
        </w:rPr>
        <w:t>一是强化组织领导，推动安全生产责任内化于心、外化于</w:t>
      </w:r>
      <w:r>
        <w:rPr>
          <w:rFonts w:hint="eastAsia" w:ascii="仿宋_GB2312" w:hAnsi="仿宋_GB2312" w:eastAsia="仿宋_GB2312" w:cs="仿宋_GB2312"/>
          <w:b/>
          <w:sz w:val="32"/>
          <w:szCs w:val="32"/>
          <w:lang w:val="en-US" w:eastAsia="zh-CN"/>
        </w:rPr>
        <w:t>行</w:t>
      </w:r>
      <w:r>
        <w:rPr>
          <w:rFonts w:hint="eastAsia" w:ascii="仿宋_GB2312" w:hAnsi="仿宋_GB2312" w:eastAsia="仿宋_GB2312" w:cs="仿宋_GB2312"/>
          <w:b/>
          <w:sz w:val="32"/>
          <w:szCs w:val="32"/>
        </w:rPr>
        <w:t>。</w:t>
      </w:r>
      <w:r>
        <w:rPr>
          <w:rFonts w:hint="eastAsia" w:ascii="仿宋_GB2312" w:hAnsi="仿宋_GB2312" w:eastAsia="仿宋_GB2312" w:cs="仿宋_GB2312"/>
          <w:color w:val="000000"/>
          <w:sz w:val="32"/>
          <w:szCs w:val="32"/>
        </w:rPr>
        <w:t>县委、县政府高度重视安全生产和应急管理工作，</w:t>
      </w:r>
      <w:r>
        <w:rPr>
          <w:rFonts w:hint="eastAsia" w:ascii="仿宋_GB2312" w:hAnsi="仿宋_GB2312" w:eastAsia="仿宋_GB2312" w:cs="仿宋_GB2312"/>
          <w:sz w:val="32"/>
          <w:szCs w:val="32"/>
        </w:rPr>
        <w:t>今年</w:t>
      </w:r>
      <w:r>
        <w:rPr>
          <w:rFonts w:hint="eastAsia" w:ascii="仿宋_GB2312" w:hAnsi="仿宋_GB2312" w:eastAsia="仿宋_GB2312" w:cs="仿宋_GB2312"/>
          <w:bCs/>
          <w:sz w:val="32"/>
          <w:szCs w:val="32"/>
        </w:rPr>
        <w:t>先后召开县委常委会、县政府常务会、县安委会全会、翻身仗专题调度会等51次会议</w:t>
      </w:r>
      <w:r>
        <w:rPr>
          <w:rFonts w:hint="eastAsia" w:ascii="仿宋_GB2312" w:hAnsi="仿宋_GB2312" w:eastAsia="仿宋_GB2312" w:cs="仿宋_GB2312"/>
          <w:sz w:val="32"/>
          <w:szCs w:val="32"/>
        </w:rPr>
        <w:t>专题研究</w:t>
      </w:r>
      <w:r>
        <w:rPr>
          <w:rFonts w:hint="eastAsia" w:ascii="仿宋_GB2312" w:hAnsi="仿宋_GB2312" w:eastAsia="仿宋_GB2312" w:cs="仿宋_GB2312"/>
          <w:color w:val="000000"/>
          <w:sz w:val="32"/>
          <w:szCs w:val="32"/>
        </w:rPr>
        <w:t>，周密部署安</w:t>
      </w:r>
      <w:r>
        <w:rPr>
          <w:rFonts w:hint="eastAsia" w:ascii="仿宋_GB2312" w:hAnsi="仿宋_GB2312" w:eastAsia="仿宋_GB2312" w:cs="仿宋_GB2312"/>
          <w:sz w:val="32"/>
          <w:szCs w:val="32"/>
        </w:rPr>
        <w:t>排，高频高位深入推进</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县委、县政府主要领导率先垂范，35名</w:t>
      </w:r>
      <w:r>
        <w:rPr>
          <w:rFonts w:hint="eastAsia" w:ascii="仿宋_GB2312" w:hAnsi="仿宋_GB2312" w:eastAsia="仿宋_GB2312" w:cs="仿宋_GB2312"/>
          <w:bCs/>
          <w:sz w:val="32"/>
          <w:szCs w:val="32"/>
        </w:rPr>
        <w:t>县级领导常态化带队开展安全生产督导检查，</w:t>
      </w:r>
      <w:r>
        <w:rPr>
          <w:rFonts w:hint="eastAsia" w:ascii="仿宋_GB2312" w:hAnsi="仿宋_GB2312" w:eastAsia="仿宋_GB2312" w:cs="仿宋_GB2312"/>
          <w:sz w:val="32"/>
          <w:szCs w:val="32"/>
        </w:rPr>
        <w:t>向全县上下传递了大抓狠抓猛抓安全生产工作的鲜明信号，层层传导压力狠抓落实。</w:t>
      </w:r>
      <w:r>
        <w:rPr>
          <w:rFonts w:hint="eastAsia" w:ascii="仿宋_GB2312" w:hAnsi="仿宋_GB2312" w:eastAsia="仿宋_GB2312" w:cs="仿宋_GB2312"/>
          <w:b/>
          <w:sz w:val="32"/>
          <w:szCs w:val="32"/>
        </w:rPr>
        <w:t>二是强化机制运行，确保安全处处有人管、生产事事有人抓。</w:t>
      </w:r>
      <w:r>
        <w:rPr>
          <w:rFonts w:hint="eastAsia" w:ascii="仿宋_GB2312" w:hAnsi="仿宋" w:eastAsia="仿宋_GB2312"/>
          <w:sz w:val="32"/>
          <w:szCs w:val="32"/>
        </w:rPr>
        <w:t>印发</w:t>
      </w:r>
      <w:r>
        <w:rPr>
          <w:rFonts w:hint="eastAsia" w:ascii="仿宋_GB2312" w:hAnsi="仿宋" w:eastAsia="仿宋_GB2312"/>
          <w:color w:val="000000"/>
          <w:sz w:val="32"/>
          <w:szCs w:val="32"/>
        </w:rPr>
        <w:t>《溆浦县安全生产委员会成员单位安全生产工作任务分工》《县委县政府领导班子成员安全生产责任清单》《溆浦县安全生产工作包片责任制》</w:t>
      </w:r>
      <w:r>
        <w:rPr>
          <w:rFonts w:hint="eastAsia" w:ascii="仿宋_GB2312" w:hAnsi="仿宋" w:eastAsia="仿宋_GB2312"/>
          <w:sz w:val="32"/>
          <w:szCs w:val="32"/>
        </w:rPr>
        <w:t>等文件，进一步明确各级各部门安全生产工作职责。建立健全安全生产巡查机制，</w:t>
      </w:r>
      <w:r>
        <w:rPr>
          <w:rFonts w:hint="eastAsia" w:ascii="仿宋_GB2312" w:eastAsia="仿宋_GB2312" w:cs="仿宋_GB2312"/>
          <w:sz w:val="32"/>
          <w:szCs w:val="32"/>
        </w:rPr>
        <w:t>常态化组织督查巡查、明察暗访，</w:t>
      </w:r>
      <w:r>
        <w:rPr>
          <w:rFonts w:hint="eastAsia" w:ascii="仿宋_GB2312" w:hAnsi="仿宋_GB2312" w:eastAsia="仿宋_GB2312" w:cs="仿宋_GB2312"/>
          <w:sz w:val="32"/>
          <w:szCs w:val="32"/>
        </w:rPr>
        <w:t>对工作不力、敷衍应付、责任不落实的严肃问责追责，</w:t>
      </w:r>
      <w:r>
        <w:rPr>
          <w:rFonts w:hint="eastAsia" w:ascii="仿宋_GB2312" w:eastAsia="仿宋_GB2312" w:cs="仿宋_GB2312"/>
          <w:sz w:val="32"/>
          <w:szCs w:val="32"/>
        </w:rPr>
        <w:t>倒逼各级各部门和企业安全生产责任得到有效落实。</w:t>
      </w:r>
      <w:r>
        <w:rPr>
          <w:rFonts w:hint="eastAsia" w:ascii="仿宋_GB2312" w:hAnsi="仿宋_GB2312" w:eastAsia="仿宋_GB2312" w:cs="仿宋_GB2312"/>
          <w:b/>
          <w:sz w:val="32"/>
          <w:szCs w:val="32"/>
        </w:rPr>
        <w:t>三是强化能力建设，力促</w:t>
      </w:r>
      <w:r>
        <w:rPr>
          <w:rFonts w:hint="eastAsia" w:ascii="仿宋_GB2312" w:eastAsia="仿宋_GB2312"/>
          <w:b/>
          <w:color w:val="000000"/>
          <w:sz w:val="32"/>
          <w:szCs w:val="32"/>
        </w:rPr>
        <w:t>安全生产本质水平和应急处置能力得到</w:t>
      </w:r>
      <w:r>
        <w:rPr>
          <w:rFonts w:hint="eastAsia" w:ascii="仿宋_GB2312" w:hAnsi="仿宋_GB2312" w:eastAsia="仿宋_GB2312" w:cs="仿宋_GB2312"/>
          <w:b/>
          <w:sz w:val="32"/>
          <w:szCs w:val="32"/>
        </w:rPr>
        <w:t>全面提升。</w:t>
      </w:r>
      <w:r>
        <w:rPr>
          <w:rFonts w:hint="eastAsia" w:ascii="仿宋_GB2312" w:eastAsia="仿宋_GB2312"/>
          <w:sz w:val="32"/>
          <w:szCs w:val="32"/>
        </w:rPr>
        <w:t>搭建了全县应急调度平台，将应急指挥调度系统延伸到25个乡镇，建立健全了会商研判和应急联动机制。</w:t>
      </w:r>
      <w:r>
        <w:rPr>
          <w:rFonts w:hint="eastAsia" w:ascii="仿宋_GB2312" w:hAnsi="仿宋_GB2312" w:eastAsia="仿宋_GB2312" w:cs="仿宋_GB2312"/>
          <w:sz w:val="32"/>
          <w:szCs w:val="32"/>
        </w:rPr>
        <w:t>优化建强应急救援队伍，组建了30人的森林消防专业队伍，</w:t>
      </w:r>
      <w:r>
        <w:rPr>
          <w:rFonts w:hint="eastAsia" w:ascii="仿宋_GB2312" w:eastAsia="仿宋_GB2312"/>
          <w:color w:val="000000"/>
          <w:sz w:val="32"/>
          <w:szCs w:val="32"/>
        </w:rPr>
        <w:t>建有438支13807人的应急救援力量，形成了全覆盖、全灾种、大应急、大救援体系。</w:t>
      </w:r>
      <w:r>
        <w:rPr>
          <w:rFonts w:hint="eastAsia" w:eastAsia="仿宋_GB2312"/>
          <w:sz w:val="32"/>
          <w:szCs w:val="32"/>
        </w:rPr>
        <w:t>加强</w:t>
      </w:r>
      <w:r>
        <w:rPr>
          <w:rFonts w:hint="eastAsia" w:ascii="仿宋_GB2312" w:eastAsia="仿宋_GB2312"/>
          <w:sz w:val="32"/>
          <w:szCs w:val="32"/>
        </w:rPr>
        <w:t>了应急救援能力建设，完成了10</w:t>
      </w:r>
      <w:r>
        <w:rPr>
          <w:rFonts w:hint="eastAsia" w:ascii="仿宋_GB2312" w:eastAsia="仿宋_GB2312"/>
          <w:bCs/>
          <w:sz w:val="32"/>
          <w:szCs w:val="32"/>
        </w:rPr>
        <w:t>部应急预案的修订发布，25个乡镇完成了乡镇“六有”、村级“三有”的应急能力建设达标任务，全面加强了基层治理能力建设。</w:t>
      </w:r>
    </w:p>
    <w:p w14:paraId="01DF9FD7">
      <w:pPr>
        <w:shd w:val="clear"/>
        <w:spacing w:line="600" w:lineRule="exact"/>
        <w:ind w:firstLine="640" w:firstLineChars="200"/>
        <w:rPr>
          <w:rFonts w:ascii="黑体" w:hAnsi="黑体" w:eastAsia="黑体" w:cs="仿宋_GB2312"/>
          <w:bCs/>
          <w:color w:val="000000"/>
          <w:sz w:val="32"/>
          <w:szCs w:val="32"/>
        </w:rPr>
      </w:pPr>
      <w:r>
        <w:rPr>
          <w:rFonts w:hint="eastAsia" w:ascii="楷体_GB2312" w:hAnsi="黑体" w:eastAsia="楷体_GB2312"/>
          <w:b/>
          <w:bCs/>
          <w:sz w:val="32"/>
          <w:szCs w:val="32"/>
        </w:rPr>
        <w:t>（二）在“常”上用足劲，累积“进”的因素。</w:t>
      </w:r>
      <w:r>
        <w:rPr>
          <w:rFonts w:hint="eastAsia" w:ascii="仿宋_GB2312" w:eastAsia="仿宋_GB2312"/>
          <w:b/>
          <w:sz w:val="32"/>
          <w:szCs w:val="32"/>
          <w:shd w:val="clear" w:color="auto" w:fill="FFFFFF"/>
        </w:rPr>
        <w:t>一是</w:t>
      </w:r>
      <w:r>
        <w:rPr>
          <w:rFonts w:hint="eastAsia" w:ascii="仿宋_GB2312" w:eastAsia="仿宋_GB2312" w:cs="楷体_GB2312"/>
          <w:b/>
          <w:sz w:val="32"/>
          <w:szCs w:val="32"/>
        </w:rPr>
        <w:t>铁腕整治安全隐患。</w:t>
      </w:r>
      <w:r>
        <w:rPr>
          <w:rFonts w:hint="eastAsia" w:ascii="仿宋_GB2312" w:hAnsi="仿宋" w:eastAsia="仿宋_GB2312"/>
          <w:sz w:val="32"/>
          <w:szCs w:val="32"/>
        </w:rPr>
        <w:t>制订了《溆浦县重大事故隐患专项排查整治2023行动方案》，</w:t>
      </w:r>
      <w:r>
        <w:rPr>
          <w:rFonts w:hint="eastAsia" w:ascii="仿宋_GB2312" w:hAnsi="仿宋_GB2312" w:eastAsia="仿宋_GB2312" w:cs="仿宋_GB2312"/>
          <w:bCs/>
          <w:sz w:val="32"/>
          <w:szCs w:val="32"/>
        </w:rPr>
        <w:t>对各重点行业、重点领域、重点部位进行“拉网式、全覆盖、无死角”排查。严格落实安全生产责任制，持续深入开展安全生产大检查和“打非治违”行动，统筹推进烟花爆竹、危险化学品、交通运输、特种设备、</w:t>
      </w:r>
      <w:r>
        <w:rPr>
          <w:rFonts w:hint="eastAsia" w:ascii="仿宋_GB2312" w:hAnsi="仿宋_GB2312" w:eastAsia="仿宋_GB2312" w:cs="仿宋_GB2312"/>
          <w:bCs/>
          <w:color w:val="333333"/>
          <w:sz w:val="32"/>
          <w:szCs w:val="32"/>
        </w:rPr>
        <w:t>文化旅游、</w:t>
      </w:r>
      <w:r>
        <w:rPr>
          <w:rFonts w:hint="eastAsia" w:ascii="仿宋_GB2312" w:hAnsi="仿宋_GB2312" w:eastAsia="仿宋_GB2312" w:cs="仿宋_GB2312"/>
          <w:bCs/>
          <w:sz w:val="32"/>
          <w:szCs w:val="32"/>
        </w:rPr>
        <w:t>城市运行、</w:t>
      </w:r>
      <w:r>
        <w:rPr>
          <w:rFonts w:hint="eastAsia" w:ascii="仿宋_GB2312" w:hAnsi="仿宋_GB2312" w:eastAsia="仿宋_GB2312" w:cs="仿宋_GB2312"/>
          <w:sz w:val="32"/>
          <w:szCs w:val="32"/>
        </w:rPr>
        <w:t>燃气、</w:t>
      </w:r>
      <w:r>
        <w:rPr>
          <w:rFonts w:hint="eastAsia" w:ascii="仿宋_GB2312" w:hAnsi="仿宋_GB2312" w:eastAsia="仿宋_GB2312" w:cs="仿宋_GB2312"/>
          <w:bCs/>
          <w:sz w:val="32"/>
          <w:szCs w:val="32"/>
        </w:rPr>
        <w:t>消防、建筑施工等领域安全防范风险，对风险隐患紧盯不放、一抓到底，及时消除盲区，有效堵塞漏洞。</w:t>
      </w:r>
      <w:r>
        <w:rPr>
          <w:rFonts w:hint="eastAsia" w:ascii="仿宋_GB2312" w:hAnsi="仿宋_GB2312" w:eastAsia="仿宋_GB2312" w:cs="仿宋_GB2312"/>
          <w:bCs/>
          <w:color w:val="000000"/>
          <w:sz w:val="32"/>
          <w:szCs w:val="32"/>
        </w:rPr>
        <w:t>全年共检查生产经营单位8614家次，发现一般安全隐患7226处，整改销号7226处，整改完成率100%，</w:t>
      </w:r>
      <w:r>
        <w:rPr>
          <w:rFonts w:hint="eastAsia" w:ascii="仿宋_GB2312" w:hAnsi="仿宋_GB2312" w:eastAsia="仿宋_GB2312" w:cs="仿宋_GB2312"/>
          <w:bCs/>
          <w:sz w:val="32"/>
          <w:szCs w:val="32"/>
        </w:rPr>
        <w:t>发现重大安全隐患</w:t>
      </w:r>
      <w:r>
        <w:rPr>
          <w:rFonts w:hint="eastAsia" w:ascii="仿宋_GB2312" w:eastAsia="仿宋_GB2312"/>
          <w:sz w:val="32"/>
          <w:szCs w:val="32"/>
        </w:rPr>
        <w:t>1043处，完成整改1008处，</w:t>
      </w:r>
      <w:r>
        <w:rPr>
          <w:rFonts w:hint="eastAsia" w:ascii="仿宋_GB2312" w:hAnsi="仿宋_GB2312" w:eastAsia="仿宋_GB2312" w:cs="仿宋_GB2312"/>
          <w:bCs/>
          <w:sz w:val="32"/>
          <w:szCs w:val="32"/>
        </w:rPr>
        <w:t>尚有35处在整改期限内正在整改。</w:t>
      </w:r>
      <w:r>
        <w:rPr>
          <w:rFonts w:hint="eastAsia" w:ascii="仿宋_GB2312" w:eastAsia="仿宋_GB2312"/>
          <w:b/>
          <w:sz w:val="32"/>
          <w:szCs w:val="32"/>
          <w:shd w:val="clear" w:color="auto" w:fill="FFFFFF"/>
        </w:rPr>
        <w:t>二</w:t>
      </w:r>
      <w:r>
        <w:rPr>
          <w:rFonts w:hint="eastAsia" w:ascii="仿宋_GB2312" w:hAnsi="楷体_GB2312" w:eastAsia="仿宋_GB2312" w:cs="楷体_GB2312"/>
          <w:b/>
          <w:sz w:val="32"/>
          <w:szCs w:val="32"/>
        </w:rPr>
        <w:t>是加大监管执法力度。</w:t>
      </w:r>
      <w:r>
        <w:rPr>
          <w:rFonts w:hint="eastAsia" w:ascii="仿宋_GB2312" w:hAnsi="仿宋_GB2312" w:eastAsia="仿宋_GB2312" w:cs="仿宋_GB2312"/>
          <w:bCs/>
          <w:sz w:val="32"/>
          <w:szCs w:val="32"/>
        </w:rPr>
        <w:t>严格落实“四个一律”要求，推进执法监管与安全隐患排查相结合，把依法治安作为安全生产治本之策。</w:t>
      </w:r>
      <w:r>
        <w:rPr>
          <w:rFonts w:hint="eastAsia" w:ascii="仿宋_GB2312" w:hAnsi="楷体_GB2312" w:eastAsia="仿宋_GB2312" w:cs="楷体_GB2312"/>
          <w:b/>
          <w:sz w:val="32"/>
          <w:szCs w:val="32"/>
        </w:rPr>
        <w:t>三</w:t>
      </w:r>
      <w:r>
        <w:rPr>
          <w:rFonts w:hint="eastAsia" w:ascii="仿宋_GB2312" w:eastAsia="仿宋_GB2312"/>
          <w:b/>
          <w:sz w:val="32"/>
          <w:szCs w:val="32"/>
          <w:shd w:val="clear" w:color="auto" w:fill="FFFFFF"/>
        </w:rPr>
        <w:t>是</w:t>
      </w:r>
      <w:r>
        <w:rPr>
          <w:rFonts w:hint="eastAsia" w:ascii="仿宋_GB2312" w:hAnsi="楷体_GB2312" w:eastAsia="仿宋_GB2312" w:cs="楷体_GB2312"/>
          <w:b/>
          <w:sz w:val="32"/>
          <w:szCs w:val="32"/>
        </w:rPr>
        <w:t>深入开展宣传教育。</w:t>
      </w:r>
      <w:r>
        <w:rPr>
          <w:rFonts w:hint="eastAsia" w:ascii="仿宋_GB2312" w:hAnsi="仿宋_GB2312" w:eastAsia="仿宋_GB2312" w:cs="仿宋_GB2312"/>
          <w:sz w:val="32"/>
          <w:szCs w:val="32"/>
        </w:rPr>
        <w:t>今年县委理论中心组学习开设</w:t>
      </w:r>
      <w:r>
        <w:rPr>
          <w:rFonts w:hint="eastAsia" w:ascii="仿宋_GB2312" w:hAnsi="仿宋_GB2312" w:eastAsia="仿宋_GB2312" w:cs="仿宋_GB2312"/>
          <w:color w:val="000000"/>
          <w:sz w:val="32"/>
          <w:szCs w:val="32"/>
        </w:rPr>
        <w:t>“溆水大讲堂”</w:t>
      </w:r>
      <w:r>
        <w:rPr>
          <w:rFonts w:hint="eastAsia" w:ascii="仿宋_GB2312" w:hAnsi="仿宋_GB2312" w:eastAsia="仿宋_GB2312" w:cs="仿宋_GB2312"/>
          <w:sz w:val="32"/>
          <w:szCs w:val="32"/>
        </w:rPr>
        <w:t>安全生产专题讲座，精心</w:t>
      </w:r>
      <w:r>
        <w:rPr>
          <w:rFonts w:hint="eastAsia" w:ascii="仿宋_GB2312" w:hAnsi="仿宋_GB2312" w:eastAsia="仿宋_GB2312" w:cs="仿宋_GB2312"/>
          <w:bCs/>
          <w:sz w:val="32"/>
          <w:szCs w:val="32"/>
        </w:rPr>
        <w:t>组织大范围的安</w:t>
      </w:r>
      <w:r>
        <w:rPr>
          <w:rFonts w:hint="eastAsia" w:ascii="仿宋_GB2312" w:eastAsia="仿宋_GB2312"/>
          <w:bCs/>
          <w:sz w:val="32"/>
          <w:szCs w:val="32"/>
        </w:rPr>
        <w:t>全生产专题培训</w:t>
      </w:r>
      <w:r>
        <w:rPr>
          <w:rFonts w:hint="eastAsia" w:ascii="仿宋_GB2312" w:hAnsi="仿宋_GB2312" w:eastAsia="仿宋_GB2312" w:cs="仿宋_GB2312"/>
          <w:sz w:val="32"/>
          <w:szCs w:val="32"/>
        </w:rPr>
        <w:t>，全面提高了安全意识和安全责任心。</w:t>
      </w:r>
      <w:r>
        <w:rPr>
          <w:rFonts w:hint="eastAsia" w:ascii="仿宋_GB2312" w:hAnsi="仿宋_GB2312" w:eastAsia="仿宋_GB2312" w:cs="仿宋_GB2312"/>
          <w:bCs/>
          <w:sz w:val="32"/>
          <w:szCs w:val="32"/>
        </w:rPr>
        <w:t>扎实</w:t>
      </w:r>
      <w:r>
        <w:rPr>
          <w:rFonts w:hint="eastAsia" w:ascii="仿宋_GB2312" w:hAnsi="仿宋_GB2312" w:eastAsia="仿宋_GB2312" w:cs="仿宋_GB2312"/>
          <w:bCs/>
          <w:color w:val="000000"/>
          <w:sz w:val="32"/>
          <w:szCs w:val="32"/>
        </w:rPr>
        <w:t>开展“安全生产月”、“5.12全国防灾减灾日”“交通安全日”等</w:t>
      </w:r>
      <w:r>
        <w:rPr>
          <w:rFonts w:hint="eastAsia" w:ascii="仿宋_GB2312" w:hAnsi="仿宋_GB2312" w:eastAsia="仿宋_GB2312" w:cs="仿宋_GB2312"/>
          <w:bCs/>
          <w:sz w:val="32"/>
          <w:szCs w:val="32"/>
        </w:rPr>
        <w:t>常态化宣传教育活动，深入开展消防安全、燃气安全、森林防火“敲门行动”，发放宣传资料15万余份，将安全生产知识送进千家万户，</w:t>
      </w:r>
      <w:r>
        <w:rPr>
          <w:rFonts w:ascii="仿宋_GB2312" w:hAnsi="仿宋" w:eastAsia="仿宋_GB2312" w:cs="仿宋"/>
          <w:color w:val="000000"/>
          <w:sz w:val="32"/>
          <w:szCs w:val="32"/>
        </w:rPr>
        <w:t>切实提高全民安全意识和应对突发事件的自救能力。</w:t>
      </w:r>
      <w:r>
        <w:rPr>
          <w:rFonts w:hint="eastAsia" w:ascii="仿宋_GB2312" w:eastAsia="仿宋_GB2312"/>
          <w:b/>
          <w:sz w:val="32"/>
          <w:szCs w:val="32"/>
          <w:shd w:val="clear" w:color="auto" w:fill="FFFFFF"/>
        </w:rPr>
        <w:t>四是抓细抓常森林防火。</w:t>
      </w:r>
      <w:r>
        <w:rPr>
          <w:rFonts w:hint="eastAsia" w:ascii="仿宋_GB2312" w:hAnsi="仿宋_GB2312" w:eastAsia="仿宋_GB2312" w:cs="仿宋_GB2312"/>
          <w:bCs/>
          <w:sz w:val="32"/>
          <w:szCs w:val="32"/>
        </w:rPr>
        <w:t>推行森林防灭火“五级包保”，</w:t>
      </w:r>
      <w:r>
        <w:rPr>
          <w:rFonts w:hint="eastAsia" w:ascii="仿宋_GB2312" w:hAnsi="仿宋_GB2312" w:eastAsia="仿宋_GB2312" w:cs="仿宋_GB2312"/>
          <w:snapToGrid w:val="0"/>
          <w:sz w:val="32"/>
          <w:szCs w:val="32"/>
        </w:rPr>
        <w:t>全县深入开展“敲门行动”，与农户签订森林防灭火承诺书12万份。</w:t>
      </w:r>
      <w:r>
        <w:rPr>
          <w:rFonts w:hint="eastAsia" w:ascii="仿宋_GB2312" w:hAnsi="仿宋_GB2312" w:eastAsia="仿宋_GB2312" w:cs="仿宋_GB2312"/>
          <w:bCs/>
          <w:sz w:val="32"/>
          <w:szCs w:val="32"/>
        </w:rPr>
        <w:t>严格落实“八个一”措施，设立临时检查站1183处，全天候检查巡逻，制止野外用火246起。安装森林防火视频监控136个，打造智能防火“天眼”。</w:t>
      </w:r>
      <w:r>
        <w:rPr>
          <w:rFonts w:hint="eastAsia" w:ascii="仿宋_GB2312" w:hAnsi="仿宋_GB2312" w:eastAsia="仿宋_GB2312" w:cs="仿宋_GB2312"/>
          <w:sz w:val="32"/>
          <w:szCs w:val="32"/>
        </w:rPr>
        <w:t>积极参加全市以水灭火技能比武，夺得全市第一。</w:t>
      </w:r>
      <w:r>
        <w:rPr>
          <w:rFonts w:hint="eastAsia" w:ascii="仿宋_GB2312" w:eastAsia="仿宋_GB2312"/>
          <w:b/>
          <w:sz w:val="32"/>
          <w:szCs w:val="32"/>
          <w:shd w:val="clear" w:color="auto" w:fill="FFFFFF"/>
        </w:rPr>
        <w:t>五是科学应对自然灾害。</w:t>
      </w:r>
      <w:r>
        <w:rPr>
          <w:rFonts w:hint="eastAsia" w:ascii="仿宋_GB2312" w:hAnsi="仿宋_GB2312" w:eastAsia="仿宋_GB2312" w:cs="仿宋_GB2312"/>
          <w:sz w:val="32"/>
          <w:szCs w:val="32"/>
        </w:rPr>
        <w:t>全面</w:t>
      </w:r>
      <w:r>
        <w:rPr>
          <w:rFonts w:ascii="仿宋_GB2312" w:hAnsi="仿宋_GB2312" w:eastAsia="仿宋_GB2312" w:cs="仿宋_GB2312"/>
          <w:sz w:val="32"/>
          <w:szCs w:val="32"/>
        </w:rPr>
        <w:t>落实行政首长负责制的防汛抗旱责任制</w:t>
      </w:r>
      <w:r>
        <w:rPr>
          <w:rFonts w:hint="eastAsia" w:ascii="仿宋_GB2312" w:hAnsi="仿宋_GB2312" w:eastAsia="仿宋_GB2312" w:cs="仿宋_GB2312"/>
          <w:sz w:val="32"/>
          <w:szCs w:val="32"/>
        </w:rPr>
        <w:t>体系建设，配</w:t>
      </w:r>
      <w:r>
        <w:rPr>
          <w:rFonts w:ascii="仿宋_GB2312" w:hAnsi="仿宋_GB2312" w:eastAsia="仿宋_GB2312" w:cs="仿宋_GB2312"/>
          <w:sz w:val="32"/>
          <w:szCs w:val="32"/>
        </w:rPr>
        <w:t>齐</w:t>
      </w:r>
      <w:r>
        <w:rPr>
          <w:rFonts w:hint="eastAsia" w:ascii="仿宋_GB2312" w:hAnsi="仿宋_GB2312" w:eastAsia="仿宋_GB2312" w:cs="仿宋_GB2312"/>
          <w:sz w:val="32"/>
          <w:szCs w:val="32"/>
        </w:rPr>
        <w:t>了</w:t>
      </w:r>
      <w:r>
        <w:rPr>
          <w:rFonts w:ascii="仿宋_GB2312" w:hAnsi="仿宋_GB2312" w:eastAsia="仿宋_GB2312" w:cs="仿宋_GB2312"/>
          <w:sz w:val="32"/>
          <w:szCs w:val="32"/>
        </w:rPr>
        <w:t>145</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上</w:t>
      </w:r>
      <w:r>
        <w:rPr>
          <w:rFonts w:hint="eastAsia" w:ascii="仿宋_GB2312" w:hAnsi="仿宋_GB2312" w:eastAsia="仿宋_GB2312" w:cs="仿宋_GB2312"/>
          <w:sz w:val="32"/>
          <w:szCs w:val="32"/>
        </w:rPr>
        <w:t>型山塘水库</w:t>
      </w:r>
      <w:r>
        <w:rPr>
          <w:rFonts w:ascii="仿宋_GB2312" w:hAnsi="仿宋_GB2312" w:eastAsia="仿宋_GB2312" w:cs="仿宋_GB2312"/>
          <w:sz w:val="32"/>
          <w:szCs w:val="32"/>
        </w:rPr>
        <w:t>巡</w:t>
      </w:r>
      <w:r>
        <w:rPr>
          <w:rFonts w:hint="eastAsia" w:ascii="仿宋_GB2312" w:hAnsi="仿宋_GB2312" w:eastAsia="仿宋_GB2312" w:cs="仿宋_GB2312"/>
          <w:sz w:val="32"/>
          <w:szCs w:val="32"/>
        </w:rPr>
        <w:t>护员、</w:t>
      </w:r>
      <w:r>
        <w:rPr>
          <w:rFonts w:ascii="仿宋_GB2312" w:hAnsi="仿宋_GB2312" w:eastAsia="仿宋_GB2312" w:cs="仿宋_GB2312"/>
          <w:sz w:val="32"/>
          <w:szCs w:val="32"/>
        </w:rPr>
        <w:t>460</w:t>
      </w:r>
      <w:r>
        <w:rPr>
          <w:rFonts w:hint="eastAsia" w:ascii="仿宋_GB2312" w:hAnsi="仿宋_GB2312" w:eastAsia="仿宋_GB2312" w:cs="仿宋_GB2312"/>
          <w:sz w:val="32"/>
          <w:szCs w:val="32"/>
        </w:rPr>
        <w:t>名地</w:t>
      </w:r>
      <w:r>
        <w:rPr>
          <w:rFonts w:ascii="仿宋_GB2312" w:hAnsi="仿宋_GB2312" w:eastAsia="仿宋_GB2312" w:cs="仿宋_GB2312"/>
          <w:sz w:val="32"/>
          <w:szCs w:val="32"/>
        </w:rPr>
        <w:t>灾点</w:t>
      </w:r>
      <w:r>
        <w:rPr>
          <w:rFonts w:hint="eastAsia" w:ascii="仿宋_GB2312" w:hAnsi="仿宋_GB2312" w:eastAsia="仿宋_GB2312" w:cs="仿宋_GB2312"/>
          <w:sz w:val="32"/>
          <w:szCs w:val="32"/>
        </w:rPr>
        <w:t>点长；修订和完善应急预案1529个，25个乡镇1044个自然院落开展演练1196场次，参演群众7338户；开科学应对6轮强对流天气，启动防汛Ⅳ级</w:t>
      </w:r>
      <w:r>
        <w:rPr>
          <w:rFonts w:ascii="仿宋_GB2312" w:hAnsi="仿宋_GB2312" w:eastAsia="仿宋_GB2312" w:cs="仿宋_GB2312"/>
          <w:sz w:val="32"/>
          <w:szCs w:val="32"/>
        </w:rPr>
        <w:t>应</w:t>
      </w:r>
      <w:r>
        <w:rPr>
          <w:rFonts w:hint="eastAsia" w:ascii="仿宋_GB2312" w:hAnsi="仿宋_GB2312" w:eastAsia="仿宋_GB2312" w:cs="仿宋_GB2312"/>
          <w:sz w:val="32"/>
          <w:szCs w:val="32"/>
        </w:rPr>
        <w:t>急</w:t>
      </w:r>
      <w:r>
        <w:rPr>
          <w:rFonts w:ascii="仿宋_GB2312" w:hAnsi="仿宋_GB2312" w:eastAsia="仿宋_GB2312" w:cs="仿宋_GB2312"/>
          <w:sz w:val="32"/>
          <w:szCs w:val="32"/>
        </w:rPr>
        <w:t>响应</w:t>
      </w:r>
      <w:r>
        <w:rPr>
          <w:rFonts w:hint="eastAsia" w:ascii="仿宋_GB2312" w:hAnsi="仿宋_GB2312" w:eastAsia="仿宋_GB2312" w:cs="仿宋_GB2312"/>
          <w:sz w:val="32"/>
          <w:szCs w:val="32"/>
        </w:rPr>
        <w:t>2次，</w:t>
      </w:r>
      <w:r>
        <w:rPr>
          <w:rFonts w:ascii="仿宋_GB2312" w:hAnsi="仿宋_GB2312" w:eastAsia="仿宋_GB2312" w:cs="仿宋_GB2312"/>
          <w:sz w:val="32"/>
          <w:szCs w:val="32"/>
        </w:rPr>
        <w:t>紧</w:t>
      </w:r>
      <w:r>
        <w:rPr>
          <w:rFonts w:hint="eastAsia" w:ascii="仿宋_GB2312" w:hAnsi="仿宋_GB2312" w:eastAsia="仿宋_GB2312" w:cs="仿宋_GB2312"/>
          <w:sz w:val="32"/>
          <w:szCs w:val="32"/>
        </w:rPr>
        <w:t>急转移群</w:t>
      </w:r>
      <w:r>
        <w:rPr>
          <w:rFonts w:ascii="仿宋_GB2312" w:hAnsi="仿宋_GB2312" w:eastAsia="仿宋_GB2312" w:cs="仿宋_GB2312"/>
          <w:sz w:val="32"/>
          <w:szCs w:val="32"/>
        </w:rPr>
        <w:t>众</w:t>
      </w:r>
      <w:r>
        <w:rPr>
          <w:rFonts w:hint="eastAsia" w:ascii="仿宋_GB2312" w:hAnsi="仿宋_GB2312" w:eastAsia="仿宋_GB2312" w:cs="仿宋_GB2312"/>
          <w:sz w:val="32"/>
          <w:szCs w:val="32"/>
        </w:rPr>
        <w:t>164</w:t>
      </w:r>
      <w:r>
        <w:rPr>
          <w:rFonts w:ascii="仿宋_GB2312" w:hAnsi="仿宋_GB2312" w:eastAsia="仿宋_GB2312" w:cs="仿宋_GB2312"/>
          <w:sz w:val="32"/>
          <w:szCs w:val="32"/>
        </w:rPr>
        <w:t>户</w:t>
      </w:r>
      <w:r>
        <w:rPr>
          <w:rFonts w:hint="eastAsia" w:ascii="仿宋_GB2312" w:hAnsi="仿宋_GB2312" w:eastAsia="仿宋_GB2312" w:cs="仿宋_GB2312"/>
          <w:sz w:val="32"/>
          <w:szCs w:val="32"/>
        </w:rPr>
        <w:t>390</w:t>
      </w:r>
      <w:r>
        <w:rPr>
          <w:rFonts w:ascii="仿宋_GB2312" w:hAnsi="仿宋_GB2312" w:eastAsia="仿宋_GB2312" w:cs="仿宋_GB2312"/>
          <w:sz w:val="32"/>
          <w:szCs w:val="32"/>
        </w:rPr>
        <w:t>人</w:t>
      </w:r>
      <w:r>
        <w:rPr>
          <w:rFonts w:hint="eastAsia" w:ascii="仿宋_GB2312" w:hAnsi="仿宋_GB2312" w:eastAsia="仿宋_GB2312" w:cs="仿宋_GB2312"/>
          <w:sz w:val="32"/>
          <w:szCs w:val="32"/>
        </w:rPr>
        <w:t>，确保不垮一库一坝一堤，不伤亡一人；启动抗旱IV级应急响应1次，开展7轮人工增雨作业，发射增雨火箭弹16枚，采取统一调度“三库一坝”，加强科学用水管理，有效缓解旱情。以充足准备做好防范应对工作，全力以赴保障人民群众生命和财产安全。</w:t>
      </w:r>
    </w:p>
    <w:p w14:paraId="7DC82B18">
      <w:pPr>
        <w:shd w:val="clear"/>
        <w:spacing w:line="600" w:lineRule="exact"/>
        <w:ind w:firstLine="640" w:firstLineChars="200"/>
        <w:rPr>
          <w:rFonts w:ascii="仿宋_GB2312" w:hAnsi="仿宋_GB2312" w:eastAsia="仿宋_GB2312" w:cs="仿宋_GB2312"/>
          <w:sz w:val="32"/>
          <w:szCs w:val="32"/>
        </w:rPr>
      </w:pPr>
      <w:r>
        <w:rPr>
          <w:rFonts w:hint="eastAsia" w:ascii="楷体_GB2312" w:hAnsi="黑体" w:eastAsia="楷体_GB2312"/>
          <w:b/>
          <w:sz w:val="32"/>
          <w:szCs w:val="32"/>
          <w:shd w:val="clear" w:color="auto" w:fill="FFFFFF"/>
        </w:rPr>
        <w:t>（三）在“实”上做文章，增添“新”的动能。</w:t>
      </w:r>
      <w:r>
        <w:rPr>
          <w:rFonts w:hint="eastAsia" w:ascii="仿宋_GB2312" w:eastAsia="仿宋_GB2312"/>
          <w:b/>
          <w:sz w:val="32"/>
          <w:szCs w:val="32"/>
          <w:shd w:val="clear" w:color="auto" w:fill="FFFFFF"/>
        </w:rPr>
        <w:t>一是创新推行驻企督导制度。</w:t>
      </w:r>
      <w:r>
        <w:rPr>
          <w:rFonts w:hint="eastAsia" w:ascii="仿宋_GB2312" w:eastAsia="仿宋_GB2312"/>
          <w:sz w:val="32"/>
          <w:szCs w:val="32"/>
          <w:shd w:val="clear" w:color="auto" w:fill="FFFFFF"/>
        </w:rPr>
        <w:t>制订《溆浦县重点企业派驻企业安全生产督导员实施方案》，对全县688家重点企业派驻督导员365人，严格落实“五查五督”工作要求，</w:t>
      </w:r>
      <w:r>
        <w:rPr>
          <w:rFonts w:hint="eastAsia" w:ascii="仿宋_GB2312" w:hAnsi="仿宋_GB2312" w:eastAsia="仿宋_GB2312" w:cs="仿宋_GB2312"/>
          <w:sz w:val="32"/>
          <w:szCs w:val="32"/>
        </w:rPr>
        <w:t>全面推动企业主体责任落实</w:t>
      </w:r>
      <w:r>
        <w:rPr>
          <w:rFonts w:hint="eastAsia" w:ascii="仿宋_GB2312" w:eastAsia="仿宋_GB2312"/>
          <w:sz w:val="32"/>
          <w:szCs w:val="32"/>
          <w:shd w:val="clear" w:color="auto" w:fill="FFFFFF"/>
        </w:rPr>
        <w:t>。该经验做法被省应急管理厅在全省推广。</w:t>
      </w:r>
      <w:r>
        <w:rPr>
          <w:rFonts w:hint="eastAsia" w:ascii="仿宋_GB2312" w:eastAsia="仿宋_GB2312"/>
          <w:b/>
          <w:sz w:val="32"/>
          <w:szCs w:val="32"/>
          <w:shd w:val="clear" w:color="auto" w:fill="FFFFFF"/>
        </w:rPr>
        <w:t>二是厘清职责消除监管盲区。</w:t>
      </w:r>
      <w:r>
        <w:rPr>
          <w:rFonts w:hint="eastAsia" w:ascii="仿宋_GB2312" w:eastAsia="仿宋_GB2312"/>
          <w:sz w:val="32"/>
          <w:szCs w:val="32"/>
          <w:shd w:val="clear" w:color="auto" w:fill="FFFFFF"/>
        </w:rPr>
        <w:t>制订《溆浦县新业态安全生产监管职责分工》，对扶贫车间、醇基燃料、民宿（乡村酒店）、仓储物流、密室逃脱等27个新兴行业和新业态监管职责进行了明确，特别是将扶贫车间安全监管依职责进行明晰，填补了全省空白。</w:t>
      </w:r>
      <w:r>
        <w:rPr>
          <w:rFonts w:hint="eastAsia" w:ascii="仿宋_GB2312" w:eastAsia="仿宋_GB2312"/>
          <w:b/>
          <w:sz w:val="32"/>
          <w:szCs w:val="32"/>
          <w:shd w:val="clear" w:color="auto" w:fill="FFFFFF"/>
        </w:rPr>
        <w:t>三是聘请专家服务提升效能。</w:t>
      </w:r>
      <w:r>
        <w:rPr>
          <w:rFonts w:hint="eastAsia" w:ascii="仿宋_GB2312" w:eastAsia="仿宋_GB2312"/>
          <w:sz w:val="32"/>
          <w:szCs w:val="32"/>
          <w:shd w:val="clear" w:color="auto" w:fill="FFFFFF"/>
        </w:rPr>
        <w:t>制订《关于“专委＋专家”开展安全隐患排查实施方案》，采取政府购买服务方式聘请专家参与隐患排查，既指出问题“病灶”，又开整改“药方”，解决“发现不了问题、解决不了难题”等问题，切实提升监管效能。</w:t>
      </w:r>
      <w:r>
        <w:rPr>
          <w:rFonts w:hint="eastAsia" w:ascii="仿宋_GB2312" w:eastAsia="仿宋_GB2312"/>
          <w:b/>
          <w:sz w:val="32"/>
          <w:szCs w:val="32"/>
          <w:shd w:val="clear" w:color="auto" w:fill="FFFFFF"/>
        </w:rPr>
        <w:t>四是采取“硬措施”狠抓工作落实。</w:t>
      </w:r>
      <w:r>
        <w:rPr>
          <w:rFonts w:hint="eastAsia" w:ascii="仿宋_GB2312" w:eastAsia="仿宋_GB2312"/>
          <w:sz w:val="32"/>
          <w:szCs w:val="32"/>
          <w:shd w:val="clear" w:color="auto" w:fill="FFFFFF"/>
        </w:rPr>
        <w:t>制订《溆浦县打非治违有奖举报办法》，</w:t>
      </w:r>
      <w:r>
        <w:rPr>
          <w:rFonts w:ascii="仿宋_GB2312" w:eastAsia="仿宋_GB2312"/>
          <w:sz w:val="32"/>
          <w:szCs w:val="32"/>
          <w:shd w:val="clear" w:color="auto" w:fill="FFFFFF"/>
        </w:rPr>
        <w:t>鼓励全社会</w:t>
      </w:r>
      <w:r>
        <w:rPr>
          <w:rFonts w:ascii="仿宋_GB2312" w:eastAsia="仿宋_GB2312"/>
          <w:sz w:val="32"/>
          <w:szCs w:val="32"/>
        </w:rPr>
        <w:t>举报</w:t>
      </w:r>
      <w:r>
        <w:rPr>
          <w:rFonts w:ascii="仿宋_GB2312" w:eastAsia="仿宋_GB2312"/>
          <w:sz w:val="32"/>
          <w:szCs w:val="32"/>
          <w:shd w:val="clear" w:color="auto" w:fill="FFFFFF"/>
        </w:rPr>
        <w:t>安全生产非法违法行为。</w:t>
      </w:r>
      <w:r>
        <w:rPr>
          <w:rFonts w:hint="eastAsia" w:ascii="仿宋_GB2312" w:eastAsia="仿宋_GB2312"/>
          <w:sz w:val="32"/>
          <w:szCs w:val="32"/>
          <w:shd w:val="clear" w:color="auto" w:fill="FFFFFF"/>
        </w:rPr>
        <w:t>推行安全警示教育，对突出问题制成影像视频进行警示曝光。以《2023年重点行业重大隐患判定标准</w:t>
      </w:r>
      <w:r>
        <w:rPr>
          <w:rFonts w:hint="eastAsia" w:ascii="仿宋_GB2312" w:hAnsi="仿宋" w:eastAsia="仿宋_GB2312" w:cs="仿宋"/>
          <w:color w:val="000000"/>
          <w:sz w:val="32"/>
          <w:szCs w:val="32"/>
        </w:rPr>
        <w:t>》和《15个专业委员会安全生产检查指南》等为指导，深入开展立体督导，督促乡镇、部门、企业落实安全生产责任。</w:t>
      </w:r>
      <w:r>
        <w:rPr>
          <w:rFonts w:hint="eastAsia" w:ascii="仿宋_GB2312" w:eastAsia="仿宋_GB2312"/>
          <w:sz w:val="32"/>
          <w:szCs w:val="32"/>
          <w:shd w:val="clear" w:color="auto" w:fill="FFFFFF"/>
        </w:rPr>
        <w:t>在打好安全生产翻身仗工作中，</w:t>
      </w:r>
      <w:r>
        <w:rPr>
          <w:rFonts w:hint="eastAsia" w:ascii="仿宋_GB2312" w:hAnsi="仿宋" w:eastAsia="仿宋_GB2312" w:cs="仿宋"/>
          <w:color w:val="000000"/>
          <w:sz w:val="32"/>
          <w:szCs w:val="32"/>
        </w:rPr>
        <w:t>对15个专业委员会和25个乡镇，实行一季一巡查、一考核、一通报、一曝光，打破惯</w:t>
      </w:r>
      <w:r>
        <w:rPr>
          <w:rFonts w:hint="eastAsia" w:ascii="仿宋_GB2312" w:hAnsi="仿宋_GB2312" w:eastAsia="仿宋_GB2312" w:cs="仿宋_GB2312"/>
          <w:sz w:val="32"/>
          <w:szCs w:val="32"/>
        </w:rPr>
        <w:t>性做法，突出日常考核，倒逼各项工作落到实处。对工作开展不力、排名靠后的单位实行工作经费停发，并由相关单位在县安委会全体会议上检讨发言，责令限期整改。</w:t>
      </w:r>
    </w:p>
    <w:p w14:paraId="3EAB679A">
      <w:pPr>
        <w:shd w:val="clear" w:color="auto"/>
        <w:spacing w:line="640" w:lineRule="exact"/>
        <w:ind w:firstLine="606" w:firstLineChars="192"/>
        <w:rPr>
          <w:rFonts w:hint="eastAsia" w:ascii="宋体" w:hAnsi="宋体"/>
          <w:b/>
          <w:spacing w:val="-2"/>
          <w:sz w:val="32"/>
          <w:szCs w:val="32"/>
        </w:rPr>
      </w:pPr>
      <w:r>
        <w:rPr>
          <w:rFonts w:hint="eastAsia" w:ascii="宋体" w:hAnsi="宋体"/>
          <w:b/>
          <w:spacing w:val="-2"/>
          <w:sz w:val="32"/>
          <w:szCs w:val="32"/>
        </w:rPr>
        <w:t>六、存在的主要问题</w:t>
      </w:r>
    </w:p>
    <w:p w14:paraId="0223891F">
      <w:pPr>
        <w:shd w:val="clear"/>
        <w:spacing w:line="600" w:lineRule="exact"/>
        <w:ind w:firstLine="640" w:firstLineChars="200"/>
        <w:rPr>
          <w:rFonts w:ascii="仿宋_GB2312" w:hAnsi="仿宋_GB2312" w:eastAsia="仿宋_GB2312" w:cs="仿宋_GB2312"/>
          <w:snapToGrid w:val="0"/>
          <w:sz w:val="32"/>
          <w:szCs w:val="32"/>
        </w:rPr>
      </w:pPr>
      <w:r>
        <w:rPr>
          <w:rFonts w:hint="eastAsia" w:ascii="楷体_GB2312" w:hAnsi="楷体_GB2312" w:eastAsia="楷体_GB2312" w:cs="楷体_GB2312"/>
          <w:b/>
          <w:bCs/>
          <w:snapToGrid w:val="0"/>
          <w:sz w:val="32"/>
          <w:szCs w:val="32"/>
        </w:rPr>
        <w:t>1.行业监管任务艰巨。</w:t>
      </w:r>
      <w:r>
        <w:rPr>
          <w:rFonts w:hint="eastAsia" w:ascii="仿宋_GB2312" w:eastAsia="仿宋_GB2312"/>
          <w:bCs/>
          <w:sz w:val="32"/>
          <w:szCs w:val="32"/>
        </w:rPr>
        <w:t>全县共有生产经营单位3.6万余家,且</w:t>
      </w:r>
      <w:r>
        <w:rPr>
          <w:rFonts w:hint="eastAsia" w:ascii="仿宋_GB2312" w:hAnsi="仿宋_GB2312" w:eastAsia="仿宋_GB2312" w:cs="仿宋_GB2312"/>
          <w:snapToGrid w:val="0"/>
          <w:sz w:val="32"/>
          <w:szCs w:val="32"/>
        </w:rPr>
        <w:t>生产经营门类众多，点多线长面广，监管难度较大。</w:t>
      </w:r>
    </w:p>
    <w:p w14:paraId="00FEB7EA">
      <w:pPr>
        <w:shd w:val="clear"/>
        <w:spacing w:line="600" w:lineRule="exact"/>
        <w:ind w:firstLine="800" w:firstLineChars="250"/>
        <w:rPr>
          <w:rFonts w:eastAsia="仿宋_GB2312"/>
          <w:bCs/>
          <w:sz w:val="32"/>
          <w:szCs w:val="32"/>
        </w:rPr>
      </w:pPr>
      <w:r>
        <w:rPr>
          <w:rFonts w:hint="eastAsia" w:ascii="楷体_GB2312" w:eastAsia="楷体_GB2312"/>
          <w:b/>
          <w:sz w:val="32"/>
          <w:szCs w:val="32"/>
        </w:rPr>
        <w:t>2.重大风险隐患仍然突出。</w:t>
      </w:r>
      <w:r>
        <w:rPr>
          <w:rFonts w:eastAsia="仿宋_GB2312"/>
          <w:bCs/>
          <w:sz w:val="32"/>
          <w:szCs w:val="32"/>
        </w:rPr>
        <w:t>我县高危行业门类齐全，水系发达复杂，森林覆盖率高，各类风险隐患交织叠加，</w:t>
      </w:r>
      <w:r>
        <w:rPr>
          <w:rFonts w:hint="eastAsia" w:eastAsia="仿宋_GB2312"/>
          <w:bCs/>
          <w:sz w:val="32"/>
          <w:szCs w:val="32"/>
        </w:rPr>
        <w:t>重点</w:t>
      </w:r>
      <w:r>
        <w:rPr>
          <w:rFonts w:eastAsia="仿宋_GB2312"/>
          <w:bCs/>
          <w:sz w:val="32"/>
          <w:szCs w:val="32"/>
        </w:rPr>
        <w:t>行业领域安全监管压力大，洪涝灾害、地质灾害、森林火灾易发多发，风险隐患防范和化解的成本高、难度大。</w:t>
      </w:r>
    </w:p>
    <w:p w14:paraId="44B11ECF">
      <w:pPr>
        <w:shd w:val="clear"/>
        <w:spacing w:line="600" w:lineRule="exact"/>
        <w:ind w:firstLine="800" w:firstLineChars="250"/>
        <w:rPr>
          <w:rFonts w:eastAsia="仿宋_GB2312"/>
          <w:bCs/>
          <w:sz w:val="32"/>
          <w:szCs w:val="32"/>
        </w:rPr>
      </w:pPr>
      <w:r>
        <w:rPr>
          <w:rFonts w:hint="eastAsia" w:ascii="楷体_GB2312" w:eastAsia="楷体_GB2312"/>
          <w:b/>
          <w:sz w:val="32"/>
          <w:szCs w:val="32"/>
        </w:rPr>
        <w:t>3.</w:t>
      </w:r>
      <w:r>
        <w:rPr>
          <w:rFonts w:ascii="楷体_GB2312" w:eastAsia="楷体_GB2312"/>
          <w:b/>
          <w:sz w:val="32"/>
          <w:szCs w:val="32"/>
        </w:rPr>
        <w:t>安全生产基础</w:t>
      </w:r>
      <w:r>
        <w:rPr>
          <w:rFonts w:hint="eastAsia" w:ascii="楷体_GB2312" w:eastAsia="楷体_GB2312"/>
          <w:b/>
          <w:sz w:val="32"/>
          <w:szCs w:val="32"/>
        </w:rPr>
        <w:t>还很</w:t>
      </w:r>
      <w:r>
        <w:rPr>
          <w:rFonts w:ascii="楷体_GB2312" w:eastAsia="楷体_GB2312"/>
          <w:b/>
          <w:sz w:val="32"/>
          <w:szCs w:val="32"/>
        </w:rPr>
        <w:t>薄弱。</w:t>
      </w:r>
      <w:r>
        <w:rPr>
          <w:rFonts w:eastAsia="仿宋_GB2312"/>
          <w:bCs/>
          <w:sz w:val="32"/>
          <w:szCs w:val="32"/>
        </w:rPr>
        <w:t>事故还不能杜绝，安全防范责任和措施还需进一步加强，尤其是安全生产形势</w:t>
      </w:r>
      <w:r>
        <w:rPr>
          <w:rFonts w:hint="eastAsia" w:eastAsia="仿宋_GB2312"/>
          <w:bCs/>
          <w:sz w:val="32"/>
          <w:szCs w:val="32"/>
        </w:rPr>
        <w:t>“</w:t>
      </w:r>
      <w:r>
        <w:rPr>
          <w:rFonts w:eastAsia="仿宋_GB2312"/>
          <w:bCs/>
          <w:sz w:val="32"/>
          <w:szCs w:val="32"/>
        </w:rPr>
        <w:t>三个不可高估</w:t>
      </w:r>
      <w:r>
        <w:rPr>
          <w:rFonts w:hint="eastAsia" w:eastAsia="仿宋_GB2312"/>
          <w:bCs/>
          <w:sz w:val="32"/>
          <w:szCs w:val="32"/>
        </w:rPr>
        <w:t>”</w:t>
      </w:r>
      <w:r>
        <w:rPr>
          <w:rFonts w:eastAsia="仿宋_GB2312"/>
          <w:bCs/>
          <w:sz w:val="32"/>
          <w:szCs w:val="32"/>
        </w:rPr>
        <w:t>的问题依然客观存在，在安全生产责任体系、监管体系、法规体系、防控体系等方面还存在短板和漏洞。</w:t>
      </w:r>
    </w:p>
    <w:p w14:paraId="08765B44">
      <w:pPr>
        <w:shd w:val="clear"/>
        <w:spacing w:line="600" w:lineRule="exact"/>
        <w:ind w:firstLine="640" w:firstLineChars="200"/>
        <w:rPr>
          <w:rFonts w:ascii="仿宋_GB2312" w:hAnsi="仿宋" w:eastAsia="仿宋_GB2312" w:cs="仿宋"/>
          <w:color w:val="000000"/>
          <w:sz w:val="32"/>
          <w:szCs w:val="32"/>
        </w:rPr>
      </w:pPr>
      <w:r>
        <w:rPr>
          <w:rFonts w:hint="eastAsia" w:ascii="楷体_GB2312" w:eastAsia="楷体_GB2312"/>
          <w:b/>
          <w:sz w:val="32"/>
          <w:szCs w:val="32"/>
        </w:rPr>
        <w:t>4.</w:t>
      </w:r>
      <w:r>
        <w:rPr>
          <w:rFonts w:ascii="楷体_GB2312" w:eastAsia="楷体_GB2312"/>
          <w:b/>
          <w:sz w:val="32"/>
          <w:szCs w:val="32"/>
        </w:rPr>
        <w:t>应急能力存在不足。</w:t>
      </w:r>
      <w:r>
        <w:rPr>
          <w:rFonts w:hint="eastAsia" w:eastAsia="仿宋_GB2312"/>
          <w:bCs/>
          <w:sz w:val="32"/>
          <w:szCs w:val="32"/>
        </w:rPr>
        <w:t>部分乡镇和部门对</w:t>
      </w:r>
      <w:r>
        <w:rPr>
          <w:rFonts w:eastAsia="仿宋_GB2312"/>
          <w:bCs/>
          <w:sz w:val="32"/>
          <w:szCs w:val="32"/>
        </w:rPr>
        <w:t>安全监管责任落实</w:t>
      </w:r>
      <w:r>
        <w:rPr>
          <w:rFonts w:ascii="仿宋_GB2312" w:hAnsi="仿宋" w:eastAsia="仿宋_GB2312" w:cs="仿宋"/>
          <w:color w:val="000000"/>
          <w:sz w:val="32"/>
          <w:szCs w:val="32"/>
        </w:rPr>
        <w:t>、工作推进上存在偏差，在人员力量充实、</w:t>
      </w:r>
      <w:r>
        <w:rPr>
          <w:rFonts w:hint="eastAsia" w:ascii="仿宋_GB2312" w:hAnsi="仿宋" w:eastAsia="仿宋_GB2312" w:cs="仿宋"/>
          <w:color w:val="000000"/>
          <w:sz w:val="32"/>
          <w:szCs w:val="32"/>
        </w:rPr>
        <w:t>专业化人才、</w:t>
      </w:r>
      <w:r>
        <w:rPr>
          <w:rFonts w:ascii="仿宋_GB2312" w:hAnsi="仿宋" w:eastAsia="仿宋_GB2312" w:cs="仿宋"/>
          <w:color w:val="000000"/>
          <w:sz w:val="32"/>
          <w:szCs w:val="32"/>
        </w:rPr>
        <w:t>信息化建设、应急能力提升等方面还有待加强。</w:t>
      </w:r>
    </w:p>
    <w:p w14:paraId="5D17B507">
      <w:pPr>
        <w:pStyle w:val="4"/>
        <w:shd w:val="clear"/>
        <w:adjustRightInd w:val="0"/>
        <w:snapToGrid w:val="0"/>
        <w:spacing w:line="560" w:lineRule="exact"/>
        <w:ind w:firstLine="606" w:firstLineChars="192"/>
        <w:rPr>
          <w:rFonts w:hint="eastAsia" w:ascii="宋体" w:hAnsi="宋体" w:eastAsia="宋体"/>
          <w:b/>
          <w:spacing w:val="-2"/>
          <w:sz w:val="32"/>
          <w:szCs w:val="32"/>
        </w:rPr>
      </w:pPr>
      <w:r>
        <w:rPr>
          <w:rFonts w:hint="eastAsia" w:ascii="宋体" w:hAnsi="宋体" w:eastAsia="宋体"/>
          <w:b/>
          <w:spacing w:val="-2"/>
          <w:sz w:val="32"/>
          <w:szCs w:val="32"/>
        </w:rPr>
        <w:t>七、有关建议</w:t>
      </w:r>
    </w:p>
    <w:p w14:paraId="63E606CF">
      <w:pPr>
        <w:pStyle w:val="4"/>
        <w:shd w:val="clear"/>
        <w:adjustRightInd w:val="0"/>
        <w:snapToGrid w:val="0"/>
        <w:spacing w:line="560" w:lineRule="exact"/>
        <w:ind w:firstLine="614" w:firstLineChars="192"/>
        <w:rPr>
          <w:rFonts w:hint="eastAsia" w:ascii="仿宋" w:hAnsi="仿宋" w:eastAsia="仿宋"/>
          <w:sz w:val="32"/>
          <w:szCs w:val="32"/>
        </w:rPr>
      </w:pPr>
      <w:r>
        <w:rPr>
          <w:rFonts w:ascii="仿宋" w:hAnsi="仿宋" w:eastAsia="仿宋"/>
          <w:sz w:val="32"/>
          <w:szCs w:val="32"/>
        </w:rPr>
        <w:t>加大专项资金投入力度，多方位、多举措确保应急能力建设，进一步突出“从注重灾后救助向注重灾前预防转变、从减少灾害损失向减轻灾害风险转变”的工作理念，全面提升全社会抵御自然灾害的综合防范能力。</w:t>
      </w:r>
    </w:p>
    <w:p w14:paraId="75E76CDC">
      <w:pPr>
        <w:pStyle w:val="4"/>
        <w:wordWrap w:val="0"/>
        <w:adjustRightInd w:val="0"/>
        <w:snapToGrid w:val="0"/>
        <w:spacing w:line="560" w:lineRule="exact"/>
        <w:jc w:val="both"/>
        <w:rPr>
          <w:rFonts w:hint="eastAsia" w:ascii="仿宋" w:hAnsi="仿宋" w:eastAsia="仿宋"/>
          <w:sz w:val="32"/>
          <w:szCs w:val="32"/>
        </w:rPr>
      </w:pPr>
      <w:r>
        <w:rPr>
          <w:rFonts w:hint="eastAsia" w:ascii="仿宋" w:hAnsi="仿宋" w:eastAsia="仿宋"/>
          <w:sz w:val="32"/>
          <w:szCs w:val="32"/>
        </w:rPr>
        <w:t xml:space="preserve">    </w:t>
      </w:r>
    </w:p>
    <w:p w14:paraId="49B3F9A3">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85B198"/>
    <w:multiLevelType w:val="singleLevel"/>
    <w:tmpl w:val="6985B198"/>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082C46"/>
    <w:rsid w:val="11AC2B9C"/>
    <w:rsid w:val="1D9335B4"/>
    <w:rsid w:val="1D97DEFF"/>
    <w:rsid w:val="1DFF72E5"/>
    <w:rsid w:val="1E192DF2"/>
    <w:rsid w:val="1EFC6F07"/>
    <w:rsid w:val="27713522"/>
    <w:rsid w:val="2E81442C"/>
    <w:rsid w:val="2FDF85B8"/>
    <w:rsid w:val="2FFFEE04"/>
    <w:rsid w:val="34DF85B0"/>
    <w:rsid w:val="36CE07B5"/>
    <w:rsid w:val="3B8F36BC"/>
    <w:rsid w:val="3E243EEA"/>
    <w:rsid w:val="453B005B"/>
    <w:rsid w:val="45755C03"/>
    <w:rsid w:val="491FF225"/>
    <w:rsid w:val="4C15751C"/>
    <w:rsid w:val="4FFD214C"/>
    <w:rsid w:val="55456CB4"/>
    <w:rsid w:val="5777D4F5"/>
    <w:rsid w:val="59DD8326"/>
    <w:rsid w:val="5DEF592A"/>
    <w:rsid w:val="5FC6BB1E"/>
    <w:rsid w:val="5FF720F1"/>
    <w:rsid w:val="65075FC9"/>
    <w:rsid w:val="67FF5C0B"/>
    <w:rsid w:val="6BFF1F03"/>
    <w:rsid w:val="6EFC0924"/>
    <w:rsid w:val="6FB74722"/>
    <w:rsid w:val="6FEF8B7E"/>
    <w:rsid w:val="71A6591B"/>
    <w:rsid w:val="737D59BA"/>
    <w:rsid w:val="77C37683"/>
    <w:rsid w:val="79FF515B"/>
    <w:rsid w:val="7AEF6BF7"/>
    <w:rsid w:val="7E9E1962"/>
    <w:rsid w:val="7E9F11B4"/>
    <w:rsid w:val="7F2535BE"/>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w:basedOn w:val="1"/>
    <w:qFormat/>
    <w:uiPriority w:val="0"/>
    <w:rPr>
      <w:rFonts w:eastAsia="Arial Unicode MS"/>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2"/>
    <w:semiHidden/>
    <w:qFormat/>
    <w:uiPriority w:val="0"/>
    <w:pPr>
      <w:snapToGrid w:val="0"/>
      <w:jc w:val="left"/>
    </w:pPr>
    <w:rPr>
      <w:sz w:val="18"/>
      <w:szCs w:val="18"/>
    </w:rPr>
  </w:style>
  <w:style w:type="character" w:styleId="11">
    <w:name w:val="page number"/>
    <w:qFormat/>
    <w:uiPriority w:val="0"/>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2543</Words>
  <Characters>2605</Characters>
  <Lines>63</Lines>
  <Paragraphs>18</Paragraphs>
  <TotalTime>3</TotalTime>
  <ScaleCrop>false</ScaleCrop>
  <LinksUpToDate>false</LinksUpToDate>
  <CharactersWithSpaces>2611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叶连</cp:lastModifiedBy>
  <cp:lastPrinted>2024-08-08T10:20:00Z</cp:lastPrinted>
  <dcterms:modified xsi:type="dcterms:W3CDTF">2026-07-06T01:45:07Z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2095D02F95304D36B9BB33D7A3E9F129_13</vt:lpwstr>
  </property>
  <property fmtid="{D5CDD505-2E9C-101B-9397-08002B2CF9AE}" pid="4" name="KSOTemplateDocerSaveRecord">
    <vt:lpwstr>eyJoZGlkIjoiZTQzNzk3NDIyM2JkM2JkYmFlOWE0ODFlMDMwZjdhZTkiLCJ1c2VySWQiOiI2ODA5ODgzNzcifQ==</vt:lpwstr>
  </property>
</Properties>
</file>