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19"/>
          <w:szCs w:val="19"/>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lang w:val="en-US" w:eastAsia="zh-CN"/>
        </w:rPr>
        <w:t>溆浦</w:t>
      </w:r>
      <w:r>
        <w:rPr>
          <w:rFonts w:ascii="微软雅黑" w:hAnsi="微软雅黑" w:eastAsia="微软雅黑" w:cs="微软雅黑"/>
          <w:b w:val="0"/>
          <w:bCs w:val="0"/>
          <w:i w:val="0"/>
          <w:iCs w:val="0"/>
          <w:caps w:val="0"/>
          <w:color w:val="000000"/>
          <w:spacing w:val="0"/>
          <w:sz w:val="45"/>
          <w:szCs w:val="45"/>
          <w:bdr w:val="none" w:color="auto" w:sz="0" w:space="0"/>
          <w:shd w:val="clear" w:fill="FFFFFF"/>
        </w:rPr>
        <w:t>县应急管理局</w:t>
      </w:r>
      <w:bookmarkStart w:id="0" w:name="_GoBack"/>
      <w:r>
        <w:rPr>
          <w:rFonts w:ascii="微软雅黑" w:hAnsi="微软雅黑" w:eastAsia="微软雅黑" w:cs="微软雅黑"/>
          <w:b w:val="0"/>
          <w:bCs w:val="0"/>
          <w:i w:val="0"/>
          <w:iCs w:val="0"/>
          <w:caps w:val="0"/>
          <w:color w:val="000000"/>
          <w:spacing w:val="0"/>
          <w:sz w:val="45"/>
          <w:szCs w:val="45"/>
          <w:bdr w:val="none" w:color="auto" w:sz="0" w:space="0"/>
          <w:shd w:val="clear" w:fill="FFFFFF"/>
        </w:rPr>
        <w:t>重大行政执法决定法制审核目录清单</w:t>
      </w:r>
      <w:bookmarkEnd w:id="0"/>
    </w:p>
    <w:tbl>
      <w:tblPr>
        <w:tblW w:w="12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7"/>
        <w:gridCol w:w="886"/>
        <w:gridCol w:w="4199"/>
        <w:gridCol w:w="2880"/>
        <w:gridCol w:w="3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767" w:type="dxa"/>
            <w:tcBorders>
              <w:top w:val="single" w:color="333333" w:sz="8" w:space="0"/>
              <w:left w:val="single" w:color="333333" w:sz="8" w:space="0"/>
              <w:bottom w:val="single" w:color="auto" w:sz="4" w:space="0"/>
              <w:right w:val="single" w:color="333333"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Calibri" w:hAnsi="Calibri" w:cs="Calibri" w:eastAsiaTheme="minorEastAsia"/>
                <w:b/>
                <w:bCs/>
                <w:color w:val="3D3D3D"/>
                <w:sz w:val="21"/>
                <w:szCs w:val="21"/>
                <w:lang w:val="en-US" w:eastAsia="zh-CN"/>
              </w:rPr>
            </w:pPr>
            <w:r>
              <w:rPr>
                <w:rFonts w:hint="eastAsia" w:ascii="Calibri" w:hAnsi="Calibri" w:cs="Calibri"/>
                <w:b/>
                <w:bCs/>
                <w:color w:val="3D3D3D"/>
                <w:sz w:val="21"/>
                <w:szCs w:val="21"/>
                <w:lang w:val="en-US" w:eastAsia="zh-CN"/>
              </w:rPr>
              <w:t>序号</w:t>
            </w:r>
          </w:p>
        </w:tc>
        <w:tc>
          <w:tcPr>
            <w:tcW w:w="886" w:type="dxa"/>
            <w:tcBorders>
              <w:top w:val="single" w:color="auto" w:sz="8" w:space="0"/>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default" w:ascii="Calibri" w:hAnsi="Calibri" w:cs="Calibri"/>
                <w:b/>
                <w:bCs/>
                <w:color w:val="3D3D3D"/>
                <w:sz w:val="21"/>
                <w:szCs w:val="21"/>
              </w:rPr>
            </w:pPr>
            <w:r>
              <w:rPr>
                <w:rFonts w:hint="eastAsia" w:ascii="仿宋" w:hAnsi="仿宋" w:eastAsia="仿宋" w:cs="仿宋"/>
                <w:b/>
                <w:bCs/>
                <w:color w:val="3D3D3D"/>
                <w:sz w:val="21"/>
                <w:szCs w:val="21"/>
                <w:bdr w:val="none" w:color="auto" w:sz="0" w:space="0"/>
              </w:rPr>
              <w:t>执法项目大类</w:t>
            </w:r>
          </w:p>
        </w:tc>
        <w:tc>
          <w:tcPr>
            <w:tcW w:w="4199" w:type="dxa"/>
            <w:tcBorders>
              <w:top w:val="single" w:color="auto" w:sz="8" w:space="0"/>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bdr w:val="none" w:color="auto" w:sz="0" w:space="0"/>
              </w:rPr>
              <w:t>审核的具体执法决定项目</w:t>
            </w:r>
          </w:p>
        </w:tc>
        <w:tc>
          <w:tcPr>
            <w:tcW w:w="2880" w:type="dxa"/>
            <w:tcBorders>
              <w:top w:val="single" w:color="auto" w:sz="8" w:space="0"/>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bdr w:val="none" w:color="auto" w:sz="0" w:space="0"/>
              </w:rPr>
              <w:t>应提交的审核资料</w:t>
            </w:r>
          </w:p>
        </w:tc>
        <w:tc>
          <w:tcPr>
            <w:tcW w:w="3881" w:type="dxa"/>
            <w:tcBorders>
              <w:top w:val="single" w:color="auto" w:sz="8" w:space="0"/>
              <w:left w:val="nil"/>
              <w:bottom w:val="single" w:color="auto" w:sz="4" w:space="0"/>
              <w:right w:val="single" w:color="auto"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bdr w:val="none" w:color="auto" w:sz="0" w:space="0"/>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1</w:t>
            </w:r>
          </w:p>
        </w:tc>
        <w:tc>
          <w:tcPr>
            <w:tcW w:w="886"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rPr>
              <w:t>行政</w:t>
            </w:r>
            <w:r>
              <w:rPr>
                <w:rFonts w:hint="eastAsia" w:ascii="仿宋_GB2312" w:hAnsi="仿宋_GB2312" w:eastAsia="仿宋_GB2312" w:cs="仿宋_GB2312"/>
                <w:color w:val="3D3D3D"/>
                <w:sz w:val="18"/>
                <w:szCs w:val="18"/>
                <w:lang w:val="en-US" w:eastAsia="zh-CN"/>
              </w:rPr>
              <w:t>许可决定</w:t>
            </w: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涉及国家和社会公共利益,可能造成重大社会影响、引发社会风险或涉及利害关系人重大权益的行政许可。</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拟作 出重大行 政执法决 定情况说 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拟作 出重大行 政执法决 定书并附 电子文本；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案件 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经听 证的，应当 提交听证 会笔录；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bdr w:val="none" w:color="auto" w:sz="0" w:space="0"/>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其他 需要提交 的材料。</w:t>
            </w:r>
          </w:p>
        </w:tc>
        <w:tc>
          <w:tcPr>
            <w:tcW w:w="388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bdr w:val="none" w:color="auto" w:sz="0" w:space="0"/>
              </w:rPr>
            </w:pPr>
            <w:r>
              <w:rPr>
                <w:rFonts w:hint="eastAsia" w:ascii="仿宋_GB2312" w:hAnsi="仿宋_GB2312" w:eastAsia="仿宋_GB2312" w:cs="仿宋_GB2312"/>
                <w:sz w:val="18"/>
                <w:szCs w:val="18"/>
              </w:rPr>
              <w:t>（一）行政执法主体是否合法; （二）行政执法人员是否具备执法资格; （三）行政执法权限是否 合法,是否属于本行政执 法机关的管辖范围;（四）认定事实是否清楚,证据是否确实、充分; （五）适用法律、法规、 规章是否正确; （六）</w:t>
            </w:r>
            <w:r>
              <w:rPr>
                <w:rFonts w:hint="eastAsia" w:ascii="仿宋_GB2312" w:hAnsi="仿宋_GB2312" w:eastAsia="仿宋_GB2312" w:cs="仿宋_GB2312"/>
                <w:sz w:val="18"/>
                <w:szCs w:val="18"/>
              </w:rPr>
              <w:t>行政执法程序</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决定内容是否合法; （八）行政执法文书是否规范; （</w:t>
            </w:r>
            <w:r>
              <w:rPr>
                <w:rFonts w:hint="eastAsia" w:ascii="仿宋_GB2312" w:hAnsi="仿宋_GB2312" w:eastAsia="仿宋_GB2312" w:cs="仿宋_GB2312"/>
                <w:sz w:val="18"/>
                <w:szCs w:val="18"/>
                <w:lang w:val="en-US" w:eastAsia="zh-CN"/>
              </w:rPr>
              <w:t>九</w:t>
            </w:r>
            <w:r>
              <w:rPr>
                <w:rFonts w:hint="eastAsia" w:ascii="仿宋_GB2312" w:hAnsi="仿宋_GB2312" w:eastAsia="仿宋_GB2312" w:cs="仿宋_GB2312"/>
                <w:sz w:val="18"/>
                <w:szCs w:val="18"/>
              </w:rPr>
              <w:t>）其他应当审查的内容。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2</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撤销行政许可的。</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bdr w:val="none" w:color="auto" w:sz="0" w:space="0"/>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3</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法律、法规、规章规定应当举行听证的行政许可。</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bdr w:val="none" w:color="auto" w:sz="0" w:space="0"/>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4</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bdr w:val="none" w:color="auto" w:sz="0" w:space="0"/>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其他行政许可产生争议的。</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bdr w:val="none" w:color="auto" w:sz="0" w:space="0"/>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bdr w:val="none" w:color="auto" w:sz="0" w:space="0"/>
                <w:lang w:val="en-US" w:eastAsia="zh-CN"/>
              </w:rPr>
              <w:t>5</w:t>
            </w:r>
          </w:p>
        </w:tc>
        <w:tc>
          <w:tcPr>
            <w:tcW w:w="886"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行政处罚类决定</w:t>
            </w: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对公民处以1000元以上的罚款，对法人或者其他组织处以2万元以上的罚款；没收违法所得或者没收非法财物价值相当于上述规定的数额。</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1、现场检查记录、询问笔录等执法文书；</w:t>
            </w:r>
            <w:r>
              <w:rPr>
                <w:rFonts w:hint="eastAsia" w:ascii="仿宋_GB2312" w:hAnsi="仿宋_GB2312" w:eastAsia="仿宋_GB2312" w:cs="仿宋_GB2312"/>
                <w:color w:val="3D3D3D"/>
                <w:sz w:val="18"/>
                <w:szCs w:val="18"/>
                <w:bdr w:val="none" w:color="auto" w:sz="0" w:space="0"/>
              </w:rPr>
              <w:br w:type="textWrapping"/>
            </w:r>
            <w:r>
              <w:rPr>
                <w:rFonts w:hint="eastAsia" w:ascii="仿宋_GB2312" w:hAnsi="仿宋_GB2312" w:eastAsia="仿宋_GB2312" w:cs="仿宋_GB2312"/>
                <w:color w:val="3D3D3D"/>
                <w:sz w:val="18"/>
                <w:szCs w:val="18"/>
                <w:bdr w:val="none" w:color="auto" w:sz="0" w:space="0"/>
              </w:rPr>
              <w:t>2、相关证据资料；案件调查终结报告；</w:t>
            </w:r>
            <w:r>
              <w:rPr>
                <w:rFonts w:hint="eastAsia" w:ascii="仿宋_GB2312" w:hAnsi="仿宋_GB2312" w:eastAsia="仿宋_GB2312" w:cs="仿宋_GB2312"/>
                <w:color w:val="3D3D3D"/>
                <w:sz w:val="18"/>
                <w:szCs w:val="18"/>
                <w:bdr w:val="none" w:color="auto" w:sz="0" w:space="0"/>
              </w:rPr>
              <w:br w:type="textWrapping"/>
            </w:r>
            <w:r>
              <w:rPr>
                <w:rFonts w:hint="eastAsia" w:ascii="仿宋_GB2312" w:hAnsi="仿宋_GB2312" w:eastAsia="仿宋_GB2312" w:cs="仿宋_GB2312"/>
                <w:color w:val="3D3D3D"/>
                <w:sz w:val="18"/>
                <w:szCs w:val="18"/>
                <w:bdr w:val="none" w:color="auto" w:sz="0" w:space="0"/>
              </w:rPr>
              <w:t>3、拟制的行政处罚决定类文书。</w:t>
            </w:r>
          </w:p>
        </w:tc>
        <w:tc>
          <w:tcPr>
            <w:tcW w:w="3881"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（一）行政执法主体是否合法，行政执法人员是否具备执法资格；（二）当事人的基本情况及违法事实是否查清； （三）违法事实是否清楚，证据是否确凿、充分，材料是否齐全；（四）适用法律、法规、规章是否准确，执行裁量基准是否适当；（五）行政执法决定是否适当；（六）程序是否合法，是否充分保障行政相对人权利；（七）是否有超越本机关职权范围或滥用职权的情形；（八）行政执法文书是否规范、齐备；（九）违法行为是否涉嫌犯罪需要移送司法机关；（十）其他依法应当审核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bdr w:val="none" w:color="auto" w:sz="0" w:space="0"/>
                <w:lang w:val="en-US" w:eastAsia="zh-CN"/>
              </w:rPr>
              <w:t>6</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拟做出责令停产停业整顿责令停业决定的。</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bdr w:val="none" w:color="auto" w:sz="0" w:space="0"/>
                <w:lang w:val="en-US" w:eastAsia="zh-CN"/>
              </w:rPr>
              <w:t>7</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拟做出给予暂扣或者吊销许可证决定的。</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bdr w:val="none" w:color="auto" w:sz="0" w:space="0"/>
                <w:lang w:val="en-US" w:eastAsia="zh-CN"/>
              </w:rPr>
              <w:t>8</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对发生法律效力的行政执法决定进行纠正，及可能作出行政赔偿或者不予行政赔偿决定的。</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bdr w:val="none" w:color="auto" w:sz="0" w:space="0"/>
                <w:lang w:val="en-US" w:eastAsia="zh-CN"/>
              </w:rPr>
              <w:t>9</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直接关系当事人或者第三人重大权益，经听证程序后作出的行政处罚决定。</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bdr w:val="none" w:color="auto" w:sz="0" w:space="0"/>
                <w:lang w:val="en-US" w:eastAsia="zh-CN"/>
              </w:rPr>
              <w:t>10</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案件承办机构负责人认为应当提请法制审核的其他涉及重大公共利益、案情复杂，疑难，或者涉及多个法律关系的行政处罚决定。</w:t>
            </w: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_GB2312" w:hAnsi="仿宋_GB2312" w:eastAsia="仿宋_GB2312" w:cs="仿宋_GB2312"/>
                <w:color w:val="3D3D3D"/>
                <w:sz w:val="18"/>
                <w:szCs w:val="18"/>
                <w:bdr w:val="none" w:color="auto" w:sz="0" w:space="0"/>
                <w:lang w:val="en-US" w:eastAsia="zh-CN"/>
              </w:rPr>
            </w:pPr>
            <w:r>
              <w:rPr>
                <w:rFonts w:hint="eastAsia" w:ascii="Calibri" w:hAnsi="Calibri" w:cs="Calibri"/>
                <w:b/>
                <w:bCs/>
                <w:color w:val="3D3D3D"/>
                <w:sz w:val="21"/>
                <w:szCs w:val="21"/>
                <w:lang w:val="en-US" w:eastAsia="zh-CN"/>
              </w:rPr>
              <w:t>序号</w:t>
            </w:r>
          </w:p>
        </w:tc>
        <w:tc>
          <w:tcPr>
            <w:tcW w:w="886"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执法项目大类</w:t>
            </w:r>
          </w:p>
        </w:tc>
        <w:tc>
          <w:tcPr>
            <w:tcW w:w="4199"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color w:val="3D3D3D"/>
                <w:sz w:val="18"/>
                <w:szCs w:val="18"/>
                <w:bdr w:val="none" w:color="auto" w:sz="0" w:space="0"/>
              </w:rPr>
            </w:pPr>
            <w:r>
              <w:rPr>
                <w:rFonts w:hint="eastAsia" w:ascii="仿宋" w:hAnsi="仿宋" w:eastAsia="仿宋" w:cs="仿宋"/>
                <w:b/>
                <w:bCs/>
                <w:color w:val="3D3D3D"/>
                <w:sz w:val="21"/>
                <w:szCs w:val="21"/>
              </w:rPr>
              <w:t>审核的具体执法决定项目</w:t>
            </w:r>
          </w:p>
        </w:tc>
        <w:tc>
          <w:tcPr>
            <w:tcW w:w="2880"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应提交的审核资料</w:t>
            </w:r>
          </w:p>
        </w:tc>
        <w:tc>
          <w:tcPr>
            <w:tcW w:w="3881"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bdr w:val="none" w:color="auto" w:sz="0" w:space="0"/>
                <w:lang w:val="en-US" w:eastAsia="zh-CN"/>
              </w:rPr>
              <w:t>11</w:t>
            </w:r>
          </w:p>
        </w:tc>
        <w:tc>
          <w:tcPr>
            <w:tcW w:w="886"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事项</w:t>
            </w: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对违法生产、储存、使用、经营危险物品的作业场所予以查封的</w:t>
            </w:r>
          </w:p>
        </w:tc>
        <w:tc>
          <w:tcPr>
            <w:tcW w:w="2880" w:type="dxa"/>
            <w:vMerge w:val="restart"/>
            <w:tcBorders>
              <w:top w:val="single" w:color="auto" w:sz="4" w:space="0"/>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bdr w:val="none" w:color="auto" w:sz="0" w:space="0"/>
              </w:rPr>
            </w:pPr>
            <w:r>
              <w:rPr>
                <w:rFonts w:hint="eastAsia" w:ascii="仿宋_GB2312" w:hAnsi="仿宋_GB2312" w:eastAsia="仿宋_GB2312" w:cs="仿宋_GB2312"/>
                <w:color w:val="3D3D3D"/>
                <w:sz w:val="18"/>
                <w:szCs w:val="18"/>
                <w:bdr w:val="none" w:color="auto" w:sz="0" w:space="0"/>
              </w:rPr>
              <w:t>1、现场检查记录、询问笔录等执法文书；</w:t>
            </w:r>
            <w:r>
              <w:rPr>
                <w:rFonts w:hint="eastAsia" w:ascii="仿宋_GB2312" w:hAnsi="仿宋_GB2312" w:eastAsia="仿宋_GB2312" w:cs="仿宋_GB2312"/>
                <w:color w:val="3D3D3D"/>
                <w:sz w:val="18"/>
                <w:szCs w:val="18"/>
                <w:bdr w:val="none" w:color="auto" w:sz="0" w:space="0"/>
              </w:rPr>
              <w:br w:type="textWrapping"/>
            </w:r>
            <w:r>
              <w:rPr>
                <w:rFonts w:hint="eastAsia" w:ascii="仿宋_GB2312" w:hAnsi="仿宋_GB2312" w:eastAsia="仿宋_GB2312" w:cs="仿宋_GB2312"/>
                <w:color w:val="3D3D3D"/>
                <w:sz w:val="18"/>
                <w:szCs w:val="18"/>
                <w:bdr w:val="none" w:color="auto" w:sz="0" w:space="0"/>
                <w:lang w:val="en-US" w:eastAsia="zh-CN"/>
              </w:rPr>
              <w:t xml:space="preserve">  </w:t>
            </w:r>
            <w:r>
              <w:rPr>
                <w:rFonts w:hint="eastAsia" w:ascii="仿宋_GB2312" w:hAnsi="仿宋_GB2312" w:eastAsia="仿宋_GB2312" w:cs="仿宋_GB2312"/>
                <w:color w:val="3D3D3D"/>
                <w:sz w:val="18"/>
                <w:szCs w:val="18"/>
                <w:bdr w:val="none" w:color="auto" w:sz="0" w:space="0"/>
              </w:rPr>
              <w:t>2、相关证据资料；案件调查终结报告；</w:t>
            </w:r>
            <w:r>
              <w:rPr>
                <w:rFonts w:hint="eastAsia" w:ascii="仿宋_GB2312" w:hAnsi="仿宋_GB2312" w:eastAsia="仿宋_GB2312" w:cs="仿宋_GB2312"/>
                <w:color w:val="3D3D3D"/>
                <w:sz w:val="18"/>
                <w:szCs w:val="18"/>
                <w:bdr w:val="none" w:color="auto" w:sz="0" w:space="0"/>
              </w:rPr>
              <w:br w:type="textWrapping"/>
            </w:r>
            <w:r>
              <w:rPr>
                <w:rFonts w:hint="eastAsia" w:ascii="仿宋_GB2312" w:hAnsi="仿宋_GB2312" w:eastAsia="仿宋_GB2312" w:cs="仿宋_GB2312"/>
                <w:color w:val="3D3D3D"/>
                <w:sz w:val="18"/>
                <w:szCs w:val="18"/>
                <w:bdr w:val="none" w:color="auto" w:sz="0" w:space="0"/>
                <w:lang w:val="en-US" w:eastAsia="zh-CN"/>
              </w:rPr>
              <w:t xml:space="preserve">  </w:t>
            </w:r>
            <w:r>
              <w:rPr>
                <w:rFonts w:hint="eastAsia" w:ascii="仿宋_GB2312" w:hAnsi="仿宋_GB2312" w:eastAsia="仿宋_GB2312" w:cs="仿宋_GB2312"/>
                <w:color w:val="3D3D3D"/>
                <w:sz w:val="18"/>
                <w:szCs w:val="18"/>
                <w:bdr w:val="none" w:color="auto" w:sz="0" w:space="0"/>
              </w:rPr>
              <w:t>3、拟制的查封扣押类文书。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lang w:val="en-US" w:eastAsia="zh-CN"/>
              </w:rPr>
              <w:t>4、</w:t>
            </w:r>
            <w:r>
              <w:rPr>
                <w:rFonts w:hint="eastAsia" w:ascii="仿宋_GB2312" w:hAnsi="仿宋_GB2312" w:eastAsia="仿宋_GB2312" w:cs="仿宋_GB2312"/>
                <w:color w:val="3D3D3D"/>
                <w:sz w:val="18"/>
                <w:szCs w:val="18"/>
              </w:rPr>
              <w:t>拟制的停止供电、停止供应民用爆炸物品类文书。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5</w:t>
            </w:r>
            <w:r>
              <w:rPr>
                <w:rFonts w:hint="eastAsia" w:ascii="仿宋_GB2312" w:hAnsi="仿宋_GB2312" w:eastAsia="仿宋_GB2312" w:cs="仿宋_GB2312"/>
                <w:color w:val="3D3D3D"/>
                <w:sz w:val="18"/>
                <w:szCs w:val="18"/>
              </w:rPr>
              <w:t>、行政决定书及作出决定的事实、理由和依据；</w:t>
            </w:r>
            <w:r>
              <w:rPr>
                <w:rFonts w:hint="eastAsia" w:ascii="仿宋_GB2312" w:hAnsi="仿宋_GB2312" w:eastAsia="仿宋_GB2312" w:cs="仿宋_GB2312"/>
                <w:color w:val="3D3D3D"/>
                <w:sz w:val="18"/>
                <w:szCs w:val="18"/>
              </w:rPr>
              <w:br w:type="textWrapping"/>
            </w:r>
            <w:r>
              <w:rPr>
                <w:rFonts w:hint="eastAsia" w:ascii="仿宋_GB2312" w:hAnsi="仿宋_GB2312" w:eastAsia="仿宋_GB2312" w:cs="仿宋_GB2312"/>
                <w:color w:val="3D3D3D"/>
                <w:sz w:val="18"/>
                <w:szCs w:val="18"/>
                <w:lang w:val="en-US" w:eastAsia="zh-CN"/>
              </w:rPr>
              <w:t xml:space="preserve">  6</w:t>
            </w:r>
            <w:r>
              <w:rPr>
                <w:rFonts w:hint="eastAsia" w:ascii="仿宋_GB2312" w:hAnsi="仿宋_GB2312" w:eastAsia="仿宋_GB2312" w:cs="仿宋_GB2312"/>
                <w:color w:val="3D3D3D"/>
                <w:sz w:val="18"/>
                <w:szCs w:val="18"/>
              </w:rPr>
              <w:t>、当事人的意见及行政机关催告情况说明；</w:t>
            </w:r>
            <w:r>
              <w:rPr>
                <w:rFonts w:hint="eastAsia" w:ascii="仿宋_GB2312" w:hAnsi="仿宋_GB2312" w:eastAsia="仿宋_GB2312" w:cs="仿宋_GB2312"/>
                <w:color w:val="3D3D3D"/>
                <w:sz w:val="18"/>
                <w:szCs w:val="18"/>
              </w:rPr>
              <w:br w:type="textWrapping"/>
            </w:r>
            <w:r>
              <w:rPr>
                <w:rFonts w:hint="eastAsia" w:ascii="仿宋_GB2312" w:hAnsi="仿宋_GB2312" w:eastAsia="仿宋_GB2312" w:cs="仿宋_GB2312"/>
                <w:color w:val="3D3D3D"/>
                <w:sz w:val="18"/>
                <w:szCs w:val="18"/>
                <w:lang w:val="en-US" w:eastAsia="zh-CN"/>
              </w:rPr>
              <w:t xml:space="preserve">  7</w:t>
            </w:r>
            <w:r>
              <w:rPr>
                <w:rFonts w:hint="eastAsia" w:ascii="仿宋_GB2312" w:hAnsi="仿宋_GB2312" w:eastAsia="仿宋_GB2312" w:cs="仿宋_GB2312"/>
                <w:color w:val="3D3D3D"/>
                <w:sz w:val="18"/>
                <w:szCs w:val="18"/>
              </w:rPr>
              <w:t>、申请强制执行标的情况说明；</w:t>
            </w:r>
            <w:r>
              <w:rPr>
                <w:rFonts w:hint="eastAsia" w:ascii="仿宋_GB2312" w:hAnsi="仿宋_GB2312" w:eastAsia="仿宋_GB2312" w:cs="仿宋_GB2312"/>
                <w:color w:val="3D3D3D"/>
                <w:sz w:val="18"/>
                <w:szCs w:val="18"/>
              </w:rPr>
              <w:br w:type="textWrapping"/>
            </w:r>
            <w:r>
              <w:rPr>
                <w:rFonts w:hint="eastAsia" w:ascii="仿宋_GB2312" w:hAnsi="仿宋_GB2312" w:eastAsia="仿宋_GB2312" w:cs="仿宋_GB2312"/>
                <w:color w:val="3D3D3D"/>
                <w:sz w:val="18"/>
                <w:szCs w:val="18"/>
                <w:lang w:val="en-US" w:eastAsia="zh-CN"/>
              </w:rPr>
              <w:t xml:space="preserve">  8</w:t>
            </w:r>
            <w:r>
              <w:rPr>
                <w:rFonts w:hint="eastAsia" w:ascii="仿宋_GB2312" w:hAnsi="仿宋_GB2312" w:eastAsia="仿宋_GB2312" w:cs="仿宋_GB2312"/>
                <w:color w:val="3D3D3D"/>
                <w:sz w:val="18"/>
                <w:szCs w:val="18"/>
              </w:rPr>
              <w:t>、拟制的强制执行申请书。</w:t>
            </w:r>
          </w:p>
        </w:tc>
        <w:tc>
          <w:tcPr>
            <w:tcW w:w="3881" w:type="dxa"/>
            <w:vMerge w:val="restart"/>
            <w:tcBorders>
              <w:top w:val="single" w:color="auto" w:sz="4" w:space="0"/>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bdr w:val="none" w:color="auto" w:sz="0" w:space="0"/>
              </w:rPr>
              <w:t>（一）行政执法机关主体是否合法，行政执法人员是否具备执法资格；（二）主要事实是否清楚，证据是否确凿、充分；（三）适用法律、法规、规章是否准确；（四）是否符合采取强制措施的条件，程序是否合法，是否充分保障行政相对人权利；（五）是否有超越本机关职权范围或滥用职权的情形；（六）行政执法文书是否规范、齐备；（七）其他依法应当审核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bdr w:val="none" w:color="auto" w:sz="0" w:space="0"/>
                <w:lang w:val="en-US" w:eastAsia="zh-CN"/>
              </w:rPr>
              <w:t>12</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通知有关部门、单位强制停止供电，停止供应民用爆炸物品，强制被处罚单位履行行政决定的</w:t>
            </w:r>
          </w:p>
        </w:tc>
        <w:tc>
          <w:tcPr>
            <w:tcW w:w="2880" w:type="dxa"/>
            <w:vMerge w:val="continue"/>
            <w:tcBorders>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bdr w:val="none" w:color="auto" w:sz="0" w:space="0"/>
                <w:lang w:val="en-US" w:eastAsia="zh-CN"/>
              </w:rPr>
              <w:t>13</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拟作出变更、撤销具体行政行政行为或者确认具体行政行为违法的行政复议决定的</w:t>
            </w:r>
          </w:p>
        </w:tc>
        <w:tc>
          <w:tcPr>
            <w:tcW w:w="2880" w:type="dxa"/>
            <w:vMerge w:val="continue"/>
            <w:tcBorders>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14</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拟作出行政赔偿或者不予行政赔偿决定的</w:t>
            </w:r>
          </w:p>
        </w:tc>
        <w:tc>
          <w:tcPr>
            <w:tcW w:w="2880" w:type="dxa"/>
            <w:vMerge w:val="continue"/>
            <w:tcBorders>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bdr w:val="none" w:color="auto" w:sz="0" w:space="0"/>
              </w:rPr>
            </w:pPr>
          </w:p>
        </w:tc>
        <w:tc>
          <w:tcPr>
            <w:tcW w:w="3881" w:type="dxa"/>
            <w:vMerge w:val="continue"/>
            <w:tcBorders>
              <w:left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bdr w:val="none" w:color="auto" w:sz="0" w:space="0"/>
                <w:lang w:val="en-US" w:eastAsia="zh-CN"/>
              </w:rPr>
            </w:pPr>
            <w:r>
              <w:rPr>
                <w:rFonts w:hint="eastAsia" w:ascii="仿宋_GB2312" w:hAnsi="仿宋_GB2312" w:eastAsia="仿宋_GB2312" w:cs="仿宋_GB2312"/>
                <w:color w:val="3D3D3D"/>
                <w:sz w:val="18"/>
                <w:szCs w:val="18"/>
                <w:bdr w:val="none" w:color="auto" w:sz="0" w:space="0"/>
                <w:lang w:val="en-US" w:eastAsia="zh-CN"/>
              </w:rPr>
              <w:t>15</w:t>
            </w:r>
          </w:p>
        </w:tc>
        <w:tc>
          <w:tcPr>
            <w:tcW w:w="886"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拟对有关生产经营单位及其有关人员纳入安全生产失信行为联合惩戒对象和“黑名单”管理的</w:t>
            </w:r>
          </w:p>
        </w:tc>
        <w:tc>
          <w:tcPr>
            <w:tcW w:w="2880" w:type="dxa"/>
            <w:vMerge w:val="continue"/>
            <w:tcBorders>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bdr w:val="none" w:color="auto" w:sz="0" w:space="0"/>
              </w:rPr>
            </w:pPr>
          </w:p>
        </w:tc>
        <w:tc>
          <w:tcPr>
            <w:tcW w:w="3881" w:type="dxa"/>
            <w:vMerge w:val="continue"/>
            <w:tcBorders>
              <w:left w:val="single" w:color="auto" w:sz="4" w:space="0"/>
              <w:bottom w:val="single" w:color="auto" w:sz="4" w:space="0"/>
              <w:right w:val="single" w:color="auto" w:sz="4" w:space="0"/>
            </w:tcBorders>
            <w:shd w:val="cle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bdr w:val="none" w:color="auto" w:sz="0" w:space="0"/>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sectPr>
      <w:pgSz w:w="16838" w:h="11906" w:orient="landscape"/>
      <w:pgMar w:top="1633"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ODlmOWQxYjY1YWMzMmQyZjQyNjJjOThhMGZhZDAifQ=="/>
  </w:docVars>
  <w:rsids>
    <w:rsidRoot w:val="44933617"/>
    <w:rsid w:val="4493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2022-11-02T01:10:00Z</dcterms:created>
  <dc:creator>Administrator</dc:creator>
  <cp:lastModifiedBy>Administrator</cp:lastModifiedBy>
  <cp:lastPrinted>2022-11-02T01:12:41Z</cp:lastPrinted>
  <dcterms:modified xsi:type="dcterms:W3CDTF">2022-11-02T01:43:12Z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75C26AEF9C184DEFB91E9FB10EE3F033</vt:lpwstr>
  </property>
</Properties>
</file>